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left="0" w:leftChars="0" w:firstLine="299" w:firstLineChars="62"/>
        <w:jc w:val="center"/>
        <w:textAlignment w:val="auto"/>
        <w:rPr>
          <w:rFonts w:hint="default" w:ascii="Times New Roman" w:hAnsi="Times New Roman" w:eastAsia="仿宋_GB2312" w:cs="Times New Roman"/>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仿宋_GB2312" w:cs="Times New Roman"/>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仿宋_GB2312" w:cs="Times New Roman"/>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hint="default" w:ascii="Times New Roman" w:hAnsi="Times New Roman" w:eastAsia="仿宋_GB2312" w:cs="Times New Roman"/>
          <w:b/>
          <w:bCs/>
          <w:sz w:val="52"/>
          <w:szCs w:val="52"/>
        </w:rPr>
      </w:pPr>
      <w:r>
        <w:rPr>
          <w:rFonts w:hint="default" w:ascii="Times New Roman" w:hAnsi="Times New Roman" w:eastAsia="仿宋_GB2312" w:cs="Times New Roman"/>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仿宋_GB2312" w:cs="Times New Roman"/>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hint="default" w:ascii="Times New Roman" w:hAnsi="Times New Roman" w:eastAsia="仿宋_GB2312" w:cs="Times New Roman"/>
          <w:b/>
          <w:kern w:val="0"/>
          <w:sz w:val="50"/>
          <w:szCs w:val="50"/>
          <w:lang w:bidi="en-US"/>
        </w:rPr>
      </w:pPr>
      <w:r>
        <w:rPr>
          <w:rFonts w:hint="default" w:ascii="Times New Roman" w:hAnsi="Times New Roman" w:eastAsia="仿宋_GB2312" w:cs="Times New Roman"/>
          <w:color w:val="000000"/>
          <w:kern w:val="0"/>
          <w:sz w:val="36"/>
          <w:szCs w:val="36"/>
        </w:rPr>
        <w:t>（202</w:t>
      </w:r>
      <w:r>
        <w:rPr>
          <w:rFonts w:hint="default" w:ascii="Times New Roman" w:hAnsi="Times New Roman" w:eastAsia="仿宋_GB2312" w:cs="Times New Roman"/>
          <w:color w:val="000000"/>
          <w:kern w:val="0"/>
          <w:sz w:val="36"/>
          <w:szCs w:val="36"/>
          <w:lang w:val="en-US" w:eastAsia="zh-CN"/>
        </w:rPr>
        <w:t>3</w:t>
      </w:r>
      <w:r>
        <w:rPr>
          <w:rFonts w:hint="default" w:ascii="Times New Roman" w:hAnsi="Times New Roman" w:eastAsia="仿宋_GB2312" w:cs="Times New Roman"/>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pPr>
        <w:pStyle w:val="2"/>
        <w:rPr>
          <w:rFonts w:hint="default" w:ascii="Times New Roman" w:hAnsi="Times New Roman" w:eastAsia="仿宋_GB2312" w:cs="Times New Roman"/>
          <w:b/>
          <w:kern w:val="0"/>
          <w:sz w:val="50"/>
          <w:szCs w:val="50"/>
          <w:lang w:bidi="en-US"/>
        </w:rPr>
      </w:pPr>
    </w:p>
    <w:p>
      <w:pPr>
        <w:rPr>
          <w:rFonts w:hint="default"/>
        </w:rPr>
      </w:pPr>
    </w:p>
    <w:p>
      <w:pPr>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项目名称：</w:t>
      </w:r>
      <w:r>
        <w:rPr>
          <w:rFonts w:hint="eastAsia" w:cs="Times New Roman"/>
          <w:b/>
          <w:bCs/>
          <w:color w:val="000000"/>
          <w:kern w:val="0"/>
          <w:sz w:val="32"/>
          <w:szCs w:val="32"/>
          <w:lang w:val="en-US" w:eastAsia="zh-CN"/>
        </w:rPr>
        <w:t>基本科研项目</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实施单位（公章）：</w:t>
      </w:r>
      <w:r>
        <w:rPr>
          <w:rFonts w:hint="default" w:ascii="Times New Roman" w:hAnsi="Times New Roman" w:eastAsia="仿宋_GB2312" w:cs="Times New Roman"/>
          <w:b/>
          <w:bCs/>
          <w:color w:val="000000"/>
          <w:kern w:val="0"/>
          <w:sz w:val="32"/>
          <w:szCs w:val="32"/>
          <w:lang w:val="en-US" w:eastAsia="zh-CN"/>
        </w:rPr>
        <w:t>巴音郭楞蒙古自治州农业科学研究院</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主管部门（公章）：</w:t>
      </w:r>
      <w:r>
        <w:rPr>
          <w:rFonts w:hint="default" w:ascii="Times New Roman" w:hAnsi="Times New Roman" w:eastAsia="仿宋_GB2312" w:cs="Times New Roman"/>
          <w:b/>
          <w:bCs/>
          <w:color w:val="000000"/>
          <w:kern w:val="0"/>
          <w:sz w:val="32"/>
          <w:szCs w:val="32"/>
          <w:lang w:val="en-US" w:eastAsia="zh-CN"/>
        </w:rPr>
        <w:t>巴音郭楞蒙古自治州农业农村局</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项目负责人（签章）：</w:t>
      </w:r>
      <w:r>
        <w:rPr>
          <w:rFonts w:hint="eastAsia" w:cs="Times New Roman"/>
          <w:b/>
          <w:bCs/>
          <w:color w:val="000000"/>
          <w:kern w:val="0"/>
          <w:sz w:val="32"/>
          <w:szCs w:val="32"/>
          <w:lang w:val="en-US" w:eastAsia="zh-CN"/>
        </w:rPr>
        <w:t>陈晋瑞</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填报时间：</w:t>
      </w:r>
      <w:r>
        <w:rPr>
          <w:rFonts w:hint="default" w:ascii="Times New Roman" w:hAnsi="Times New Roman" w:eastAsia="仿宋_GB2312" w:cs="Times New Roman"/>
          <w:b/>
          <w:bCs/>
          <w:color w:val="000000"/>
          <w:kern w:val="0"/>
          <w:sz w:val="32"/>
          <w:szCs w:val="32"/>
          <w:lang w:val="en-US" w:eastAsia="zh-CN"/>
        </w:rPr>
        <w:t>2024年</w:t>
      </w:r>
      <w:r>
        <w:rPr>
          <w:rFonts w:hint="eastAsia" w:cs="Times New Roman"/>
          <w:b/>
          <w:bCs/>
          <w:color w:val="000000"/>
          <w:kern w:val="0"/>
          <w:sz w:val="32"/>
          <w:szCs w:val="32"/>
          <w:lang w:val="en-US" w:eastAsia="zh-CN"/>
        </w:rPr>
        <w:t>5</w:t>
      </w:r>
      <w:r>
        <w:rPr>
          <w:rFonts w:hint="default" w:ascii="Times New Roman" w:hAnsi="Times New Roman" w:eastAsia="仿宋_GB2312" w:cs="Times New Roman"/>
          <w:b/>
          <w:bCs/>
          <w:color w:val="000000"/>
          <w:kern w:val="0"/>
          <w:sz w:val="32"/>
          <w:szCs w:val="32"/>
          <w:lang w:val="en-US" w:eastAsia="zh-CN"/>
        </w:rPr>
        <w:t>月</w:t>
      </w:r>
      <w:r>
        <w:rPr>
          <w:rFonts w:hint="eastAsia" w:cs="Times New Roman"/>
          <w:b/>
          <w:bCs/>
          <w:color w:val="000000"/>
          <w:kern w:val="0"/>
          <w:sz w:val="32"/>
          <w:szCs w:val="32"/>
          <w:lang w:val="en-US" w:eastAsia="zh-CN"/>
        </w:rPr>
        <w:t>8</w:t>
      </w:r>
      <w:r>
        <w:rPr>
          <w:rFonts w:hint="default" w:ascii="Times New Roman" w:hAnsi="Times New Roman" w:eastAsia="仿宋_GB2312" w:cs="Times New Roman"/>
          <w:b/>
          <w:bCs/>
          <w:color w:val="000000"/>
          <w:kern w:val="0"/>
          <w:sz w:val="32"/>
          <w:szCs w:val="32"/>
          <w:lang w:val="en-US" w:eastAsia="zh-CN"/>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hint="default" w:ascii="Times New Roman" w:hAnsi="Times New Roman" w:eastAsia="仿宋_GB2312" w:cs="Times New Roman"/>
          <w:b/>
          <w:bCs/>
          <w:sz w:val="36"/>
          <w:szCs w:val="36"/>
        </w:rPr>
      </w:pPr>
      <w:r>
        <w:rPr>
          <w:rFonts w:hint="default" w:ascii="Times New Roman" w:hAnsi="Times New Roman" w:eastAsia="仿宋_GB2312" w:cs="Times New Roman"/>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hint="default" w:ascii="Times New Roman" w:hAnsi="Times New Roman" w:eastAsia="仿宋_GB2312" w:cs="Times New Roman"/>
          <w:b/>
          <w:bCs/>
          <w:sz w:val="36"/>
          <w:szCs w:val="36"/>
        </w:rPr>
      </w:pPr>
      <w:r>
        <w:rPr>
          <w:rFonts w:hint="default" w:ascii="Times New Roman" w:hAnsi="Times New Roman" w:eastAsia="仿宋_GB2312" w:cs="Times New Roman"/>
          <w:b/>
          <w:bCs/>
          <w:sz w:val="36"/>
          <w:szCs w:val="36"/>
        </w:rPr>
        <w:t>项目支出绩效评价报告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_GB2312" w:cs="Times New Roman"/>
          <w:szCs w:val="30"/>
        </w:rPr>
      </w:pP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_GB2312" w:cs="Times New Roman"/>
          <w:szCs w:val="30"/>
        </w:rPr>
      </w:pPr>
    </w:p>
    <w:p>
      <w:pPr>
        <w:pStyle w:val="3"/>
        <w:pageBreakBefore w:val="0"/>
        <w:numPr>
          <w:ilvl w:val="0"/>
          <w:numId w:val="1"/>
        </w:numPr>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bookmarkStart w:id="0" w:name="_Toc68703827"/>
      <w:r>
        <w:rPr>
          <w:rFonts w:hint="default" w:ascii="Times New Roman" w:hAnsi="Times New Roman" w:eastAsia="仿宋_GB2312" w:cs="Times New Roman"/>
          <w:sz w:val="32"/>
          <w:szCs w:val="32"/>
        </w:rPr>
        <w:t>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360" w:lineRule="auto"/>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360" w:lineRule="auto"/>
        <w:ind w:firstLine="600" w:firstLineChars="200"/>
        <w:textAlignment w:val="auto"/>
        <w:rPr>
          <w:rFonts w:hint="eastAsia" w:ascii="仿宋_GB2312"/>
          <w:highlight w:val="none"/>
        </w:rPr>
      </w:pPr>
      <w:r>
        <w:rPr>
          <w:rFonts w:hint="eastAsia" w:ascii="仿宋_GB2312"/>
          <w:highlight w:val="none"/>
        </w:rPr>
        <w:t>（1）项目背景</w:t>
      </w:r>
    </w:p>
    <w:p>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highlight w:val="none"/>
          <w:lang w:val="en-US" w:eastAsia="zh-CN"/>
        </w:rPr>
        <w:t xml:space="preserve">  </w:t>
      </w:r>
      <w:r>
        <w:rPr>
          <w:rFonts w:hint="eastAsia" w:ascii="仿宋_GB2312" w:cs="Times New Roman"/>
          <w:b w:val="0"/>
          <w:bCs w:val="0"/>
          <w:color w:val="auto"/>
          <w:kern w:val="2"/>
          <w:sz w:val="30"/>
          <w:szCs w:val="24"/>
          <w:highlight w:val="none"/>
          <w:lang w:val="en-US" w:eastAsia="zh-CN" w:bidi="ar-SA"/>
        </w:rPr>
        <w:t xml:space="preserve">2023年，巴州农科院积极研究谋划，牢固树立“农业农村工作一盘棋”思想，严格按照标准打好攻坚战，压实工作责任，强化组织领导，结合科研单位职能定位和业务工作实际进行任务梳理，扎实推进重点任务的完成。 </w:t>
      </w:r>
    </w:p>
    <w:p>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巴州农科院积极围绕自治州农业特色主导产业需求，加强农作物新品种选育、技术示范、推广工作，开展了陆地棉、海岛棉的新品种选育、特异性蔬菜新品种筛选与示范、香梨病虫害综合防控关键技术研究、棉花种质资源收集、保存、鉴定及创新等具体科研项目，依托项目开展，取得了一批科研成果。</w:t>
      </w:r>
    </w:p>
    <w:p>
      <w:pPr>
        <w:pageBreakBefore w:val="0"/>
        <w:kinsoku/>
        <w:wordWrap/>
        <w:overflowPunct/>
        <w:topLinePunct w:val="0"/>
        <w:autoSpaceDE/>
        <w:autoSpaceDN/>
        <w:bidi w:val="0"/>
        <w:adjustRightInd/>
        <w:snapToGrid/>
        <w:spacing w:line="360" w:lineRule="auto"/>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360" w:lineRule="auto"/>
        <w:ind w:firstLine="600" w:firstLineChars="200"/>
        <w:textAlignment w:val="auto"/>
        <w:rPr>
          <w:rFonts w:hint="eastAsia" w:ascii="仿宋_GB2312"/>
          <w:highlight w:val="none"/>
        </w:rPr>
      </w:pPr>
      <w:r>
        <w:rPr>
          <w:rFonts w:hint="eastAsia" w:ascii="仿宋_GB2312"/>
          <w:highlight w:val="none"/>
        </w:rPr>
        <w:t>主要内容：</w:t>
      </w:r>
    </w:p>
    <w:p>
      <w:pPr>
        <w:pageBreakBefore w:val="0"/>
        <w:kinsoku/>
        <w:wordWrap/>
        <w:overflowPunct/>
        <w:topLinePunct w:val="0"/>
        <w:autoSpaceDE/>
        <w:autoSpaceDN/>
        <w:bidi w:val="0"/>
        <w:adjustRightInd/>
        <w:snapToGrid/>
        <w:spacing w:line="360" w:lineRule="auto"/>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巴州农科院十个基本研究项目的主要内容分别如下：</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一是特异性蔬菜新品种筛选及示范。对每年收集整理好的紫色蔬菜新品种，采用露地和设施两种栽培模式（重点进行设施栽培条件下的引种试验），在巴州农科院试验地进行引种种植。观察记录作物的物候期、抗逆性、气候条件，调查作物的重要农艺性状及测定相关品质，分析相关数据，综合评价引进的紫色蔬菜品种在巴州地区的适应性。同时，筛选出适合巴州地区种植的紫色蔬菜新品种3-4 </w:t>
      </w:r>
      <w:r>
        <w:rPr>
          <w:rFonts w:hint="default" w:ascii="仿宋_GB2312" w:cs="Times New Roman"/>
          <w:b w:val="0"/>
          <w:bCs w:val="0"/>
          <w:color w:val="auto"/>
          <w:kern w:val="2"/>
          <w:sz w:val="30"/>
          <w:szCs w:val="24"/>
          <w:highlight w:val="none"/>
          <w:lang w:val="en-US" w:eastAsia="zh-CN" w:bidi="ar-SA"/>
        </w:rPr>
        <w:t>个，并选取相关的试验点进行小面积示范。</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二是分子标记辅助转育创制高色价优异辣椒种质资源。本项目拟采用 HPLC </w:t>
      </w:r>
      <w:r>
        <w:rPr>
          <w:rFonts w:hint="default" w:ascii="仿宋_GB2312" w:cs="Times New Roman"/>
          <w:b w:val="0"/>
          <w:bCs w:val="0"/>
          <w:color w:val="auto"/>
          <w:kern w:val="2"/>
          <w:sz w:val="30"/>
          <w:szCs w:val="24"/>
          <w:highlight w:val="none"/>
          <w:lang w:val="en-US" w:eastAsia="zh-CN" w:bidi="ar-SA"/>
        </w:rPr>
        <w:t>测定40份自有及引进辣椒资源的辣椒红素含量，结合有性杂交、回交和Indel分子标记辅助选择，初步建立一套与色价关联度高的筛选体系，创制适宜巴州种植的高色价、丰产辣椒资源 2-3 份应用于新品种选育以促进产业发展。</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三是植物免疫诱抗剂宛氏拟青霉提取物（ZNC）对加工辣椒的促生增产效果研究。</w:t>
      </w:r>
      <w:r>
        <w:rPr>
          <w:rFonts w:hint="default" w:ascii="仿宋_GB2312" w:cs="Times New Roman"/>
          <w:b w:val="0"/>
          <w:bCs w:val="0"/>
          <w:color w:val="auto"/>
          <w:kern w:val="2"/>
          <w:sz w:val="30"/>
          <w:szCs w:val="24"/>
          <w:highlight w:val="none"/>
          <w:lang w:val="en-US" w:eastAsia="zh-CN" w:bidi="ar-SA"/>
        </w:rPr>
        <w:t xml:space="preserve">制定ZNC 对加工辣椒促生增产的施用方法。培训指导基层技术人员和农民 20-50人次。发表研究论文 1-2 篇。 </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四是</w:t>
      </w:r>
      <w:r>
        <w:rPr>
          <w:rFonts w:hint="default" w:ascii="仿宋_GB2312" w:cs="Times New Roman"/>
          <w:b w:val="0"/>
          <w:bCs w:val="0"/>
          <w:color w:val="auto"/>
          <w:kern w:val="2"/>
          <w:sz w:val="30"/>
          <w:szCs w:val="24"/>
          <w:highlight w:val="none"/>
          <w:lang w:val="en-US" w:eastAsia="zh-CN" w:bidi="ar-SA"/>
        </w:rPr>
        <w:t>早中熟多类型陆地棉新品种选育</w:t>
      </w:r>
      <w:r>
        <w:rPr>
          <w:rFonts w:hint="eastAsia" w:ascii="仿宋_GB2312" w:cs="Times New Roman"/>
          <w:b w:val="0"/>
          <w:bCs w:val="0"/>
          <w:color w:val="auto"/>
          <w:kern w:val="2"/>
          <w:sz w:val="30"/>
          <w:szCs w:val="24"/>
          <w:highlight w:val="none"/>
          <w:lang w:val="en-US" w:eastAsia="zh-CN" w:bidi="ar-SA"/>
        </w:rPr>
        <w:t>。提交10</w:t>
      </w:r>
      <w:r>
        <w:rPr>
          <w:rFonts w:hint="default" w:ascii="仿宋_GB2312" w:cs="Times New Roman"/>
          <w:b w:val="0"/>
          <w:bCs w:val="0"/>
          <w:color w:val="auto"/>
          <w:kern w:val="2"/>
          <w:sz w:val="30"/>
          <w:szCs w:val="24"/>
          <w:highlight w:val="none"/>
          <w:lang w:val="en-US" w:eastAsia="zh-CN" w:bidi="ar-SA"/>
        </w:rPr>
        <w:t>个综合性状优良的棉花新品种(系) 参加自治区 或西北内陆早中熟组棉花品种预备试验；其中2-3 个品系进入区域 试验或者生产试验。 创制优异种质资源材料 20 份。在核心期刊上发表论文1-2篇。</w:t>
      </w:r>
    </w:p>
    <w:p>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五是</w:t>
      </w:r>
      <w:r>
        <w:rPr>
          <w:rFonts w:hint="default" w:ascii="仿宋_GB2312" w:cs="Times New Roman"/>
          <w:b w:val="0"/>
          <w:bCs w:val="0"/>
          <w:color w:val="auto"/>
          <w:kern w:val="2"/>
          <w:sz w:val="30"/>
          <w:szCs w:val="24"/>
          <w:highlight w:val="none"/>
          <w:lang w:val="en-US" w:eastAsia="zh-CN" w:bidi="ar-SA"/>
        </w:rPr>
        <w:t>早中熟常规陆地棉新品种选育及资源创新</w:t>
      </w:r>
      <w:r>
        <w:rPr>
          <w:rFonts w:hint="eastAsia" w:ascii="仿宋_GB2312" w:cs="Times New Roman"/>
          <w:b w:val="0"/>
          <w:bCs w:val="0"/>
          <w:color w:val="auto"/>
          <w:kern w:val="2"/>
          <w:sz w:val="30"/>
          <w:szCs w:val="24"/>
          <w:highlight w:val="none"/>
          <w:lang w:val="en-US" w:eastAsia="zh-CN" w:bidi="ar-SA"/>
        </w:rPr>
        <w:t>。通过配置杂交组合从优良杂交后代中系统选育出符合国家品种审定标准的优质、高产、抗病虫和适应性好的并适宜在国家西北内 陆棉区的早中熟区域种植的陆地棉新品种。</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六是库尔勒香梨火疫病抗病接穗资源材料的收集和鉴定。采用人工接种的方法，以香梨无性繁殖材料进行香梨抗病性鉴定方法的研究，拟采取离体枝条法、离体叶片法、幼果接种法、荧光定量 PCR </w:t>
      </w:r>
      <w:r>
        <w:rPr>
          <w:rFonts w:hint="default" w:ascii="仿宋_GB2312" w:cs="Times New Roman"/>
          <w:b w:val="0"/>
          <w:bCs w:val="0"/>
          <w:color w:val="auto"/>
          <w:kern w:val="2"/>
          <w:sz w:val="30"/>
          <w:szCs w:val="24"/>
          <w:highlight w:val="none"/>
          <w:lang w:val="en-US" w:eastAsia="zh-CN" w:bidi="ar-SA"/>
        </w:rPr>
        <w:t>法进行抗病性鉴定，对不同方法的鉴定结果进行交叉比对，建立库尔勒香梨抗病接穗资源材料鉴定技术。在梨火疫病发病高峰期间（5-7 月间），广泛收集发病果园内发病香梨树（发病4年以上）上的萌发枝条，用已建立的鉴定技术对收集的材料进行鉴定并获得目标材料。将目标材料高位嫁接保存，第二年在材料成活萌发后，再次进行抗病性鉴定，以确定抗病性的遗传稳定性。根据鉴定结果最终确定目标材料 1-2 份。发表科研论文 1-2 篇。项目实施可培养青年科技人员 1-2 人。</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七是桃树桃蚜发生规律及防治技术研究。在巴州农科所果园示范园，根据桃树绿色食品生产管理技术的要求，制定有效的防治措施，控制桃树桃蚜种危害，使桃子生产达到绿色防控要求。果园桃蚜的有虫率在 4%</w:t>
      </w:r>
      <w:r>
        <w:rPr>
          <w:rFonts w:hint="default" w:ascii="仿宋_GB2312" w:cs="Times New Roman"/>
          <w:b w:val="0"/>
          <w:bCs w:val="0"/>
          <w:color w:val="auto"/>
          <w:kern w:val="2"/>
          <w:sz w:val="30"/>
          <w:szCs w:val="24"/>
          <w:highlight w:val="none"/>
          <w:lang w:val="en-US" w:eastAsia="zh-CN" w:bidi="ar-SA"/>
        </w:rPr>
        <w:t>以下。</w:t>
      </w:r>
    </w:p>
    <w:p>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八是</w:t>
      </w:r>
      <w:r>
        <w:rPr>
          <w:rFonts w:hint="default" w:ascii="仿宋_GB2312" w:cs="Times New Roman"/>
          <w:b w:val="0"/>
          <w:bCs w:val="0"/>
          <w:color w:val="auto"/>
          <w:kern w:val="2"/>
          <w:sz w:val="30"/>
          <w:szCs w:val="24"/>
          <w:highlight w:val="none"/>
          <w:lang w:val="en-US" w:eastAsia="zh-CN" w:bidi="ar-SA"/>
        </w:rPr>
        <w:t>高油酸花生新品种引进及绿色高产优质栽培技术配套研究</w:t>
      </w:r>
      <w:r>
        <w:rPr>
          <w:rFonts w:hint="eastAsia" w:ascii="仿宋_GB2312" w:cs="Times New Roman"/>
          <w:b w:val="0"/>
          <w:bCs w:val="0"/>
          <w:color w:val="auto"/>
          <w:kern w:val="2"/>
          <w:sz w:val="30"/>
          <w:szCs w:val="24"/>
          <w:highlight w:val="none"/>
          <w:lang w:val="en-US" w:eastAsia="zh-CN" w:bidi="ar-SA"/>
        </w:rPr>
        <w:t>。通过引进高油酸花生新品种 14 个进行引种观察，围绕花生品质、产量和抗逆性、抗病性筛选出适合巴州种植的高油酸花生新品种 1-2 个；按照花生品质、产量和抗逆性、抗病性等特点进行研究，研究绿色高产优质配套栽培技术，从而实现花生规模化种植。</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九是海岛棉闭冠授粉特性材料的鉴定与创制。</w:t>
      </w:r>
      <w:r>
        <w:rPr>
          <w:rFonts w:hint="default" w:ascii="仿宋_GB2312" w:cs="Times New Roman"/>
          <w:b w:val="0"/>
          <w:bCs w:val="0"/>
          <w:color w:val="auto"/>
          <w:kern w:val="2"/>
          <w:sz w:val="30"/>
          <w:szCs w:val="24"/>
          <w:highlight w:val="none"/>
          <w:lang w:val="en-US" w:eastAsia="zh-CN" w:bidi="ar-SA"/>
        </w:rPr>
        <w:t>配置杂交组合≥20 个，收获杂交铃≥100个；创制出具有明显性状改良的海岛棉闭冠授粉特性的新材料 3-5 份，或转育具备闭冠授粉优异特性材料3-5 份；开展棉花各性状间作用分析，探清性状之间的相互关系，发表论文 1-2 篇。</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十是香梨抗病砧木选育研究。充分验证选育供试材料的抗病性、与香梨的亲和性，筛选出高抗梨火疫病的砧木品种或资源 1-2</w:t>
      </w:r>
      <w:r>
        <w:rPr>
          <w:rFonts w:hint="default" w:ascii="仿宋_GB2312" w:cs="Times New Roman"/>
          <w:b w:val="0"/>
          <w:bCs w:val="0"/>
          <w:color w:val="auto"/>
          <w:kern w:val="2"/>
          <w:sz w:val="30"/>
          <w:szCs w:val="24"/>
          <w:highlight w:val="none"/>
          <w:lang w:val="en-US" w:eastAsia="zh-CN" w:bidi="ar-SA"/>
        </w:rPr>
        <w:t>个。 利用筛选出的高抗梨火疫病砧木品种或资源建立砧木圃5亩。利用筛选出的高抗梨火疫病砧木品种繁育苗木1000株以上。发表论文 1-2 篇。</w:t>
      </w:r>
    </w:p>
    <w:p>
      <w:pPr>
        <w:pageBreakBefore w:val="0"/>
        <w:kinsoku/>
        <w:wordWrap/>
        <w:overflowPunct/>
        <w:topLinePunct w:val="0"/>
        <w:autoSpaceDE/>
        <w:autoSpaceDN/>
        <w:bidi w:val="0"/>
        <w:adjustRightInd/>
        <w:snapToGrid/>
        <w:spacing w:line="360" w:lineRule="auto"/>
        <w:ind w:firstLine="600" w:firstLineChars="200"/>
        <w:textAlignment w:val="auto"/>
        <w:rPr>
          <w:rFonts w:hint="eastAsia" w:ascii="仿宋_GB2312"/>
          <w:highlight w:val="none"/>
        </w:rPr>
      </w:pPr>
      <w:r>
        <w:rPr>
          <w:rFonts w:hint="eastAsia" w:ascii="仿宋_GB2312"/>
          <w:highlight w:val="none"/>
        </w:rPr>
        <w:t>实施情况：</w:t>
      </w:r>
    </w:p>
    <w:p>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olor w:val="auto"/>
          <w:highlight w:val="none"/>
          <w:lang w:val="en-US" w:eastAsia="zh-CN"/>
        </w:rPr>
        <w:t>巴州农科院十个基本研究</w:t>
      </w:r>
      <w:r>
        <w:rPr>
          <w:rFonts w:hint="eastAsia" w:ascii="仿宋_GB2312" w:cs="Times New Roman"/>
          <w:b w:val="0"/>
          <w:bCs w:val="0"/>
          <w:color w:val="auto"/>
          <w:kern w:val="2"/>
          <w:sz w:val="30"/>
          <w:szCs w:val="24"/>
          <w:highlight w:val="none"/>
          <w:lang w:val="en-US" w:eastAsia="zh-CN" w:bidi="ar-SA"/>
        </w:rPr>
        <w:t>项目的实施情况如下：</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一是特异性蔬菜新品种筛选及示范：2023年度共引进番茄品种 </w:t>
      </w:r>
      <w:r>
        <w:rPr>
          <w:rFonts w:hint="default" w:ascii="仿宋_GB2312" w:cs="Times New Roman"/>
          <w:b w:val="0"/>
          <w:bCs w:val="0"/>
          <w:color w:val="auto"/>
          <w:kern w:val="2"/>
          <w:sz w:val="30"/>
          <w:szCs w:val="24"/>
          <w:highlight w:val="none"/>
          <w:lang w:val="en-US" w:eastAsia="zh-CN" w:bidi="ar-SA"/>
        </w:rPr>
        <w:t>6 个（黑珍珠、DH21002、DH21003、紫玉小型番茄、GH-148、紫玉黑将军），与 2021年和2022年田间表现较好的品种开展品种比较试验。梳理部分数据后已撰写一篇论文，已投稿，正在审核中。</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二是分子标记辅助转育创制高色价优异辣椒种质资源：按照种植计划，将收获的 </w:t>
      </w:r>
      <w:r>
        <w:rPr>
          <w:rFonts w:hint="default" w:ascii="仿宋_GB2312" w:cs="Times New Roman"/>
          <w:b w:val="0"/>
          <w:bCs w:val="0"/>
          <w:color w:val="auto"/>
          <w:kern w:val="2"/>
          <w:sz w:val="30"/>
          <w:szCs w:val="24"/>
          <w:highlight w:val="none"/>
          <w:lang w:val="en-US" w:eastAsia="zh-CN" w:bidi="ar-SA"/>
        </w:rPr>
        <w:t>F2代单株材料拍照、测单果重。针对2022年杂交组合采收后代种子量少的组合进行补充种植杂交，收取的制种量用于遗传连锁图谱构建试验的备用种。</w:t>
      </w:r>
      <w:r>
        <w:rPr>
          <w:rFonts w:hint="eastAsia" w:ascii="仿宋_GB2312" w:cs="Times New Roman"/>
          <w:b w:val="0"/>
          <w:bCs w:val="0"/>
          <w:color w:val="auto"/>
          <w:kern w:val="2"/>
          <w:sz w:val="30"/>
          <w:szCs w:val="24"/>
          <w:highlight w:val="none"/>
          <w:lang w:val="en-US" w:eastAsia="zh-CN" w:bidi="ar-SA"/>
        </w:rPr>
        <w:t xml:space="preserve">撰写的一篇论文《基于 </w:t>
      </w:r>
      <w:r>
        <w:rPr>
          <w:rFonts w:hint="default" w:ascii="仿宋_GB2312" w:cs="Times New Roman"/>
          <w:b w:val="0"/>
          <w:bCs w:val="0"/>
          <w:color w:val="auto"/>
          <w:kern w:val="2"/>
          <w:sz w:val="30"/>
          <w:szCs w:val="24"/>
          <w:highlight w:val="none"/>
          <w:lang w:val="en-US" w:eastAsia="zh-CN" w:bidi="ar-SA"/>
        </w:rPr>
        <w:t>Indel 标记的新疆色素辣椒杂交种纯度鉴定》已被现代园艺杂志收录，待刊出。</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三是植物免疫诱抗剂宛氏拟青霉提取物（ZNC）对加工辣椒的促生增产效果研究。</w:t>
      </w:r>
      <w:r>
        <w:rPr>
          <w:rFonts w:hint="default" w:ascii="仿宋_GB2312" w:cs="Times New Roman"/>
          <w:b w:val="0"/>
          <w:bCs w:val="0"/>
          <w:color w:val="auto"/>
          <w:kern w:val="2"/>
          <w:sz w:val="30"/>
          <w:szCs w:val="24"/>
          <w:highlight w:val="none"/>
          <w:lang w:val="en-US" w:eastAsia="zh-CN" w:bidi="ar-SA"/>
        </w:rPr>
        <w:t>通过喷施和灌根方式施用植物免疫诱抗剂 ZNC 开展田间试验，比较不同处理的辣椒生长发育和产量的差异。培训指导基层技术人员和农民 20-50 人次。</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四是</w:t>
      </w:r>
      <w:r>
        <w:rPr>
          <w:rFonts w:hint="default" w:ascii="仿宋_GB2312" w:cs="Times New Roman"/>
          <w:b w:val="0"/>
          <w:bCs w:val="0"/>
          <w:color w:val="auto"/>
          <w:kern w:val="2"/>
          <w:sz w:val="30"/>
          <w:szCs w:val="24"/>
          <w:highlight w:val="none"/>
          <w:lang w:val="en-US" w:eastAsia="zh-CN" w:bidi="ar-SA"/>
        </w:rPr>
        <w:t>早中熟多类型陆地棉新品种选育</w:t>
      </w:r>
      <w:r>
        <w:rPr>
          <w:rFonts w:hint="eastAsia" w:ascii="仿宋_GB2312" w:cs="Times New Roman"/>
          <w:b w:val="0"/>
          <w:bCs w:val="0"/>
          <w:color w:val="auto"/>
          <w:kern w:val="2"/>
          <w:sz w:val="30"/>
          <w:szCs w:val="24"/>
          <w:highlight w:val="none"/>
          <w:lang w:val="en-US" w:eastAsia="zh-CN" w:bidi="ar-SA"/>
        </w:rPr>
        <w:t xml:space="preserve">。提交 2 </w:t>
      </w:r>
      <w:r>
        <w:rPr>
          <w:rFonts w:hint="default" w:ascii="仿宋_GB2312" w:cs="Times New Roman"/>
          <w:b w:val="0"/>
          <w:bCs w:val="0"/>
          <w:color w:val="auto"/>
          <w:kern w:val="2"/>
          <w:sz w:val="30"/>
          <w:szCs w:val="24"/>
          <w:highlight w:val="none"/>
          <w:lang w:val="en-US" w:eastAsia="zh-CN" w:bidi="ar-SA"/>
        </w:rPr>
        <w:t>个新品系参加自治区或西北内陆早中熟棉花品比试验。按照育种目标配制新的杂交组合 100 个，杂交后代材料按照育种目标要求进行系统定向选择，高代品系分组进行产量、纤维品质和农艺性状观察研究，同时在病圃进行抗病性鉴定。筛选出优异资源3份。发表论文1篇。结题汇报。</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五是</w:t>
      </w:r>
      <w:r>
        <w:rPr>
          <w:rFonts w:hint="default" w:ascii="仿宋_GB2312" w:cs="Times New Roman"/>
          <w:b w:val="0"/>
          <w:bCs w:val="0"/>
          <w:color w:val="auto"/>
          <w:kern w:val="2"/>
          <w:sz w:val="30"/>
          <w:szCs w:val="24"/>
          <w:highlight w:val="none"/>
          <w:lang w:val="en-US" w:eastAsia="zh-CN" w:bidi="ar-SA"/>
        </w:rPr>
        <w:t>早中熟常规陆地棉新品种选育及资源创新</w:t>
      </w:r>
      <w:r>
        <w:rPr>
          <w:rFonts w:hint="eastAsia" w:ascii="仿宋_GB2312" w:cs="Times New Roman"/>
          <w:b w:val="0"/>
          <w:bCs w:val="0"/>
          <w:color w:val="auto"/>
          <w:kern w:val="2"/>
          <w:sz w:val="30"/>
          <w:szCs w:val="24"/>
          <w:highlight w:val="none"/>
          <w:lang w:val="en-US" w:eastAsia="zh-CN" w:bidi="ar-SA"/>
        </w:rPr>
        <w:t>。</w:t>
      </w:r>
      <w:r>
        <w:rPr>
          <w:rFonts w:hint="default" w:ascii="仿宋_GB2312" w:cs="Times New Roman"/>
          <w:b w:val="0"/>
          <w:bCs w:val="0"/>
          <w:color w:val="auto"/>
          <w:kern w:val="2"/>
          <w:sz w:val="30"/>
          <w:szCs w:val="24"/>
          <w:highlight w:val="none"/>
          <w:lang w:val="en-US" w:eastAsia="zh-CN" w:bidi="ar-SA"/>
        </w:rPr>
        <w:t>设置二个品系比较试验</w:t>
      </w:r>
      <w:r>
        <w:rPr>
          <w:rFonts w:hint="eastAsia" w:ascii="仿宋_GB2312" w:cs="Times New Roman"/>
          <w:b w:val="0"/>
          <w:bCs w:val="0"/>
          <w:color w:val="auto"/>
          <w:kern w:val="2"/>
          <w:sz w:val="30"/>
          <w:szCs w:val="24"/>
          <w:highlight w:val="none"/>
          <w:lang w:val="en-US" w:eastAsia="zh-CN" w:bidi="ar-SA"/>
        </w:rPr>
        <w:t>，</w:t>
      </w:r>
      <w:r>
        <w:rPr>
          <w:rFonts w:hint="default" w:ascii="仿宋_GB2312" w:cs="Times New Roman"/>
          <w:b w:val="0"/>
          <w:bCs w:val="0"/>
          <w:color w:val="auto"/>
          <w:kern w:val="2"/>
          <w:sz w:val="30"/>
          <w:szCs w:val="24"/>
          <w:highlight w:val="none"/>
          <w:lang w:val="en-US" w:eastAsia="zh-CN" w:bidi="ar-SA"/>
        </w:rPr>
        <w:t>参试品系共32个，随机区组排列，重复三次，以中棉所 49 号优系为对照</w:t>
      </w:r>
      <w:r>
        <w:rPr>
          <w:rFonts w:hint="eastAsia" w:ascii="仿宋_GB2312" w:cs="Times New Roman"/>
          <w:b w:val="0"/>
          <w:bCs w:val="0"/>
          <w:color w:val="auto"/>
          <w:kern w:val="2"/>
          <w:sz w:val="30"/>
          <w:szCs w:val="24"/>
          <w:highlight w:val="none"/>
          <w:lang w:val="en-US" w:eastAsia="zh-CN" w:bidi="ar-SA"/>
        </w:rPr>
        <w:t>。</w:t>
      </w:r>
      <w:r>
        <w:rPr>
          <w:rFonts w:hint="default" w:ascii="仿宋_GB2312" w:cs="Times New Roman"/>
          <w:b w:val="0"/>
          <w:bCs w:val="0"/>
          <w:color w:val="auto"/>
          <w:kern w:val="2"/>
          <w:sz w:val="30"/>
          <w:szCs w:val="24"/>
          <w:highlight w:val="none"/>
          <w:lang w:val="en-US" w:eastAsia="zh-CN" w:bidi="ar-SA"/>
        </w:rPr>
        <w:t>种植350个株行。提交巴农棉 301号参加了西北内陆棉区区域试验</w:t>
      </w:r>
      <w:r>
        <w:rPr>
          <w:rFonts w:hint="eastAsia" w:ascii="仿宋_GB2312" w:cs="Times New Roman"/>
          <w:b w:val="0"/>
          <w:bCs w:val="0"/>
          <w:color w:val="auto"/>
          <w:kern w:val="2"/>
          <w:sz w:val="30"/>
          <w:szCs w:val="24"/>
          <w:highlight w:val="none"/>
          <w:lang w:val="en-US" w:eastAsia="zh-CN" w:bidi="ar-SA"/>
        </w:rPr>
        <w:t>。</w:t>
      </w:r>
      <w:r>
        <w:rPr>
          <w:rFonts w:hint="default" w:ascii="仿宋_GB2312" w:cs="Times New Roman"/>
          <w:b w:val="0"/>
          <w:bCs w:val="0"/>
          <w:color w:val="auto"/>
          <w:kern w:val="2"/>
          <w:sz w:val="30"/>
          <w:szCs w:val="24"/>
          <w:highlight w:val="none"/>
          <w:lang w:val="en-US" w:eastAsia="zh-CN" w:bidi="ar-SA"/>
        </w:rPr>
        <w:t>提交巴农棉304号参加新疆早中熟机采棉区域试验预备试验。提交巴农棉 307号、巴农棉 308号参试加多点比较试验。扩繁巴农棉301号、巴农棉304号等品系。配制了33个杂交组合。</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六是库尔勒香梨火疫病抗病接穗资源材料的收集和鉴定。</w:t>
      </w:r>
      <w:r>
        <w:rPr>
          <w:rFonts w:hint="default" w:ascii="仿宋_GB2312" w:cs="Times New Roman"/>
          <w:b w:val="0"/>
          <w:bCs w:val="0"/>
          <w:color w:val="auto"/>
          <w:kern w:val="2"/>
          <w:sz w:val="30"/>
          <w:szCs w:val="24"/>
          <w:highlight w:val="none"/>
          <w:lang w:val="en-US" w:eastAsia="zh-CN" w:bidi="ar-SA"/>
        </w:rPr>
        <w:t>保存材料成活萌发后，再次进行抗病性鉴定，以确定抗病性的遗传稳定性。最终确定目标材料1-2 份。完成工作报告、技术总结材料，准备项目结题验收工作。</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七是桃树桃蚜发生规律及防治技术研究。</w:t>
      </w:r>
      <w:r>
        <w:rPr>
          <w:rFonts w:hint="default" w:ascii="仿宋_GB2312" w:cs="Times New Roman"/>
          <w:b w:val="0"/>
          <w:bCs w:val="0"/>
          <w:color w:val="auto"/>
          <w:kern w:val="2"/>
          <w:sz w:val="30"/>
          <w:szCs w:val="24"/>
          <w:highlight w:val="none"/>
          <w:lang w:val="en-US" w:eastAsia="zh-CN" w:bidi="ar-SA"/>
        </w:rPr>
        <w:t>进一步研究掌握该虫发生规律，定点、定期对桃树上桃 蚜种群空间结构进行全年的跟踪调查，对桃蚜种群消长等内容进行 全年的跟踪调查。</w:t>
      </w:r>
    </w:p>
    <w:p>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八是</w:t>
      </w:r>
      <w:r>
        <w:rPr>
          <w:rFonts w:hint="default" w:ascii="仿宋_GB2312" w:cs="Times New Roman"/>
          <w:b w:val="0"/>
          <w:bCs w:val="0"/>
          <w:color w:val="auto"/>
          <w:kern w:val="2"/>
          <w:sz w:val="30"/>
          <w:szCs w:val="24"/>
          <w:highlight w:val="none"/>
          <w:lang w:val="en-US" w:eastAsia="zh-CN" w:bidi="ar-SA"/>
        </w:rPr>
        <w:t>高油酸花生新品种引进及绿色高产优质 栽培技术配套研究</w:t>
      </w:r>
      <w:r>
        <w:rPr>
          <w:rFonts w:hint="eastAsia" w:ascii="仿宋_GB2312" w:cs="Times New Roman"/>
          <w:b w:val="0"/>
          <w:bCs w:val="0"/>
          <w:color w:val="auto"/>
          <w:kern w:val="2"/>
          <w:sz w:val="30"/>
          <w:szCs w:val="24"/>
          <w:highlight w:val="none"/>
          <w:lang w:val="en-US" w:eastAsia="zh-CN" w:bidi="ar-SA"/>
        </w:rPr>
        <w:t>。引进高油酸花生品种10个，</w:t>
      </w:r>
      <w:r>
        <w:rPr>
          <w:rFonts w:hint="default" w:ascii="仿宋_GB2312" w:cs="Times New Roman"/>
          <w:b w:val="0"/>
          <w:bCs w:val="0"/>
          <w:color w:val="auto"/>
          <w:kern w:val="2"/>
          <w:sz w:val="30"/>
          <w:szCs w:val="24"/>
          <w:highlight w:val="none"/>
          <w:lang w:val="en-US" w:eastAsia="zh-CN" w:bidi="ar-SA"/>
        </w:rPr>
        <w:t>试验面积5亩。</w:t>
      </w:r>
    </w:p>
    <w:p>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九是海岛棉闭冠授粉特性材料的鉴定与创制。对上一年度筛选的8</w:t>
      </w:r>
      <w:r>
        <w:rPr>
          <w:rFonts w:hint="default" w:ascii="仿宋_GB2312" w:cs="Times New Roman"/>
          <w:b w:val="0"/>
          <w:bCs w:val="0"/>
          <w:color w:val="auto"/>
          <w:kern w:val="2"/>
          <w:sz w:val="30"/>
          <w:szCs w:val="24"/>
          <w:highlight w:val="none"/>
          <w:lang w:val="en-US" w:eastAsia="zh-CN" w:bidi="ar-SA"/>
        </w:rPr>
        <w:t>个闭冠材料闭冠情况进行田间标记；开展闭冠授粉特性材料杂交组合配置与采收工作。结合室内考种、纤维品质测试、田间闭冠调查，确定次年材料种植；撰写年度总结报告。</w:t>
      </w:r>
    </w:p>
    <w:p>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十是香梨抗病砧木选育研究。</w:t>
      </w:r>
      <w:r>
        <w:rPr>
          <w:rFonts w:hint="default" w:ascii="仿宋_GB2312" w:cs="Times New Roman"/>
          <w:b w:val="0"/>
          <w:bCs w:val="0"/>
          <w:color w:val="auto"/>
          <w:kern w:val="2"/>
          <w:sz w:val="30"/>
          <w:szCs w:val="24"/>
          <w:highlight w:val="none"/>
          <w:lang w:val="en-US" w:eastAsia="zh-CN" w:bidi="ar-SA"/>
        </w:rPr>
        <w:t>继续进行砧木资源实生苗培育及接种试验；继续进行砧木实生苗接种试验，重复接种验证筛选的砧木材料，确保稳定性；初步确定抗病砧木材料，集中种植</w:t>
      </w:r>
      <w:r>
        <w:rPr>
          <w:rFonts w:hint="eastAsia" w:ascii="仿宋_GB2312" w:cs="Times New Roman"/>
          <w:b w:val="0"/>
          <w:bCs w:val="0"/>
          <w:color w:val="auto"/>
          <w:kern w:val="2"/>
          <w:sz w:val="30"/>
          <w:szCs w:val="24"/>
          <w:highlight w:val="none"/>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b w:val="0"/>
          <w:bCs w:val="0"/>
          <w:color w:val="auto"/>
        </w:rPr>
      </w:pPr>
      <w:r>
        <w:rPr>
          <w:rFonts w:hint="eastAsia"/>
          <w:b w:val="0"/>
          <w:bCs w:val="0"/>
          <w:color w:val="auto"/>
          <w:lang w:eastAsia="zh-CN"/>
        </w:rPr>
        <w:t>（</w:t>
      </w:r>
      <w:r>
        <w:rPr>
          <w:rFonts w:hint="eastAsia"/>
          <w:b w:val="0"/>
          <w:bCs w:val="0"/>
          <w:color w:val="auto"/>
          <w:lang w:val="en-US" w:eastAsia="zh-CN"/>
        </w:rPr>
        <w:t>1</w:t>
      </w:r>
      <w:r>
        <w:rPr>
          <w:rFonts w:hint="eastAsia"/>
          <w:b w:val="0"/>
          <w:bCs w:val="0"/>
          <w:color w:val="auto"/>
          <w:lang w:eastAsia="zh-CN"/>
        </w:rPr>
        <w:t>）</w:t>
      </w:r>
      <w:r>
        <w:rPr>
          <w:rFonts w:hint="eastAsia"/>
          <w:b w:val="0"/>
          <w:bCs w:val="0"/>
          <w:color w:val="auto"/>
        </w:rPr>
        <w:t>资金投入情况：该项目年初预算数</w:t>
      </w:r>
      <w:r>
        <w:rPr>
          <w:rFonts w:hint="eastAsia"/>
          <w:b w:val="0"/>
          <w:bCs w:val="0"/>
          <w:color w:val="auto"/>
          <w:lang w:val="en-US" w:eastAsia="zh-CN"/>
        </w:rPr>
        <w:t>68</w:t>
      </w:r>
      <w:r>
        <w:rPr>
          <w:rFonts w:hint="eastAsia"/>
          <w:b w:val="0"/>
          <w:bCs w:val="0"/>
          <w:color w:val="auto"/>
        </w:rPr>
        <w:t>万元，全年预算数</w:t>
      </w:r>
      <w:r>
        <w:rPr>
          <w:rFonts w:hint="eastAsia"/>
          <w:b w:val="0"/>
          <w:bCs w:val="0"/>
          <w:color w:val="auto"/>
          <w:lang w:val="en-US" w:eastAsia="zh-CN"/>
        </w:rPr>
        <w:t>68</w:t>
      </w:r>
      <w:r>
        <w:rPr>
          <w:rFonts w:hint="eastAsia"/>
          <w:b w:val="0"/>
          <w:bCs w:val="0"/>
          <w:color w:val="auto"/>
        </w:rPr>
        <w:t>万元</w:t>
      </w:r>
      <w:r>
        <w:rPr>
          <w:rFonts w:hint="eastAsia"/>
          <w:b w:val="0"/>
          <w:bCs w:val="0"/>
          <w:color w:val="auto"/>
          <w:lang w:eastAsia="zh-CN"/>
        </w:rPr>
        <w:t>，</w:t>
      </w:r>
      <w:r>
        <w:rPr>
          <w:rFonts w:hint="eastAsia"/>
          <w:b w:val="0"/>
          <w:bCs w:val="0"/>
          <w:color w:val="auto"/>
        </w:rPr>
        <w:t>实际总投入</w:t>
      </w:r>
      <w:r>
        <w:rPr>
          <w:rFonts w:hint="eastAsia"/>
          <w:b w:val="0"/>
          <w:bCs w:val="0"/>
          <w:color w:val="auto"/>
          <w:lang w:val="en-US" w:eastAsia="zh-CN"/>
        </w:rPr>
        <w:t>68</w:t>
      </w:r>
      <w:r>
        <w:rPr>
          <w:rFonts w:hint="eastAsia"/>
          <w:b w:val="0"/>
          <w:bCs w:val="0"/>
          <w:color w:val="auto"/>
        </w:rPr>
        <w:t>万元，该项目资金已全部落实到位，资金来源</w:t>
      </w:r>
      <w:r>
        <w:rPr>
          <w:rFonts w:hint="eastAsia" w:ascii="仿宋_GB2312" w:cs="Times New Roman"/>
          <w:b w:val="0"/>
          <w:bCs w:val="0"/>
          <w:color w:val="auto"/>
          <w:kern w:val="2"/>
          <w:sz w:val="30"/>
          <w:szCs w:val="24"/>
          <w:highlight w:val="none"/>
          <w:lang w:val="en-US" w:eastAsia="zh-CN" w:bidi="ar-SA"/>
        </w:rPr>
        <w:t>为州本级财政拨款。</w:t>
      </w:r>
    </w:p>
    <w:p>
      <w:pPr>
        <w:pageBreakBefore w:val="0"/>
        <w:kinsoku/>
        <w:wordWrap/>
        <w:overflowPunct/>
        <w:topLinePunct w:val="0"/>
        <w:autoSpaceDE/>
        <w:autoSpaceDN/>
        <w:bidi w:val="0"/>
        <w:adjustRightInd/>
        <w:snapToGrid/>
        <w:spacing w:line="560" w:lineRule="exact"/>
        <w:ind w:firstLine="600" w:firstLineChars="200"/>
        <w:textAlignment w:val="auto"/>
        <w:rPr>
          <w:b w:val="0"/>
          <w:bCs w:val="0"/>
          <w:color w:val="auto"/>
        </w:rPr>
      </w:pPr>
      <w:r>
        <w:rPr>
          <w:rFonts w:hint="eastAsia"/>
          <w:b w:val="0"/>
          <w:bCs w:val="0"/>
          <w:color w:val="auto"/>
          <w:lang w:eastAsia="zh-CN"/>
        </w:rPr>
        <w:t>（</w:t>
      </w:r>
      <w:r>
        <w:rPr>
          <w:rFonts w:hint="eastAsia"/>
          <w:b w:val="0"/>
          <w:bCs w:val="0"/>
          <w:color w:val="auto"/>
          <w:lang w:val="en-US" w:eastAsia="zh-CN"/>
        </w:rPr>
        <w:t>2</w:t>
      </w:r>
      <w:r>
        <w:rPr>
          <w:rFonts w:hint="eastAsia"/>
          <w:b w:val="0"/>
          <w:bCs w:val="0"/>
          <w:color w:val="auto"/>
          <w:lang w:eastAsia="zh-CN"/>
        </w:rPr>
        <w:t>）</w:t>
      </w:r>
      <w:r>
        <w:rPr>
          <w:rFonts w:hint="eastAsia"/>
          <w:b w:val="0"/>
          <w:bCs w:val="0"/>
          <w:color w:val="auto"/>
        </w:rPr>
        <w:t>资金使用情况：该项目年初预算数</w:t>
      </w:r>
      <w:r>
        <w:rPr>
          <w:rFonts w:hint="eastAsia"/>
          <w:b w:val="0"/>
          <w:bCs w:val="0"/>
          <w:color w:val="auto"/>
          <w:lang w:val="en-US" w:eastAsia="zh-CN"/>
        </w:rPr>
        <w:t>68</w:t>
      </w:r>
      <w:r>
        <w:rPr>
          <w:rFonts w:hint="eastAsia"/>
          <w:b w:val="0"/>
          <w:bCs w:val="0"/>
          <w:color w:val="auto"/>
        </w:rPr>
        <w:t>万元，全年预算数</w:t>
      </w:r>
      <w:r>
        <w:rPr>
          <w:rFonts w:hint="eastAsia"/>
          <w:b w:val="0"/>
          <w:bCs w:val="0"/>
          <w:color w:val="auto"/>
          <w:lang w:val="en-US" w:eastAsia="zh-CN"/>
        </w:rPr>
        <w:t>68</w:t>
      </w:r>
      <w:r>
        <w:rPr>
          <w:rFonts w:hint="eastAsia"/>
          <w:b w:val="0"/>
          <w:bCs w:val="0"/>
          <w:color w:val="auto"/>
        </w:rPr>
        <w:t>万元，全年执行数</w:t>
      </w:r>
      <w:r>
        <w:rPr>
          <w:rFonts w:hint="eastAsia"/>
          <w:b w:val="0"/>
          <w:bCs w:val="0"/>
          <w:color w:val="auto"/>
          <w:lang w:val="en-US" w:eastAsia="zh-CN"/>
        </w:rPr>
        <w:t>68</w:t>
      </w:r>
      <w:r>
        <w:rPr>
          <w:rFonts w:hint="eastAsia"/>
          <w:b w:val="0"/>
          <w:bCs w:val="0"/>
          <w:color w:val="auto"/>
        </w:rPr>
        <w:t>万元，预算执行率为</w:t>
      </w:r>
      <w:r>
        <w:rPr>
          <w:rFonts w:hint="eastAsia"/>
          <w:b w:val="0"/>
          <w:bCs w:val="0"/>
          <w:color w:val="auto"/>
          <w:lang w:val="en-US" w:eastAsia="zh-CN"/>
        </w:rPr>
        <w:t>100</w:t>
      </w:r>
      <w:r>
        <w:rPr>
          <w:rFonts w:hint="eastAsia"/>
          <w:b w:val="0"/>
          <w:bCs w:val="0"/>
          <w:color w:val="auto"/>
        </w:rPr>
        <w:t>%，用于：物资采购支出15万元</w:t>
      </w:r>
      <w:r>
        <w:rPr>
          <w:rFonts w:hint="eastAsia"/>
          <w:b w:val="0"/>
          <w:bCs w:val="0"/>
          <w:color w:val="auto"/>
          <w:lang w:eastAsia="zh-CN"/>
        </w:rPr>
        <w:t>；科研业务费</w:t>
      </w:r>
      <w:r>
        <w:rPr>
          <w:rFonts w:hint="eastAsia"/>
          <w:b w:val="0"/>
          <w:bCs w:val="0"/>
          <w:color w:val="auto"/>
          <w:lang w:val="en-US" w:eastAsia="zh-CN"/>
        </w:rPr>
        <w:t>23</w:t>
      </w:r>
      <w:r>
        <w:rPr>
          <w:rFonts w:hint="eastAsia"/>
          <w:b w:val="0"/>
          <w:bCs w:val="0"/>
          <w:color w:val="auto"/>
        </w:rPr>
        <w:t>万元</w:t>
      </w:r>
      <w:r>
        <w:rPr>
          <w:rFonts w:hint="eastAsia"/>
          <w:b w:val="0"/>
          <w:bCs w:val="0"/>
          <w:color w:val="auto"/>
          <w:lang w:eastAsia="zh-CN"/>
        </w:rPr>
        <w:t>；劳务费发放资金数30万元</w:t>
      </w:r>
      <w:r>
        <w:rPr>
          <w:rFonts w:hint="eastAsia"/>
          <w:b w:val="0"/>
          <w:bCs w:val="0"/>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color w:val="auto"/>
          <w:lang w:val="en-US" w:eastAsia="zh-CN"/>
        </w:rPr>
      </w:pPr>
      <w:bookmarkStart w:id="2" w:name="_Toc68703829"/>
      <w:r>
        <w:rPr>
          <w:rFonts w:hint="eastAsia" w:ascii="仿宋_GB2312" w:eastAsia="仿宋_GB2312"/>
          <w:b w:val="0"/>
          <w:bCs w:val="0"/>
          <w:color w:val="auto"/>
        </w:rPr>
        <w:t>（二）项目绩效目标</w:t>
      </w:r>
      <w:bookmarkEnd w:id="2"/>
      <w:r>
        <w:rPr>
          <w:rFonts w:hint="eastAsia" w:ascii="仿宋_GB2312" w:eastAsia="仿宋_GB2312"/>
          <w:b w:val="0"/>
          <w:bCs w:val="0"/>
          <w:color w:val="auto"/>
          <w:lang w:eastAsia="zh-CN"/>
        </w:rPr>
        <w:t>，</w:t>
      </w:r>
      <w:r>
        <w:rPr>
          <w:rFonts w:hint="eastAsia"/>
          <w:b w:val="0"/>
          <w:bCs w:val="0"/>
          <w:color w:val="auto"/>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kern w:val="2"/>
          <w:sz w:val="30"/>
          <w:szCs w:val="24"/>
          <w:lang w:val="en-US" w:eastAsia="zh-CN" w:bidi="ar-SA"/>
        </w:rPr>
      </w:pPr>
      <w:r>
        <w:rPr>
          <w:rFonts w:hint="eastAsia"/>
        </w:rPr>
        <w:t>1</w:t>
      </w:r>
      <w:r>
        <w:rPr>
          <w:rFonts w:hint="eastAsia"/>
          <w:lang w:val="en-US" w:eastAsia="zh-CN"/>
        </w:rPr>
        <w:t>.</w:t>
      </w:r>
      <w:r>
        <w:rPr>
          <w:rFonts w:hint="eastAsia"/>
        </w:rPr>
        <w:t>总体目标：</w:t>
      </w:r>
      <w:r>
        <w:rPr>
          <w:rFonts w:hint="eastAsia" w:ascii="Times New Roman" w:hAnsi="Times New Roman" w:eastAsia="仿宋_GB2312" w:cs="Times New Roman"/>
          <w:b w:val="0"/>
          <w:bCs/>
          <w:kern w:val="2"/>
          <w:sz w:val="30"/>
          <w:szCs w:val="24"/>
          <w:lang w:val="en-US" w:eastAsia="zh-CN" w:bidi="ar-SA"/>
        </w:rPr>
        <w:t>通过项目实施，主要开展了棉花新品种选育和花生、特异性蔬菜新品种引进及绿色高产高效栽培技术研究，开展广泛的技术推广，提升农民的种植水平，从而达到农民增产增收的目的，促进了巴州经济、生态和社会发展。本年度计划物资采购3批次，研究后要产出2项以上科研成果，持续提高巴州农业科研的实力和水平。</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 xml:space="preserve">2.阶段性目标：2023年1月-3月，主要开展制定项目计划方案、引进品种资源等工作；2023年4月-10月，巴州农科院通过技术手段改良棉花育种材料的农艺性状、产量、品质及抗病性等，创制新种质，选育多类型棉花新品种（系），本年度共种植棉花、工业辣椒、工业番茄等作物各代育种试验材料 </w:t>
      </w:r>
      <w:r>
        <w:rPr>
          <w:rFonts w:hint="default" w:ascii="Times New Roman" w:hAnsi="Times New Roman" w:eastAsia="仿宋_GB2312" w:cs="Times New Roman"/>
          <w:b w:val="0"/>
          <w:bCs/>
          <w:kern w:val="2"/>
          <w:sz w:val="30"/>
          <w:szCs w:val="24"/>
          <w:lang w:val="en-US" w:eastAsia="zh-CN" w:bidi="ar-SA"/>
        </w:rPr>
        <w:t>5000 余份，提交 20 余份新品系参加各类新品系比较试验，提交长海 5 号进行新品种审定，推动棉花育种方面整体达到自治区领先水平</w:t>
      </w:r>
      <w:r>
        <w:rPr>
          <w:rFonts w:hint="eastAsia" w:ascii="Times New Roman" w:hAnsi="Times New Roman" w:eastAsia="仿宋_GB2312" w:cs="Times New Roman"/>
          <w:b w:val="0"/>
          <w:bCs/>
          <w:kern w:val="2"/>
          <w:sz w:val="30"/>
          <w:szCs w:val="24"/>
          <w:lang w:val="en-US" w:eastAsia="zh-CN" w:bidi="ar-SA"/>
        </w:rPr>
        <w:t>，物资采购3批次；2023年11月-12月，完成年度工作总结以及2项科研成果。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bookmarkStart w:id="3" w:name="_Toc68703830"/>
      <w:r>
        <w:rPr>
          <w:rFonts w:hint="default" w:ascii="Times New Roman" w:hAnsi="Times New Roman" w:eastAsia="仿宋_GB2312" w:cs="Times New Roman"/>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lang w:val="en-US" w:eastAsia="zh-CN"/>
        </w:rPr>
      </w:pPr>
      <w:bookmarkStart w:id="4" w:name="_Toc68703831"/>
      <w:r>
        <w:rPr>
          <w:rFonts w:hint="default" w:ascii="Times New Roman" w:hAnsi="Times New Roman" w:eastAsia="仿宋_GB2312" w:cs="Times New Roman"/>
          <w:b/>
          <w:bCs/>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lang w:val="en-US" w:eastAsia="zh-CN"/>
        </w:rPr>
        <w:t>1</w:t>
      </w:r>
      <w:r>
        <w:rPr>
          <w:rFonts w:hint="eastAsia" w:cs="Times New Roman"/>
          <w:lang w:val="en-US" w:eastAsia="zh-CN"/>
        </w:rPr>
        <w:t>.</w:t>
      </w:r>
      <w:r>
        <w:rPr>
          <w:rFonts w:hint="default" w:ascii="Times New Roman" w:hAnsi="Times New Roman" w:eastAsia="仿宋_GB2312" w:cs="Times New Roman"/>
        </w:rPr>
        <w:t>绩效评价目的：</w:t>
      </w:r>
    </w:p>
    <w:p>
      <w:pPr>
        <w:pStyle w:val="22"/>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default" w:ascii="Times New Roman" w:hAnsi="Times New Roman" w:eastAsia="仿宋_GB2312" w:cs="Times New Roman"/>
          <w:b w:val="0"/>
          <w:bCs/>
          <w:kern w:val="2"/>
          <w:sz w:val="30"/>
          <w:szCs w:val="24"/>
          <w:lang w:val="en-US" w:eastAsia="zh-CN" w:bidi="ar-SA"/>
        </w:rPr>
        <w:t>通过开展有效的财政支出绩效评价管理，</w:t>
      </w:r>
      <w:r>
        <w:rPr>
          <w:rFonts w:hint="default" w:ascii="Times New Roman" w:hAnsi="Times New Roman" w:eastAsia="仿宋_GB2312" w:cs="Times New Roman"/>
          <w:b w:val="0"/>
          <w:bCs/>
          <w:kern w:val="2"/>
          <w:sz w:val="30"/>
          <w:szCs w:val="24"/>
          <w:highlight w:val="none"/>
          <w:lang w:val="en-US" w:eastAsia="zh-CN" w:bidi="ar-SA"/>
        </w:rPr>
        <w:t>全面了解</w:t>
      </w:r>
      <w:r>
        <w:rPr>
          <w:rFonts w:hint="eastAsia" w:cs="Times New Roman"/>
          <w:b w:val="0"/>
          <w:bCs/>
          <w:kern w:val="2"/>
          <w:sz w:val="30"/>
          <w:szCs w:val="24"/>
          <w:highlight w:val="none"/>
          <w:lang w:val="en-US" w:eastAsia="zh-CN" w:bidi="ar-SA"/>
        </w:rPr>
        <w:t>《基本科研项目》</w:t>
      </w:r>
      <w:r>
        <w:rPr>
          <w:rFonts w:hint="default" w:ascii="Times New Roman" w:hAnsi="Times New Roman" w:eastAsia="仿宋_GB2312" w:cs="Times New Roman"/>
          <w:b w:val="0"/>
          <w:bCs/>
          <w:kern w:val="2"/>
          <w:sz w:val="30"/>
          <w:szCs w:val="24"/>
          <w:highlight w:val="none"/>
          <w:lang w:val="en-US" w:eastAsia="zh-CN" w:bidi="ar-SA"/>
        </w:rPr>
        <w:t>预算编制合理性、资</w:t>
      </w:r>
      <w:r>
        <w:rPr>
          <w:rFonts w:hint="default" w:ascii="Times New Roman" w:hAnsi="Times New Roman" w:eastAsia="仿宋_GB2312" w:cs="Times New Roman"/>
          <w:b w:val="0"/>
          <w:bCs/>
          <w:kern w:val="2"/>
          <w:sz w:val="30"/>
          <w:szCs w:val="24"/>
          <w:lang w:val="en-US" w:eastAsia="zh-CN" w:bidi="ar-SA"/>
        </w:rPr>
        <w:t>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lang w:val="en-US" w:eastAsia="zh-CN"/>
        </w:rPr>
        <w:t>2</w:t>
      </w:r>
      <w:r>
        <w:rPr>
          <w:rFonts w:hint="eastAsia" w:cs="Times New Roman"/>
          <w:lang w:val="en-US" w:eastAsia="zh-CN"/>
        </w:rPr>
        <w:t>.</w:t>
      </w:r>
      <w:r>
        <w:rPr>
          <w:rFonts w:hint="default" w:ascii="Times New Roman" w:hAnsi="Times New Roman" w:eastAsia="仿宋_GB2312" w:cs="Times New Roman"/>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s="Times New Roman"/>
          <w:b w:val="0"/>
          <w:bCs/>
          <w:kern w:val="2"/>
          <w:sz w:val="30"/>
          <w:szCs w:val="24"/>
          <w:highlight w:val="none"/>
          <w:lang w:val="en-US" w:eastAsia="zh-CN" w:bidi="ar-SA"/>
        </w:rPr>
      </w:pPr>
      <w:r>
        <w:rPr>
          <w:rFonts w:hint="eastAsia" w:cs="Times New Roman"/>
          <w:b w:val="0"/>
          <w:bCs/>
          <w:kern w:val="2"/>
          <w:sz w:val="30"/>
          <w:szCs w:val="24"/>
          <w:highlight w:val="none"/>
          <w:lang w:val="en-US" w:eastAsia="zh-CN" w:bidi="ar-SA"/>
        </w:rPr>
        <w:t>《基本科研项目》</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lang w:val="en-US" w:eastAsia="zh-CN"/>
        </w:rPr>
        <w:t>3</w:t>
      </w:r>
      <w:r>
        <w:rPr>
          <w:rFonts w:hint="eastAsia" w:cs="Times New Roman"/>
          <w:lang w:val="en-US" w:eastAsia="zh-CN"/>
        </w:rPr>
        <w:t>.</w:t>
      </w:r>
      <w:r>
        <w:rPr>
          <w:rFonts w:hint="default" w:ascii="Times New Roman" w:hAnsi="Times New Roman" w:eastAsia="仿宋_GB2312" w:cs="Times New Roman"/>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default" w:ascii="Times New Roman" w:hAnsi="Times New Roman" w:eastAsia="仿宋_GB2312" w:cs="Times New Roman"/>
          <w:b w:val="0"/>
          <w:bCs/>
          <w:kern w:val="2"/>
          <w:sz w:val="30"/>
          <w:szCs w:val="24"/>
          <w:lang w:val="en-US" w:eastAsia="zh-CN" w:bidi="ar-SA"/>
        </w:rPr>
        <w:t>本次评价从项目决策（包括绩效目标、决策过程）、项目管理（包括项目资金、项目实施）、项目产出（包括项目产出数量、产出质量、产出时效和产出成本）项目效益四个维度进行</w:t>
      </w:r>
      <w:r>
        <w:rPr>
          <w:rFonts w:hint="eastAsia" w:cs="Times New Roman"/>
          <w:b w:val="0"/>
          <w:bCs/>
          <w:kern w:val="2"/>
          <w:sz w:val="30"/>
          <w:szCs w:val="24"/>
          <w:highlight w:val="none"/>
          <w:lang w:val="en-US" w:eastAsia="zh-CN" w:bidi="ar-SA"/>
        </w:rPr>
        <w:t>《基本科研项目》项目</w:t>
      </w:r>
      <w:r>
        <w:rPr>
          <w:rFonts w:hint="default" w:ascii="Times New Roman" w:hAnsi="Times New Roman" w:eastAsia="仿宋_GB2312" w:cs="Times New Roman"/>
          <w:b w:val="0"/>
          <w:bCs/>
          <w:kern w:val="2"/>
          <w:sz w:val="30"/>
          <w:szCs w:val="24"/>
          <w:highlight w:val="none"/>
          <w:lang w:val="en-US" w:eastAsia="zh-CN" w:bidi="ar-SA"/>
        </w:rPr>
        <w:t>评价，评价核心为资金的</w:t>
      </w:r>
      <w:r>
        <w:rPr>
          <w:rFonts w:hint="default" w:ascii="Times New Roman" w:hAnsi="Times New Roman" w:eastAsia="仿宋_GB2312" w:cs="Times New Roman"/>
          <w:b w:val="0"/>
          <w:bCs/>
          <w:kern w:val="2"/>
          <w:sz w:val="30"/>
          <w:szCs w:val="24"/>
          <w:lang w:val="en-US" w:eastAsia="zh-CN" w:bidi="ar-SA"/>
        </w:rPr>
        <w:t>支出完成情况和效果。</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5" w:name="_Toc68703832"/>
      <w:r>
        <w:rPr>
          <w:rFonts w:hint="default" w:ascii="Times New Roman" w:hAnsi="Times New Roman" w:eastAsia="仿宋_GB2312" w:cs="Times New Roman"/>
          <w:b/>
          <w:bCs/>
        </w:rPr>
        <w:t>（二）绩效评价原则、评价指标体系</w:t>
      </w:r>
      <w:r>
        <w:rPr>
          <w:rFonts w:hint="default" w:ascii="Times New Roman" w:hAnsi="Times New Roman" w:eastAsia="仿宋_GB2312" w:cs="Times New Roman"/>
          <w:b/>
          <w:bCs/>
          <w:lang w:eastAsia="zh-CN"/>
        </w:rPr>
        <w:t>（附表说明）</w:t>
      </w:r>
      <w:r>
        <w:rPr>
          <w:rFonts w:hint="default" w:ascii="Times New Roman" w:hAnsi="Times New Roman" w:eastAsia="仿宋_GB2312" w:cs="Times New Roman"/>
          <w:b/>
          <w:bCs/>
        </w:rPr>
        <w:t>、评价方法、评价标准等</w:t>
      </w:r>
      <w:bookmarkEnd w:id="5"/>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1、绩效评价原则</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项目绩效评价遵循以下基本原则：</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（一）科学公正。由巴州农科院学术委员会依据巴州相关文件、政策确定支持方向，本院业务科室组织申报，学术委员会组织专家评审，符合条件的项目（本院公示5个工作日）确定项目绩效目标表。</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（二）统筹兼顾。项目支出绩效评价由巴州农科院自主实施，各个项目“谁支出、谁自评”。</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（三）激励约束。</w:t>
      </w:r>
      <w:r>
        <w:rPr>
          <w:rFonts w:hint="eastAsia" w:cs="Times New Roman"/>
          <w:b w:val="0"/>
          <w:bCs/>
          <w:kern w:val="2"/>
          <w:sz w:val="30"/>
          <w:szCs w:val="24"/>
          <w:lang w:val="en-US" w:eastAsia="zh-CN" w:bidi="ar-SA"/>
        </w:rPr>
        <w:t>1.</w:t>
      </w:r>
      <w:r>
        <w:rPr>
          <w:rFonts w:hint="eastAsia" w:ascii="Times New Roman" w:hAnsi="Times New Roman" w:eastAsia="仿宋_GB2312" w:cs="Times New Roman"/>
          <w:b w:val="0"/>
          <w:bCs/>
          <w:kern w:val="2"/>
          <w:sz w:val="30"/>
          <w:szCs w:val="24"/>
          <w:lang w:val="en-US" w:eastAsia="zh-CN" w:bidi="ar-SA"/>
        </w:rPr>
        <w:t>项目实施采取组长负责制。项目组长全权负责项目组成员聘任、总体实施方案编制、阶段项目工作计划、技术方案制定、组织实施、阶段进展工作检查督导和总结、经费预算和使用、验收材料撰写、验收鉴定申请、技术资料整理归档等工作，并承担相应的责任。项目在具体实施过程中，建立项目责任制，从计划、执行、检查、总结4个方面对每项项目工作进行管理，并进行项目中期评估，以确保工作的逐一落实。</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2、实行项目任务合同制。项目获立项批准后，项目组研究人员必须根据合同书的内容来按时完成计划书中规定的任务。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3、实行项目经费审批制。项目经费实行专门帐户管理，专款专用。由项目组长申报开支、财务管理部门负责审核、若超出1万元需党支部进行“三重一大”事项讨论研究决定，批准审批后方可使用，确保项目经费用于实际科研工作中。</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（四）公开透明。本次项目支出绩效评价结果已依法依规公开在巴州人民政府网站上，并自觉接受社会监督。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default" w:ascii="Times New Roman" w:hAnsi="Times New Roman" w:eastAsia="仿宋_GB2312" w:cs="Times New Roman"/>
        </w:rPr>
        <w:t>2</w:t>
      </w:r>
      <w:r>
        <w:rPr>
          <w:rFonts w:hint="eastAsia" w:cs="Times New Roman"/>
          <w:lang w:val="en-US" w:eastAsia="zh-CN"/>
        </w:rPr>
        <w:t>.</w:t>
      </w:r>
      <w:r>
        <w:rPr>
          <w:rFonts w:hint="default" w:ascii="Times New Roman" w:hAnsi="Times New Roman" w:eastAsia="仿宋_GB2312" w:cs="Times New Roman"/>
        </w:rPr>
        <w:t>评价指标体系</w:t>
      </w:r>
      <w:r>
        <w:rPr>
          <w:rFonts w:hint="eastAsia"/>
        </w:rPr>
        <w:t>（附表说明）</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（1）确定评价指标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（2）确定权重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（3）确定指标标准值</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指标标准值是绩效评价指标的尺度，既要反映同类项目的先进水平，又要符合项目的实际绩效水平。具体采用计划标准等确定此次绩效评价指标标准值。</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eastAsia="zh-CN"/>
        </w:rPr>
        <w:t>绩效评价总分值100分，根据综合评分结果，评价计分90分-100分（含90分）对应的评分结果级别为优，80-90分（含80分）对应</w:t>
      </w:r>
      <w:r>
        <w:rPr>
          <w:rFonts w:hint="eastAsia" w:ascii="Times New Roman" w:hAnsi="Times New Roman" w:cs="Times New Roman"/>
          <w:color w:val="auto"/>
          <w:lang w:val="en-US" w:eastAsia="zh-CN"/>
        </w:rPr>
        <w:t>的评分结果级别为良，60-80分（含60分）对应的评分结果级别为中，60分以下对应的评分结果级别为差。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3、评价方法</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bookmarkStart w:id="6" w:name="_Toc68703834"/>
      <w:r>
        <w:rPr>
          <w:rFonts w:hint="eastAsia" w:ascii="Times New Roman" w:hAnsi="Times New Roman" w:cs="Times New Roman"/>
          <w:color w:val="auto"/>
          <w:lang w:val="en-US" w:eastAsia="zh-CN"/>
        </w:rPr>
        <w:t>本次评价指标中，既有定性指标又有定量指标，各类指标因考核内容不同和客观标准不同存在较大差异，因此核定具体指标时采用了不同方法，具体评价方法如下：</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采用比较法</w:t>
      </w:r>
      <w:r>
        <w:rPr>
          <w:rFonts w:hint="eastAsia" w:cs="Times New Roman"/>
          <w:color w:val="auto"/>
          <w:lang w:val="en-US" w:eastAsia="zh-CN"/>
        </w:rPr>
        <w:t>、</w:t>
      </w:r>
      <w:r>
        <w:rPr>
          <w:rFonts w:hint="eastAsia" w:ascii="Times New Roman" w:hAnsi="Times New Roman" w:cs="Times New Roman"/>
          <w:color w:val="auto"/>
          <w:lang w:val="en-US" w:eastAsia="zh-CN"/>
        </w:rPr>
        <w:t>最低成本法</w:t>
      </w:r>
      <w:r>
        <w:rPr>
          <w:rFonts w:hint="eastAsia" w:cs="Times New Roman"/>
          <w:color w:val="auto"/>
          <w:lang w:val="en-US" w:eastAsia="zh-CN"/>
        </w:rPr>
        <w:t>，原因是政采云采购时，需对采购物品进行品质、含量、使用方法及成本进行比较，选用最低成本，以成本最小者为优。</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s="Times New Roman"/>
          <w:color w:val="auto"/>
          <w:lang w:val="en-US" w:eastAsia="zh-CN"/>
        </w:rPr>
      </w:pPr>
      <w:r>
        <w:rPr>
          <w:rFonts w:hint="eastAsia" w:cs="Times New Roman"/>
          <w:color w:val="auto"/>
          <w:lang w:val="en-US" w:eastAsia="zh-CN"/>
        </w:rPr>
        <w:t>采用</w:t>
      </w:r>
      <w:r>
        <w:rPr>
          <w:rFonts w:hint="eastAsia" w:ascii="Times New Roman" w:hAnsi="Times New Roman" w:cs="Times New Roman"/>
          <w:color w:val="auto"/>
          <w:lang w:val="en-US" w:eastAsia="zh-CN"/>
        </w:rPr>
        <w:t>公众评</w:t>
      </w:r>
      <w:r>
        <w:rPr>
          <w:rFonts w:hint="eastAsia" w:ascii="Times New Roman" w:hAnsi="Times New Roman" w:cs="Times New Roman"/>
          <w:color w:val="auto"/>
          <w:lang w:eastAsia="zh-CN"/>
        </w:rPr>
        <w:t>判法</w:t>
      </w:r>
      <w:r>
        <w:rPr>
          <w:rFonts w:hint="eastAsia" w:cs="Times New Roman"/>
          <w:color w:val="auto"/>
          <w:lang w:eastAsia="zh-CN"/>
        </w:rPr>
        <w:t>，</w:t>
      </w:r>
      <w:r>
        <w:rPr>
          <w:rFonts w:hint="eastAsia" w:ascii="Times New Roman" w:hAnsi="Times New Roman" w:cs="Times New Roman"/>
          <w:color w:val="auto"/>
          <w:lang w:val="en-US" w:eastAsia="zh-CN"/>
        </w:rPr>
        <w:t>原因是：培训基层技术人员、农民</w:t>
      </w:r>
      <w:r>
        <w:rPr>
          <w:rFonts w:hint="eastAsia" w:cs="Times New Roman"/>
          <w:color w:val="auto"/>
          <w:lang w:val="en-US" w:eastAsia="zh-CN"/>
        </w:rPr>
        <w:t>需对培训效果进行一个调查评判。</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4、评价标准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bookmarkStart w:id="7" w:name="_Toc68703833"/>
      <w:r>
        <w:rPr>
          <w:rFonts w:hint="eastAsia" w:ascii="Times New Roman" w:hAnsi="Times New Roman" w:eastAsia="仿宋_GB2312" w:cs="Times New Roman"/>
          <w:highlight w:val="none"/>
          <w:lang w:val="en-US" w:eastAsia="zh-CN"/>
        </w:rPr>
        <w:t>绩效评价标准通常包括计划标准、行业标准、历史标准等，用于对绩效指标完成情况进行比较、分析、评价。本次评价主要采用了计划标准，原因是：</w:t>
      </w:r>
      <w:r>
        <w:rPr>
          <w:rFonts w:hint="eastAsia" w:cs="Times New Roman"/>
          <w:highlight w:val="none"/>
          <w:lang w:val="en-US" w:eastAsia="zh-CN"/>
        </w:rPr>
        <w:t>所有试验都是根据项目的目标、项目资金、项目实施过程中的措施作为此次项目绩效评价的标准。</w:t>
      </w:r>
    </w:p>
    <w:p>
      <w:pPr>
        <w:pStyle w:val="4"/>
        <w:pageBreakBefore w:val="0"/>
        <w:kinsoku/>
        <w:wordWrap/>
        <w:overflowPunct/>
        <w:topLinePunct w:val="0"/>
        <w:autoSpaceDE/>
        <w:autoSpaceDN/>
        <w:bidi w:val="0"/>
        <w:adjustRightInd/>
        <w:snapToGrid/>
        <w:spacing w:before="0" w:after="0" w:line="360" w:lineRule="auto"/>
        <w:textAlignment w:val="auto"/>
        <w:rPr>
          <w:rFonts w:ascii="仿宋_GB2312" w:eastAsia="仿宋_GB2312"/>
          <w:b/>
          <w:bCs/>
        </w:rPr>
      </w:pPr>
      <w:r>
        <w:rPr>
          <w:rFonts w:hint="eastAsia" w:ascii="仿宋_GB2312" w:eastAsia="仿宋_GB2312"/>
          <w:b/>
          <w:bCs/>
        </w:rPr>
        <w:t>（三）绩效评价工作过程</w:t>
      </w:r>
      <w:bookmarkEnd w:id="7"/>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lang w:val="en-US" w:eastAsia="zh-CN"/>
        </w:rPr>
      </w:pPr>
      <w:r>
        <w:rPr>
          <w:rFonts w:hint="eastAsia" w:ascii="Times New Roman" w:hAnsi="Times New Roman" w:eastAsia="仿宋_GB2312" w:cs="Times New Roman"/>
          <w:b w:val="0"/>
          <w:bCs w:val="0"/>
          <w:lang w:val="en-US" w:eastAsia="zh-CN"/>
        </w:rPr>
        <w:t>1.前期准备。首先巴州农科院学术委员会成立专家评价工作组，开展前期调研确定支持方向；根据</w:t>
      </w:r>
      <w:r>
        <w:rPr>
          <w:rFonts w:hint="eastAsia" w:ascii="Times New Roman" w:hAnsi="Times New Roman" w:cs="Times New Roman"/>
          <w:b w:val="0"/>
          <w:bCs w:val="0"/>
          <w:lang w:val="en-US" w:eastAsia="zh-CN"/>
        </w:rPr>
        <w:t>符合条件</w:t>
      </w:r>
      <w:r>
        <w:rPr>
          <w:rFonts w:hint="eastAsia" w:ascii="Times New Roman" w:hAnsi="Times New Roman" w:eastAsia="仿宋_GB2312" w:cs="Times New Roman"/>
          <w:b w:val="0"/>
          <w:bCs w:val="0"/>
          <w:lang w:val="en-US" w:eastAsia="zh-CN"/>
        </w:rPr>
        <w:t>的项目明确项目绩效目标，设计绩效评价指标体系并确定绩效评价方法；接着确定评价范围，设计资料清单；最后制定评价实施方案并进行论证。</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lang w:val="en-US" w:eastAsia="zh-CN"/>
        </w:rPr>
      </w:pPr>
      <w:r>
        <w:rPr>
          <w:rFonts w:hint="eastAsia" w:ascii="Times New Roman" w:hAnsi="Times New Roman" w:eastAsia="仿宋_GB2312" w:cs="Times New Roman"/>
          <w:b w:val="0"/>
          <w:bCs w:val="0"/>
          <w:lang w:val="en-US" w:eastAsia="zh-CN"/>
        </w:rPr>
        <w:t>2.组织实施。巴州农科院组织申报科室主任及相关项目主持人讨论制定绩效评价工作方案，具体包括项目概况、评价思路、方法手段、组织实施、进度安排等。收集项目立项依据、相关会议纪要、实施方案、财政资金分配方案、支付管理情况等相关评价资料并进行梳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lang w:val="en-US" w:eastAsia="zh-CN"/>
        </w:rPr>
      </w:pPr>
      <w:r>
        <w:rPr>
          <w:rFonts w:hint="eastAsia" w:ascii="Times New Roman" w:hAnsi="Times New Roman" w:eastAsia="仿宋_GB2312" w:cs="Times New Roman"/>
          <w:b w:val="0"/>
          <w:bCs w:val="0"/>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三、综合评价情况及评价结论</w:t>
      </w:r>
      <w:bookmarkEnd w:id="6"/>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lang w:eastAsia="zh-CN"/>
        </w:rPr>
      </w:pPr>
      <w:bookmarkStart w:id="8" w:name="_Toc68703835"/>
      <w:r>
        <w:rPr>
          <w:rFonts w:hint="default" w:ascii="Times New Roman" w:hAnsi="Times New Roman" w:eastAsia="仿宋_GB2312" w:cs="Times New Roman"/>
          <w:b/>
          <w:bCs/>
        </w:rPr>
        <w:t>（一）综合评价情况</w:t>
      </w:r>
      <w:bookmarkEnd w:id="8"/>
      <w:r>
        <w:rPr>
          <w:rFonts w:hint="default" w:ascii="Times New Roman" w:hAnsi="Times New Roman" w:eastAsia="仿宋_GB2312" w:cs="Times New Roman"/>
          <w:b/>
          <w:bCs/>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1</w:t>
      </w:r>
      <w:r>
        <w:rPr>
          <w:rFonts w:hint="eastAsia" w:cs="Times New Roman"/>
          <w:b w:val="0"/>
          <w:bCs w:val="0"/>
          <w:lang w:val="en-US" w:eastAsia="zh-CN"/>
        </w:rPr>
        <w:t>.</w:t>
      </w:r>
      <w:r>
        <w:rPr>
          <w:rFonts w:hint="default" w:ascii="Times New Roman" w:hAnsi="Times New Roman" w:eastAsia="仿宋_GB2312" w:cs="Times New Roman"/>
          <w:b w:val="0"/>
          <w:bCs w:val="0"/>
        </w:rPr>
        <w:t>综合评价情况</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本项目严格按照科学公正、统筹兼顾、激励约束、公开透明的绩效评</w:t>
      </w:r>
      <w:r>
        <w:rPr>
          <w:rFonts w:hint="default" w:ascii="Times New Roman" w:hAnsi="Times New Roman" w:eastAsia="仿宋_GB2312" w:cs="Times New Roman"/>
          <w:b w:val="0"/>
          <w:bCs w:val="0"/>
          <w:lang w:val="en-US" w:eastAsia="zh-CN"/>
        </w:rPr>
        <w:t>价原则，采用</w:t>
      </w:r>
      <w:r>
        <w:rPr>
          <w:rFonts w:hint="eastAsia" w:ascii="Times New Roman" w:hAnsi="Times New Roman" w:cs="Times New Roman"/>
          <w:color w:val="auto"/>
          <w:lang w:val="en-US" w:eastAsia="zh-CN"/>
        </w:rPr>
        <w:t>比较法</w:t>
      </w:r>
      <w:r>
        <w:rPr>
          <w:rFonts w:hint="eastAsia" w:cs="Times New Roman"/>
          <w:color w:val="auto"/>
          <w:lang w:val="en-US" w:eastAsia="zh-CN"/>
        </w:rPr>
        <w:t>、</w:t>
      </w:r>
      <w:r>
        <w:rPr>
          <w:rFonts w:hint="eastAsia" w:ascii="Times New Roman" w:hAnsi="Times New Roman" w:cs="Times New Roman"/>
          <w:color w:val="auto"/>
          <w:lang w:val="en-US" w:eastAsia="zh-CN"/>
        </w:rPr>
        <w:t>最低成本法</w:t>
      </w:r>
      <w:r>
        <w:rPr>
          <w:rFonts w:hint="eastAsia" w:cs="Times New Roman"/>
          <w:color w:val="auto"/>
          <w:lang w:val="en-US" w:eastAsia="zh-CN"/>
        </w:rPr>
        <w:t>、</w:t>
      </w:r>
      <w:r>
        <w:rPr>
          <w:rFonts w:hint="eastAsia" w:ascii="Times New Roman" w:hAnsi="Times New Roman" w:cs="Times New Roman"/>
          <w:color w:val="auto"/>
          <w:lang w:val="en-US" w:eastAsia="zh-CN"/>
        </w:rPr>
        <w:t>公众评</w:t>
      </w:r>
      <w:r>
        <w:rPr>
          <w:rFonts w:hint="eastAsia" w:ascii="Times New Roman" w:hAnsi="Times New Roman" w:cs="Times New Roman"/>
          <w:color w:val="auto"/>
          <w:lang w:eastAsia="zh-CN"/>
        </w:rPr>
        <w:t>判法</w:t>
      </w:r>
      <w:r>
        <w:rPr>
          <w:rFonts w:hint="default" w:ascii="Times New Roman" w:hAnsi="Times New Roman" w:eastAsia="仿宋_GB2312" w:cs="Times New Roman"/>
          <w:b w:val="0"/>
          <w:bCs w:val="0"/>
          <w:lang w:val="en-US" w:eastAsia="zh-CN"/>
        </w:rPr>
        <w:t>，坚持计划标准对本项目的立项、绩效目标、资金投入、资金管理、组织</w:t>
      </w:r>
      <w:r>
        <w:rPr>
          <w:rFonts w:hint="default" w:ascii="Times New Roman" w:hAnsi="Times New Roman" w:eastAsia="仿宋_GB2312" w:cs="Times New Roman"/>
          <w:b w:val="0"/>
          <w:bCs w:val="0"/>
        </w:rPr>
        <w:t>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9" w:name="_Toc68703836"/>
      <w:r>
        <w:rPr>
          <w:rFonts w:hint="default" w:ascii="Times New Roman" w:hAnsi="Times New Roman" w:eastAsia="仿宋_GB2312" w:cs="Times New Roman"/>
          <w:b w:val="0"/>
          <w:bCs w:val="0"/>
          <w:lang w:val="en-US" w:eastAsia="zh-CN"/>
        </w:rPr>
        <w:t>2</w:t>
      </w:r>
      <w:r>
        <w:rPr>
          <w:rFonts w:hint="eastAsia"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运用绩效评价组制定的评价指标体系以及财政部《项目支出绩效评价管理办法》（财预〔2020〕10号）文件的评分标准，对本项目进行客观评价</w:t>
      </w:r>
      <w:r>
        <w:rPr>
          <w:rFonts w:hint="default" w:ascii="Times New Roman" w:hAnsi="Times New Roman" w:eastAsia="仿宋_GB2312" w:cs="Times New Roman"/>
          <w:b w:val="0"/>
          <w:bCs w:val="0"/>
          <w:highlight w:val="none"/>
        </w:rPr>
        <w:t>，最终评分结果</w:t>
      </w:r>
      <w:r>
        <w:rPr>
          <w:rFonts w:hint="default" w:ascii="Times New Roman" w:hAnsi="Times New Roman" w:eastAsia="仿宋_GB2312" w:cs="Times New Roman"/>
          <w:b w:val="0"/>
          <w:bCs w:val="0"/>
          <w:color w:val="auto"/>
          <w:highlight w:val="none"/>
        </w:rPr>
        <w:t>：总得分为</w:t>
      </w:r>
      <w:r>
        <w:rPr>
          <w:rFonts w:hint="eastAsia"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分，属于“优”。其中，项目决策类指标权重为20分，得分为</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%。项目过程类指标权重为20分，得分为</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%。项目产出类指标权重为40分，得分为</w:t>
      </w:r>
      <w:r>
        <w:rPr>
          <w:rFonts w:hint="eastAsia"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分，得分率为</w:t>
      </w:r>
      <w:r>
        <w:rPr>
          <w:rFonts w:hint="eastAsia"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bCs/>
        </w:rPr>
        <w:t>（</w:t>
      </w:r>
      <w:r>
        <w:rPr>
          <w:rFonts w:hint="default" w:ascii="Times New Roman" w:hAnsi="Times New Roman" w:eastAsia="仿宋_GB2312" w:cs="Times New Roman"/>
          <w:b/>
          <w:bCs/>
          <w:lang w:eastAsia="zh-CN"/>
        </w:rPr>
        <w:t>二</w:t>
      </w:r>
      <w:r>
        <w:rPr>
          <w:rFonts w:hint="default" w:ascii="Times New Roman" w:hAnsi="Times New Roman" w:eastAsia="仿宋_GB2312" w:cs="Times New Roman"/>
          <w:b/>
          <w:bCs/>
        </w:rPr>
        <w:t>）</w:t>
      </w:r>
      <w:r>
        <w:rPr>
          <w:rFonts w:hint="default" w:ascii="Times New Roman" w:hAnsi="Times New Roman" w:eastAsia="仿宋_GB2312" w:cs="Times New Roman"/>
          <w:b/>
          <w:bCs/>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ageBreakBefore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cs="Times New Roman"/>
          <w:color w:val="auto"/>
          <w:sz w:val="30"/>
          <w:szCs w:val="30"/>
          <w:highlight w:val="none"/>
          <w:lang w:eastAsia="zh-CN"/>
        </w:rPr>
      </w:pPr>
      <w:r>
        <w:rPr>
          <w:rFonts w:hint="eastAsia" w:cs="Times New Roman"/>
          <w:b w:val="0"/>
          <w:bCs/>
          <w:kern w:val="2"/>
          <w:sz w:val="30"/>
          <w:szCs w:val="24"/>
          <w:highlight w:val="none"/>
          <w:lang w:val="en-US" w:eastAsia="zh-CN" w:bidi="ar-SA"/>
        </w:rPr>
        <w:t>《基本科研项目》</w:t>
      </w:r>
    </w:p>
    <w:p>
      <w:pPr>
        <w:pageBreakBefore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lang w:val="en-US" w:eastAsia="zh-CN"/>
              </w:rPr>
            </w:pPr>
            <w:r>
              <w:rPr>
                <w:rFonts w:hint="default" w:ascii="Times New Roman" w:hAnsi="Times New Roman" w:eastAsia="仿宋_GB2312"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lang w:val="en-US" w:eastAsia="zh-CN"/>
              </w:rPr>
            </w:pPr>
            <w:r>
              <w:rPr>
                <w:rFonts w:hint="default" w:ascii="Times New Roman" w:hAnsi="Times New Roman" w:eastAsia="仿宋_GB2312" w:cs="Times New Roman"/>
                <w:b/>
                <w:bCs/>
                <w:color w:val="000000"/>
                <w:sz w:val="22"/>
                <w:lang w:val="en-US" w:eastAsia="zh-CN"/>
              </w:rPr>
              <w:t>100</w:t>
            </w:r>
          </w:p>
        </w:tc>
      </w:tr>
    </w:tbl>
    <w:p>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bookmarkStart w:id="10" w:name="_Toc68703837"/>
      <w:r>
        <w:rPr>
          <w:rFonts w:hint="default" w:ascii="Times New Roman" w:hAnsi="Times New Roman" w:eastAsia="仿宋_GB2312" w:cs="Times New Roman"/>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11" w:name="_Toc68703838"/>
      <w:r>
        <w:rPr>
          <w:rFonts w:hint="default" w:ascii="Times New Roman" w:hAnsi="Times New Roman" w:eastAsia="仿宋_GB2312" w:cs="Times New Roman"/>
          <w:b/>
          <w:bCs/>
        </w:rPr>
        <w:t>（一）项目决策情况</w:t>
      </w:r>
      <w:bookmarkEnd w:id="1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bookmarkStart w:id="12" w:name="_Toc68703839"/>
      <w:r>
        <w:rPr>
          <w:rFonts w:hint="default" w:ascii="Times New Roman" w:hAnsi="Times New Roman" w:eastAsia="仿宋_GB2312" w:cs="Times New Roman"/>
          <w:highlight w:val="none"/>
          <w:lang w:val="en-US" w:eastAsia="zh-CN"/>
        </w:rPr>
        <w:t>1</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立项依据充分性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本项目立项依据</w:t>
      </w:r>
      <w:r>
        <w:rPr>
          <w:rFonts w:hint="eastAsia" w:cs="Times New Roman"/>
          <w:highlight w:val="none"/>
          <w:lang w:val="en-US" w:eastAsia="zh-CN"/>
        </w:rPr>
        <w:t>《</w:t>
      </w:r>
      <w:r>
        <w:rPr>
          <w:rFonts w:hint="eastAsia" w:ascii="Times New Roman" w:hAnsi="Times New Roman" w:eastAsia="仿宋_GB2312" w:cs="Times New Roman"/>
          <w:highlight w:val="none"/>
          <w:lang w:val="en-US" w:eastAsia="zh-CN"/>
        </w:rPr>
        <w:t>自治州党委、人民政府关于印发《学习运用“千村示范、万村整治”工程经验有力有效推进乡村全面振兴的实施方案》的通知</w:t>
      </w:r>
      <w:r>
        <w:rPr>
          <w:rFonts w:hint="eastAsia" w:cs="Times New Roman"/>
          <w:highlight w:val="none"/>
          <w:lang w:val="en-US" w:eastAsia="zh-CN"/>
        </w:rPr>
        <w:t>》</w:t>
      </w:r>
      <w:r>
        <w:rPr>
          <w:rFonts w:hint="eastAsia" w:ascii="Times New Roman" w:hAnsi="Times New Roman" w:eastAsia="仿宋_GB2312" w:cs="Times New Roman"/>
          <w:highlight w:val="none"/>
          <w:lang w:val="en-US" w:eastAsia="zh-CN"/>
        </w:rPr>
        <w:t>（巴党发〔2024〕1号），属于巴州财政支持范围，符合中央、地方事权支出责任划分原则；该项目符合农业发展规划和政策要求，属于农业部门履职所需，与相关部门同类项目或部门内部相关项目不存在重复。</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此项权重分3分，得分3分。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2</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立项程序规范性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项目申请、设立过程符合巴州农业农村局《贯彻落实自治州党委人民政府&lt;关于学习运用“千村示范、万村整治”工程经验有力有效推进乡村全面振兴的实施方案&gt;责任分解以及落实措施方案》，</w:t>
      </w:r>
      <w:r>
        <w:rPr>
          <w:rFonts w:hint="eastAsia" w:ascii="Times New Roman" w:hAnsi="Times New Roman" w:eastAsia="仿宋_GB2312" w:cs="Times New Roman"/>
          <w:highlight w:val="none"/>
          <w:lang w:val="en-US" w:eastAsia="zh-Hans"/>
        </w:rPr>
        <w:t>严格按照审批流程准备符合要求的文件、材料；</w:t>
      </w:r>
      <w:r>
        <w:rPr>
          <w:rFonts w:hint="eastAsia" w:ascii="Times New Roman" w:hAnsi="Times New Roman" w:eastAsia="仿宋_GB2312" w:cs="Times New Roman"/>
          <w:highlight w:val="none"/>
          <w:lang w:val="en-US" w:eastAsia="zh-CN"/>
        </w:rPr>
        <w:t>根据决算依据编制工作计划和经费预算，经过与部门项目分管领导沟通、筛选确定经费预算计划，确定最终预算方案。项目的审批文件、材料符合要求，项目事前经过必要的可行性研究、专家论证、风险评估、绩效评估、集体决策，保障了程序的规范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此项权重分3分，得分3分。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3</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绩效目标合理性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基本科研项目</w:t>
      </w:r>
      <w:r>
        <w:rPr>
          <w:rFonts w:hint="eastAsia" w:ascii="Times New Roman" w:hAnsi="Times New Roman" w:eastAsia="仿宋_GB2312" w:cs="Times New Roman"/>
          <w:highlight w:val="none"/>
          <w:lang w:val="en-US" w:eastAsia="zh-CN"/>
        </w:rPr>
        <w:t>设立了项目绩效目标，与改良棉花育种材料的农艺</w:t>
      </w:r>
      <w:r>
        <w:rPr>
          <w:rFonts w:hint="default" w:ascii="Times New Roman" w:hAnsi="Times New Roman" w:eastAsia="仿宋_GB2312" w:cs="Times New Roman"/>
          <w:highlight w:val="none"/>
          <w:lang w:val="en-US" w:eastAsia="zh-CN"/>
        </w:rPr>
        <w:t>性状、产量、品质及抗病性</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创制新种质</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棉花、工业辣椒、工业番茄等作物各代育种试验材料 5000 余份，提交 20 余份新品系参加各类新品系比较试验</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4 个长绒棉品系、2 个陆地棉品系综合性状优良，晋级区域试验；1 个陆地棉品系、5 个长绒棉品系晋级生产试验</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提交长海 5 号进行新品种审定</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授权专利 12 项（植物新品种权 1 项、发明专利 1 项、实用新型专利 5 项、计算机软件著作权 5 项）、发表论文 15 篇、提交新品种审定 1 个（长绒棉-长海 5 号）</w:t>
      </w:r>
      <w:r>
        <w:rPr>
          <w:rFonts w:hint="eastAsia" w:ascii="Times New Roman" w:hAnsi="Times New Roman" w:eastAsia="仿宋_GB2312" w:cs="Times New Roman"/>
          <w:highlight w:val="none"/>
          <w:lang w:val="en-US" w:eastAsia="zh-CN"/>
        </w:rPr>
        <w:t>具有相关性，项目的预期产出效益和效果也均能符合正常的业绩水平，并且与预算确定的项目投资额68万相匹配。</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highlight w:val="none"/>
          <w:lang w:val="en-US" w:eastAsia="zh-CN"/>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4</w:t>
      </w:r>
      <w:r>
        <w:rPr>
          <w:rFonts w:hint="eastAsia" w:cs="Times New Roman"/>
          <w:lang w:val="en-US" w:eastAsia="zh-CN"/>
        </w:rPr>
        <w:t>.</w:t>
      </w:r>
      <w:r>
        <w:rPr>
          <w:rFonts w:hint="default" w:ascii="Times New Roman" w:hAnsi="Times New Roman" w:eastAsia="仿宋_GB2312" w:cs="Times New Roman"/>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bookmarkStart w:id="13" w:name="_Hlk68699917"/>
      <w:r>
        <w:rPr>
          <w:rFonts w:hint="eastAsia" w:ascii="Times New Roman" w:hAnsi="Times New Roman" w:cs="Times New Roman"/>
          <w:color w:val="auto"/>
          <w:lang w:val="en-US" w:eastAsia="zh-CN"/>
        </w:rPr>
        <w:t>《</w:t>
      </w:r>
      <w:r>
        <w:rPr>
          <w:rFonts w:hint="eastAsia" w:cs="Times New Roman"/>
          <w:color w:val="auto"/>
          <w:lang w:val="en-US" w:eastAsia="zh-CN"/>
        </w:rPr>
        <w:t>基本科研项目</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将项目绩效目标细化分解为具体的绩效指标，一级指标共4条，二级指标共</w:t>
      </w:r>
      <w:r>
        <w:rPr>
          <w:rFonts w:hint="eastAsia" w:cs="Times New Roman"/>
          <w:color w:val="auto"/>
          <w:lang w:val="en-US" w:eastAsia="zh-CN"/>
        </w:rPr>
        <w:t>6</w:t>
      </w:r>
      <w:r>
        <w:rPr>
          <w:rFonts w:hint="default" w:ascii="Times New Roman" w:hAnsi="Times New Roman" w:cs="Times New Roman"/>
          <w:color w:val="auto"/>
          <w:lang w:val="en-US" w:eastAsia="zh-CN"/>
        </w:rPr>
        <w:t>条，三级指标共</w:t>
      </w:r>
      <w:r>
        <w:rPr>
          <w:rFonts w:hint="eastAsia" w:cs="Times New Roman"/>
          <w:color w:val="auto"/>
          <w:lang w:val="en-US" w:eastAsia="zh-CN"/>
        </w:rPr>
        <w:t>9</w:t>
      </w:r>
      <w:r>
        <w:rPr>
          <w:rFonts w:hint="default" w:ascii="Times New Roman" w:hAnsi="Times New Roman" w:cs="Times New Roman"/>
          <w:color w:val="auto"/>
          <w:lang w:val="en-US" w:eastAsia="zh-CN"/>
        </w:rPr>
        <w:t>条，其中量化指标条数共</w:t>
      </w:r>
      <w:r>
        <w:rPr>
          <w:rFonts w:hint="eastAsia" w:cs="Times New Roman"/>
          <w:color w:val="auto"/>
          <w:lang w:val="en-US" w:eastAsia="zh-CN"/>
        </w:rPr>
        <w:t>8</w:t>
      </w:r>
      <w:r>
        <w:rPr>
          <w:rFonts w:hint="default" w:ascii="Times New Roman" w:hAnsi="Times New Roman" w:cs="Times New Roman"/>
          <w:color w:val="auto"/>
          <w:lang w:val="en-US" w:eastAsia="zh-CN"/>
        </w:rPr>
        <w:t>条，所有</w:t>
      </w:r>
      <w:r>
        <w:rPr>
          <w:rFonts w:hint="eastAsia" w:ascii="Times New Roman" w:hAnsi="Times New Roman" w:cs="Times New Roman"/>
          <w:color w:val="auto"/>
          <w:lang w:val="en-US" w:eastAsia="zh-CN"/>
        </w:rPr>
        <w:t>农业科研项目</w:t>
      </w:r>
      <w:r>
        <w:rPr>
          <w:rFonts w:hint="default" w:ascii="Times New Roman" w:hAnsi="Times New Roman" w:cs="Times New Roman"/>
          <w:color w:val="auto"/>
          <w:lang w:val="en-US" w:eastAsia="zh-CN"/>
        </w:rPr>
        <w:t>绩效指标均</w:t>
      </w:r>
      <w:r>
        <w:rPr>
          <w:rFonts w:hint="eastAsia" w:ascii="Times New Roman" w:hAnsi="Times New Roman" w:cs="Times New Roman"/>
          <w:color w:val="auto"/>
          <w:lang w:val="en-US" w:eastAsia="zh-CN"/>
        </w:rPr>
        <w:t>能够</w:t>
      </w:r>
      <w:r>
        <w:rPr>
          <w:rFonts w:hint="default" w:ascii="Times New Roman" w:hAnsi="Times New Roman" w:cs="Times New Roman"/>
          <w:color w:val="auto"/>
          <w:lang w:val="en-US" w:eastAsia="zh-CN"/>
        </w:rPr>
        <w:t>通过清晰、可衡量的指标值予以体现，并且做到</w:t>
      </w:r>
      <w:r>
        <w:rPr>
          <w:rFonts w:hint="eastAsia" w:ascii="Times New Roman" w:hAnsi="Times New Roman" w:cs="Times New Roman"/>
          <w:color w:val="auto"/>
          <w:lang w:val="en-US" w:eastAsia="zh-CN"/>
        </w:rPr>
        <w:t>农业科研项目绩效指标</w:t>
      </w:r>
      <w:r>
        <w:rPr>
          <w:rFonts w:hint="default" w:ascii="Times New Roman" w:hAnsi="Times New Roman" w:cs="Times New Roman"/>
          <w:color w:val="auto"/>
          <w:lang w:val="en-US" w:eastAsia="zh-CN"/>
        </w:rPr>
        <w:t>与</w:t>
      </w:r>
      <w:r>
        <w:rPr>
          <w:rFonts w:hint="eastAsia" w:ascii="Times New Roman" w:hAnsi="Times New Roman" w:cs="Times New Roman"/>
          <w:color w:val="auto"/>
          <w:lang w:val="en-US" w:eastAsia="zh-CN"/>
        </w:rPr>
        <w:t>科研</w:t>
      </w:r>
      <w:r>
        <w:rPr>
          <w:rFonts w:hint="default" w:ascii="Times New Roman" w:hAnsi="Times New Roman" w:cs="Times New Roman"/>
          <w:color w:val="auto"/>
          <w:lang w:val="en-US" w:eastAsia="zh-CN"/>
        </w:rPr>
        <w:t>项目目标任务数或计划数相对应。</w:t>
      </w:r>
      <w:bookmarkEnd w:id="13"/>
    </w:p>
    <w:p>
      <w:pPr>
        <w:pStyle w:val="2"/>
        <w:ind w:firstLine="600" w:firstLineChars="200"/>
        <w:jc w:val="left"/>
        <w:rPr>
          <w:rFonts w:hint="default" w:ascii="Times New Roman" w:hAnsi="Times New Roman" w:eastAsia="仿宋_GB2312" w:cs="Times New Roman"/>
        </w:rPr>
      </w:pPr>
      <w:r>
        <w:rPr>
          <w:rFonts w:hint="default"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5</w:t>
      </w:r>
      <w:r>
        <w:rPr>
          <w:rFonts w:hint="eastAsia" w:cs="Times New Roman"/>
          <w:lang w:val="en-US" w:eastAsia="zh-CN"/>
        </w:rPr>
        <w:t>.</w:t>
      </w:r>
      <w:r>
        <w:rPr>
          <w:rFonts w:hint="default" w:ascii="Times New Roman" w:hAnsi="Times New Roman" w:eastAsia="仿宋_GB2312" w:cs="Times New Roman"/>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本项目预算编制以项目业务过程及其控制为核心，从项目目标出发设定好了预算内部关联逻辑，确保预算编制承接住项目规划，本项目路径存在，目标存在，路径合理，目标合理，预算额度测算充分且合理，按照预算编制标准编制，预算确定的项目资金量与工作任务项匹配。</w:t>
      </w:r>
    </w:p>
    <w:p>
      <w:pPr>
        <w:pStyle w:val="2"/>
        <w:ind w:firstLine="600" w:firstLineChars="200"/>
        <w:jc w:val="left"/>
        <w:rPr>
          <w:rFonts w:hint="default" w:ascii="Times New Roman" w:hAnsi="Times New Roman" w:eastAsia="仿宋_GB2312" w:cs="Times New Roman"/>
        </w:rPr>
      </w:pPr>
      <w:r>
        <w:rPr>
          <w:rFonts w:hint="default" w:ascii="Times New Roman" w:hAnsi="Times New Roman" w:eastAsia="仿宋_GB2312" w:cs="Times New Roman"/>
          <w:b w:val="0"/>
          <w:bCs w:val="0"/>
          <w:kern w:val="2"/>
          <w:sz w:val="30"/>
          <w:szCs w:val="24"/>
          <w:lang w:val="en-US" w:eastAsia="zh-CN" w:bidi="ar-SA"/>
        </w:rPr>
        <w:t>此项权重分3分，得分3分。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6</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资金分配合理性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本次评价的项目预算资金分配</w:t>
      </w:r>
      <w:r>
        <w:rPr>
          <w:rFonts w:hint="eastAsia" w:ascii="Times New Roman" w:hAnsi="Times New Roman" w:eastAsia="仿宋_GB2312" w:cs="Times New Roman"/>
          <w:color w:val="auto"/>
          <w:highlight w:val="none"/>
          <w:lang w:val="en-US" w:eastAsia="zh-CN"/>
        </w:rPr>
        <w:t>依据</w:t>
      </w:r>
      <w:r>
        <w:rPr>
          <w:rFonts w:hint="eastAsia" w:cs="Times New Roman"/>
          <w:color w:val="auto"/>
          <w:highlight w:val="none"/>
          <w:lang w:val="en-US" w:eastAsia="zh-CN"/>
        </w:rPr>
        <w:t>巴州农科院以往项目实施</w:t>
      </w:r>
      <w:r>
        <w:rPr>
          <w:rFonts w:hint="eastAsia" w:ascii="Times New Roman" w:hAnsi="Times New Roman" w:eastAsia="仿宋_GB2312" w:cs="Times New Roman"/>
          <w:color w:val="auto"/>
          <w:highlight w:val="none"/>
          <w:lang w:val="en-US" w:eastAsia="zh-CN"/>
        </w:rPr>
        <w:t>情况进行综合的财务预算，结合以往科</w:t>
      </w:r>
      <w:r>
        <w:rPr>
          <w:rFonts w:hint="eastAsia" w:ascii="Times New Roman" w:hAnsi="Times New Roman" w:eastAsia="仿宋_GB2312" w:cs="Times New Roman"/>
          <w:highlight w:val="none"/>
          <w:lang w:val="en-US" w:eastAsia="zh-CN"/>
        </w:rPr>
        <w:t>研项目实施经验，充分、合理以及科学的进行资金分配，与本单位农业科研项目开展实际相适应，与本地区实际农业</w:t>
      </w:r>
      <w:r>
        <w:rPr>
          <w:rFonts w:hint="eastAsia" w:cs="Times New Roman"/>
          <w:highlight w:val="none"/>
          <w:lang w:val="en-US" w:eastAsia="zh-CN"/>
        </w:rPr>
        <w:t>发展要求</w:t>
      </w:r>
      <w:r>
        <w:rPr>
          <w:rFonts w:hint="eastAsia" w:ascii="Times New Roman" w:hAnsi="Times New Roman" w:eastAsia="仿宋_GB2312" w:cs="Times New Roman"/>
          <w:highlight w:val="none"/>
          <w:lang w:val="en-US" w:eastAsia="zh-CN"/>
        </w:rPr>
        <w:t>相适应</w:t>
      </w:r>
      <w:r>
        <w:rPr>
          <w:rFonts w:hint="default" w:ascii="Times New Roman" w:hAnsi="Times New Roman" w:eastAsia="仿宋_GB2312" w:cs="Times New Roman"/>
          <w:highlight w:val="none"/>
          <w:lang w:val="en-US" w:eastAsia="zh-CN"/>
        </w:rPr>
        <w:t>。</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bCs/>
        </w:rPr>
        <w:t>（二）项目过程情况</w:t>
      </w:r>
      <w:bookmarkEnd w:id="12"/>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highlight w:val="none"/>
        </w:rPr>
      </w:pPr>
      <w:bookmarkStart w:id="14" w:name="_Toc68703840"/>
      <w:r>
        <w:rPr>
          <w:rFonts w:hint="default" w:ascii="Times New Roman" w:hAnsi="Times New Roman" w:eastAsia="仿宋_GB2312" w:cs="Times New Roman"/>
          <w:highlight w:val="none"/>
        </w:rPr>
        <w:t>1</w:t>
      </w:r>
      <w:r>
        <w:rPr>
          <w:rFonts w:hint="eastAsia" w:cs="Times New Roman"/>
          <w:highlight w:val="none"/>
          <w:lang w:val="en-US" w:eastAsia="zh-CN"/>
        </w:rPr>
        <w:t>.</w:t>
      </w:r>
      <w:r>
        <w:rPr>
          <w:rFonts w:hint="default" w:ascii="Times New Roman" w:hAnsi="Times New Roman" w:eastAsia="仿宋_GB2312" w:cs="Times New Roman"/>
          <w:highlight w:val="none"/>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highlight w:val="none"/>
          <w:lang w:val="en-US" w:eastAsia="zh-CN" w:bidi="ar-SA"/>
        </w:rPr>
      </w:pPr>
      <w:r>
        <w:rPr>
          <w:rFonts w:hint="default" w:ascii="Times New Roman" w:hAnsi="Times New Roman" w:eastAsia="仿宋_GB2312" w:cs="Times New Roman"/>
          <w:b w:val="0"/>
          <w:bCs w:val="0"/>
          <w:kern w:val="2"/>
          <w:sz w:val="30"/>
          <w:szCs w:val="24"/>
          <w:highlight w:val="none"/>
          <w:lang w:val="en-US" w:eastAsia="zh-CN" w:bidi="ar-SA"/>
        </w:rPr>
        <w:t>预算资金</w:t>
      </w:r>
      <w:r>
        <w:rPr>
          <w:rFonts w:hint="eastAsia" w:cs="Times New Roman"/>
          <w:b w:val="0"/>
          <w:bCs w:val="0"/>
          <w:kern w:val="2"/>
          <w:sz w:val="30"/>
          <w:szCs w:val="24"/>
          <w:highlight w:val="none"/>
          <w:lang w:val="en-US" w:eastAsia="zh-CN" w:bidi="ar-SA"/>
        </w:rPr>
        <w:t>68</w:t>
      </w:r>
      <w:r>
        <w:rPr>
          <w:rFonts w:hint="default" w:ascii="Times New Roman" w:hAnsi="Times New Roman" w:eastAsia="仿宋_GB2312" w:cs="Times New Roman"/>
          <w:b w:val="0"/>
          <w:bCs w:val="0"/>
          <w:kern w:val="2"/>
          <w:sz w:val="30"/>
          <w:szCs w:val="24"/>
          <w:highlight w:val="none"/>
          <w:lang w:val="en-US" w:eastAsia="zh-CN" w:bidi="ar-SA"/>
        </w:rPr>
        <w:t>.00万元，实际到位资金</w:t>
      </w:r>
      <w:r>
        <w:rPr>
          <w:rFonts w:hint="eastAsia" w:cs="Times New Roman"/>
          <w:b w:val="0"/>
          <w:bCs w:val="0"/>
          <w:kern w:val="2"/>
          <w:sz w:val="30"/>
          <w:szCs w:val="24"/>
          <w:highlight w:val="none"/>
          <w:lang w:val="en-US" w:eastAsia="zh-CN" w:bidi="ar-SA"/>
        </w:rPr>
        <w:t>68</w:t>
      </w:r>
      <w:r>
        <w:rPr>
          <w:rFonts w:hint="default" w:ascii="Times New Roman" w:hAnsi="Times New Roman" w:eastAsia="仿宋_GB2312" w:cs="Times New Roman"/>
          <w:b w:val="0"/>
          <w:bCs w:val="0"/>
          <w:kern w:val="2"/>
          <w:sz w:val="30"/>
          <w:szCs w:val="24"/>
          <w:highlight w:val="none"/>
          <w:lang w:val="en-US" w:eastAsia="zh-CN" w:bidi="ar-SA"/>
        </w:rPr>
        <w:t>.00万元，资金到位率100.00%。</w:t>
      </w:r>
    </w:p>
    <w:p>
      <w:pPr>
        <w:pStyle w:val="2"/>
        <w:ind w:firstLine="600" w:firstLineChars="200"/>
        <w:jc w:val="left"/>
        <w:rPr>
          <w:rFonts w:hint="default" w:ascii="Times New Roman" w:hAnsi="Times New Roman" w:eastAsia="仿宋_GB2312" w:cs="Times New Roman"/>
          <w:highlight w:val="none"/>
        </w:rPr>
      </w:pPr>
      <w:r>
        <w:rPr>
          <w:rFonts w:hint="default"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2</w:t>
      </w:r>
      <w:r>
        <w:rPr>
          <w:rFonts w:hint="eastAsia" w:cs="Times New Roman"/>
          <w:highlight w:val="none"/>
          <w:lang w:val="en-US" w:eastAsia="zh-CN"/>
        </w:rPr>
        <w:t>.</w:t>
      </w:r>
      <w:r>
        <w:rPr>
          <w:rFonts w:hint="default" w:ascii="Times New Roman" w:hAnsi="Times New Roman" w:eastAsia="仿宋_GB2312" w:cs="Times New Roman"/>
          <w:highlight w:val="none"/>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highlight w:val="none"/>
          <w:lang w:val="en-US" w:eastAsia="zh-CN" w:bidi="ar-SA"/>
        </w:rPr>
      </w:pPr>
      <w:r>
        <w:rPr>
          <w:rFonts w:hint="default" w:ascii="Times New Roman" w:hAnsi="Times New Roman" w:eastAsia="仿宋_GB2312" w:cs="Times New Roman"/>
          <w:b w:val="0"/>
          <w:bCs w:val="0"/>
          <w:kern w:val="2"/>
          <w:sz w:val="30"/>
          <w:szCs w:val="24"/>
          <w:highlight w:val="none"/>
          <w:lang w:val="en-US" w:eastAsia="zh-CN" w:bidi="ar-SA"/>
        </w:rPr>
        <w:t>年初预算数</w:t>
      </w:r>
      <w:r>
        <w:rPr>
          <w:rFonts w:hint="eastAsia" w:cs="Times New Roman"/>
          <w:b w:val="0"/>
          <w:bCs w:val="0"/>
          <w:kern w:val="2"/>
          <w:sz w:val="30"/>
          <w:szCs w:val="24"/>
          <w:highlight w:val="none"/>
          <w:lang w:val="en-US" w:eastAsia="zh-CN" w:bidi="ar-SA"/>
        </w:rPr>
        <w:t>68.00</w:t>
      </w:r>
      <w:r>
        <w:rPr>
          <w:rFonts w:hint="default" w:ascii="Times New Roman" w:hAnsi="Times New Roman" w:eastAsia="仿宋_GB2312" w:cs="Times New Roman"/>
          <w:b w:val="0"/>
          <w:bCs w:val="0"/>
          <w:kern w:val="2"/>
          <w:sz w:val="30"/>
          <w:szCs w:val="24"/>
          <w:highlight w:val="none"/>
          <w:lang w:val="en-US" w:eastAsia="zh-CN" w:bidi="ar-SA"/>
        </w:rPr>
        <w:t>万元，全年预算数</w:t>
      </w:r>
      <w:r>
        <w:rPr>
          <w:rFonts w:hint="eastAsia" w:cs="Times New Roman"/>
          <w:b w:val="0"/>
          <w:bCs w:val="0"/>
          <w:kern w:val="2"/>
          <w:sz w:val="30"/>
          <w:szCs w:val="24"/>
          <w:highlight w:val="none"/>
          <w:lang w:val="en-US" w:eastAsia="zh-CN" w:bidi="ar-SA"/>
        </w:rPr>
        <w:t>68.00</w:t>
      </w:r>
      <w:r>
        <w:rPr>
          <w:rFonts w:hint="default" w:ascii="Times New Roman" w:hAnsi="Times New Roman" w:eastAsia="仿宋_GB2312" w:cs="Times New Roman"/>
          <w:b w:val="0"/>
          <w:bCs w:val="0"/>
          <w:kern w:val="2"/>
          <w:sz w:val="30"/>
          <w:szCs w:val="24"/>
          <w:highlight w:val="none"/>
          <w:lang w:val="en-US" w:eastAsia="zh-CN" w:bidi="ar-SA"/>
        </w:rPr>
        <w:t>万元，全年执行数</w:t>
      </w:r>
      <w:r>
        <w:rPr>
          <w:rFonts w:hint="eastAsia" w:cs="Times New Roman"/>
          <w:b w:val="0"/>
          <w:bCs w:val="0"/>
          <w:kern w:val="2"/>
          <w:sz w:val="30"/>
          <w:szCs w:val="24"/>
          <w:highlight w:val="none"/>
          <w:lang w:val="en-US" w:eastAsia="zh-CN" w:bidi="ar-SA"/>
        </w:rPr>
        <w:t>68</w:t>
      </w:r>
      <w:r>
        <w:rPr>
          <w:rFonts w:hint="default" w:ascii="Times New Roman" w:hAnsi="Times New Roman" w:eastAsia="仿宋_GB2312" w:cs="Times New Roman"/>
          <w:b w:val="0"/>
          <w:bCs w:val="0"/>
          <w:kern w:val="2"/>
          <w:sz w:val="30"/>
          <w:szCs w:val="24"/>
          <w:highlight w:val="none"/>
          <w:lang w:val="en-US" w:eastAsia="zh-CN" w:bidi="ar-SA"/>
        </w:rPr>
        <w:t>.00万元，预算执行率为100.00%</w:t>
      </w:r>
      <w:r>
        <w:rPr>
          <w:rFonts w:hint="eastAsia" w:ascii="Times New Roman" w:hAnsi="Times New Roman" w:eastAsia="仿宋_GB2312" w:cs="Times New Roman"/>
          <w:b w:val="0"/>
          <w:bCs w:val="0"/>
          <w:kern w:val="2"/>
          <w:sz w:val="30"/>
          <w:szCs w:val="24"/>
          <w:highlight w:val="none"/>
          <w:lang w:val="en-US" w:eastAsia="zh-CN" w:bidi="ar-SA"/>
        </w:rPr>
        <w:t>。</w:t>
      </w:r>
    </w:p>
    <w:p>
      <w:pPr>
        <w:pStyle w:val="2"/>
        <w:ind w:firstLine="600" w:firstLineChars="200"/>
        <w:jc w:val="left"/>
        <w:rPr>
          <w:rFonts w:hint="default" w:ascii="Times New Roman" w:hAnsi="Times New Roman" w:eastAsia="仿宋_GB2312" w:cs="Times New Roman"/>
          <w:highlight w:val="none"/>
        </w:rPr>
      </w:pPr>
      <w:r>
        <w:rPr>
          <w:rFonts w:hint="default" w:ascii="Times New Roman" w:hAnsi="Times New Roman" w:eastAsia="仿宋_GB2312" w:cs="Times New Roman"/>
          <w:b w:val="0"/>
          <w:bCs w:val="0"/>
          <w:kern w:val="2"/>
          <w:sz w:val="30"/>
          <w:szCs w:val="24"/>
          <w:highlight w:val="none"/>
          <w:lang w:val="en-US" w:eastAsia="zh-CN" w:bidi="ar-SA"/>
        </w:rPr>
        <w:t>此项权重分4分，得分4分。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3</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资金使用合规性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highlight w:val="none"/>
          <w:lang w:val="en-US" w:eastAsia="zh-CN" w:bidi="ar-SA"/>
        </w:rPr>
      </w:pPr>
      <w:r>
        <w:rPr>
          <w:rFonts w:hint="eastAsia" w:ascii="Times New Roman" w:hAnsi="Times New Roman" w:eastAsia="仿宋_GB2312" w:cs="Times New Roman"/>
          <w:b w:val="0"/>
          <w:bCs w:val="0"/>
          <w:kern w:val="2"/>
          <w:sz w:val="30"/>
          <w:szCs w:val="24"/>
          <w:highlight w:val="none"/>
          <w:lang w:val="en-US" w:eastAsia="zh-CN" w:bidi="ar-SA"/>
        </w:rPr>
        <w:t>项目严格按照预期绩效目标执行预算资金。严格执行《新疆维吾尔自治区财政科研项目资金管理办法》及《巴州农科院科研项目经费管理办法 》的规定，对项目经费使用进行规范管理，财务制度健全、执行严格。资金的支付有完整的审批程序和手续，在项目资金支付和使用过程中，为确保项目资金的安全性，提高项目资金使用效率，严格遵循项目资金的支付程序，同时每年巴州农科院每年进行一次中期检查，督促项目正常执行，认真审核项目实施各阶段的相关材料和手续，根据项目实施进展情况支付资金。资金使用符合该项目的立项要求。资金不存在截留、挤占、挪用、虚列支出等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4</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管理制度健全性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highlight w:val="none"/>
          <w:lang w:val="en-US" w:eastAsia="zh-CN" w:bidi="ar-SA"/>
        </w:rPr>
      </w:pPr>
      <w:r>
        <w:rPr>
          <w:rFonts w:hint="eastAsia" w:ascii="Times New Roman" w:hAnsi="Times New Roman" w:eastAsia="仿宋_GB2312" w:cs="Times New Roman"/>
          <w:b w:val="0"/>
          <w:bCs w:val="0"/>
          <w:kern w:val="2"/>
          <w:sz w:val="30"/>
          <w:szCs w:val="24"/>
          <w:highlight w:val="none"/>
          <w:lang w:val="en-US" w:eastAsia="zh-CN" w:bidi="ar-SA"/>
        </w:rPr>
        <w:t>根据《新疆维吾尔自治区财政科研项目资金管理办法》，及本单位</w:t>
      </w:r>
      <w:r>
        <w:rPr>
          <w:rFonts w:hint="default" w:ascii="Times New Roman" w:hAnsi="Times New Roman" w:eastAsia="仿宋_GB2312" w:cs="Times New Roman"/>
          <w:b w:val="0"/>
          <w:bCs w:val="0"/>
          <w:kern w:val="2"/>
          <w:sz w:val="30"/>
          <w:szCs w:val="24"/>
          <w:highlight w:val="none"/>
          <w:lang w:val="en-US" w:eastAsia="zh-CN" w:bidi="ar-SA"/>
        </w:rPr>
        <w:t>制定</w:t>
      </w:r>
      <w:r>
        <w:rPr>
          <w:rFonts w:hint="eastAsia" w:ascii="Times New Roman" w:hAnsi="Times New Roman" w:eastAsia="仿宋_GB2312" w:cs="Times New Roman"/>
          <w:b w:val="0"/>
          <w:bCs w:val="0"/>
          <w:kern w:val="2"/>
          <w:sz w:val="30"/>
          <w:szCs w:val="24"/>
          <w:highlight w:val="none"/>
          <w:lang w:val="en-US" w:eastAsia="zh-CN" w:bidi="ar-SA"/>
        </w:rPr>
        <w:t>的《巴州农科院科研项目经费管理办法 》对财政资金进行严格管理，做到专款专用，项目资金使用符合相关的财务管理制度规定，能够反映和考核项目资金的规范运行情况；巴州农科院的财务和业务管理制度健全，能够反映和考核财务和业务管理制度对项目顺利实施的保障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5</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制度执行有效性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本项目遵守</w:t>
      </w:r>
      <w:r>
        <w:rPr>
          <w:rFonts w:hint="eastAsia" w:ascii="Times New Roman" w:hAnsi="Times New Roman" w:eastAsia="仿宋_GB2312" w:cs="Times New Roman"/>
          <w:highlight w:val="none"/>
          <w:lang w:val="en-US" w:eastAsia="zh-CN"/>
        </w:rPr>
        <w:t>《巴州农科院科研项目经费管理办法》</w:t>
      </w:r>
      <w:r>
        <w:rPr>
          <w:rFonts w:hint="default" w:ascii="Times New Roman" w:hAnsi="Times New Roman" w:eastAsia="仿宋_GB2312" w:cs="Times New Roman"/>
          <w:highlight w:val="none"/>
          <w:lang w:val="en-US" w:eastAsia="zh-CN"/>
        </w:rPr>
        <w:t>规定，</w:t>
      </w:r>
      <w:r>
        <w:rPr>
          <w:rFonts w:hint="eastAsia" w:ascii="Times New Roman" w:hAnsi="Times New Roman" w:eastAsia="仿宋_GB2312" w:cs="Times New Roman"/>
          <w:highlight w:val="none"/>
          <w:lang w:val="en-US" w:eastAsia="zh-CN"/>
        </w:rPr>
        <w:t>项目经费调整均需要提交本单位支委会以及党委会研究通过，方可调整，经费调整和支出手续齐全。</w:t>
      </w:r>
      <w:r>
        <w:rPr>
          <w:rFonts w:hint="eastAsia" w:cs="Times New Roman"/>
          <w:highlight w:val="none"/>
          <w:lang w:val="en-US" w:eastAsia="zh-CN"/>
        </w:rPr>
        <w:t>立</w:t>
      </w:r>
      <w:r>
        <w:rPr>
          <w:rFonts w:hint="default" w:ascii="Times New Roman" w:hAnsi="Times New Roman" w:eastAsia="仿宋_GB2312" w:cs="Times New Roman"/>
          <w:highlight w:val="none"/>
          <w:lang w:val="en-US" w:eastAsia="zh-CN"/>
        </w:rPr>
        <w:t>项申请书、</w:t>
      </w:r>
      <w:r>
        <w:rPr>
          <w:rFonts w:hint="eastAsia" w:cs="Times New Roman"/>
          <w:highlight w:val="none"/>
          <w:lang w:val="en-US" w:eastAsia="zh-CN"/>
        </w:rPr>
        <w:t>验收</w:t>
      </w:r>
      <w:r>
        <w:rPr>
          <w:rFonts w:hint="default" w:ascii="Times New Roman" w:hAnsi="Times New Roman" w:eastAsia="仿宋_GB2312" w:cs="Times New Roman"/>
          <w:highlight w:val="none"/>
          <w:lang w:val="en-US" w:eastAsia="zh-CN"/>
        </w:rPr>
        <w:t>等材料按照项目实施单位管理办法，整理完毕后装订成册，及时上交实施</w:t>
      </w:r>
      <w:r>
        <w:rPr>
          <w:rFonts w:hint="eastAsia" w:ascii="Times New Roman" w:hAnsi="Times New Roman" w:eastAsia="仿宋_GB2312" w:cs="Times New Roman"/>
          <w:highlight w:val="none"/>
          <w:lang w:val="en-US" w:eastAsia="zh-CN"/>
        </w:rPr>
        <w:t>本单位</w:t>
      </w:r>
      <w:r>
        <w:rPr>
          <w:rFonts w:hint="default" w:ascii="Times New Roman" w:hAnsi="Times New Roman" w:eastAsia="仿宋_GB2312" w:cs="Times New Roman"/>
          <w:highlight w:val="none"/>
          <w:lang w:val="en-US" w:eastAsia="zh-CN"/>
        </w:rPr>
        <w:t>科研管理办公室留档。</w:t>
      </w:r>
      <w:r>
        <w:rPr>
          <w:rFonts w:hint="eastAsia" w:ascii="Times New Roman" w:hAnsi="Times New Roman" w:eastAsia="仿宋_GB2312" w:cs="Times New Roman"/>
          <w:highlight w:val="none"/>
          <w:lang w:val="en-US" w:eastAsia="zh-CN"/>
        </w:rPr>
        <w:t>本项目开展执行过程中所需人员条件、试验地、物资以及仪器设备均得到本单位全力支持。</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2"/>
          <w:sz w:val="32"/>
          <w:szCs w:val="32"/>
          <w:highlight w:val="none"/>
          <w:lang w:val="en-US" w:eastAsia="zh-CN" w:bidi="ar-SA"/>
        </w:rPr>
      </w:pPr>
      <w:r>
        <w:rPr>
          <w:rFonts w:hint="default" w:ascii="Times New Roman" w:hAnsi="Times New Roman" w:eastAsia="仿宋_GB2312" w:cs="Times New Roman"/>
          <w:b/>
          <w:bCs/>
          <w:kern w:val="2"/>
          <w:sz w:val="32"/>
          <w:szCs w:val="32"/>
          <w:highlight w:val="none"/>
          <w:lang w:val="en-US" w:eastAsia="zh-CN" w:bidi="ar-SA"/>
        </w:rPr>
        <w:t>（三）项目产出情况</w:t>
      </w:r>
      <w:bookmarkEnd w:id="14"/>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数量指标完成情况：指标1：</w:t>
      </w:r>
      <w:r>
        <w:rPr>
          <w:rFonts w:hint="eastAsia" w:cs="Times New Roman"/>
          <w:b w:val="0"/>
          <w:bCs w:val="0"/>
          <w:kern w:val="2"/>
          <w:sz w:val="30"/>
          <w:szCs w:val="24"/>
          <w:lang w:val="en-US" w:eastAsia="zh-CN" w:bidi="ar-SA"/>
        </w:rPr>
        <w:t>物资采购批次</w:t>
      </w:r>
      <w:r>
        <w:rPr>
          <w:rFonts w:hint="default"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≥3批</w:t>
      </w:r>
      <w:r>
        <w:rPr>
          <w:rFonts w:hint="default" w:ascii="Times New Roman" w:hAnsi="Times New Roman" w:eastAsia="仿宋_GB2312" w:cs="Times New Roman"/>
          <w:b w:val="0"/>
          <w:bCs w:val="0"/>
          <w:kern w:val="2"/>
          <w:sz w:val="30"/>
          <w:szCs w:val="24"/>
          <w:lang w:val="en-US" w:eastAsia="zh-CN" w:bidi="ar-SA"/>
        </w:rPr>
        <w:t>，实际完成值</w:t>
      </w:r>
      <w:r>
        <w:rPr>
          <w:rFonts w:hint="eastAsia" w:cs="Times New Roman"/>
          <w:b w:val="0"/>
          <w:bCs w:val="0"/>
          <w:kern w:val="2"/>
          <w:sz w:val="30"/>
          <w:szCs w:val="24"/>
          <w:lang w:val="en-US" w:eastAsia="zh-CN" w:bidi="ar-SA"/>
        </w:rPr>
        <w:t>3批</w:t>
      </w:r>
      <w:r>
        <w:rPr>
          <w:rFonts w:hint="default" w:ascii="Times New Roman" w:hAnsi="Times New Roman" w:eastAsia="仿宋_GB2312" w:cs="Times New Roman"/>
          <w:b w:val="0"/>
          <w:bCs w:val="0"/>
          <w:kern w:val="2"/>
          <w:sz w:val="30"/>
          <w:szCs w:val="24"/>
          <w:lang w:val="en-US" w:eastAsia="zh-CN" w:bidi="ar-SA"/>
        </w:rPr>
        <w:t>，指标完成率100%</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指标2：</w:t>
      </w:r>
      <w:r>
        <w:rPr>
          <w:rFonts w:hint="eastAsia" w:cs="Times New Roman"/>
          <w:b w:val="0"/>
          <w:bCs w:val="0"/>
          <w:kern w:val="2"/>
          <w:sz w:val="30"/>
          <w:szCs w:val="24"/>
          <w:lang w:val="en-US" w:eastAsia="zh-CN" w:bidi="ar-SA"/>
        </w:rPr>
        <w:t>科研成果</w:t>
      </w:r>
      <w:r>
        <w:rPr>
          <w:rFonts w:hint="default"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2</w:t>
      </w:r>
      <w:r>
        <w:rPr>
          <w:rFonts w:hint="eastAsia" w:cs="Times New Roman"/>
          <w:b w:val="0"/>
          <w:bCs w:val="0"/>
          <w:kern w:val="2"/>
          <w:sz w:val="30"/>
          <w:szCs w:val="24"/>
          <w:lang w:val="en-US" w:eastAsia="zh-CN" w:bidi="ar-SA"/>
        </w:rPr>
        <w:t>项</w:t>
      </w:r>
      <w:r>
        <w:rPr>
          <w:rFonts w:hint="default" w:ascii="Times New Roman" w:hAnsi="Times New Roman" w:eastAsia="仿宋_GB2312" w:cs="Times New Roman"/>
          <w:b w:val="0"/>
          <w:bCs w:val="0"/>
          <w:kern w:val="2"/>
          <w:sz w:val="30"/>
          <w:szCs w:val="24"/>
          <w:lang w:val="en-US" w:eastAsia="zh-CN" w:bidi="ar-SA"/>
        </w:rPr>
        <w:t>，实际完成值2</w:t>
      </w:r>
      <w:r>
        <w:rPr>
          <w:rFonts w:hint="eastAsia" w:cs="Times New Roman"/>
          <w:b w:val="0"/>
          <w:bCs w:val="0"/>
          <w:kern w:val="2"/>
          <w:sz w:val="30"/>
          <w:szCs w:val="24"/>
          <w:lang w:val="en-US" w:eastAsia="zh-CN" w:bidi="ar-SA"/>
        </w:rPr>
        <w:t>项</w:t>
      </w:r>
      <w:r>
        <w:rPr>
          <w:rFonts w:hint="default" w:ascii="Times New Roman" w:hAnsi="Times New Roman" w:eastAsia="仿宋_GB2312" w:cs="Times New Roman"/>
          <w:b w:val="0"/>
          <w:bCs w:val="0"/>
          <w:kern w:val="2"/>
          <w:sz w:val="30"/>
          <w:szCs w:val="24"/>
          <w:lang w:val="en-US" w:eastAsia="zh-CN" w:bidi="ar-SA"/>
        </w:rPr>
        <w:t>，指标完成率100%。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质量指标完成情况：指标1：物资验收合格率，指标值：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90%，实际完成值100%，指标完成率111.11%。</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3</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时效指标完成情况：指标1：物资采购及时率，指标值：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90%，实际完成值100%，指标完成率111.11%。</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4</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经济成本指标完成情况：指标1：物资采购</w:t>
      </w:r>
      <w:r>
        <w:rPr>
          <w:rFonts w:hint="eastAsia" w:cs="Times New Roman"/>
          <w:b w:val="0"/>
          <w:bCs w:val="0"/>
          <w:kern w:val="2"/>
          <w:sz w:val="30"/>
          <w:szCs w:val="24"/>
          <w:lang w:val="en-US" w:eastAsia="zh-CN" w:bidi="ar-SA"/>
        </w:rPr>
        <w:t>支出</w:t>
      </w:r>
      <w:r>
        <w:rPr>
          <w:rFonts w:hint="default"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≤15</w:t>
      </w:r>
      <w:r>
        <w:rPr>
          <w:rFonts w:hint="default" w:ascii="Times New Roman" w:hAnsi="Times New Roman" w:eastAsia="仿宋_GB2312" w:cs="Times New Roman"/>
          <w:b w:val="0"/>
          <w:bCs w:val="0"/>
          <w:kern w:val="2"/>
          <w:sz w:val="30"/>
          <w:szCs w:val="24"/>
          <w:lang w:val="en-US" w:eastAsia="zh-CN" w:bidi="ar-SA"/>
        </w:rPr>
        <w:t>万元，实际完成值</w:t>
      </w:r>
      <w:r>
        <w:rPr>
          <w:rFonts w:hint="eastAsia" w:cs="Times New Roman"/>
          <w:b w:val="0"/>
          <w:bCs w:val="0"/>
          <w:kern w:val="2"/>
          <w:sz w:val="30"/>
          <w:szCs w:val="24"/>
          <w:lang w:val="en-US" w:eastAsia="zh-CN" w:bidi="ar-SA"/>
        </w:rPr>
        <w:t>15</w:t>
      </w:r>
      <w:r>
        <w:rPr>
          <w:rFonts w:hint="default" w:ascii="Times New Roman" w:hAnsi="Times New Roman" w:eastAsia="仿宋_GB2312" w:cs="Times New Roman"/>
          <w:b w:val="0"/>
          <w:bCs w:val="0"/>
          <w:kern w:val="2"/>
          <w:sz w:val="30"/>
          <w:szCs w:val="24"/>
          <w:lang w:val="en-US" w:eastAsia="zh-CN" w:bidi="ar-SA"/>
        </w:rPr>
        <w:t>万元，指标完成率100%</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指标2：科研业务费，指标值：</w:t>
      </w:r>
      <w:r>
        <w:rPr>
          <w:rFonts w:hint="eastAsia" w:cs="Times New Roman"/>
          <w:b w:val="0"/>
          <w:bCs w:val="0"/>
          <w:kern w:val="2"/>
          <w:sz w:val="30"/>
          <w:szCs w:val="24"/>
          <w:lang w:val="en-US" w:eastAsia="zh-CN" w:bidi="ar-SA"/>
        </w:rPr>
        <w:t>≤23</w:t>
      </w:r>
      <w:r>
        <w:rPr>
          <w:rFonts w:hint="default" w:ascii="Times New Roman" w:hAnsi="Times New Roman" w:eastAsia="仿宋_GB2312" w:cs="Times New Roman"/>
          <w:b w:val="0"/>
          <w:bCs w:val="0"/>
          <w:kern w:val="2"/>
          <w:sz w:val="30"/>
          <w:szCs w:val="24"/>
          <w:lang w:val="en-US" w:eastAsia="zh-CN" w:bidi="ar-SA"/>
        </w:rPr>
        <w:t>万元，实际完成值</w:t>
      </w:r>
      <w:r>
        <w:rPr>
          <w:rFonts w:hint="eastAsia" w:cs="Times New Roman"/>
          <w:b w:val="0"/>
          <w:bCs w:val="0"/>
          <w:kern w:val="2"/>
          <w:sz w:val="30"/>
          <w:szCs w:val="24"/>
          <w:lang w:val="en-US" w:eastAsia="zh-CN" w:bidi="ar-SA"/>
        </w:rPr>
        <w:t>23</w:t>
      </w:r>
      <w:r>
        <w:rPr>
          <w:rFonts w:hint="default" w:ascii="Times New Roman" w:hAnsi="Times New Roman" w:eastAsia="仿宋_GB2312" w:cs="Times New Roman"/>
          <w:b w:val="0"/>
          <w:bCs w:val="0"/>
          <w:kern w:val="2"/>
          <w:sz w:val="30"/>
          <w:szCs w:val="24"/>
          <w:lang w:val="en-US" w:eastAsia="zh-CN" w:bidi="ar-SA"/>
        </w:rPr>
        <w:t>万元，指标完成率100%</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3</w:t>
      </w:r>
      <w:r>
        <w:rPr>
          <w:rFonts w:hint="default" w:ascii="Times New Roman" w:hAnsi="Times New Roman" w:eastAsia="仿宋_GB2312" w:cs="Times New Roman"/>
          <w:b w:val="0"/>
          <w:bCs w:val="0"/>
          <w:kern w:val="2"/>
          <w:sz w:val="30"/>
          <w:szCs w:val="24"/>
          <w:lang w:val="en-US" w:eastAsia="zh-CN" w:bidi="ar-SA"/>
        </w:rPr>
        <w:t>：劳务费发放资金数，指标值：</w:t>
      </w:r>
      <w:r>
        <w:rPr>
          <w:rFonts w:hint="eastAsia" w:cs="Times New Roman"/>
          <w:b w:val="0"/>
          <w:bCs w:val="0"/>
          <w:kern w:val="2"/>
          <w:sz w:val="30"/>
          <w:szCs w:val="24"/>
          <w:lang w:val="en-US" w:eastAsia="zh-CN" w:bidi="ar-SA"/>
        </w:rPr>
        <w:t>≤30</w:t>
      </w:r>
      <w:r>
        <w:rPr>
          <w:rFonts w:hint="default" w:ascii="Times New Roman" w:hAnsi="Times New Roman" w:eastAsia="仿宋_GB2312" w:cs="Times New Roman"/>
          <w:b w:val="0"/>
          <w:bCs w:val="0"/>
          <w:kern w:val="2"/>
          <w:sz w:val="30"/>
          <w:szCs w:val="24"/>
          <w:lang w:val="en-US" w:eastAsia="zh-CN" w:bidi="ar-SA"/>
        </w:rPr>
        <w:t>万元，实际完成值</w:t>
      </w:r>
      <w:r>
        <w:rPr>
          <w:rFonts w:hint="eastAsia" w:cs="Times New Roman"/>
          <w:b w:val="0"/>
          <w:bCs w:val="0"/>
          <w:kern w:val="2"/>
          <w:sz w:val="30"/>
          <w:szCs w:val="24"/>
          <w:lang w:val="en-US" w:eastAsia="zh-CN" w:bidi="ar-SA"/>
        </w:rPr>
        <w:t>30</w:t>
      </w:r>
      <w:r>
        <w:rPr>
          <w:rFonts w:hint="default" w:ascii="Times New Roman" w:hAnsi="Times New Roman" w:eastAsia="仿宋_GB2312" w:cs="Times New Roman"/>
          <w:b w:val="0"/>
          <w:bCs w:val="0"/>
          <w:kern w:val="2"/>
          <w:sz w:val="30"/>
          <w:szCs w:val="24"/>
          <w:lang w:val="en-US" w:eastAsia="zh-CN" w:bidi="ar-SA"/>
        </w:rPr>
        <w:t>万元，指标完成率100%。</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color w:val="auto"/>
          <w:highlight w:val="none"/>
        </w:rPr>
      </w:pPr>
      <w:bookmarkStart w:id="15" w:name="_Toc68703841"/>
      <w:r>
        <w:rPr>
          <w:rFonts w:hint="default" w:ascii="Times New Roman" w:hAnsi="Times New Roman" w:eastAsia="仿宋_GB2312" w:cs="Times New Roman"/>
          <w:b/>
          <w:bCs/>
          <w:highlight w:val="none"/>
        </w:rPr>
        <w:t>（</w:t>
      </w:r>
      <w:r>
        <w:rPr>
          <w:rFonts w:hint="default" w:ascii="Times New Roman" w:hAnsi="Times New Roman" w:eastAsia="仿宋_GB2312" w:cs="Times New Roman"/>
          <w:b/>
          <w:bCs/>
          <w:highlight w:val="none"/>
          <w:lang w:eastAsia="zh-CN"/>
        </w:rPr>
        <w:t>四</w:t>
      </w:r>
      <w:r>
        <w:rPr>
          <w:rFonts w:hint="default" w:ascii="Times New Roman" w:hAnsi="Times New Roman" w:eastAsia="仿宋_GB2312" w:cs="Times New Roman"/>
          <w:b/>
          <w:bCs/>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1</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lang w:eastAsia="zh-CN"/>
        </w:rPr>
        <w:t>经济效益指标完成情况：</w:t>
      </w:r>
      <w:r>
        <w:rPr>
          <w:rFonts w:hint="eastAsia" w:cs="Times New Roman"/>
          <w:color w:val="auto"/>
          <w:highlight w:val="none"/>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2</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lang w:eastAsia="zh-CN"/>
        </w:rPr>
        <w:t>社会效益指标完成情况：指标</w:t>
      </w:r>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color w:val="auto"/>
          <w:highlight w:val="none"/>
          <w:lang w:eastAsia="zh-CN"/>
        </w:rPr>
        <w:t>：农业科研的实力和水平，指标值：持续提高，实际完成值</w:t>
      </w:r>
      <w:r>
        <w:rPr>
          <w:rFonts w:hint="default" w:ascii="Times New Roman" w:hAnsi="Times New Roman" w:eastAsia="仿宋_GB2312" w:cs="Times New Roman"/>
          <w:color w:val="auto"/>
          <w:highlight w:val="none"/>
          <w:lang w:val="en-US" w:eastAsia="zh-CN"/>
        </w:rPr>
        <w:t>达成目标</w:t>
      </w:r>
      <w:r>
        <w:rPr>
          <w:rFonts w:hint="default" w:ascii="Times New Roman" w:hAnsi="Times New Roman" w:eastAsia="仿宋_GB2312" w:cs="Times New Roman"/>
          <w:color w:val="auto"/>
          <w:highlight w:val="none"/>
          <w:lang w:eastAsia="zh-CN"/>
        </w:rPr>
        <w:t>，指标完成率</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b w:val="0"/>
          <w:bCs w:val="0"/>
          <w:kern w:val="2"/>
          <w:sz w:val="30"/>
          <w:szCs w:val="24"/>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highlight w:val="none"/>
          <w:lang w:eastAsia="zh-CN"/>
        </w:rPr>
      </w:pPr>
      <w:r>
        <w:rPr>
          <w:rFonts w:hint="eastAsia" w:ascii="Times New Roman" w:hAnsi="Times New Roman" w:eastAsia="仿宋_GB2312" w:cs="Times New Roman"/>
          <w:color w:val="auto"/>
          <w:highlight w:val="none"/>
          <w:lang w:val="en-US" w:eastAsia="zh-CN"/>
        </w:rPr>
        <w:t>3</w:t>
      </w:r>
      <w:r>
        <w:rPr>
          <w:rFonts w:hint="eastAsia" w:cs="Times New Roman"/>
          <w:color w:val="auto"/>
          <w:highlight w:val="none"/>
          <w:lang w:val="en-US" w:eastAsia="zh-CN"/>
        </w:rPr>
        <w:t>.</w:t>
      </w:r>
      <w:r>
        <w:rPr>
          <w:rFonts w:hint="eastAsia" w:ascii="Times New Roman" w:hAnsi="Times New Roman" w:eastAsia="仿宋_GB2312" w:cs="Times New Roman"/>
          <w:color w:val="auto"/>
          <w:highlight w:val="none"/>
          <w:lang w:eastAsia="zh-CN"/>
        </w:rPr>
        <w:t>生态效益指标</w:t>
      </w:r>
      <w:r>
        <w:rPr>
          <w:rFonts w:hint="default" w:ascii="Times New Roman" w:hAnsi="Times New Roman" w:eastAsia="仿宋_GB2312" w:cs="Times New Roman"/>
          <w:color w:val="auto"/>
          <w:highlight w:val="none"/>
          <w:lang w:eastAsia="zh-CN"/>
        </w:rPr>
        <w:t>完成情况</w:t>
      </w:r>
      <w:r>
        <w:rPr>
          <w:rFonts w:hint="eastAsia" w:ascii="Times New Roman" w:hAnsi="Times New Roman" w:eastAsia="仿宋_GB2312" w:cs="Times New Roman"/>
          <w:color w:val="auto"/>
          <w:highlight w:val="none"/>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4</w:t>
      </w:r>
      <w:r>
        <w:rPr>
          <w:rFonts w:hint="eastAsia" w:cs="Times New Roman"/>
          <w:color w:val="auto"/>
          <w:highlight w:val="none"/>
          <w:lang w:val="en-US" w:eastAsia="zh-CN"/>
        </w:rPr>
        <w:t>.</w:t>
      </w:r>
      <w:r>
        <w:rPr>
          <w:rFonts w:hint="eastAsia" w:ascii="Times New Roman" w:hAnsi="Times New Roman" w:eastAsia="仿宋_GB2312" w:cs="Times New Roman"/>
          <w:color w:val="auto"/>
          <w:highlight w:val="none"/>
          <w:lang w:eastAsia="zh-CN"/>
        </w:rPr>
        <w:t>可持续影响指标</w:t>
      </w:r>
      <w:r>
        <w:rPr>
          <w:rFonts w:hint="default" w:ascii="Times New Roman" w:hAnsi="Times New Roman" w:eastAsia="仿宋_GB2312" w:cs="Times New Roman"/>
          <w:color w:val="auto"/>
          <w:highlight w:val="none"/>
          <w:lang w:eastAsia="zh-CN"/>
        </w:rPr>
        <w:t>完成情况</w:t>
      </w:r>
      <w:r>
        <w:rPr>
          <w:rFonts w:hint="eastAsia" w:ascii="Times New Roman" w:hAnsi="Times New Roman" w:eastAsia="仿宋_GB2312" w:cs="Times New Roman"/>
          <w:color w:val="auto"/>
          <w:highlight w:val="none"/>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color w:val="auto"/>
          <w:highlight w:val="none"/>
          <w:lang w:val="en-US" w:eastAsia="zh-CN"/>
        </w:rPr>
        <w:t>5</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lang w:eastAsia="zh-CN"/>
        </w:rPr>
        <w:t>满意度指标完成情况：指标</w:t>
      </w:r>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color w:val="auto"/>
          <w:highlight w:val="none"/>
          <w:lang w:eastAsia="zh-CN"/>
        </w:rPr>
        <w:t>：农民满意度，指标值：</w:t>
      </w:r>
      <w:r>
        <w:rPr>
          <w:rFonts w:hint="eastAsia" w:cs="Times New Roman"/>
          <w:color w:val="auto"/>
          <w:highlight w:val="none"/>
          <w:lang w:eastAsia="zh-CN"/>
        </w:rPr>
        <w:t>≥</w:t>
      </w:r>
      <w:r>
        <w:rPr>
          <w:rFonts w:hint="default" w:ascii="Times New Roman" w:hAnsi="Times New Roman" w:eastAsia="仿宋_GB2312" w:cs="Times New Roman"/>
          <w:color w:val="auto"/>
          <w:highlight w:val="none"/>
          <w:lang w:eastAsia="zh-CN"/>
        </w:rPr>
        <w:t>90%，实际完成值</w:t>
      </w:r>
      <w:r>
        <w:rPr>
          <w:rFonts w:hint="eastAsia" w:cs="Times New Roman"/>
          <w:color w:val="auto"/>
          <w:highlight w:val="none"/>
          <w:lang w:val="en-US" w:eastAsia="zh-CN"/>
        </w:rPr>
        <w:t>90.91</w:t>
      </w:r>
      <w:r>
        <w:rPr>
          <w:rFonts w:hint="default" w:ascii="Times New Roman" w:hAnsi="Times New Roman" w:eastAsia="仿宋_GB2312" w:cs="Times New Roman"/>
          <w:color w:val="auto"/>
          <w:highlight w:val="none"/>
          <w:lang w:val="en-US" w:eastAsia="zh-CN"/>
        </w:rPr>
        <w:t>%</w:t>
      </w:r>
      <w:r>
        <w:rPr>
          <w:rFonts w:hint="default" w:ascii="Times New Roman" w:hAnsi="Times New Roman" w:eastAsia="仿宋_GB2312" w:cs="Times New Roman"/>
          <w:color w:val="auto"/>
          <w:highlight w:val="none"/>
          <w:lang w:eastAsia="zh-CN"/>
        </w:rPr>
        <w:t>，指标完成率</w:t>
      </w:r>
      <w:r>
        <w:rPr>
          <w:rFonts w:hint="default" w:ascii="Times New Roman" w:hAnsi="Times New Roman" w:eastAsia="仿宋_GB2312" w:cs="Times New Roman"/>
          <w:color w:val="auto"/>
          <w:highlight w:val="none"/>
          <w:lang w:val="en-US" w:eastAsia="zh-CN"/>
        </w:rPr>
        <w:t>1</w:t>
      </w:r>
      <w:r>
        <w:rPr>
          <w:rFonts w:hint="eastAsia" w:cs="Times New Roman"/>
          <w:color w:val="auto"/>
          <w:highlight w:val="none"/>
          <w:lang w:val="en-US" w:eastAsia="zh-CN"/>
        </w:rPr>
        <w:t>0</w:t>
      </w:r>
      <w:r>
        <w:rPr>
          <w:rFonts w:hint="default" w:ascii="Times New Roman" w:hAnsi="Times New Roman" w:eastAsia="仿宋_GB2312" w:cs="Times New Roman"/>
          <w:color w:val="auto"/>
          <w:highlight w:val="none"/>
          <w:lang w:val="en-US" w:eastAsia="zh-CN"/>
        </w:rPr>
        <w:t>1.</w:t>
      </w:r>
      <w:r>
        <w:rPr>
          <w:rFonts w:hint="eastAsia" w:cs="Times New Roman"/>
          <w:color w:val="auto"/>
          <w:highlight w:val="none"/>
          <w:lang w:val="en-US" w:eastAsia="zh-CN"/>
        </w:rPr>
        <w:t>0</w:t>
      </w:r>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b w:val="0"/>
          <w:bCs w:val="0"/>
          <w:kern w:val="2"/>
          <w:sz w:val="30"/>
          <w:szCs w:val="24"/>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20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20</w:t>
      </w:r>
      <w:r>
        <w:rPr>
          <w:rFonts w:hint="default" w:ascii="Times New Roman" w:hAnsi="Times New Roman" w:eastAsia="仿宋_GB2312" w:cs="Times New Roman"/>
          <w:b w:val="0"/>
          <w:bCs w:val="0"/>
          <w:kern w:val="2"/>
          <w:sz w:val="30"/>
          <w:szCs w:val="24"/>
          <w:lang w:val="en-US" w:eastAsia="zh-CN" w:bidi="ar-SA"/>
        </w:rPr>
        <w:t>分。</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44"/>
          <w:sz w:val="32"/>
          <w:szCs w:val="32"/>
          <w:highlight w:val="none"/>
          <w:lang w:val="en-US" w:eastAsia="zh-Hans" w:bidi="ar-SA"/>
        </w:rPr>
      </w:pPr>
      <w:bookmarkStart w:id="16" w:name="_Toc68703842"/>
      <w:r>
        <w:rPr>
          <w:rFonts w:hint="default" w:ascii="Times New Roman" w:hAnsi="Times New Roman" w:eastAsia="仿宋_GB2312" w:cs="Times New Roman"/>
          <w:b/>
          <w:bCs/>
          <w:kern w:val="44"/>
          <w:sz w:val="32"/>
          <w:szCs w:val="32"/>
          <w:highlight w:val="none"/>
          <w:lang w:val="en-US" w:eastAsia="zh-Hans" w:bidi="ar-SA"/>
        </w:rPr>
        <w:t>五、预算执行进度与绩效指标总体完成率偏差</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eastAsia" w:cs="Times New Roman"/>
          <w:b w:val="0"/>
          <w:bCs w:val="0"/>
          <w:kern w:val="2"/>
          <w:sz w:val="30"/>
          <w:szCs w:val="24"/>
          <w:highlight w:val="none"/>
          <w:lang w:val="en-US" w:eastAsia="zh-CN" w:bidi="ar-SA"/>
        </w:rPr>
        <w:t>《基本科研项目》</w:t>
      </w:r>
      <w:r>
        <w:rPr>
          <w:rFonts w:hint="default" w:ascii="Times New Roman" w:hAnsi="Times New Roman" w:eastAsia="仿宋_GB2312" w:cs="Times New Roman"/>
          <w:b w:val="0"/>
          <w:bCs w:val="0"/>
          <w:kern w:val="2"/>
          <w:sz w:val="30"/>
          <w:szCs w:val="24"/>
          <w:highlight w:val="none"/>
          <w:lang w:val="en-US" w:eastAsia="zh-CN" w:bidi="ar-SA"/>
        </w:rPr>
        <w:t>项目</w:t>
      </w:r>
      <w:r>
        <w:rPr>
          <w:rFonts w:hint="default" w:ascii="Times New Roman" w:hAnsi="Times New Roman" w:eastAsia="仿宋_GB2312" w:cs="Times New Roman"/>
          <w:color w:val="auto"/>
          <w:highlight w:val="none"/>
          <w:lang w:val="en-US" w:eastAsia="zh-CN"/>
        </w:rPr>
        <w:t>年初预算</w:t>
      </w:r>
      <w:r>
        <w:rPr>
          <w:rFonts w:hint="eastAsia" w:cs="Times New Roman"/>
          <w:color w:val="auto"/>
          <w:highlight w:val="none"/>
          <w:lang w:val="en-US" w:eastAsia="zh-CN"/>
        </w:rPr>
        <w:t>68.00</w:t>
      </w:r>
      <w:r>
        <w:rPr>
          <w:rFonts w:hint="default" w:ascii="Times New Roman" w:hAnsi="Times New Roman" w:eastAsia="仿宋_GB2312" w:cs="Times New Roman"/>
          <w:color w:val="auto"/>
          <w:highlight w:val="none"/>
          <w:lang w:val="en-US" w:eastAsia="zh-CN"/>
        </w:rPr>
        <w:t>万元，全年预算</w:t>
      </w:r>
      <w:r>
        <w:rPr>
          <w:rFonts w:hint="eastAsia" w:cs="Times New Roman"/>
          <w:color w:val="auto"/>
          <w:highlight w:val="none"/>
          <w:lang w:val="en-US" w:eastAsia="zh-CN"/>
        </w:rPr>
        <w:t>68.00</w:t>
      </w:r>
      <w:r>
        <w:rPr>
          <w:rFonts w:hint="default" w:ascii="Times New Roman" w:hAnsi="Times New Roman" w:eastAsia="仿宋_GB2312" w:cs="Times New Roman"/>
          <w:color w:val="auto"/>
          <w:highlight w:val="none"/>
          <w:lang w:val="en-US" w:eastAsia="zh-CN"/>
        </w:rPr>
        <w:t>万元，实际支出</w:t>
      </w:r>
      <w:r>
        <w:rPr>
          <w:rFonts w:hint="eastAsia" w:cs="Times New Roman"/>
          <w:color w:val="auto"/>
          <w:highlight w:val="none"/>
          <w:lang w:val="en-US" w:eastAsia="zh-CN"/>
        </w:rPr>
        <w:t>68.00</w:t>
      </w:r>
      <w:r>
        <w:rPr>
          <w:rFonts w:hint="default" w:ascii="Times New Roman" w:hAnsi="Times New Roman" w:eastAsia="仿宋_GB2312" w:cs="Times New Roman"/>
          <w:color w:val="auto"/>
          <w:highlight w:val="none"/>
          <w:lang w:val="en-US" w:eastAsia="zh-CN"/>
        </w:rPr>
        <w:t>万元，预算执行率为100%，项目绩效指标总体完成率为1</w:t>
      </w:r>
      <w:r>
        <w:rPr>
          <w:rFonts w:hint="eastAsia" w:cs="Times New Roman"/>
          <w:color w:val="auto"/>
          <w:highlight w:val="none"/>
          <w:lang w:val="en-US" w:eastAsia="zh-CN"/>
        </w:rPr>
        <w:t>02.58</w:t>
      </w:r>
      <w:r>
        <w:rPr>
          <w:rFonts w:hint="default" w:ascii="Times New Roman" w:hAnsi="Times New Roman" w:eastAsia="仿宋_GB2312" w:cs="Times New Roman"/>
          <w:color w:val="auto"/>
          <w:highlight w:val="none"/>
          <w:lang w:val="en-US" w:eastAsia="zh-CN"/>
        </w:rPr>
        <w:t>%，</w:t>
      </w:r>
      <w:r>
        <w:rPr>
          <w:rFonts w:hint="default" w:ascii="Times New Roman" w:hAnsi="Times New Roman" w:eastAsia="仿宋_GB2312" w:cs="Times New Roman"/>
          <w:color w:val="auto"/>
          <w:highlight w:val="none"/>
          <w:lang w:val="en-US" w:eastAsia="zh-Hans"/>
        </w:rPr>
        <w:t>总体</w:t>
      </w:r>
      <w:r>
        <w:rPr>
          <w:rFonts w:hint="default" w:ascii="Times New Roman" w:hAnsi="Times New Roman" w:eastAsia="仿宋_GB2312" w:cs="Times New Roman"/>
          <w:color w:val="auto"/>
          <w:highlight w:val="none"/>
          <w:lang w:val="en-US" w:eastAsia="zh-CN"/>
        </w:rPr>
        <w:t>偏差率为</w:t>
      </w:r>
      <w:r>
        <w:rPr>
          <w:rFonts w:hint="eastAsia" w:cs="Times New Roman"/>
          <w:color w:val="auto"/>
          <w:highlight w:val="none"/>
          <w:lang w:val="en-US" w:eastAsia="zh-CN"/>
        </w:rPr>
        <w:t>2.58</w:t>
      </w:r>
      <w:r>
        <w:rPr>
          <w:rFonts w:hint="default" w:ascii="Times New Roman" w:hAnsi="Times New Roman" w:eastAsia="仿宋_GB2312" w:cs="Times New Roman"/>
          <w:color w:val="auto"/>
          <w:highlight w:val="none"/>
          <w:lang w:val="en-US" w:eastAsia="zh-CN"/>
        </w:rPr>
        <w:t>%，</w:t>
      </w:r>
      <w:r>
        <w:rPr>
          <w:rFonts w:hint="default" w:ascii="Times New Roman" w:hAnsi="Times New Roman" w:eastAsia="仿宋_GB2312" w:cs="Times New Roman"/>
          <w:color w:val="auto"/>
          <w:highlight w:val="none"/>
          <w:lang w:val="en-US" w:eastAsia="zh-Hans"/>
        </w:rPr>
        <w:t>偏差</w:t>
      </w:r>
      <w:r>
        <w:rPr>
          <w:rFonts w:hint="default" w:ascii="Times New Roman" w:hAnsi="Times New Roman" w:eastAsia="仿宋_GB2312" w:cs="Times New Roman"/>
          <w:color w:val="auto"/>
          <w:highlight w:val="none"/>
          <w:lang w:val="en-US" w:eastAsia="zh-CN"/>
        </w:rPr>
        <w:t>原因项目执行过程中存在项目实际开展需要和项目方案计划</w:t>
      </w:r>
      <w:r>
        <w:rPr>
          <w:rFonts w:hint="eastAsia" w:cs="Times New Roman"/>
          <w:color w:val="auto"/>
          <w:highlight w:val="none"/>
          <w:lang w:val="en-US" w:eastAsia="zh-CN"/>
        </w:rPr>
        <w:t>有正向偏差</w:t>
      </w:r>
      <w:r>
        <w:rPr>
          <w:rFonts w:hint="default" w:ascii="Times New Roman" w:hAnsi="Times New Roman" w:eastAsia="仿宋_GB2312" w:cs="Times New Roman"/>
          <w:color w:val="auto"/>
          <w:highlight w:val="none"/>
          <w:lang w:val="en-US" w:eastAsia="zh-CN"/>
        </w:rPr>
        <w:t>的情况，</w:t>
      </w:r>
      <w:r>
        <w:rPr>
          <w:rFonts w:hint="eastAsia" w:cs="Times New Roman"/>
          <w:color w:val="auto"/>
          <w:highlight w:val="none"/>
          <w:lang w:val="en-US" w:eastAsia="zh-CN"/>
        </w:rPr>
        <w:t>例如</w:t>
      </w:r>
      <w:r>
        <w:rPr>
          <w:rFonts w:hint="default" w:ascii="Times New Roman" w:hAnsi="Times New Roman" w:eastAsia="仿宋_GB2312" w:cs="Times New Roman"/>
          <w:color w:val="auto"/>
          <w:highlight w:val="none"/>
          <w:lang w:val="en-US" w:eastAsia="zh-CN"/>
        </w:rPr>
        <w:t>在指标设定时考虑</w:t>
      </w:r>
      <w:r>
        <w:rPr>
          <w:rFonts w:hint="eastAsia" w:cs="Times New Roman"/>
          <w:color w:val="auto"/>
          <w:highlight w:val="none"/>
          <w:lang w:val="en-US" w:eastAsia="zh-CN"/>
        </w:rPr>
        <w:t>培训计划人数与实际人数增多的</w:t>
      </w:r>
      <w:r>
        <w:rPr>
          <w:rFonts w:hint="default" w:ascii="Times New Roman" w:hAnsi="Times New Roman" w:eastAsia="仿宋_GB2312" w:cs="Times New Roman"/>
          <w:color w:val="auto"/>
          <w:highlight w:val="none"/>
          <w:lang w:val="en-US" w:eastAsia="zh-CN"/>
        </w:rPr>
        <w:t>问题，但在项目执行中，通过政采云平台采购的物资，均达到了100%合格。</w:t>
      </w:r>
      <w:r>
        <w:rPr>
          <w:rFonts w:hint="default" w:ascii="Times New Roman" w:hAnsi="Times New Roman" w:eastAsia="仿宋_GB2312" w:cs="Times New Roman"/>
          <w:color w:val="auto"/>
          <w:highlight w:val="none"/>
          <w:lang w:val="en-US" w:eastAsia="zh-Hans"/>
        </w:rPr>
        <w:t>改进</w:t>
      </w:r>
      <w:r>
        <w:rPr>
          <w:rFonts w:hint="default" w:ascii="Times New Roman" w:hAnsi="Times New Roman" w:eastAsia="仿宋_GB2312" w:cs="Times New Roman"/>
          <w:color w:val="auto"/>
          <w:highlight w:val="none"/>
          <w:lang w:val="en-US" w:eastAsia="zh-CN"/>
        </w:rPr>
        <w:t>措施：在今后的项目执行中，加强项目计划</w:t>
      </w:r>
      <w:r>
        <w:rPr>
          <w:rFonts w:hint="eastAsia" w:cs="Times New Roman"/>
          <w:color w:val="auto"/>
          <w:highlight w:val="none"/>
          <w:lang w:val="en-US" w:eastAsia="zh-CN"/>
        </w:rPr>
        <w:t>指标值</w:t>
      </w:r>
      <w:r>
        <w:rPr>
          <w:rFonts w:hint="default" w:ascii="Times New Roman" w:hAnsi="Times New Roman" w:eastAsia="仿宋_GB2312" w:cs="Times New Roman"/>
          <w:color w:val="auto"/>
          <w:highlight w:val="none"/>
          <w:lang w:val="en-US" w:eastAsia="zh-CN"/>
        </w:rPr>
        <w:t>设定的合理性以及规范性。</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17" w:name="_Toc68703843"/>
      <w:r>
        <w:rPr>
          <w:rFonts w:hint="default" w:ascii="Times New Roman" w:hAnsi="Times New Roman" w:eastAsia="仿宋_GB2312" w:cs="Times New Roman"/>
          <w:b/>
          <w:bCs/>
        </w:rPr>
        <w:t>（一）主要经验及做法</w:t>
      </w:r>
      <w:bookmarkEnd w:id="17"/>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项目开展前期做好可行性研究计划，更加细化项目涵盖的各类试验方案，做好指标值设定，以保质保量完成各项指标。严格执行资金管理办法和财政资金管理制度，严格按照项目实施计划以及试验方案等稳步推进工作。</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18" w:name="_Toc68703844"/>
      <w:r>
        <w:rPr>
          <w:rFonts w:hint="default" w:ascii="Times New Roman" w:hAnsi="Times New Roman" w:eastAsia="仿宋_GB2312" w:cs="Times New Roman"/>
          <w:b/>
          <w:bCs/>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bookmarkStart w:id="19" w:name="_Toc68703845"/>
      <w:r>
        <w:rPr>
          <w:rFonts w:hint="eastAsia" w:cs="Times New Roman"/>
          <w:color w:val="auto"/>
          <w:highlight w:val="none"/>
          <w:lang w:val="en-US" w:eastAsia="zh-CN"/>
        </w:rPr>
        <w:t>因</w:t>
      </w:r>
      <w:r>
        <w:rPr>
          <w:rFonts w:hint="default" w:ascii="Times New Roman" w:hAnsi="Times New Roman" w:eastAsia="仿宋_GB2312" w:cs="Times New Roman"/>
          <w:color w:val="auto"/>
          <w:highlight w:val="none"/>
          <w:lang w:val="en-US" w:eastAsia="zh-CN"/>
        </w:rPr>
        <w:t>有关绩效管理工作方面的学习不深入，理解不透彻，导致指标设定不合理，</w:t>
      </w:r>
      <w:r>
        <w:rPr>
          <w:rFonts w:hint="eastAsia" w:cs="Times New Roman"/>
          <w:color w:val="auto"/>
          <w:highlight w:val="none"/>
          <w:lang w:val="en-US" w:eastAsia="zh-CN"/>
        </w:rPr>
        <w:t>产生</w:t>
      </w:r>
      <w:r>
        <w:rPr>
          <w:rFonts w:hint="default" w:ascii="Times New Roman" w:hAnsi="Times New Roman" w:eastAsia="仿宋_GB2312" w:cs="Times New Roman"/>
          <w:color w:val="auto"/>
          <w:highlight w:val="none"/>
          <w:lang w:val="en-US" w:eastAsia="zh-CN"/>
        </w:rPr>
        <w:t>偏差。例如在指标设定时考虑物资采购的合格率可能存在问题，但在项目执行中，通过政采云平台采购的物资，均达到了100%合格。在今后的项目执行中，会继续加强政采云平台采购力度，保证物资合格率。</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44"/>
          <w:sz w:val="32"/>
          <w:szCs w:val="32"/>
          <w:lang w:val="en-US" w:eastAsia="zh-CN" w:bidi="ar-SA"/>
        </w:rPr>
      </w:pPr>
      <w:r>
        <w:rPr>
          <w:rFonts w:hint="default" w:ascii="Times New Roman" w:hAnsi="Times New Roman" w:eastAsia="仿宋_GB2312" w:cs="Times New Roman"/>
          <w:b/>
          <w:bCs/>
          <w:kern w:val="44"/>
          <w:sz w:val="32"/>
          <w:szCs w:val="32"/>
          <w:lang w:val="en-US" w:eastAsia="zh-CN" w:bidi="ar-SA"/>
        </w:rPr>
        <w:t>七、有关建议</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bookmarkStart w:id="20" w:name="_Toc68703846"/>
      <w:r>
        <w:rPr>
          <w:rFonts w:hint="default" w:ascii="Times New Roman" w:hAnsi="Times New Roman" w:eastAsia="仿宋_GB2312" w:cs="Times New Roman"/>
          <w:color w:val="auto"/>
          <w:highlight w:val="none"/>
          <w:lang w:val="en-US" w:eastAsia="zh-CN"/>
        </w:rPr>
        <w:t>多进行有关绩效管理工作方面的培训。积极组织第三方开展绩效管理工作培训，进一步夯实业务基础，提高我单位绩效人员水平。</w:t>
      </w:r>
      <w:r>
        <w:rPr>
          <w:rFonts w:hint="eastAsia" w:ascii="Times New Roman" w:hAnsi="Times New Roman" w:eastAsia="仿宋_GB2312" w:cs="Times New Roman"/>
          <w:color w:val="auto"/>
          <w:highlight w:val="none"/>
          <w:lang w:val="en-US" w:eastAsia="zh-CN"/>
        </w:rPr>
        <w:t>针对农业方面的项目进行</w:t>
      </w:r>
      <w:r>
        <w:rPr>
          <w:rFonts w:hint="default" w:ascii="Times New Roman" w:hAnsi="Times New Roman" w:eastAsia="仿宋_GB2312" w:cs="Times New Roman"/>
          <w:color w:val="auto"/>
          <w:highlight w:val="none"/>
          <w:lang w:val="en-US" w:eastAsia="zh-CN"/>
        </w:rPr>
        <w:t>绩效管理工作方面</w:t>
      </w:r>
      <w:r>
        <w:rPr>
          <w:rFonts w:hint="eastAsia" w:ascii="Times New Roman" w:hAnsi="Times New Roman" w:eastAsia="仿宋_GB2312" w:cs="Times New Roman"/>
          <w:color w:val="auto"/>
          <w:highlight w:val="none"/>
          <w:lang w:val="en-US" w:eastAsia="zh-CN"/>
        </w:rPr>
        <w:t>培训，我单位有些项目主持人，对绩效评价的重要性认识还不够，绩效管理工作不能认真对待，通过加强针对性培训，使其提高认识，熟练掌握工作方法。</w:t>
      </w:r>
      <w:bookmarkStart w:id="21" w:name="_GoBack"/>
      <w:bookmarkEnd w:id="21"/>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八</w:t>
      </w:r>
      <w:r>
        <w:rPr>
          <w:rFonts w:hint="default" w:ascii="Times New Roman" w:hAnsi="Times New Roman" w:eastAsia="仿宋_GB2312" w:cs="Times New Roman"/>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p>
    <w:sectPr>
      <w:pgSz w:w="11906" w:h="16838"/>
      <w:pgMar w:top="1928" w:right="1803" w:bottom="1701"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3B4900"/>
    <w:multiLevelType w:val="singleLevel"/>
    <w:tmpl w:val="5C3B49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1OWQ0MDc4MGNlOTg5YWQ5YzcwMmYyZDhmZTc3NjcifQ=="/>
    <w:docVar w:name="KSO_WPS_MARK_KEY" w:val="b3fc2acd-51a9-45ce-8d80-18e6d2738da8"/>
  </w:docVars>
  <w:rsids>
    <w:rsidRoot w:val="007D49C5"/>
    <w:rsid w:val="000D63FA"/>
    <w:rsid w:val="001D5FB4"/>
    <w:rsid w:val="005B64E8"/>
    <w:rsid w:val="00614288"/>
    <w:rsid w:val="00792CFE"/>
    <w:rsid w:val="007D49C5"/>
    <w:rsid w:val="008175E0"/>
    <w:rsid w:val="008C631D"/>
    <w:rsid w:val="00A114ED"/>
    <w:rsid w:val="00A72D9F"/>
    <w:rsid w:val="00B24331"/>
    <w:rsid w:val="00D71BDF"/>
    <w:rsid w:val="00EB3433"/>
    <w:rsid w:val="01D37272"/>
    <w:rsid w:val="031A7868"/>
    <w:rsid w:val="05227DA5"/>
    <w:rsid w:val="0765457F"/>
    <w:rsid w:val="08D20D13"/>
    <w:rsid w:val="0BFE6B4C"/>
    <w:rsid w:val="0C4D0F1B"/>
    <w:rsid w:val="0D93581E"/>
    <w:rsid w:val="0F2A6BF7"/>
    <w:rsid w:val="0F31399D"/>
    <w:rsid w:val="10351509"/>
    <w:rsid w:val="10AE1E3E"/>
    <w:rsid w:val="134D7BF4"/>
    <w:rsid w:val="158903BE"/>
    <w:rsid w:val="17890F9D"/>
    <w:rsid w:val="19265A82"/>
    <w:rsid w:val="1C792F4D"/>
    <w:rsid w:val="1D723F37"/>
    <w:rsid w:val="1D785367"/>
    <w:rsid w:val="1E034A30"/>
    <w:rsid w:val="1EDB3A75"/>
    <w:rsid w:val="1F6A25C9"/>
    <w:rsid w:val="1F946C80"/>
    <w:rsid w:val="21A1564C"/>
    <w:rsid w:val="22864680"/>
    <w:rsid w:val="25317C88"/>
    <w:rsid w:val="26220CC5"/>
    <w:rsid w:val="28730295"/>
    <w:rsid w:val="2F7F61B0"/>
    <w:rsid w:val="2FCB7D03"/>
    <w:rsid w:val="32AE0DEC"/>
    <w:rsid w:val="36B72533"/>
    <w:rsid w:val="386B5E13"/>
    <w:rsid w:val="38E057F5"/>
    <w:rsid w:val="3A2B6F44"/>
    <w:rsid w:val="3DB86D41"/>
    <w:rsid w:val="3E4D56DB"/>
    <w:rsid w:val="4057649F"/>
    <w:rsid w:val="43182414"/>
    <w:rsid w:val="43DD2240"/>
    <w:rsid w:val="46507BB3"/>
    <w:rsid w:val="466439EE"/>
    <w:rsid w:val="49D61C26"/>
    <w:rsid w:val="4A7C25BE"/>
    <w:rsid w:val="4C22332E"/>
    <w:rsid w:val="4DFF6D77"/>
    <w:rsid w:val="536E624B"/>
    <w:rsid w:val="55B75F06"/>
    <w:rsid w:val="56796849"/>
    <w:rsid w:val="578E2E63"/>
    <w:rsid w:val="5822508B"/>
    <w:rsid w:val="58F1338C"/>
    <w:rsid w:val="5987568B"/>
    <w:rsid w:val="5DA95371"/>
    <w:rsid w:val="615A781E"/>
    <w:rsid w:val="61664E58"/>
    <w:rsid w:val="68142C42"/>
    <w:rsid w:val="68F11999"/>
    <w:rsid w:val="6E76032D"/>
    <w:rsid w:val="70617E5E"/>
    <w:rsid w:val="723839D1"/>
    <w:rsid w:val="73920EBF"/>
    <w:rsid w:val="762F4147"/>
    <w:rsid w:val="763A0251"/>
    <w:rsid w:val="76A2766B"/>
    <w:rsid w:val="76C20D47"/>
    <w:rsid w:val="77BF283E"/>
    <w:rsid w:val="784A2499"/>
    <w:rsid w:val="789631FF"/>
    <w:rsid w:val="7AD24FFB"/>
    <w:rsid w:val="7EFC2D63"/>
    <w:rsid w:val="7FBB35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0"/>
    <w:pPr>
      <w:keepNext/>
      <w:keepLines/>
      <w:spacing w:line="560" w:lineRule="exact"/>
      <w:outlineLvl w:val="2"/>
    </w:pPr>
    <w:rPr>
      <w:rFonts w:ascii="Arial" w:hAnsi="Arial"/>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footer"/>
    <w:basedOn w:val="1"/>
    <w:link w:val="21"/>
    <w:semiHidden/>
    <w:unhideWhenUsed/>
    <w:qFormat/>
    <w:uiPriority w:val="99"/>
    <w:pPr>
      <w:tabs>
        <w:tab w:val="center" w:pos="4153"/>
        <w:tab w:val="right" w:pos="8306"/>
      </w:tabs>
      <w:snapToGrid w:val="0"/>
      <w:jc w:val="left"/>
    </w:pPr>
    <w:rPr>
      <w:sz w:val="18"/>
      <w:szCs w:val="18"/>
    </w:rPr>
  </w:style>
  <w:style w:type="paragraph" w:styleId="9">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paragraph" w:customStyle="1" w:styleId="15">
    <w:name w:val="Body Text First Indent 2"/>
    <w:basedOn w:val="16"/>
    <w:qFormat/>
    <w:uiPriority w:val="0"/>
    <w:pPr>
      <w:ind w:firstLine="420"/>
    </w:pPr>
  </w:style>
  <w:style w:type="paragraph" w:customStyle="1" w:styleId="16">
    <w:name w:val="Body Text Indent"/>
    <w:basedOn w:val="1"/>
    <w:qFormat/>
    <w:uiPriority w:val="0"/>
    <w:pPr>
      <w:spacing w:after="120" w:afterLines="0"/>
      <w:ind w:left="420" w:leftChars="200"/>
    </w:pPr>
  </w:style>
  <w:style w:type="character" w:customStyle="1" w:styleId="17">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8">
    <w:name w:val="标题 2 Char"/>
    <w:basedOn w:val="13"/>
    <w:link w:val="4"/>
    <w:qFormat/>
    <w:uiPriority w:val="9"/>
    <w:rPr>
      <w:rFonts w:asciiTheme="majorHAnsi" w:hAnsiTheme="majorHAnsi" w:eastAsiaTheme="majorEastAsia" w:cstheme="majorBidi"/>
      <w:b/>
      <w:bCs/>
      <w:sz w:val="32"/>
      <w:szCs w:val="32"/>
    </w:rPr>
  </w:style>
  <w:style w:type="paragraph" w:customStyle="1" w:styleId="19">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0">
    <w:name w:val="页眉 Char"/>
    <w:basedOn w:val="13"/>
    <w:link w:val="9"/>
    <w:semiHidden/>
    <w:qFormat/>
    <w:uiPriority w:val="99"/>
    <w:rPr>
      <w:rFonts w:ascii="Times New Roman" w:hAnsi="Times New Roman" w:eastAsia="仿宋_GB2312" w:cs="Times New Roman"/>
      <w:sz w:val="18"/>
      <w:szCs w:val="18"/>
    </w:rPr>
  </w:style>
  <w:style w:type="character" w:customStyle="1" w:styleId="21">
    <w:name w:val="页脚 Char"/>
    <w:basedOn w:val="13"/>
    <w:link w:val="8"/>
    <w:semiHidden/>
    <w:qFormat/>
    <w:uiPriority w:val="99"/>
    <w:rPr>
      <w:rFonts w:ascii="Times New Roman" w:hAnsi="Times New Roman" w:eastAsia="仿宋_GB2312" w:cs="Times New Roman"/>
      <w:sz w:val="18"/>
      <w:szCs w:val="18"/>
    </w:rPr>
  </w:style>
  <w:style w:type="paragraph" w:customStyle="1" w:styleId="2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5042</Words>
  <Characters>5242</Characters>
  <Lines>37</Lines>
  <Paragraphs>10</Paragraphs>
  <TotalTime>1</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2024-05-08T08:50:00Z</cp:lastPrinted>
  <dcterms:modified xsi:type="dcterms:W3CDTF">2024-05-16T11:20:37Z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2DF44FF6354A4BFC813866C7D7D22163_13</vt:lpwstr>
  </property>
</Properties>
</file>