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left="0" w:leftChars="0" w:firstLine="299" w:firstLineChars="62"/>
        <w:jc w:val="center"/>
        <w:textAlignment w:val="auto"/>
        <w:rPr>
          <w:rFonts w:hint="default" w:ascii="Times New Roman" w:hAnsi="Times New Roman" w:eastAsia="仿宋_GB2312" w:cs="Times New Roman"/>
          <w:b/>
          <w:bCs/>
          <w:sz w:val="48"/>
          <w:szCs w:val="48"/>
          <w:lang w:val="en-US" w:eastAsia="zh-CN"/>
        </w:rPr>
      </w:pPr>
      <w:r>
        <w:rPr>
          <w:rFonts w:hint="eastAsia" w:cs="Times New Roman"/>
          <w:b/>
          <w:bCs/>
          <w:sz w:val="48"/>
          <w:szCs w:val="48"/>
          <w:lang w:val="en-US" w:eastAsia="zh-CN"/>
        </w:rPr>
        <w:t xml:space="preserve">                                                           </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hint="default" w:ascii="Times New Roman" w:hAnsi="Times New Roman" w:eastAsia="仿宋_GB2312" w:cs="Times New Roman"/>
          <w:b/>
          <w:bCs/>
          <w:sz w:val="52"/>
          <w:szCs w:val="52"/>
        </w:rPr>
      </w:pPr>
      <w:r>
        <w:rPr>
          <w:rFonts w:hint="default" w:ascii="Times New Roman" w:hAnsi="Times New Roman" w:eastAsia="仿宋_GB2312" w:cs="Times New Roman"/>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hint="default" w:ascii="Times New Roman" w:hAnsi="Times New Roman" w:eastAsia="仿宋_GB2312" w:cs="Times New Roman"/>
          <w:b/>
          <w:kern w:val="0"/>
          <w:sz w:val="50"/>
          <w:szCs w:val="50"/>
          <w:lang w:bidi="en-US"/>
        </w:rPr>
      </w:pPr>
      <w:r>
        <w:rPr>
          <w:rFonts w:hint="default" w:ascii="Times New Roman" w:hAnsi="Times New Roman" w:eastAsia="仿宋_GB2312" w:cs="Times New Roman"/>
          <w:color w:val="000000"/>
          <w:kern w:val="0"/>
          <w:sz w:val="36"/>
          <w:szCs w:val="36"/>
        </w:rPr>
        <w:t>（202</w:t>
      </w:r>
      <w:r>
        <w:rPr>
          <w:rFonts w:hint="default" w:ascii="Times New Roman" w:hAnsi="Times New Roman" w:eastAsia="仿宋_GB2312" w:cs="Times New Roman"/>
          <w:color w:val="000000"/>
          <w:kern w:val="0"/>
          <w:sz w:val="36"/>
          <w:szCs w:val="36"/>
          <w:lang w:val="en-US" w:eastAsia="zh-CN"/>
        </w:rPr>
        <w:t>3</w:t>
      </w:r>
      <w:r>
        <w:rPr>
          <w:rFonts w:hint="default" w:ascii="Times New Roman" w:hAnsi="Times New Roman" w:eastAsia="仿宋_GB2312" w:cs="Times New Roman"/>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项目名称：</w:t>
      </w:r>
      <w:r>
        <w:rPr>
          <w:rFonts w:hint="eastAsia" w:ascii="Times New Roman" w:hAnsi="Times New Roman" w:eastAsia="仿宋_GB2312" w:cs="Times New Roman"/>
          <w:b/>
          <w:bCs/>
          <w:color w:val="000000"/>
          <w:kern w:val="0"/>
          <w:sz w:val="32"/>
          <w:szCs w:val="32"/>
          <w:lang w:val="en-US" w:eastAsia="zh-CN"/>
        </w:rPr>
        <w:t>2023年自治区人才发展基金项目-产业技术创新团队支持计划-现代农业产业技术体系人才-油料体系</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实施单位（公章）：</w:t>
      </w:r>
      <w:r>
        <w:rPr>
          <w:rFonts w:hint="default" w:ascii="Times New Roman" w:hAnsi="Times New Roman" w:eastAsia="仿宋_GB2312" w:cs="Times New Roman"/>
          <w:b/>
          <w:bCs/>
          <w:color w:val="000000"/>
          <w:kern w:val="0"/>
          <w:sz w:val="32"/>
          <w:szCs w:val="32"/>
          <w:lang w:val="en-US" w:eastAsia="zh-CN"/>
        </w:rPr>
        <w:t>巴音郭楞蒙古自治州农业科学研究院</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主管部门（公章）：</w:t>
      </w:r>
      <w:r>
        <w:rPr>
          <w:rFonts w:hint="default" w:ascii="Times New Roman" w:hAnsi="Times New Roman" w:eastAsia="仿宋_GB2312" w:cs="Times New Roman"/>
          <w:b/>
          <w:bCs/>
          <w:color w:val="000000"/>
          <w:kern w:val="0"/>
          <w:sz w:val="32"/>
          <w:szCs w:val="32"/>
          <w:lang w:val="en-US" w:eastAsia="zh-CN"/>
        </w:rPr>
        <w:t>巴音郭楞蒙古自治州农业农村局</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项目负责人（签章）：</w:t>
      </w:r>
      <w:r>
        <w:rPr>
          <w:rFonts w:hint="default" w:ascii="Times New Roman" w:hAnsi="Times New Roman" w:eastAsia="仿宋_GB2312" w:cs="Times New Roman"/>
          <w:b/>
          <w:bCs/>
          <w:color w:val="000000"/>
          <w:kern w:val="0"/>
          <w:sz w:val="32"/>
          <w:szCs w:val="32"/>
          <w:lang w:val="en-US" w:eastAsia="zh-CN"/>
        </w:rPr>
        <w:t>陈晋瑞</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填报时间：</w:t>
      </w:r>
      <w:r>
        <w:rPr>
          <w:rFonts w:hint="default" w:ascii="Times New Roman" w:hAnsi="Times New Roman" w:eastAsia="仿宋_GB2312" w:cs="Times New Roman"/>
          <w:b/>
          <w:bCs/>
          <w:color w:val="000000"/>
          <w:kern w:val="0"/>
          <w:sz w:val="32"/>
          <w:szCs w:val="32"/>
          <w:lang w:val="en-US" w:eastAsia="zh-CN"/>
        </w:rPr>
        <w:t>2024年4月29日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hint="default" w:ascii="Times New Roman" w:hAnsi="Times New Roman" w:eastAsia="仿宋_GB2312" w:cs="Times New Roman"/>
          <w:b/>
          <w:bCs/>
          <w:sz w:val="36"/>
          <w:szCs w:val="36"/>
        </w:rPr>
      </w:pPr>
      <w:r>
        <w:rPr>
          <w:rFonts w:hint="default" w:ascii="Times New Roman" w:hAnsi="Times New Roman" w:eastAsia="仿宋_GB2312" w:cs="Times New Roman"/>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hint="default" w:ascii="Times New Roman" w:hAnsi="Times New Roman" w:eastAsia="仿宋_GB2312" w:cs="Times New Roman"/>
          <w:b/>
          <w:bCs/>
          <w:sz w:val="36"/>
          <w:szCs w:val="36"/>
        </w:rPr>
      </w:pPr>
      <w:r>
        <w:rPr>
          <w:rFonts w:hint="default" w:ascii="Times New Roman" w:hAnsi="Times New Roman" w:eastAsia="仿宋_GB2312" w:cs="Times New Roman"/>
          <w:b/>
          <w:bCs/>
          <w:sz w:val="36"/>
          <w:szCs w:val="36"/>
        </w:rPr>
        <w:t>项目支出绩效评价报告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_GB2312" w:cs="Times New Roman"/>
          <w:szCs w:val="30"/>
        </w:rPr>
      </w:pP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_GB2312" w:cs="Times New Roman"/>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0" w:name="_Toc68703827"/>
      <w:r>
        <w:rPr>
          <w:rFonts w:hint="default" w:ascii="Times New Roman" w:hAnsi="Times New Roman" w:eastAsia="仿宋_GB2312" w:cs="Times New Roman"/>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lang w:val="en-US" w:eastAsia="zh-CN"/>
        </w:rPr>
        <w:t>1</w:t>
      </w:r>
      <w:r>
        <w:rPr>
          <w:rFonts w:hint="eastAsia" w:cs="Times New Roman"/>
          <w:b w:val="0"/>
          <w:bCs w:val="0"/>
          <w:highlight w:val="none"/>
          <w:lang w:val="en-US" w:eastAsia="zh-CN"/>
        </w:rPr>
        <w:t>.</w:t>
      </w:r>
      <w:r>
        <w:rPr>
          <w:rFonts w:hint="default" w:ascii="Times New Roman" w:hAnsi="Times New Roman" w:eastAsia="仿宋_GB2312" w:cs="Times New Roman"/>
          <w:b w:val="0"/>
          <w:bCs w:val="0"/>
          <w:highlight w:val="none"/>
        </w:rPr>
        <w:t>项目背景</w:t>
      </w:r>
      <w:r>
        <w:rPr>
          <w:rFonts w:hint="eastAsia" w:cs="Times New Roman"/>
          <w:b w:val="0"/>
          <w:bCs w:val="0"/>
          <w:highlight w:val="none"/>
          <w:lang w:eastAsia="zh-CN"/>
        </w:rPr>
        <w:t>，主要内容及实施情况</w:t>
      </w:r>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s="Times New Roman"/>
          <w:highlight w:val="none"/>
          <w:lang w:val="en-US" w:eastAsia="zh-CN"/>
        </w:rPr>
      </w:pPr>
      <w:r>
        <w:rPr>
          <w:rFonts w:hint="eastAsia" w:cs="Times New Roman"/>
          <w:highlight w:val="none"/>
          <w:lang w:val="en-US" w:eastAsia="zh-CN"/>
        </w:rPr>
        <w:t>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巴州的油料作物中目前面积大的作物主要有油葵和花生，其次有少量的红花、胡麻，近几年也偶而种植少量的芝麻。前几年我州农民种植花生、油葵、红花、胡麻等油料作物，大多是从外盲目引种，出现了品种不适合本地栽培及混杂、没有采用标准的高产栽培技术和病虫害防治技术，也未进行合理的总体规划，使得本地油料生产处于一种自然发展状态，产量及经济效益均不理想，影响了本地油料作物的发展。为了提高我州油脂自给率，促进巴州各县的农业产业结构调整和增加新的农业增收路径，同时有利于发展农村经济、增加农民收入，巴州油葵和花生等油料生产的进一步大发展是必然的。巴州计划大力发展油料作物尤其是花生生产，目前巴州八县一市均有一定面积的花生生产种植，2023</w:t>
      </w:r>
      <w:r>
        <w:rPr>
          <w:rFonts w:hint="eastAsia" w:cs="Times New Roman"/>
          <w:highlight w:val="none"/>
          <w:lang w:val="en-US" w:eastAsia="zh-CN"/>
        </w:rPr>
        <w:t>年</w:t>
      </w:r>
      <w:r>
        <w:rPr>
          <w:rFonts w:hint="default" w:ascii="Times New Roman" w:hAnsi="Times New Roman" w:eastAsia="仿宋_GB2312" w:cs="Times New Roman"/>
          <w:highlight w:val="none"/>
          <w:lang w:val="en-US" w:eastAsia="zh-CN"/>
        </w:rPr>
        <w:t>计划种植50万亩，花生将变成巴州区域内第一大油料作物。</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解决好巴州油料生产面临问题，保证巴州食用油安全、健康发展是巴州油料综合试验站的重要任务。在首席科学家和油料体系部署指导下，通力配合相关岗位科学家，以建设依托单位为保障，与巴州各县市农业部门开展合作，在各县市分别建立花生、油葵科技示范基地，优先试验体系内推荐的新品种、新技术、新产品，开展优质高产花生、油葵、红花等新品种新技术试验示范，加快新品种推广与先进实用栽培技术组装配套，加强油料作物病虫害综合防治与科学节水节肥、农机农艺结合，开展花生、油葵等油料作物的机械化减损收获的的研究与示范，花生、油葵收获后贮存、处理与加工关键技术集成应用，并将成熟的技术成果推荐给生产用户，为企业、合作社、家庭农场、农户提供全面系统的技术支撑技术支撑。</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highlight w:val="none"/>
          <w:lang w:val="en-US" w:eastAsia="zh-CN"/>
        </w:rPr>
      </w:pPr>
      <w:r>
        <w:rPr>
          <w:rFonts w:hint="eastAsia" w:cs="Times New Roman"/>
          <w:b w:val="0"/>
          <w:bCs w:val="0"/>
          <w:highlight w:val="none"/>
          <w:lang w:val="en-US" w:eastAsia="zh-CN"/>
        </w:rPr>
        <w:t>（2）</w:t>
      </w:r>
      <w:r>
        <w:rPr>
          <w:rFonts w:hint="default" w:ascii="Times New Roman" w:hAnsi="Times New Roman" w:eastAsia="仿宋_GB2312" w:cs="Times New Roman"/>
          <w:b w:val="0"/>
          <w:bCs w:val="0"/>
          <w:highlight w:val="none"/>
          <w:lang w:val="en-US" w:eastAsia="zh-CN"/>
        </w:rPr>
        <w:t>主要内容</w:t>
      </w:r>
      <w:r>
        <w:rPr>
          <w:rFonts w:hint="eastAsia" w:cs="Times New Roman"/>
          <w:b w:val="0"/>
          <w:bCs w:val="0"/>
          <w:highlight w:val="none"/>
          <w:lang w:val="en-US" w:eastAsia="zh-CN"/>
        </w:rPr>
        <w:t>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cs="Times New Roman"/>
          <w:highlight w:val="none"/>
          <w:lang w:val="en-US" w:eastAsia="zh-CN"/>
        </w:rPr>
        <w:t>主要内容：一是</w:t>
      </w:r>
      <w:r>
        <w:rPr>
          <w:rFonts w:hint="default" w:ascii="Times New Roman" w:hAnsi="Times New Roman" w:eastAsia="仿宋_GB2312" w:cs="Times New Roman"/>
          <w:highlight w:val="none"/>
          <w:lang w:val="en-US" w:eastAsia="zh-CN"/>
        </w:rPr>
        <w:t>开展花生新品种引种筛选，引进花生新品种或种质资源14个以上，其中加工专用品种4个，通过生育期鉴定、抗病性表现、产量及初步筛选出适宜巴州生态条件的花生品种4-5个，其中加工品种1-2个。建立花生加工原料基地1个，示范面积300亩，其中加工花生专用品种示范面积30亩，辐射种植花生面积50000亩</w:t>
      </w:r>
      <w:r>
        <w:rPr>
          <w:rFonts w:hint="eastAsia" w:cs="Times New Roman"/>
          <w:highlight w:val="none"/>
          <w:lang w:val="en-US" w:eastAsia="zh-CN"/>
        </w:rPr>
        <w:t>；二是</w:t>
      </w:r>
      <w:r>
        <w:rPr>
          <w:rFonts w:hint="default" w:ascii="Times New Roman" w:hAnsi="Times New Roman" w:eastAsia="仿宋_GB2312" w:cs="Times New Roman"/>
          <w:highlight w:val="none"/>
          <w:lang w:val="en-US" w:eastAsia="zh-CN"/>
        </w:rPr>
        <w:t>承接本产业技术体系创新成果的试验示范、推广服务，协助首席科学家及岗位科学家开展技术综合集成和试验示范工作，推广适宜巴州地区种植的加工花生专用品种，对平作或起垄、覆膜或不覆膜等花生绿色高效栽培技术1-2套进行示范推广</w:t>
      </w:r>
      <w:r>
        <w:rPr>
          <w:rFonts w:hint="eastAsia" w:cs="Times New Roman"/>
          <w:highlight w:val="none"/>
          <w:lang w:val="en-US" w:eastAsia="zh-CN"/>
        </w:rPr>
        <w:t>；三是</w:t>
      </w:r>
      <w:r>
        <w:rPr>
          <w:rFonts w:hint="default" w:ascii="Times New Roman" w:hAnsi="Times New Roman" w:eastAsia="仿宋_GB2312" w:cs="Times New Roman"/>
          <w:highlight w:val="none"/>
          <w:lang w:val="en-US" w:eastAsia="zh-CN"/>
        </w:rPr>
        <w:t>应急和服务性工作。针对发生突发性事件和农业灾害事件，及时、准确的提出切实可行的建议与措施方案，指导农户开展应急救灾减灾技术，解决生产难题，服务县域经济，开展花生种植技术培训，组织田间测产或技术观摩会5次，培训人员2000余人次。</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b w:val="0"/>
          <w:bCs w:val="0"/>
          <w:highlight w:val="none"/>
          <w:lang w:val="en-US" w:eastAsia="zh-CN"/>
        </w:rPr>
        <w:t>实施情况</w:t>
      </w:r>
      <w:r>
        <w:rPr>
          <w:rFonts w:hint="eastAsia" w:cs="Times New Roman"/>
          <w:b/>
          <w:bCs/>
          <w:highlight w:val="none"/>
          <w:lang w:val="en-US" w:eastAsia="zh-CN"/>
        </w:rPr>
        <w:t>：一是</w:t>
      </w:r>
      <w:r>
        <w:rPr>
          <w:rFonts w:hint="default" w:ascii="Times New Roman" w:hAnsi="Times New Roman" w:eastAsia="仿宋_GB2312" w:cs="Times New Roman"/>
          <w:highlight w:val="none"/>
          <w:lang w:val="en-US" w:eastAsia="zh-CN"/>
        </w:rPr>
        <w:t>开展JG-1不同栽培模式筛选试验。在博湖县以花生品种JG-1为种植材料，设置起垄覆膜揭膜、起垄覆膜、起垄不覆膜、平作覆膜揭膜、平作覆膜、平作不覆膜6个处理，研究筛选适宜巴州地区JG-1花生品种高产的栽培模式。试验结果：花生产量高低依次为，覆膜（平作）&gt;不覆膜（平作）&gt;覆膜（起垄）&gt;不覆膜（起垄）&gt;覆膜揭膜（平作）&gt;覆膜揭膜（起垄），初步确定适宜巴州地区JG-1高产的栽培模式为平作覆膜模式</w:t>
      </w:r>
      <w:r>
        <w:rPr>
          <w:rFonts w:hint="eastAsia" w:cs="Times New Roman"/>
          <w:highlight w:val="none"/>
          <w:lang w:val="en-US" w:eastAsia="zh-CN"/>
        </w:rPr>
        <w:t>；</w:t>
      </w:r>
      <w:r>
        <w:rPr>
          <w:rFonts w:hint="eastAsia" w:cs="Times New Roman"/>
          <w:b/>
          <w:bCs/>
          <w:highlight w:val="none"/>
          <w:lang w:val="en-US" w:eastAsia="zh-CN"/>
        </w:rPr>
        <w:t>二是</w:t>
      </w:r>
      <w:r>
        <w:rPr>
          <w:rFonts w:hint="default" w:ascii="Times New Roman" w:hAnsi="Times New Roman" w:eastAsia="仿宋_GB2312" w:cs="Times New Roman"/>
          <w:highlight w:val="none"/>
          <w:lang w:val="en-US" w:eastAsia="zh-CN"/>
        </w:rPr>
        <w:t>开展不同加工品种平作起垄覆膜揭膜栽培模式筛选试验。在博湖县以花生品种JG-1、JG-5、JG-8、JG-23为种植材料，设置起垄覆膜揭膜、平作覆膜揭膜2个处理，研究筛选适宜巴州地区起垄、平作覆膜揭膜栽培模式下不同加工花生品种的选择。试验结果：JG-1在起垄、平作覆膜揭膜的栽培模式下，均表现为产量最高</w:t>
      </w:r>
      <w:r>
        <w:rPr>
          <w:rFonts w:hint="eastAsia" w:cs="Times New Roman"/>
          <w:highlight w:val="none"/>
          <w:lang w:val="en-US" w:eastAsia="zh-CN"/>
        </w:rPr>
        <w:t>；</w:t>
      </w:r>
      <w:r>
        <w:rPr>
          <w:rFonts w:hint="eastAsia" w:cs="Times New Roman"/>
          <w:b/>
          <w:bCs/>
          <w:highlight w:val="none"/>
          <w:lang w:val="en-US" w:eastAsia="zh-CN"/>
        </w:rPr>
        <w:t>三是</w:t>
      </w:r>
      <w:r>
        <w:rPr>
          <w:rFonts w:hint="default" w:ascii="Times New Roman" w:hAnsi="Times New Roman" w:eastAsia="仿宋_GB2312" w:cs="Times New Roman"/>
          <w:highlight w:val="none"/>
          <w:lang w:val="en-US" w:eastAsia="zh-CN"/>
        </w:rPr>
        <w:t>开展高油酸花生新品种引进筛选试验。主持巴州财政支持基本科研业务费项目“高油酸花生新品种引进及绿色高产优质栽培技术配套研究”1项（项目编号：202201），项目执行期：2022年1月-2024年12月。项目共引进高油酸花生新品种11个，在巴州农科院自有试验基地进行种植。试验结果：综合高油酸花生产量、早熟性等性状，表现较优的品种依次为花育9518、花育9111、花育9118，其产量分别为579.2公斤/亩、508.5公斤/亩、497.6公斤/亩</w:t>
      </w:r>
      <w:r>
        <w:rPr>
          <w:rFonts w:hint="eastAsia" w:cs="Times New Roman"/>
          <w:highlight w:val="none"/>
          <w:lang w:val="en-US" w:eastAsia="zh-CN"/>
        </w:rPr>
        <w:t>；</w:t>
      </w:r>
      <w:r>
        <w:rPr>
          <w:rFonts w:hint="eastAsia" w:cs="Times New Roman"/>
          <w:b/>
          <w:bCs/>
          <w:highlight w:val="none"/>
          <w:lang w:val="en-US" w:eastAsia="zh-CN"/>
        </w:rPr>
        <w:t>四是</w:t>
      </w:r>
      <w:r>
        <w:rPr>
          <w:rFonts w:hint="default" w:ascii="Times New Roman" w:hAnsi="Times New Roman" w:eastAsia="仿宋_GB2312" w:cs="Times New Roman"/>
          <w:highlight w:val="none"/>
          <w:lang w:val="en-US" w:eastAsia="zh-CN"/>
        </w:rPr>
        <w:t>开展花生新品种引进筛选试验。在博湖县种植引进花生新品种26个，试验设计为随机区组排列，3重复，小区面积为10 m2，亩密度为12600穴，试验面积5亩。种子采用药剂拌种，全程实施滴灌精准施肥管理。试验结果：通过博湖试验点花生新品种产量、早熟性、栽培模式、花生类型等综合表现，筛选出适宜巴州本地区种植的花生品种为：花育60、花育9518、花育9118、JG-1</w:t>
      </w:r>
      <w:r>
        <w:rPr>
          <w:rFonts w:hint="eastAsia" w:cs="Times New Roman"/>
          <w:highlight w:val="none"/>
          <w:lang w:val="en-US" w:eastAsia="zh-CN"/>
        </w:rPr>
        <w:t>；</w:t>
      </w:r>
      <w:r>
        <w:rPr>
          <w:rFonts w:hint="eastAsia" w:cs="Times New Roman"/>
          <w:b/>
          <w:bCs/>
          <w:highlight w:val="none"/>
          <w:lang w:val="en-US" w:eastAsia="zh-CN"/>
        </w:rPr>
        <w:t>五是</w:t>
      </w:r>
      <w:r>
        <w:rPr>
          <w:rFonts w:hint="default" w:ascii="Times New Roman" w:hAnsi="Times New Roman" w:eastAsia="仿宋_GB2312" w:cs="Times New Roman"/>
          <w:highlight w:val="none"/>
          <w:lang w:val="en-US" w:eastAsia="zh-CN"/>
        </w:rPr>
        <w:t>开展计算机软件著作权登记。 2023年度，共登记计算机软件著作权3项。摸排油料作物种植面积。按照产业体系工作安排，摸排统计巴州油料作物种植面积，经统计：2023年正播油料面积2.5082万亩，其中：花生1.0564万亩（除焉耆县外，涵盖7县1市）、油菜籽0.0431万亩、油葵1.3961万亩、红花0.0126万亩。复播油料面积2.9013万亩，其中：油葵2.6439万亩、油菜籽0.1405万亩</w:t>
      </w:r>
      <w:r>
        <w:rPr>
          <w:rFonts w:hint="eastAsia" w:cs="Times New Roman"/>
          <w:highlight w:val="none"/>
          <w:lang w:val="en-US" w:eastAsia="zh-CN"/>
        </w:rPr>
        <w:t>；</w:t>
      </w:r>
      <w:r>
        <w:rPr>
          <w:rFonts w:hint="eastAsia" w:cs="Times New Roman"/>
          <w:b/>
          <w:bCs/>
          <w:highlight w:val="none"/>
          <w:lang w:val="en-US" w:eastAsia="zh-CN"/>
        </w:rPr>
        <w:t>六</w:t>
      </w:r>
      <w:r>
        <w:rPr>
          <w:rFonts w:hint="default" w:ascii="Times New Roman" w:hAnsi="Times New Roman" w:eastAsia="仿宋_GB2312" w:cs="Times New Roman"/>
          <w:b/>
          <w:bCs/>
          <w:highlight w:val="none"/>
          <w:lang w:val="en-US" w:eastAsia="zh-CN"/>
        </w:rPr>
        <w:t>是</w:t>
      </w:r>
      <w:r>
        <w:rPr>
          <w:rFonts w:hint="default" w:ascii="Times New Roman" w:hAnsi="Times New Roman" w:eastAsia="仿宋_GB2312" w:cs="Times New Roman"/>
          <w:highlight w:val="none"/>
          <w:lang w:val="en-US" w:eastAsia="zh-CN"/>
        </w:rPr>
        <w:t>示范推广情况。2023年度，根据试验站建设任务，在博湖县建立花生加工原料基地1个（面积10亩），在库尔勒市巴州农科院自有试验地示范花生种植面积5亩，博湖县示范花生种植面积15亩（含花生加工原料基地5亩），轮台县示范面积80亩，共计示范面积100亩，其中：在博湖县示范加工花生专用品种示范面积10亩，轮台县辐射带动花生种植2000亩</w:t>
      </w:r>
      <w:r>
        <w:rPr>
          <w:rFonts w:hint="eastAsia" w:cs="Times New Roman"/>
          <w:highlight w:val="none"/>
          <w:lang w:val="en-US" w:eastAsia="zh-CN"/>
        </w:rPr>
        <w:t>；</w:t>
      </w:r>
      <w:r>
        <w:rPr>
          <w:rFonts w:hint="eastAsia" w:cs="Times New Roman"/>
          <w:b/>
          <w:bCs/>
          <w:highlight w:val="none"/>
          <w:lang w:val="en-US" w:eastAsia="zh-CN"/>
        </w:rPr>
        <w:t>七是</w:t>
      </w:r>
      <w:r>
        <w:rPr>
          <w:rFonts w:hint="default" w:ascii="Times New Roman" w:hAnsi="Times New Roman" w:eastAsia="仿宋_GB2312" w:cs="Times New Roman"/>
          <w:highlight w:val="none"/>
          <w:lang w:val="en-US" w:eastAsia="zh-CN"/>
        </w:rPr>
        <w:t>技术培训情况。2023年度，试验站围绕品种选择、播前准备、播种、田间管理、收获、贮藏技术等方面，推广巴州地方标准《DB6528T183-2022 春播花生栽培技术规程》1项（2022年3月10日发布，2022年4月1日实施），于轮台县、库尔勒市、博湖县开展新疆花生高产高效栽培技术培训和库尔勒示范点播种技术培训5场次，培训基层农业技术人员和花生种植户500余人次</w:t>
      </w:r>
      <w:r>
        <w:rPr>
          <w:rFonts w:hint="eastAsia" w:cs="Times New Roman"/>
          <w:highlight w:val="none"/>
          <w:lang w:val="en-US" w:eastAsia="zh-CN"/>
        </w:rPr>
        <w:t>；</w:t>
      </w:r>
      <w:r>
        <w:rPr>
          <w:rFonts w:hint="eastAsia" w:cs="Times New Roman"/>
          <w:b/>
          <w:bCs/>
          <w:highlight w:val="none"/>
          <w:lang w:val="en-US" w:eastAsia="zh-CN"/>
        </w:rPr>
        <w:t>八是</w:t>
      </w:r>
      <w:r>
        <w:rPr>
          <w:rFonts w:hint="default" w:ascii="Times New Roman" w:hAnsi="Times New Roman" w:eastAsia="仿宋_GB2312" w:cs="Times New Roman"/>
          <w:highlight w:val="none"/>
          <w:lang w:val="en-US" w:eastAsia="zh-CN"/>
        </w:rPr>
        <w:t>试验站成员第一时间分赴灾害一线实地调查花生示范区、辐射带动区受灾情况，及时根据受灾情况进行分类指导。</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bCs/>
          <w:highlight w:val="none"/>
        </w:rPr>
      </w:pPr>
      <w:r>
        <w:rPr>
          <w:rFonts w:hint="eastAsia" w:cs="Times New Roman"/>
          <w:b w:val="0"/>
          <w:bCs w:val="0"/>
          <w:highlight w:val="none"/>
          <w:lang w:val="en-US" w:eastAsia="zh-CN"/>
        </w:rPr>
        <w:t>2.</w:t>
      </w:r>
      <w:r>
        <w:rPr>
          <w:rFonts w:hint="default" w:ascii="Times New Roman" w:hAnsi="Times New Roman" w:eastAsia="仿宋_GB2312" w:cs="Times New Roman"/>
          <w:b w:val="0"/>
          <w:bCs w:val="0"/>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FF0000"/>
        </w:rPr>
      </w:pPr>
      <w:r>
        <w:rPr>
          <w:rFonts w:hint="eastAsia" w:cs="Times New Roman"/>
          <w:lang w:val="en-US" w:eastAsia="zh-CN"/>
        </w:rPr>
        <w:t>（1）</w:t>
      </w:r>
      <w:r>
        <w:rPr>
          <w:rFonts w:hint="default" w:ascii="Times New Roman" w:hAnsi="Times New Roman" w:eastAsia="仿宋_GB2312" w:cs="Times New Roman"/>
        </w:rPr>
        <w:t>资金投入情况：</w:t>
      </w:r>
      <w:r>
        <w:rPr>
          <w:rFonts w:hint="default" w:ascii="Times New Roman" w:hAnsi="Times New Roman" w:eastAsia="仿宋_GB2312" w:cs="Times New Roman"/>
          <w:color w:val="auto"/>
        </w:rPr>
        <w:t>该项目年初预算数</w:t>
      </w:r>
      <w:r>
        <w:rPr>
          <w:rFonts w:hint="default" w:ascii="Times New Roman" w:hAnsi="Times New Roman" w:eastAsia="仿宋_GB2312" w:cs="Times New Roman"/>
          <w:color w:val="auto"/>
          <w:lang w:eastAsia="zh-CN"/>
        </w:rPr>
        <w:t>20</w:t>
      </w:r>
      <w:r>
        <w:rPr>
          <w:rFonts w:hint="default" w:ascii="Times New Roman" w:hAnsi="Times New Roman" w:eastAsia="仿宋_GB2312" w:cs="Times New Roman"/>
          <w:color w:val="auto"/>
        </w:rPr>
        <w:t>万元，全年预算数</w:t>
      </w:r>
      <w:r>
        <w:rPr>
          <w:rFonts w:hint="default" w:ascii="Times New Roman" w:hAnsi="Times New Roman" w:eastAsia="仿宋_GB2312" w:cs="Times New Roman"/>
          <w:color w:val="auto"/>
          <w:lang w:eastAsia="zh-CN"/>
        </w:rPr>
        <w:t>20</w:t>
      </w:r>
      <w:r>
        <w:rPr>
          <w:rFonts w:hint="default" w:ascii="Times New Roman" w:hAnsi="Times New Roman" w:eastAsia="仿宋_GB2312" w:cs="Times New Roman"/>
          <w:color w:val="auto"/>
        </w:rPr>
        <w:t>万元，实际总投入20万元，该项目资金落实到位20万元，资金来源为</w:t>
      </w:r>
      <w:r>
        <w:rPr>
          <w:rFonts w:hint="eastAsia" w:cs="Times New Roman"/>
          <w:color w:val="auto"/>
          <w:lang w:eastAsia="zh-CN"/>
        </w:rPr>
        <w:t>自治区人才发展基金</w:t>
      </w:r>
      <w:r>
        <w:rPr>
          <w:rFonts w:hint="default" w:ascii="Times New Roman" w:hAnsi="Times New Roman" w:eastAsia="仿宋_GB2312" w:cs="Times New Roman"/>
          <w:color w:val="auto"/>
        </w:rPr>
        <w:t>。</w:t>
      </w:r>
    </w:p>
    <w:p>
      <w:pPr>
        <w:spacing w:line="360" w:lineRule="auto"/>
        <w:ind w:firstLine="600" w:firstLineChars="200"/>
        <w:rPr>
          <w:rFonts w:hint="default" w:ascii="Times New Roman" w:hAnsi="Times New Roman" w:eastAsia="仿宋_GB2312" w:cs="Times New Roman"/>
          <w:color w:val="auto"/>
        </w:rPr>
      </w:pPr>
      <w:r>
        <w:rPr>
          <w:rFonts w:hint="eastAsia" w:cs="Times New Roman"/>
          <w:lang w:val="en-US" w:eastAsia="zh-CN"/>
        </w:rPr>
        <w:t>（2）</w:t>
      </w:r>
      <w:r>
        <w:rPr>
          <w:rFonts w:hint="default" w:ascii="Times New Roman" w:hAnsi="Times New Roman" w:eastAsia="仿宋_GB2312" w:cs="Times New Roman"/>
        </w:rPr>
        <w:t>资金使用情况：</w:t>
      </w:r>
      <w:r>
        <w:rPr>
          <w:rFonts w:hint="default" w:ascii="Times New Roman" w:hAnsi="Times New Roman" w:eastAsia="仿宋_GB2312" w:cs="Times New Roman"/>
          <w:color w:val="auto"/>
        </w:rPr>
        <w:t>该项目年初预算数20万元，全年预算数20万元，全年执行数20万元，预算执行率为100%，</w:t>
      </w:r>
      <w:r>
        <w:rPr>
          <w:rFonts w:hint="eastAsia"/>
        </w:rPr>
        <w:t>用于：</w:t>
      </w:r>
      <w:r>
        <w:rPr>
          <w:rFonts w:hint="eastAsia"/>
          <w:lang w:eastAsia="zh-CN"/>
        </w:rPr>
        <w:t>物资采购</w:t>
      </w:r>
      <w:r>
        <w:rPr>
          <w:rFonts w:hint="eastAsia"/>
        </w:rPr>
        <w:t>费</w:t>
      </w:r>
      <w:r>
        <w:rPr>
          <w:rFonts w:hint="eastAsia"/>
          <w:lang w:val="en-US" w:eastAsia="zh-CN"/>
        </w:rPr>
        <w:t>8.56</w:t>
      </w:r>
      <w:r>
        <w:rPr>
          <w:rFonts w:hint="eastAsia"/>
        </w:rPr>
        <w:t>万元，</w:t>
      </w:r>
      <w:r>
        <w:rPr>
          <w:rFonts w:hint="eastAsia"/>
          <w:lang w:eastAsia="zh-CN"/>
        </w:rPr>
        <w:t>基本科研</w:t>
      </w:r>
      <w:r>
        <w:rPr>
          <w:rFonts w:hint="eastAsia"/>
          <w:lang w:val="en-US" w:eastAsia="zh-CN"/>
        </w:rPr>
        <w:t>费用11.44</w:t>
      </w:r>
      <w:r>
        <w:rPr>
          <w:rFonts w:hint="eastAsia"/>
        </w:rPr>
        <w:t>万元。</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lang w:val="en-US" w:eastAsia="zh-CN"/>
        </w:rPr>
      </w:pPr>
      <w:bookmarkStart w:id="2" w:name="_Toc68703829"/>
      <w:r>
        <w:rPr>
          <w:rFonts w:hint="default" w:ascii="Times New Roman" w:hAnsi="Times New Roman" w:eastAsia="仿宋_GB2312" w:cs="Times New Roman"/>
          <w:b/>
          <w:bCs/>
          <w:kern w:val="2"/>
          <w:sz w:val="32"/>
          <w:szCs w:val="32"/>
          <w:lang w:val="en-US" w:eastAsia="zh-CN" w:bidi="ar-SA"/>
        </w:rPr>
        <w:t>（二）项目绩效目标</w:t>
      </w:r>
      <w:bookmarkEnd w:id="2"/>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cs="Times New Roman"/>
          <w:sz w:val="32"/>
          <w:szCs w:val="32"/>
          <w:lang w:val="en-US" w:eastAsia="zh-CN"/>
        </w:rPr>
        <w:t xml:space="preserve">. </w:t>
      </w:r>
      <w:r>
        <w:rPr>
          <w:rFonts w:hint="default" w:ascii="Times New Roman" w:hAnsi="Times New Roman" w:eastAsia="仿宋_GB2312" w:cs="Times New Roman"/>
          <w:sz w:val="32"/>
          <w:szCs w:val="32"/>
        </w:rPr>
        <w:t>总体目标：</w:t>
      </w:r>
      <w:r>
        <w:rPr>
          <w:rFonts w:hint="default" w:ascii="Times New Roman" w:hAnsi="Times New Roman" w:eastAsia="仿宋_GB2312" w:cs="Times New Roman"/>
          <w:color w:val="auto"/>
          <w:sz w:val="32"/>
          <w:szCs w:val="32"/>
        </w:rPr>
        <w:t>1.花生示范面积100亩；2.辐射种植花生面积2000亩；3.引进或筛选油料品种和种质资源不少于10个。</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FF0000"/>
          <w:sz w:val="32"/>
          <w:szCs w:val="32"/>
        </w:rPr>
      </w:pPr>
      <w:r>
        <w:rPr>
          <w:rFonts w:hint="default" w:ascii="Times New Roman" w:hAnsi="Times New Roman" w:eastAsia="仿宋_GB2312" w:cs="Times New Roman"/>
          <w:sz w:val="32"/>
          <w:szCs w:val="32"/>
        </w:rPr>
        <w:t>2</w:t>
      </w:r>
      <w:r>
        <w:rPr>
          <w:rFonts w:hint="eastAsia" w:cs="Times New Roman"/>
          <w:sz w:val="32"/>
          <w:szCs w:val="32"/>
          <w:lang w:val="en-US" w:eastAsia="zh-CN"/>
        </w:rPr>
        <w:t xml:space="preserve">. </w:t>
      </w:r>
      <w:r>
        <w:rPr>
          <w:rFonts w:hint="default" w:ascii="Times New Roman" w:hAnsi="Times New Roman" w:eastAsia="仿宋_GB2312" w:cs="Times New Roman"/>
          <w:sz w:val="32"/>
          <w:szCs w:val="32"/>
        </w:rPr>
        <w:t>阶段性目标：</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sz w:val="32"/>
          <w:szCs w:val="32"/>
          <w:lang w:val="en-US" w:eastAsia="zh-CN"/>
        </w:rPr>
      </w:pPr>
      <w:r>
        <w:rPr>
          <w:rFonts w:hint="eastAsia" w:cs="Times New Roman"/>
          <w:sz w:val="32"/>
          <w:szCs w:val="32"/>
          <w:lang w:val="en-US" w:eastAsia="zh-CN"/>
        </w:rPr>
        <w:t>2023年1月-3月，主要开展制定项目计划方案、引进油料品种资源17份等工作；2023年4月-10月，主要完成</w:t>
      </w:r>
      <w:r>
        <w:rPr>
          <w:rFonts w:hint="default" w:ascii="Times New Roman" w:hAnsi="Times New Roman" w:eastAsia="仿宋_GB2312" w:cs="Times New Roman"/>
          <w:sz w:val="32"/>
          <w:szCs w:val="32"/>
          <w:lang w:val="en-US" w:eastAsia="zh-CN"/>
        </w:rPr>
        <w:t>花生新品种筛选试验</w:t>
      </w:r>
      <w:r>
        <w:rPr>
          <w:rFonts w:hint="eastAsia" w:cs="Times New Roman"/>
          <w:sz w:val="32"/>
          <w:szCs w:val="32"/>
          <w:lang w:val="en-US" w:eastAsia="zh-CN"/>
        </w:rPr>
        <w:t>、</w:t>
      </w:r>
      <w:r>
        <w:rPr>
          <w:rFonts w:hint="default" w:ascii="Times New Roman" w:hAnsi="Times New Roman" w:eastAsia="仿宋_GB2312" w:cs="Times New Roman"/>
          <w:sz w:val="32"/>
          <w:szCs w:val="32"/>
          <w:lang w:val="en-US" w:eastAsia="zh-CN"/>
        </w:rPr>
        <w:t>不同栽培模式筛选试验</w:t>
      </w:r>
      <w:r>
        <w:rPr>
          <w:rFonts w:hint="eastAsia" w:cs="Times New Roman"/>
          <w:sz w:val="32"/>
          <w:szCs w:val="32"/>
          <w:lang w:val="en-US" w:eastAsia="zh-CN"/>
        </w:rPr>
        <w:t>以及</w:t>
      </w:r>
      <w:r>
        <w:rPr>
          <w:rFonts w:hint="default" w:ascii="Times New Roman" w:hAnsi="Times New Roman" w:eastAsia="仿宋_GB2312" w:cs="Times New Roman"/>
          <w:b w:val="0"/>
          <w:bCs/>
          <w:sz w:val="32"/>
          <w:szCs w:val="32"/>
          <w:lang w:val="en-US" w:eastAsia="zh-CN"/>
        </w:rPr>
        <w:t>试验站建设任务</w:t>
      </w:r>
      <w:r>
        <w:rPr>
          <w:rFonts w:hint="eastAsia" w:cs="Times New Roman"/>
          <w:b w:val="0"/>
          <w:bCs/>
          <w:sz w:val="32"/>
          <w:szCs w:val="32"/>
          <w:lang w:val="en-US" w:eastAsia="zh-CN"/>
        </w:rPr>
        <w:t>，</w:t>
      </w:r>
      <w:r>
        <w:rPr>
          <w:rFonts w:hint="default" w:ascii="Times New Roman" w:hAnsi="Times New Roman" w:eastAsia="仿宋_GB2312" w:cs="Times New Roman"/>
          <w:sz w:val="32"/>
          <w:szCs w:val="32"/>
          <w:lang w:val="en-US" w:eastAsia="zh-CN"/>
        </w:rPr>
        <w:t>通过博湖试验点开展花生新品种引种试验，筛选出适宜本地区种植的花生品种</w:t>
      </w:r>
      <w:r>
        <w:rPr>
          <w:rFonts w:hint="eastAsia" w:cs="Times New Roman"/>
          <w:sz w:val="32"/>
          <w:szCs w:val="32"/>
          <w:lang w:val="en-US" w:eastAsia="zh-CN"/>
        </w:rPr>
        <w:t>4份，</w:t>
      </w:r>
      <w:r>
        <w:rPr>
          <w:rFonts w:hint="default" w:ascii="Times New Roman" w:hAnsi="Times New Roman" w:eastAsia="仿宋_GB2312" w:cs="Times New Roman"/>
          <w:sz w:val="32"/>
          <w:szCs w:val="32"/>
          <w:lang w:val="en-US" w:eastAsia="zh-CN"/>
        </w:rPr>
        <w:t>研究筛选适宜巴州地区花生高产的栽培模式。</w:t>
      </w:r>
      <w:r>
        <w:rPr>
          <w:rFonts w:hint="default" w:ascii="Times New Roman" w:hAnsi="Times New Roman" w:eastAsia="仿宋_GB2312" w:cs="Times New Roman"/>
          <w:b w:val="0"/>
          <w:bCs/>
          <w:sz w:val="32"/>
          <w:szCs w:val="32"/>
          <w:lang w:val="en-US" w:eastAsia="zh-CN"/>
        </w:rPr>
        <w:t>在博湖县建立花生加工原料基地1个（面积10亩），在库尔勒市巴州农科院自有试验地示范花生种植面积5亩，博湖县示范花生种植面积15亩（含花生加工原料基地5亩），轮台县示范面积80亩，共计示范面积100亩，其中：在博湖县示范加工花生专用品种示范面积10亩。在轮台县辐射带动花生种植2000亩</w:t>
      </w:r>
      <w:r>
        <w:rPr>
          <w:rFonts w:hint="eastAsia" w:cs="Times New Roman"/>
          <w:b w:val="0"/>
          <w:bCs/>
          <w:sz w:val="32"/>
          <w:szCs w:val="32"/>
          <w:lang w:val="en-US" w:eastAsia="zh-CN"/>
        </w:rPr>
        <w:t>；2023年11月-12月，完成年度工作总结。</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3" w:name="_Toc68703830"/>
      <w:r>
        <w:rPr>
          <w:rFonts w:hint="default" w:ascii="Times New Roman" w:hAnsi="Times New Roman" w:eastAsia="仿宋_GB2312" w:cs="Times New Roman"/>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lang w:val="en-US" w:eastAsia="zh-CN"/>
        </w:rPr>
      </w:pPr>
      <w:bookmarkStart w:id="4" w:name="_Toc68703831"/>
      <w:r>
        <w:rPr>
          <w:rFonts w:hint="default" w:ascii="Times New Roman" w:hAnsi="Times New Roman" w:eastAsia="仿宋_GB2312" w:cs="Times New Roman"/>
          <w:b/>
          <w:bCs/>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1</w:t>
      </w:r>
      <w:r>
        <w:rPr>
          <w:rFonts w:hint="eastAsia" w:cs="Times New Roman"/>
          <w:lang w:val="en-US" w:eastAsia="zh-CN"/>
        </w:rPr>
        <w:t>.</w:t>
      </w:r>
      <w:r>
        <w:rPr>
          <w:rFonts w:hint="default" w:ascii="Times New Roman" w:hAnsi="Times New Roman" w:eastAsia="仿宋_GB2312" w:cs="Times New Roman"/>
        </w:rPr>
        <w:t>绩效评价目的：</w:t>
      </w:r>
    </w:p>
    <w:p>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default" w:ascii="Times New Roman" w:hAnsi="Times New Roman" w:eastAsia="仿宋_GB2312" w:cs="Times New Roman"/>
          <w:b w:val="0"/>
          <w:bCs/>
          <w:kern w:val="2"/>
          <w:sz w:val="30"/>
          <w:szCs w:val="24"/>
          <w:lang w:val="en-US" w:eastAsia="zh-CN" w:bidi="ar-SA"/>
        </w:rPr>
        <w:t>通过开展有效的财政支出绩效评价管理，</w:t>
      </w:r>
      <w:r>
        <w:rPr>
          <w:rFonts w:hint="default" w:ascii="Times New Roman" w:hAnsi="Times New Roman" w:eastAsia="仿宋_GB2312" w:cs="Times New Roman"/>
          <w:b w:val="0"/>
          <w:bCs/>
          <w:kern w:val="2"/>
          <w:sz w:val="30"/>
          <w:szCs w:val="24"/>
          <w:highlight w:val="none"/>
          <w:lang w:val="en-US" w:eastAsia="zh-CN" w:bidi="ar-SA"/>
        </w:rPr>
        <w:t>全面了解</w:t>
      </w:r>
      <w:r>
        <w:rPr>
          <w:rFonts w:hint="eastAsia" w:cs="Times New Roman"/>
          <w:b w:val="0"/>
          <w:bCs/>
          <w:kern w:val="2"/>
          <w:sz w:val="30"/>
          <w:szCs w:val="24"/>
          <w:highlight w:val="none"/>
          <w:lang w:val="en-US" w:eastAsia="zh-CN" w:bidi="ar-SA"/>
        </w:rPr>
        <w:t>《2023年自治区人才发展基金项目-产业技术创新团队支持计划-现代农业产业技术体系人才-油料体系》项目</w:t>
      </w:r>
      <w:r>
        <w:rPr>
          <w:rFonts w:hint="default" w:ascii="Times New Roman" w:hAnsi="Times New Roman" w:eastAsia="仿宋_GB2312" w:cs="Times New Roman"/>
          <w:b w:val="0"/>
          <w:bCs/>
          <w:kern w:val="2"/>
          <w:sz w:val="30"/>
          <w:szCs w:val="24"/>
          <w:highlight w:val="none"/>
          <w:lang w:val="en-US" w:eastAsia="zh-CN" w:bidi="ar-SA"/>
        </w:rPr>
        <w:t>预算编制合理性、资</w:t>
      </w:r>
      <w:r>
        <w:rPr>
          <w:rFonts w:hint="default" w:ascii="Times New Roman" w:hAnsi="Times New Roman" w:eastAsia="仿宋_GB2312" w:cs="Times New Roman"/>
          <w:b w:val="0"/>
          <w:bCs/>
          <w:kern w:val="2"/>
          <w:sz w:val="30"/>
          <w:szCs w:val="24"/>
          <w:lang w:val="en-US" w:eastAsia="zh-CN" w:bidi="ar-SA"/>
        </w:rPr>
        <w:t>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2</w:t>
      </w:r>
      <w:r>
        <w:rPr>
          <w:rFonts w:hint="eastAsia" w:cs="Times New Roman"/>
          <w:lang w:val="en-US" w:eastAsia="zh-CN"/>
        </w:rPr>
        <w:t>.</w:t>
      </w:r>
      <w:r>
        <w:rPr>
          <w:rFonts w:hint="default" w:ascii="Times New Roman" w:hAnsi="Times New Roman" w:eastAsia="仿宋_GB2312" w:cs="Times New Roman"/>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s="Times New Roman"/>
          <w:b w:val="0"/>
          <w:bCs/>
          <w:kern w:val="2"/>
          <w:sz w:val="30"/>
          <w:szCs w:val="24"/>
          <w:highlight w:val="none"/>
          <w:lang w:val="en-US" w:eastAsia="zh-CN" w:bidi="ar-SA"/>
        </w:rPr>
      </w:pPr>
      <w:r>
        <w:rPr>
          <w:rFonts w:hint="eastAsia" w:cs="Times New Roman"/>
          <w:b w:val="0"/>
          <w:bCs/>
          <w:kern w:val="2"/>
          <w:sz w:val="30"/>
          <w:szCs w:val="24"/>
          <w:highlight w:val="none"/>
          <w:lang w:val="en-US" w:eastAsia="zh-CN" w:bidi="ar-SA"/>
        </w:rPr>
        <w:t>《2023年自治区人才发展基金项目-产业技术创新团队支持计划-现代农业产业技术体系人才-油料体系》</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3</w:t>
      </w:r>
      <w:r>
        <w:rPr>
          <w:rFonts w:hint="eastAsia" w:cs="Times New Roman"/>
          <w:lang w:val="en-US" w:eastAsia="zh-CN"/>
        </w:rPr>
        <w:t>.</w:t>
      </w:r>
      <w:r>
        <w:rPr>
          <w:rFonts w:hint="default" w:ascii="Times New Roman" w:hAnsi="Times New Roman" w:eastAsia="仿宋_GB2312" w:cs="Times New Roman"/>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default" w:ascii="Times New Roman" w:hAnsi="Times New Roman" w:eastAsia="仿宋_GB2312" w:cs="Times New Roman"/>
          <w:b w:val="0"/>
          <w:bCs/>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w:t>
      </w:r>
      <w:r>
        <w:rPr>
          <w:rFonts w:hint="eastAsia" w:cs="Times New Roman"/>
          <w:b w:val="0"/>
          <w:bCs/>
          <w:kern w:val="2"/>
          <w:sz w:val="30"/>
          <w:szCs w:val="24"/>
          <w:highlight w:val="none"/>
          <w:lang w:val="en-US" w:eastAsia="zh-CN" w:bidi="ar-SA"/>
        </w:rPr>
        <w:t>《2023年自治区人才发展基金项目-产业技术创新团队支持计划-现代农业产业技术体系人才-油料体系》项目</w:t>
      </w:r>
      <w:r>
        <w:rPr>
          <w:rFonts w:hint="default" w:ascii="Times New Roman" w:hAnsi="Times New Roman" w:eastAsia="仿宋_GB2312" w:cs="Times New Roman"/>
          <w:b w:val="0"/>
          <w:bCs/>
          <w:kern w:val="2"/>
          <w:sz w:val="30"/>
          <w:szCs w:val="24"/>
          <w:highlight w:val="none"/>
          <w:lang w:val="en-US" w:eastAsia="zh-CN" w:bidi="ar-SA"/>
        </w:rPr>
        <w:t>评价，评价核心为资金的</w:t>
      </w:r>
      <w:r>
        <w:rPr>
          <w:rFonts w:hint="default" w:ascii="Times New Roman" w:hAnsi="Times New Roman" w:eastAsia="仿宋_GB2312" w:cs="Times New Roman"/>
          <w:b w:val="0"/>
          <w:bCs/>
          <w:kern w:val="2"/>
          <w:sz w:val="30"/>
          <w:szCs w:val="24"/>
          <w:lang w:val="en-US" w:eastAsia="zh-CN" w:bidi="ar-SA"/>
        </w:rPr>
        <w:t>支出完成情况和效果。</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5" w:name="_Toc68703832"/>
      <w:r>
        <w:rPr>
          <w:rFonts w:hint="default" w:ascii="Times New Roman" w:hAnsi="Times New Roman" w:eastAsia="仿宋_GB2312" w:cs="Times New Roman"/>
          <w:b/>
          <w:bCs/>
        </w:rPr>
        <w:t>（二）绩效评价原则、评价指标体系</w:t>
      </w:r>
      <w:r>
        <w:rPr>
          <w:rFonts w:hint="default" w:ascii="Times New Roman" w:hAnsi="Times New Roman" w:eastAsia="仿宋_GB2312" w:cs="Times New Roman"/>
          <w:b/>
          <w:bCs/>
          <w:lang w:eastAsia="zh-CN"/>
        </w:rPr>
        <w:t>（附表说明）</w:t>
      </w:r>
      <w:r>
        <w:rPr>
          <w:rFonts w:hint="default" w:ascii="Times New Roman" w:hAnsi="Times New Roman" w:eastAsia="仿宋_GB2312" w:cs="Times New Roman"/>
          <w:b/>
          <w:bCs/>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1</w:t>
      </w:r>
      <w:r>
        <w:rPr>
          <w:rFonts w:hint="eastAsia" w:cs="Times New Roman"/>
          <w:lang w:val="en-US" w:eastAsia="zh-CN"/>
        </w:rPr>
        <w:t>.</w:t>
      </w:r>
      <w:r>
        <w:rPr>
          <w:rFonts w:hint="default" w:ascii="Times New Roman" w:hAnsi="Times New Roman" w:eastAsia="仿宋_GB2312" w:cs="Times New Roman"/>
        </w:rPr>
        <w:t>绩效</w:t>
      </w:r>
      <w:r>
        <w:rPr>
          <w:rFonts w:hint="eastAsia" w:cs="Times New Roman"/>
          <w:lang w:eastAsia="zh-CN"/>
        </w:rPr>
        <w:t>评价</w:t>
      </w:r>
      <w:r>
        <w:rPr>
          <w:rFonts w:hint="default" w:ascii="Times New Roman" w:hAnsi="Times New Roman" w:eastAsia="仿宋_GB2312" w:cs="Times New Roman"/>
        </w:rPr>
        <w:t>原则</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（一）科学公正。本次项目支出绩效评价</w:t>
      </w:r>
      <w:r>
        <w:rPr>
          <w:rFonts w:hint="eastAsia" w:cs="Times New Roman"/>
          <w:color w:val="auto"/>
          <w:lang w:eastAsia="zh-CN"/>
        </w:rPr>
        <w:t>按照农业科研项目运行工作要求，坚持农业类科研发展项目独立、客观、公正以及科学的原则，</w:t>
      </w:r>
      <w:r>
        <w:rPr>
          <w:rFonts w:hint="default" w:ascii="Times New Roman" w:hAnsi="Times New Roman" w:eastAsia="仿宋_GB2312" w:cs="Times New Roman"/>
          <w:color w:val="auto"/>
        </w:rPr>
        <w:t>运用</w:t>
      </w:r>
      <w:r>
        <w:rPr>
          <w:rFonts w:hint="eastAsia" w:cs="Times New Roman"/>
          <w:color w:val="auto"/>
          <w:lang w:eastAsia="zh-CN"/>
        </w:rPr>
        <w:t>科学、规范的评价程序和操作过程，准确、全面、系统的针</w:t>
      </w:r>
      <w:r>
        <w:rPr>
          <w:rFonts w:hint="default" w:ascii="Times New Roman" w:hAnsi="Times New Roman" w:eastAsia="仿宋_GB2312" w:cs="Times New Roman"/>
          <w:color w:val="auto"/>
        </w:rPr>
        <w:t>对</w:t>
      </w:r>
      <w:r>
        <w:rPr>
          <w:rFonts w:hint="eastAsia" w:cs="Times New Roman"/>
          <w:color w:val="auto"/>
          <w:lang w:eastAsia="zh-CN"/>
        </w:rPr>
        <w:t>农业科研</w:t>
      </w:r>
      <w:r>
        <w:rPr>
          <w:rFonts w:hint="default" w:ascii="Times New Roman" w:hAnsi="Times New Roman" w:eastAsia="仿宋_GB2312" w:cs="Times New Roman"/>
          <w:color w:val="auto"/>
        </w:rPr>
        <w:t>项目绩效进行客观、公正的反映。</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（二）统筹兼顾。本次项目支出绩效评价由本单位自主实施</w:t>
      </w:r>
      <w:r>
        <w:rPr>
          <w:rFonts w:hint="eastAsia" w:cs="Times New Roman"/>
          <w:color w:val="auto"/>
          <w:lang w:eastAsia="zh-CN"/>
        </w:rPr>
        <w:t>并积极组织自评</w:t>
      </w:r>
      <w:r>
        <w:rPr>
          <w:rFonts w:hint="default" w:ascii="Times New Roman" w:hAnsi="Times New Roman" w:eastAsia="仿宋_GB2312" w:cs="Times New Roman"/>
          <w:color w:val="auto"/>
        </w:rPr>
        <w:t>，</w:t>
      </w:r>
      <w:r>
        <w:rPr>
          <w:rFonts w:hint="eastAsia" w:cs="Times New Roman"/>
          <w:color w:val="auto"/>
          <w:lang w:eastAsia="zh-CN"/>
        </w:rPr>
        <w:t>项目负责人或项目成员依据项目年度目标完成项目整体工作内容，按照农业科研项目绩效评价要求完成项目绩效评价，</w:t>
      </w:r>
      <w:r>
        <w:rPr>
          <w:rFonts w:hint="default" w:ascii="Times New Roman" w:hAnsi="Times New Roman" w:eastAsia="仿宋_GB2312" w:cs="Times New Roman"/>
          <w:color w:val="auto"/>
        </w:rPr>
        <w:t>即“谁支出、谁自评”。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（三）激励约束。本次项目支出绩效评价结果</w:t>
      </w:r>
      <w:r>
        <w:rPr>
          <w:rFonts w:hint="eastAsia" w:cs="Times New Roman"/>
          <w:color w:val="auto"/>
          <w:lang w:eastAsia="zh-CN"/>
        </w:rPr>
        <w:t>要贴合科研项目</w:t>
      </w:r>
      <w:r>
        <w:rPr>
          <w:rFonts w:hint="default" w:ascii="Times New Roman" w:hAnsi="Times New Roman" w:eastAsia="仿宋_GB2312" w:cs="Times New Roman"/>
          <w:color w:val="auto"/>
        </w:rPr>
        <w:t>预算</w:t>
      </w:r>
      <w:r>
        <w:rPr>
          <w:rFonts w:hint="eastAsia" w:cs="Times New Roman"/>
          <w:color w:val="auto"/>
          <w:lang w:eastAsia="zh-CN"/>
        </w:rPr>
        <w:t>计划</w:t>
      </w:r>
      <w:r>
        <w:rPr>
          <w:rFonts w:hint="default" w:ascii="Times New Roman" w:hAnsi="Times New Roman" w:eastAsia="仿宋_GB2312" w:cs="Times New Roman"/>
          <w:color w:val="auto"/>
        </w:rPr>
        <w:t>、</w:t>
      </w:r>
      <w:r>
        <w:rPr>
          <w:rFonts w:hint="eastAsia" w:cs="Times New Roman"/>
          <w:color w:val="auto"/>
          <w:lang w:eastAsia="zh-CN"/>
        </w:rPr>
        <w:t>农业</w:t>
      </w:r>
      <w:r>
        <w:rPr>
          <w:rFonts w:hint="default" w:ascii="Times New Roman" w:hAnsi="Times New Roman" w:eastAsia="仿宋_GB2312" w:cs="Times New Roman"/>
          <w:color w:val="auto"/>
        </w:rPr>
        <w:t>政策调整</w:t>
      </w:r>
      <w:r>
        <w:rPr>
          <w:rFonts w:hint="eastAsia" w:cs="Times New Roman"/>
          <w:color w:val="auto"/>
          <w:lang w:eastAsia="zh-CN"/>
        </w:rPr>
        <w:t>以及项目</w:t>
      </w:r>
      <w:r>
        <w:rPr>
          <w:rFonts w:hint="default" w:ascii="Times New Roman" w:hAnsi="Times New Roman" w:eastAsia="仿宋_GB2312" w:cs="Times New Roman"/>
          <w:color w:val="auto"/>
        </w:rPr>
        <w:t>改进管理，</w:t>
      </w:r>
      <w:r>
        <w:rPr>
          <w:rFonts w:hint="eastAsia" w:cs="Times New Roman"/>
          <w:color w:val="auto"/>
          <w:lang w:eastAsia="zh-CN"/>
        </w:rPr>
        <w:t>同时要</w:t>
      </w:r>
      <w:r>
        <w:rPr>
          <w:rFonts w:hint="default" w:ascii="Times New Roman" w:hAnsi="Times New Roman" w:eastAsia="仿宋_GB2312" w:cs="Times New Roman"/>
          <w:color w:val="auto"/>
        </w:rPr>
        <w:t>体现奖优罚劣和激励</w:t>
      </w:r>
      <w:r>
        <w:rPr>
          <w:rFonts w:hint="eastAsia" w:cs="Times New Roman"/>
          <w:color w:val="auto"/>
          <w:lang w:eastAsia="zh-CN"/>
        </w:rPr>
        <w:t>约束</w:t>
      </w:r>
      <w:r>
        <w:rPr>
          <w:rFonts w:hint="default" w:ascii="Times New Roman" w:hAnsi="Times New Roman" w:eastAsia="仿宋_GB2312" w:cs="Times New Roman"/>
          <w:color w:val="auto"/>
        </w:rPr>
        <w:t>，</w:t>
      </w:r>
      <w:r>
        <w:rPr>
          <w:rFonts w:hint="eastAsia" w:cs="Times New Roman"/>
          <w:color w:val="auto"/>
          <w:lang w:eastAsia="zh-CN"/>
        </w:rPr>
        <w:t>项目绩效评价结果</w:t>
      </w:r>
      <w:r>
        <w:rPr>
          <w:rFonts w:hint="default" w:ascii="Times New Roman" w:hAnsi="Times New Roman" w:eastAsia="仿宋_GB2312" w:cs="Times New Roman"/>
          <w:color w:val="auto"/>
        </w:rPr>
        <w:t>有效</w:t>
      </w:r>
      <w:r>
        <w:rPr>
          <w:rFonts w:hint="eastAsia" w:cs="Times New Roman"/>
          <w:color w:val="auto"/>
          <w:lang w:eastAsia="zh-CN"/>
        </w:rPr>
        <w:t>可支持</w:t>
      </w:r>
      <w:r>
        <w:rPr>
          <w:rFonts w:hint="default" w:ascii="Times New Roman" w:hAnsi="Times New Roman" w:eastAsia="仿宋_GB2312" w:cs="Times New Roman"/>
          <w:color w:val="auto"/>
        </w:rPr>
        <w:t>安排</w:t>
      </w:r>
      <w:r>
        <w:rPr>
          <w:rFonts w:hint="eastAsia" w:cs="Times New Roman"/>
          <w:color w:val="auto"/>
          <w:lang w:eastAsia="zh-CN"/>
        </w:rPr>
        <w:t>项目开展，评价结果低效</w:t>
      </w:r>
      <w:r>
        <w:rPr>
          <w:rFonts w:hint="default" w:ascii="Times New Roman" w:hAnsi="Times New Roman" w:eastAsia="仿宋_GB2312" w:cs="Times New Roman"/>
          <w:color w:val="auto"/>
        </w:rPr>
        <w:t>要压减</w:t>
      </w:r>
      <w:r>
        <w:rPr>
          <w:rFonts w:hint="eastAsia" w:cs="Times New Roman"/>
          <w:color w:val="auto"/>
          <w:lang w:eastAsia="zh-CN"/>
        </w:rPr>
        <w:t>相关类科研项目，评价结果</w:t>
      </w:r>
      <w:r>
        <w:rPr>
          <w:rFonts w:hint="default" w:ascii="Times New Roman" w:hAnsi="Times New Roman" w:eastAsia="仿宋_GB2312" w:cs="Times New Roman"/>
          <w:color w:val="auto"/>
        </w:rPr>
        <w:t>无效要</w:t>
      </w:r>
      <w:r>
        <w:rPr>
          <w:rFonts w:hint="eastAsia" w:cs="Times New Roman"/>
          <w:color w:val="auto"/>
          <w:lang w:eastAsia="zh-CN"/>
        </w:rPr>
        <w:t>追责</w:t>
      </w:r>
      <w:r>
        <w:rPr>
          <w:rFonts w:hint="default" w:ascii="Times New Roman" w:hAnsi="Times New Roman" w:eastAsia="仿宋_GB2312" w:cs="Times New Roman"/>
          <w:color w:val="auto"/>
        </w:rPr>
        <w:t>问责</w:t>
      </w:r>
      <w:r>
        <w:rPr>
          <w:rFonts w:hint="eastAsia" w:cs="Times New Roman"/>
          <w:color w:val="auto"/>
          <w:lang w:eastAsia="zh-CN"/>
        </w:rPr>
        <w:t>相关项目负责人</w:t>
      </w:r>
      <w:r>
        <w:rPr>
          <w:rFonts w:hint="default" w:ascii="Times New Roman" w:hAnsi="Times New Roman" w:eastAsia="仿宋_GB2312" w:cs="Times New Roman"/>
          <w:color w:val="auto"/>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（四）公开透明。本次项目支出绩效评价结果</w:t>
      </w:r>
      <w:r>
        <w:rPr>
          <w:rFonts w:hint="eastAsia" w:cs="Times New Roman"/>
          <w:color w:val="auto"/>
          <w:lang w:eastAsia="zh-CN"/>
        </w:rPr>
        <w:t>由本单位科研管理办公室工作人员和财务人员协助审核，并在本单位公示栏进行公示公开，同时</w:t>
      </w:r>
      <w:r>
        <w:rPr>
          <w:rFonts w:hint="default" w:ascii="Times New Roman" w:hAnsi="Times New Roman" w:eastAsia="仿宋_GB2312" w:cs="Times New Roman"/>
          <w:color w:val="auto"/>
        </w:rPr>
        <w:t>依法依规公开在</w:t>
      </w:r>
      <w:r>
        <w:rPr>
          <w:rFonts w:hint="default" w:ascii="Times New Roman" w:hAnsi="Times New Roman" w:eastAsia="仿宋_GB2312" w:cs="Times New Roman"/>
          <w:color w:val="auto"/>
          <w:lang w:val="en-US" w:eastAsia="zh-CN"/>
        </w:rPr>
        <w:t>新疆农业农村厅</w:t>
      </w:r>
      <w:r>
        <w:rPr>
          <w:rFonts w:hint="default" w:ascii="Times New Roman" w:hAnsi="Times New Roman" w:eastAsia="仿宋_GB2312" w:cs="Times New Roman"/>
          <w:color w:val="auto"/>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default" w:ascii="Times New Roman" w:hAnsi="Times New Roman" w:eastAsia="仿宋_GB2312" w:cs="Times New Roman"/>
        </w:rPr>
        <w:t>2</w:t>
      </w:r>
      <w:r>
        <w:rPr>
          <w:rFonts w:hint="eastAsia" w:cs="Times New Roman"/>
          <w:lang w:val="en-US" w:eastAsia="zh-CN"/>
        </w:rPr>
        <w:t>.</w:t>
      </w:r>
      <w:r>
        <w:rPr>
          <w:rFonts w:hint="default" w:ascii="Times New Roman" w:hAnsi="Times New Roman" w:eastAsia="仿宋_GB2312" w:cs="Times New Roman"/>
        </w:rPr>
        <w:t>评价指标体系</w:t>
      </w:r>
      <w:r>
        <w:rPr>
          <w:rFonts w:hint="eastAsia"/>
        </w:rPr>
        <w:t>（附表说明）</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（1）确定评价指标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（2）确定权重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（3）确定指标标准值</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lang w:eastAsia="zh-CN"/>
        </w:rPr>
      </w:pPr>
      <w:r>
        <w:rPr>
          <w:rFonts w:hint="eastAsia" w:ascii="Times New Roman" w:hAnsi="Times New Roman" w:cs="Times New Roman"/>
          <w:color w:val="auto"/>
          <w:lang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lang w:eastAsia="zh-CN"/>
        </w:rPr>
      </w:pPr>
      <w:r>
        <w:rPr>
          <w:rFonts w:hint="default" w:ascii="Times New Roman" w:hAnsi="Times New Roman" w:cs="Times New Roman"/>
          <w:color w:val="auto"/>
          <w:lang w:eastAsia="zh-CN"/>
        </w:rPr>
        <w:t>3</w:t>
      </w:r>
      <w:r>
        <w:rPr>
          <w:rFonts w:hint="eastAsia" w:ascii="Times New Roman" w:hAnsi="Times New Roman" w:cs="Times New Roman"/>
          <w:color w:val="auto"/>
          <w:lang w:val="en-US" w:eastAsia="zh-CN"/>
        </w:rPr>
        <w:t>.</w:t>
      </w:r>
      <w:r>
        <w:rPr>
          <w:rFonts w:hint="default" w:ascii="Times New Roman" w:hAnsi="Times New Roman" w:cs="Times New Roman"/>
          <w:color w:val="auto"/>
          <w:lang w:eastAsia="zh-CN"/>
        </w:rPr>
        <w:t>评价方法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highlight w:val="none"/>
          <w:lang w:eastAsia="zh-CN"/>
        </w:rPr>
      </w:pPr>
      <w:r>
        <w:rPr>
          <w:rFonts w:hint="eastAsia" w:ascii="Times New Roman" w:hAnsi="Times New Roman" w:cs="Times New Roman"/>
          <w:color w:val="auto"/>
          <w:lang w:eastAsia="zh-CN"/>
        </w:rPr>
        <w:t>本次评价指标中，既有定性指标又有定量指标，各类指标因考核内容不同和客观标准不同存在较大差异，因此核定具体指标时采用了不同方法，具体评价方法如下：本次项目支出绩效自评采用</w:t>
      </w:r>
      <w:bookmarkStart w:id="21" w:name="_GoBack"/>
      <w:bookmarkEnd w:id="21"/>
      <w:r>
        <w:rPr>
          <w:rFonts w:hint="eastAsia" w:ascii="Times New Roman" w:hAnsi="Times New Roman" w:cs="Times New Roman"/>
          <w:color w:val="auto"/>
          <w:lang w:eastAsia="zh-CN"/>
        </w:rPr>
        <w:t>因素分析法，原因是：农业科研项目的实施过程存在诸多内外影响因素，从而影响项目的结果，故本次项目支出绩效自评采用因素分析法，综合分析影响绩效目标实现、实施效果的内外部因素结合项</w:t>
      </w:r>
      <w:r>
        <w:rPr>
          <w:rFonts w:hint="eastAsia" w:ascii="Times New Roman" w:hAnsi="Times New Roman" w:cs="Times New Roman"/>
          <w:color w:val="auto"/>
          <w:highlight w:val="none"/>
          <w:lang w:eastAsia="zh-CN"/>
        </w:rPr>
        <w:t>目实施情况，客观准确的对项目进行自评。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4</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rPr>
        <w:t>评价标准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highlight w:val="none"/>
          <w:lang w:eastAsia="zh-CN"/>
        </w:rPr>
      </w:pPr>
      <w:bookmarkStart w:id="6" w:name="_Toc68703833"/>
      <w:r>
        <w:rPr>
          <w:rFonts w:hint="eastAsia" w:ascii="Times New Roman" w:hAnsi="Times New Roman" w:cs="Times New Roman"/>
          <w:color w:val="auto"/>
          <w:highlight w:val="none"/>
          <w:lang w:eastAsia="zh-CN"/>
        </w:rPr>
        <w:t>绩效评价标准通常包括计划标准、行业标准、历史标准等，用于对绩效指标完成情况进行比较、分析、评价。本次评价主要采用了计划标准，原因是：项目预先制定了详细的目标、计划、预算、定额等标准，在项目的的实施过程中严格按照项制定的目标、计划、预算逐步开展工作，并按照预先制定的目标、计划、预算、定额等作为项目的评价标准。</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highlight w:val="none"/>
        </w:rPr>
      </w:pPr>
      <w:r>
        <w:rPr>
          <w:rFonts w:hint="default" w:ascii="Times New Roman" w:hAnsi="Times New Roman" w:eastAsia="仿宋_GB2312" w:cs="Times New Roman"/>
          <w:b/>
          <w:bCs/>
          <w:highlight w:val="none"/>
        </w:rPr>
        <w:t>（三）绩效评价工作过程</w:t>
      </w:r>
      <w:bookmarkEnd w:id="6"/>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bookmarkStart w:id="7" w:name="_Toc68703834"/>
      <w:r>
        <w:rPr>
          <w:rFonts w:hint="eastAsia" w:ascii="Times New Roman" w:hAnsi="Times New Roman" w:cs="Times New Roman"/>
          <w:color w:val="auto"/>
          <w:lang w:val="en-US" w:eastAsia="zh-CN"/>
        </w:rPr>
        <w:t>1.</w:t>
      </w:r>
      <w:r>
        <w:rPr>
          <w:rFonts w:hint="eastAsia" w:ascii="Times New Roman" w:hAnsi="Times New Roman" w:cs="Times New Roman"/>
          <w:color w:val="auto"/>
          <w:lang w:eastAsia="zh-CN"/>
        </w:rPr>
        <w:t>前期准备。</w:t>
      </w:r>
      <w:r>
        <w:rPr>
          <w:rFonts w:hint="eastAsia" w:ascii="Times New Roman" w:hAnsi="Times New Roman" w:cs="Times New Roman"/>
          <w:color w:val="auto"/>
          <w:lang w:val="en-US" w:eastAsia="zh-CN"/>
        </w:rPr>
        <w:t>2024年1月，成立评价工作小组，</w:t>
      </w:r>
      <w:r>
        <w:rPr>
          <w:rFonts w:hint="eastAsia" w:ascii="Times New Roman" w:hAnsi="Times New Roman" w:cs="Times New Roman"/>
          <w:color w:val="auto"/>
          <w:lang w:eastAsia="zh-CN"/>
        </w:rPr>
        <w:t>对项目进行前期调研，根据调研实际情况，及单位实际，设定项目绩效目标，并根据项目绩效目标，设计实用的绩效评价体系，根据不同项目，召集各项目主持人，根据客观情况开会研讨确定项目评价方法，并根据项目情况，确定项目指标评价范围</w:t>
      </w:r>
      <w:r>
        <w:rPr>
          <w:rFonts w:hint="eastAsia" w:cs="Times New Roman"/>
          <w:color w:val="auto"/>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val="en-US" w:eastAsia="zh-CN"/>
        </w:rPr>
        <w:t>2.</w:t>
      </w:r>
      <w:r>
        <w:rPr>
          <w:rFonts w:hint="eastAsia" w:ascii="Times New Roman" w:hAnsi="Times New Roman" w:cs="Times New Roman"/>
          <w:color w:val="auto"/>
          <w:lang w:eastAsia="zh-CN"/>
        </w:rPr>
        <w:t>组织实施。</w:t>
      </w:r>
      <w:r>
        <w:rPr>
          <w:rFonts w:hint="eastAsia" w:ascii="Times New Roman" w:hAnsi="Times New Roman" w:cs="Times New Roman"/>
          <w:color w:val="auto"/>
          <w:lang w:val="en-US" w:eastAsia="zh-CN"/>
        </w:rPr>
        <w:t>2024年2月-3月，巴州农科院根据前期准备制订绩效评价方案，根据不同项目实际情况，设立了包含项目评价思路、评价方法手段、组织实施方案、阶段性进度安排的评价方案，并定期收集相关评价印证资料，包含</w:t>
      </w:r>
      <w:r>
        <w:rPr>
          <w:rFonts w:hint="eastAsia" w:ascii="Times New Roman" w:hAnsi="Times New Roman" w:cs="Times New Roman"/>
          <w:color w:val="auto"/>
          <w:lang w:eastAsia="zh-CN"/>
        </w:rPr>
        <w:t>项目立项依据、相关会议纪要、实施方案、财政资金分配方案、支付管理情况。</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3.</w:t>
      </w:r>
      <w:r>
        <w:rPr>
          <w:rFonts w:hint="eastAsia" w:ascii="Times New Roman" w:hAnsi="Times New Roman" w:cs="Times New Roman"/>
          <w:color w:val="auto"/>
          <w:lang w:eastAsia="zh-CN"/>
        </w:rPr>
        <w:t>分析评价。</w:t>
      </w:r>
      <w:r>
        <w:rPr>
          <w:rFonts w:hint="eastAsia" w:ascii="Times New Roman" w:hAnsi="Times New Roman" w:cs="Times New Roman"/>
          <w:color w:val="auto"/>
          <w:lang w:val="en-US" w:eastAsia="zh-CN"/>
        </w:rPr>
        <w:t>2024年4月,</w:t>
      </w:r>
      <w:r>
        <w:rPr>
          <w:rFonts w:hint="eastAsia" w:ascii="Times New Roman" w:hAnsi="Times New Roman" w:cs="Times New Roman"/>
          <w:color w:val="auto"/>
          <w:lang w:eastAsia="zh-CN"/>
        </w:rPr>
        <w:t>对定期收集的相关印证资料等内容，根据</w:t>
      </w:r>
      <w:r>
        <w:rPr>
          <w:rFonts w:hint="eastAsia" w:ascii="Times New Roman" w:hAnsi="Times New Roman" w:cs="Times New Roman"/>
          <w:color w:val="auto"/>
          <w:lang w:val="en-US" w:eastAsia="zh-CN"/>
        </w:rPr>
        <w:t>前期制订的绩效评价方案对项目已确定的绩效评价指标，巴州农科院评价工作组严格客观的对各项目进行全面的分析评价，逐项打分并形成绩效评价最终结果。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lang w:eastAsia="zh-CN"/>
        </w:rPr>
      </w:pPr>
      <w:bookmarkStart w:id="8" w:name="_Toc68703835"/>
      <w:r>
        <w:rPr>
          <w:rFonts w:hint="default" w:ascii="Times New Roman" w:hAnsi="Times New Roman" w:eastAsia="仿宋_GB2312" w:cs="Times New Roman"/>
          <w:b/>
          <w:bCs/>
        </w:rPr>
        <w:t>（一）综合评价情况</w:t>
      </w:r>
      <w:bookmarkEnd w:id="8"/>
      <w:r>
        <w:rPr>
          <w:rFonts w:hint="default" w:ascii="Times New Roman" w:hAnsi="Times New Roman" w:eastAsia="仿宋_GB2312" w:cs="Times New Roman"/>
          <w:b/>
          <w:bCs/>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1</w:t>
      </w:r>
      <w:r>
        <w:rPr>
          <w:rFonts w:hint="eastAsia" w:cs="Times New Roman"/>
          <w:b w:val="0"/>
          <w:bCs w:val="0"/>
          <w:lang w:val="en-US" w:eastAsia="zh-CN"/>
        </w:rPr>
        <w:t>.</w:t>
      </w:r>
      <w:r>
        <w:rPr>
          <w:rFonts w:hint="default" w:ascii="Times New Roman" w:hAnsi="Times New Roman" w:eastAsia="仿宋_GB2312" w:cs="Times New Roman"/>
          <w:b w:val="0"/>
          <w:bCs w:val="0"/>
        </w:rPr>
        <w:t>综合评价情况</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本项目严格按照科学公正、统筹兼顾、激励约束、公开透明的绩效评</w:t>
      </w:r>
      <w:r>
        <w:rPr>
          <w:rFonts w:hint="default" w:ascii="Times New Roman" w:hAnsi="Times New Roman" w:eastAsia="仿宋_GB2312" w:cs="Times New Roman"/>
          <w:b w:val="0"/>
          <w:bCs w:val="0"/>
          <w:lang w:val="en-US" w:eastAsia="zh-CN"/>
        </w:rPr>
        <w:t>价原则，采用</w:t>
      </w:r>
      <w:r>
        <w:rPr>
          <w:rFonts w:hint="eastAsia" w:ascii="Times New Roman" w:hAnsi="Times New Roman" w:eastAsia="仿宋_GB2312" w:cs="Times New Roman"/>
          <w:b w:val="0"/>
          <w:bCs w:val="0"/>
          <w:lang w:val="en-US" w:eastAsia="zh-CN"/>
        </w:rPr>
        <w:t>因素分析法</w:t>
      </w:r>
      <w:r>
        <w:rPr>
          <w:rFonts w:hint="default" w:ascii="Times New Roman" w:hAnsi="Times New Roman" w:eastAsia="仿宋_GB2312" w:cs="Times New Roman"/>
          <w:b w:val="0"/>
          <w:bCs w:val="0"/>
          <w:lang w:val="en-US" w:eastAsia="zh-CN"/>
        </w:rPr>
        <w:t>，坚持计划标准对本项目的立项、绩效目标、资金投入、资金管理、组织</w:t>
      </w:r>
      <w:r>
        <w:rPr>
          <w:rFonts w:hint="default" w:ascii="Times New Roman" w:hAnsi="Times New Roman" w:eastAsia="仿宋_GB2312" w:cs="Times New Roman"/>
          <w:b w:val="0"/>
          <w:bCs w:val="0"/>
        </w:rPr>
        <w:t>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9" w:name="_Toc68703836"/>
      <w:r>
        <w:rPr>
          <w:rFonts w:hint="default" w:ascii="Times New Roman" w:hAnsi="Times New Roman" w:eastAsia="仿宋_GB2312" w:cs="Times New Roman"/>
          <w:b w:val="0"/>
          <w:bCs w:val="0"/>
          <w:lang w:val="en-US" w:eastAsia="zh-CN"/>
        </w:rPr>
        <w:t>2</w:t>
      </w:r>
      <w:r>
        <w:rPr>
          <w:rFonts w:hint="eastAsia"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运用绩效评价组制定的评价指标体系以及财政部《项目支出绩效评价管理办法》（财预〔2020〕10号）文件的评分标准，对本项目进行客观评价</w:t>
      </w:r>
      <w:r>
        <w:rPr>
          <w:rFonts w:hint="default" w:ascii="Times New Roman" w:hAnsi="Times New Roman" w:eastAsia="仿宋_GB2312" w:cs="Times New Roman"/>
          <w:b w:val="0"/>
          <w:bCs w:val="0"/>
          <w:highlight w:val="none"/>
        </w:rPr>
        <w:t>，最终评分结果</w:t>
      </w:r>
      <w:r>
        <w:rPr>
          <w:rFonts w:hint="default" w:ascii="Times New Roman" w:hAnsi="Times New Roman" w:eastAsia="仿宋_GB2312" w:cs="Times New Roman"/>
          <w:b w:val="0"/>
          <w:bCs w:val="0"/>
          <w:color w:val="auto"/>
          <w:highlight w:val="none"/>
        </w:rPr>
        <w:t>：总得分为</w:t>
      </w:r>
      <w:r>
        <w:rPr>
          <w:rFonts w:hint="eastAsia"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分，属于“优”。其中，项目决策类指标权重为20分，得分为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分，得分率为</w:t>
      </w:r>
      <w:r>
        <w:rPr>
          <w:rFonts w:hint="eastAsia"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二</w:t>
      </w: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ageBreakBefore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cs="Times New Roman"/>
          <w:color w:val="auto"/>
          <w:sz w:val="30"/>
          <w:szCs w:val="30"/>
          <w:highlight w:val="none"/>
          <w:lang w:eastAsia="zh-CN"/>
        </w:rPr>
      </w:pPr>
      <w:r>
        <w:rPr>
          <w:rFonts w:hint="eastAsia" w:cs="Times New Roman"/>
          <w:color w:val="auto"/>
          <w:sz w:val="30"/>
          <w:szCs w:val="30"/>
          <w:highlight w:val="none"/>
          <w:lang w:eastAsia="zh-CN"/>
        </w:rPr>
        <w:t>《2023年自治区人才发展基金项目-产业技术创新团队支持计划-现代农业产业技术体系人才-油料体系》</w:t>
      </w:r>
    </w:p>
    <w:p>
      <w:pPr>
        <w:pageBreakBefore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highlight w:val="none"/>
              </w:rPr>
            </w:pPr>
            <w:r>
              <w:rPr>
                <w:rFonts w:hint="default" w:ascii="Times New Roman" w:hAnsi="Times New Roman" w:eastAsia="仿宋_GB2312" w:cs="Times New Roman"/>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highlight w:val="none"/>
              </w:rPr>
            </w:pPr>
            <w:r>
              <w:rPr>
                <w:rFonts w:hint="default" w:ascii="Times New Roman" w:hAnsi="Times New Roman" w:eastAsia="仿宋_GB2312" w:cs="Times New Roman"/>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highlight w:val="none"/>
              </w:rPr>
            </w:pPr>
            <w:r>
              <w:rPr>
                <w:rFonts w:hint="default" w:ascii="Times New Roman" w:hAnsi="Times New Roman" w:eastAsia="仿宋_GB2312" w:cs="Times New Roman"/>
                <w:b/>
                <w:bCs/>
                <w:color w:val="000000"/>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rPr>
            </w:pPr>
            <w:r>
              <w:rPr>
                <w:rFonts w:hint="default" w:ascii="Times New Roman" w:hAnsi="Times New Roman" w:eastAsia="仿宋_GB2312" w:cs="Times New Roman"/>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lang w:val="en-US" w:eastAsia="zh-CN"/>
              </w:rPr>
            </w:pPr>
            <w:r>
              <w:rPr>
                <w:rFonts w:hint="default" w:ascii="Times New Roman" w:hAnsi="Times New Roman" w:eastAsia="仿宋_GB2312" w:cs="Times New Roman"/>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lang w:val="en-US" w:eastAsia="zh-CN"/>
              </w:rPr>
            </w:pPr>
            <w:r>
              <w:rPr>
                <w:rFonts w:hint="default" w:ascii="Times New Roman" w:hAnsi="Times New Roman" w:eastAsia="仿宋_GB2312" w:cs="Times New Roman"/>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rPr>
            </w:pPr>
            <w:r>
              <w:rPr>
                <w:rFonts w:hint="default" w:ascii="Times New Roman" w:hAnsi="Times New Roman" w:eastAsia="仿宋_GB2312" w:cs="Times New Roman"/>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lang w:val="en-US" w:eastAsia="zh-CN"/>
              </w:rPr>
            </w:pPr>
            <w:r>
              <w:rPr>
                <w:rFonts w:hint="default" w:ascii="Times New Roman" w:hAnsi="Times New Roman" w:eastAsia="仿宋_GB2312" w:cs="Times New Roman"/>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lang w:val="en-US" w:eastAsia="zh-CN"/>
              </w:rPr>
            </w:pPr>
            <w:r>
              <w:rPr>
                <w:rFonts w:hint="default" w:ascii="Times New Roman" w:hAnsi="Times New Roman" w:eastAsia="仿宋_GB2312" w:cs="Times New Roman"/>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rPr>
            </w:pPr>
            <w:r>
              <w:rPr>
                <w:rFonts w:hint="default" w:ascii="Times New Roman" w:hAnsi="Times New Roman" w:eastAsia="仿宋_GB2312" w:cs="Times New Roman"/>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lang w:val="en-US" w:eastAsia="zh-CN"/>
              </w:rPr>
            </w:pPr>
            <w:r>
              <w:rPr>
                <w:rFonts w:hint="default" w:ascii="Times New Roman" w:hAnsi="Times New Roman" w:eastAsia="仿宋_GB2312" w:cs="Times New Roman"/>
                <w:color w:val="000000"/>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lang w:val="en-US" w:eastAsia="zh-CN"/>
              </w:rPr>
            </w:pPr>
            <w:r>
              <w:rPr>
                <w:rFonts w:hint="eastAsia" w:cs="Times New Roman"/>
                <w:color w:val="000000"/>
                <w:sz w:val="22"/>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rPr>
            </w:pPr>
            <w:r>
              <w:rPr>
                <w:rFonts w:hint="default" w:ascii="Times New Roman" w:hAnsi="Times New Roman" w:eastAsia="仿宋_GB2312" w:cs="Times New Roman"/>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lang w:val="en-US" w:eastAsia="zh-CN"/>
              </w:rPr>
            </w:pPr>
            <w:r>
              <w:rPr>
                <w:rFonts w:hint="default" w:ascii="Times New Roman" w:hAnsi="Times New Roman" w:eastAsia="仿宋_GB2312" w:cs="Times New Roman"/>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highlight w:val="none"/>
                <w:lang w:val="en-US" w:eastAsia="zh-CN"/>
              </w:rPr>
            </w:pPr>
            <w:r>
              <w:rPr>
                <w:rFonts w:hint="default" w:ascii="Times New Roman" w:hAnsi="Times New Roman" w:eastAsia="仿宋_GB2312" w:cs="Times New Roman"/>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highlight w:val="none"/>
              </w:rPr>
            </w:pPr>
            <w:r>
              <w:rPr>
                <w:rFonts w:hint="default" w:ascii="Times New Roman" w:hAnsi="Times New Roman" w:eastAsia="仿宋_GB2312" w:cs="Times New Roman"/>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highlight w:val="none"/>
                <w:lang w:val="en-US" w:eastAsia="zh-CN"/>
              </w:rPr>
            </w:pPr>
            <w:r>
              <w:rPr>
                <w:rFonts w:hint="default" w:ascii="Times New Roman" w:hAnsi="Times New Roman" w:eastAsia="仿宋_GB2312" w:cs="Times New Roman"/>
                <w:b/>
                <w:bCs/>
                <w:color w:val="000000"/>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highlight w:val="none"/>
                <w:lang w:val="en-US" w:eastAsia="zh-CN"/>
              </w:rPr>
            </w:pPr>
            <w:r>
              <w:rPr>
                <w:rFonts w:hint="eastAsia" w:cs="Times New Roman"/>
                <w:b/>
                <w:bCs/>
                <w:color w:val="000000"/>
                <w:sz w:val="22"/>
                <w:highlight w:val="none"/>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10" w:name="_Toc68703837"/>
      <w:r>
        <w:rPr>
          <w:rFonts w:hint="default" w:ascii="Times New Roman" w:hAnsi="Times New Roman" w:eastAsia="仿宋_GB2312" w:cs="Times New Roman"/>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1" w:name="_Toc68703838"/>
      <w:r>
        <w:rPr>
          <w:rFonts w:hint="default" w:ascii="Times New Roman" w:hAnsi="Times New Roman" w:eastAsia="仿宋_GB2312" w:cs="Times New Roman"/>
          <w:b/>
          <w:bCs/>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1</w:t>
      </w:r>
      <w:r>
        <w:rPr>
          <w:rFonts w:hint="default" w:ascii="Times New Roman" w:hAnsi="Times New Roman" w:eastAsia="仿宋_GB2312" w:cs="Times New Roman"/>
          <w:lang w:val="en-US" w:eastAsia="zh-CN"/>
        </w:rPr>
        <w:t>.</w:t>
      </w:r>
      <w:r>
        <w:rPr>
          <w:rFonts w:hint="default" w:ascii="Times New Roman" w:hAnsi="Times New Roman" w:eastAsia="仿宋_GB2312" w:cs="Times New Roman"/>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highlight w:val="none"/>
        </w:rPr>
        <w:t>本项目立项依据</w:t>
      </w:r>
      <w:r>
        <w:rPr>
          <w:rFonts w:hint="eastAsia"/>
          <w:color w:val="auto"/>
          <w:highlight w:val="none"/>
          <w:lang w:eastAsia="zh-CN"/>
        </w:rPr>
        <w:t>：</w:t>
      </w:r>
      <w:r>
        <w:rPr>
          <w:rFonts w:hint="eastAsia"/>
          <w:color w:val="auto"/>
          <w:highlight w:val="none"/>
        </w:rPr>
        <w:t>《</w:t>
      </w:r>
      <w:r>
        <w:rPr>
          <w:rFonts w:hint="eastAsia"/>
          <w:color w:val="auto"/>
          <w:highlight w:val="none"/>
          <w:lang w:eastAsia="zh-CN"/>
        </w:rPr>
        <w:t>关于下达</w:t>
      </w:r>
      <w:r>
        <w:rPr>
          <w:rFonts w:hint="eastAsia"/>
          <w:color w:val="auto"/>
          <w:highlight w:val="none"/>
          <w:lang w:val="en-US" w:eastAsia="zh-CN"/>
        </w:rPr>
        <w:t>2023年度新疆人才发展基金第一批重大人才计划项目支持资金的通知</w:t>
      </w:r>
      <w:r>
        <w:rPr>
          <w:rFonts w:hint="eastAsia"/>
          <w:color w:val="auto"/>
          <w:highlight w:val="none"/>
        </w:rPr>
        <w:t>》</w:t>
      </w:r>
      <w:r>
        <w:rPr>
          <w:rFonts w:hint="eastAsia"/>
          <w:color w:val="auto"/>
          <w:highlight w:val="none"/>
          <w:lang w:eastAsia="zh-CN"/>
        </w:rPr>
        <w:t>巴财行</w:t>
      </w:r>
      <w:r>
        <w:rPr>
          <w:rFonts w:hint="eastAsia"/>
          <w:color w:val="auto"/>
          <w:highlight w:val="none"/>
          <w:lang w:val="en-US" w:eastAsia="zh-CN"/>
        </w:rPr>
        <w:t>[2023] 5号</w:t>
      </w:r>
      <w:r>
        <w:rPr>
          <w:rFonts w:hint="eastAsia"/>
          <w:color w:val="auto"/>
          <w:highlight w:val="none"/>
        </w:rPr>
        <w:t>，</w:t>
      </w:r>
      <w:r>
        <w:rPr>
          <w:rFonts w:hint="eastAsia"/>
          <w:color w:val="auto"/>
        </w:rPr>
        <w:t>属于公共财政支持范围，符合中央、地方事权支出责任划分原则；</w:t>
      </w:r>
      <w:r>
        <w:rPr>
          <w:rFonts w:hint="eastAsia"/>
          <w:color w:val="auto"/>
          <w:highlight w:val="none"/>
        </w:rPr>
        <w:t>该</w:t>
      </w:r>
      <w:r>
        <w:rPr>
          <w:rFonts w:hint="eastAsia"/>
          <w:color w:val="auto"/>
        </w:rPr>
        <w:t>项目符合</w:t>
      </w:r>
      <w:r>
        <w:rPr>
          <w:rFonts w:hint="eastAsia"/>
          <w:color w:val="auto"/>
          <w:lang w:eastAsia="zh-CN"/>
        </w:rPr>
        <w:t>农业</w:t>
      </w:r>
      <w:r>
        <w:rPr>
          <w:rFonts w:hint="eastAsia"/>
          <w:color w:val="auto"/>
        </w:rPr>
        <w:t>发展规划和政策要求，属于</w:t>
      </w:r>
      <w:r>
        <w:rPr>
          <w:rFonts w:hint="eastAsia"/>
          <w:color w:val="auto"/>
          <w:lang w:eastAsia="zh-CN"/>
        </w:rPr>
        <w:t>农业</w:t>
      </w:r>
      <w:r>
        <w:rPr>
          <w:rFonts w:hint="eastAsia"/>
          <w:color w:val="auto"/>
        </w:rPr>
        <w:t>部门履职所需，与相关部门同类项目或部门内部相关项目</w:t>
      </w:r>
      <w:r>
        <w:rPr>
          <w:rFonts w:hint="eastAsia"/>
          <w:color w:val="auto"/>
          <w:lang w:eastAsia="zh-CN"/>
        </w:rPr>
        <w:t>不存在</w:t>
      </w:r>
      <w:r>
        <w:rPr>
          <w:rFonts w:hint="eastAsia"/>
          <w:color w:val="auto"/>
        </w:rPr>
        <w:t>重复。</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2</w:t>
      </w:r>
      <w:r>
        <w:rPr>
          <w:rFonts w:hint="eastAsia" w:cs="Times New Roman"/>
          <w:lang w:val="en-US" w:eastAsia="zh-CN"/>
        </w:rPr>
        <w:t>.</w:t>
      </w:r>
      <w:r>
        <w:rPr>
          <w:rFonts w:hint="default" w:ascii="Times New Roman" w:hAnsi="Times New Roman" w:eastAsia="仿宋_GB2312" w:cs="Times New Roman"/>
        </w:rPr>
        <w:t>立项程序规范性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项目申请、设立过程符合《新疆维吾尔自治区现代农业产业技术体系建设实施方案（试行）的通知》，</w:t>
      </w:r>
      <w:r>
        <w:rPr>
          <w:rFonts w:hint="eastAsia"/>
          <w:lang w:val="en-US" w:eastAsia="zh-Hans"/>
        </w:rPr>
        <w:t>严格按照审批流程准备符合要求的文件、材料；</w:t>
      </w:r>
      <w:r>
        <w:rPr>
          <w:rFonts w:hint="eastAsia"/>
          <w:lang w:val="en-US" w:eastAsia="zh-CN"/>
        </w:rPr>
        <w:t>根据决算依据编制工作计划和经费预算，经过与部门项目分管领导沟通、筛选确定经费预算计划，确定最终预算方案。项目的审批文件、材料符合要求，项目事前经过必要的可行性研究、专家论证、风险评估、绩效评估、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rPr>
        <w:t>3</w:t>
      </w:r>
      <w:r>
        <w:rPr>
          <w:rFonts w:hint="default" w:ascii="Times New Roman" w:hAnsi="Times New Roman" w:eastAsia="仿宋_GB2312" w:cs="Times New Roman"/>
          <w:lang w:val="en-US" w:eastAsia="zh-CN"/>
        </w:rPr>
        <w:t>.</w:t>
      </w:r>
      <w:r>
        <w:rPr>
          <w:rFonts w:hint="default" w:ascii="Times New Roman" w:hAnsi="Times New Roman" w:eastAsia="仿宋_GB2312" w:cs="Times New Roman"/>
        </w:rPr>
        <w:t>绩效</w:t>
      </w:r>
      <w:r>
        <w:rPr>
          <w:rFonts w:hint="default" w:ascii="Times New Roman" w:hAnsi="Times New Roman" w:eastAsia="仿宋_GB2312" w:cs="Times New Roman"/>
          <w:highlight w:val="none"/>
        </w:rPr>
        <w:t>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《2023年自治区人才发展基金项目-产业技术创新团队支持计划-现代农业产业技术体系人才-油料体系》</w:t>
      </w:r>
      <w:r>
        <w:rPr>
          <w:rFonts w:hint="default" w:ascii="Times New Roman" w:hAnsi="Times New Roman" w:cs="Times New Roman"/>
          <w:color w:val="auto"/>
          <w:lang w:val="en-US" w:eastAsia="zh-CN"/>
        </w:rPr>
        <w:t>项目设立了项目绩效目标，与</w:t>
      </w:r>
      <w:r>
        <w:rPr>
          <w:rFonts w:hint="eastAsia" w:ascii="Times New Roman" w:hAnsi="Times New Roman" w:cs="Times New Roman"/>
          <w:color w:val="auto"/>
          <w:lang w:val="en-US" w:eastAsia="zh-CN"/>
        </w:rPr>
        <w:t>本项目实际工作即，</w:t>
      </w:r>
      <w:r>
        <w:rPr>
          <w:rFonts w:hint="default" w:ascii="Times New Roman" w:hAnsi="Times New Roman" w:cs="Times New Roman"/>
          <w:color w:val="auto"/>
          <w:lang w:val="en-US" w:eastAsia="zh-CN"/>
        </w:rPr>
        <w:t>花生示范面积100亩；辐射种植花生面积2000亩；引进或筛选油料品种和种质资源不少于10个具有相关性，项目预期产出</w:t>
      </w:r>
      <w:r>
        <w:rPr>
          <w:rFonts w:hint="eastAsia" w:ascii="Times New Roman" w:hAnsi="Times New Roman" w:cs="Times New Roman"/>
          <w:color w:val="auto"/>
          <w:lang w:val="en-US" w:eastAsia="zh-CN"/>
        </w:rPr>
        <w:t>相关的农业生产</w:t>
      </w:r>
      <w:r>
        <w:rPr>
          <w:rFonts w:hint="default" w:ascii="Times New Roman" w:hAnsi="Times New Roman" w:cs="Times New Roman"/>
          <w:color w:val="auto"/>
          <w:lang w:val="en-US" w:eastAsia="zh-CN"/>
        </w:rPr>
        <w:t>效益和效果均能符合</w:t>
      </w:r>
      <w:r>
        <w:rPr>
          <w:rFonts w:hint="eastAsia" w:ascii="Times New Roman" w:hAnsi="Times New Roman" w:cs="Times New Roman"/>
          <w:color w:val="auto"/>
          <w:lang w:val="en-US" w:eastAsia="zh-CN"/>
        </w:rPr>
        <w:t>当地农业发展</w:t>
      </w:r>
      <w:r>
        <w:rPr>
          <w:rFonts w:hint="default" w:ascii="Times New Roman" w:hAnsi="Times New Roman" w:cs="Times New Roman"/>
          <w:color w:val="auto"/>
          <w:lang w:val="en-US" w:eastAsia="zh-CN"/>
        </w:rPr>
        <w:t>业绩水平，并且与</w:t>
      </w:r>
      <w:r>
        <w:rPr>
          <w:rFonts w:hint="eastAsia" w:ascii="Times New Roman" w:hAnsi="Times New Roman" w:cs="Times New Roman"/>
          <w:color w:val="auto"/>
          <w:lang w:val="en-US" w:eastAsia="zh-CN"/>
        </w:rPr>
        <w:t>农业科研项目</w:t>
      </w:r>
      <w:r>
        <w:rPr>
          <w:rFonts w:hint="default" w:ascii="Times New Roman" w:hAnsi="Times New Roman" w:cs="Times New Roman"/>
          <w:color w:val="auto"/>
          <w:lang w:val="en-US" w:eastAsia="zh-CN"/>
        </w:rPr>
        <w:t>预算确定的项目投资额或资金量相匹配。</w:t>
      </w:r>
    </w:p>
    <w:p>
      <w:pPr>
        <w:pStyle w:val="2"/>
        <w:ind w:firstLine="600" w:firstLineChars="200"/>
        <w:jc w:val="left"/>
        <w:rPr>
          <w:rFonts w:hint="default" w:ascii="Times New Roman" w:hAnsi="Times New Roman" w:eastAsia="仿宋_GB2312" w:cs="Times New Roman"/>
        </w:rPr>
      </w:pPr>
      <w:r>
        <w:rPr>
          <w:rFonts w:hint="default"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4</w:t>
      </w:r>
      <w:r>
        <w:rPr>
          <w:rFonts w:hint="eastAsia" w:cs="Times New Roman"/>
          <w:lang w:val="en-US" w:eastAsia="zh-CN"/>
        </w:rPr>
        <w:t>.</w:t>
      </w:r>
      <w:r>
        <w:rPr>
          <w:rFonts w:hint="default" w:ascii="Times New Roman" w:hAnsi="Times New Roman" w:eastAsia="仿宋_GB2312" w:cs="Times New Roman"/>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bookmarkStart w:id="12" w:name="_Hlk68699917"/>
      <w:r>
        <w:rPr>
          <w:rFonts w:hint="eastAsia" w:ascii="Times New Roman" w:hAnsi="Times New Roman" w:cs="Times New Roman"/>
          <w:color w:val="auto"/>
          <w:lang w:val="en-US" w:eastAsia="zh-CN"/>
        </w:rPr>
        <w:t>《2023年自治区人才发展基金项目-产业技术创新团队支持计划-现代农业产业技术体系人才-油料体系》</w:t>
      </w:r>
      <w:r>
        <w:rPr>
          <w:rFonts w:hint="default" w:ascii="Times New Roman" w:hAnsi="Times New Roman" w:cs="Times New Roman"/>
          <w:color w:val="auto"/>
          <w:lang w:val="en-US" w:eastAsia="zh-CN"/>
        </w:rPr>
        <w:t>项目将项目绩效目标细化分解为具体的绩效指标，一级指标共4条，二级指标共</w:t>
      </w:r>
      <w:r>
        <w:rPr>
          <w:rFonts w:hint="eastAsia" w:ascii="Times New Roman" w:hAnsi="Times New Roman" w:cs="Times New Roman"/>
          <w:color w:val="auto"/>
          <w:lang w:val="en-US" w:eastAsia="zh-CN"/>
        </w:rPr>
        <w:t>7</w:t>
      </w:r>
      <w:r>
        <w:rPr>
          <w:rFonts w:hint="default" w:ascii="Times New Roman" w:hAnsi="Times New Roman" w:cs="Times New Roman"/>
          <w:color w:val="auto"/>
          <w:lang w:val="en-US" w:eastAsia="zh-CN"/>
        </w:rPr>
        <w:t>条，三级指标共16条，其中量化指标条数共14条，所有</w:t>
      </w:r>
      <w:r>
        <w:rPr>
          <w:rFonts w:hint="eastAsia" w:ascii="Times New Roman" w:hAnsi="Times New Roman" w:cs="Times New Roman"/>
          <w:color w:val="auto"/>
          <w:lang w:val="en-US" w:eastAsia="zh-CN"/>
        </w:rPr>
        <w:t>农业科研项目</w:t>
      </w:r>
      <w:r>
        <w:rPr>
          <w:rFonts w:hint="default" w:ascii="Times New Roman" w:hAnsi="Times New Roman" w:cs="Times New Roman"/>
          <w:color w:val="auto"/>
          <w:lang w:val="en-US" w:eastAsia="zh-CN"/>
        </w:rPr>
        <w:t>绩效指标均</w:t>
      </w:r>
      <w:r>
        <w:rPr>
          <w:rFonts w:hint="eastAsia" w:ascii="Times New Roman" w:hAnsi="Times New Roman" w:cs="Times New Roman"/>
          <w:color w:val="auto"/>
          <w:lang w:val="en-US" w:eastAsia="zh-CN"/>
        </w:rPr>
        <w:t>能够</w:t>
      </w:r>
      <w:r>
        <w:rPr>
          <w:rFonts w:hint="default" w:ascii="Times New Roman" w:hAnsi="Times New Roman" w:cs="Times New Roman"/>
          <w:color w:val="auto"/>
          <w:lang w:val="en-US" w:eastAsia="zh-CN"/>
        </w:rPr>
        <w:t>通过清晰、可衡量的指标值予以体现，并且做到</w:t>
      </w:r>
      <w:r>
        <w:rPr>
          <w:rFonts w:hint="eastAsia" w:ascii="Times New Roman" w:hAnsi="Times New Roman" w:cs="Times New Roman"/>
          <w:color w:val="auto"/>
          <w:lang w:val="en-US" w:eastAsia="zh-CN"/>
        </w:rPr>
        <w:t>农业科研项目绩效指标</w:t>
      </w:r>
      <w:r>
        <w:rPr>
          <w:rFonts w:hint="default" w:ascii="Times New Roman" w:hAnsi="Times New Roman" w:cs="Times New Roman"/>
          <w:color w:val="auto"/>
          <w:lang w:val="en-US" w:eastAsia="zh-CN"/>
        </w:rPr>
        <w:t>与</w:t>
      </w:r>
      <w:r>
        <w:rPr>
          <w:rFonts w:hint="eastAsia" w:ascii="Times New Roman" w:hAnsi="Times New Roman" w:cs="Times New Roman"/>
          <w:color w:val="auto"/>
          <w:lang w:val="en-US" w:eastAsia="zh-CN"/>
        </w:rPr>
        <w:t>科研</w:t>
      </w:r>
      <w:r>
        <w:rPr>
          <w:rFonts w:hint="default" w:ascii="Times New Roman" w:hAnsi="Times New Roman" w:cs="Times New Roman"/>
          <w:color w:val="auto"/>
          <w:lang w:val="en-US" w:eastAsia="zh-CN"/>
        </w:rPr>
        <w:t>项目目标任务数或计划数相对应。</w:t>
      </w:r>
      <w:bookmarkEnd w:id="12"/>
    </w:p>
    <w:p>
      <w:pPr>
        <w:pStyle w:val="2"/>
        <w:ind w:firstLine="600" w:firstLineChars="200"/>
        <w:jc w:val="left"/>
        <w:rPr>
          <w:rFonts w:hint="default" w:ascii="Times New Roman" w:hAnsi="Times New Roman" w:eastAsia="仿宋_GB2312" w:cs="Times New Roman"/>
        </w:rPr>
      </w:pPr>
      <w:r>
        <w:rPr>
          <w:rFonts w:hint="default"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5</w:t>
      </w:r>
      <w:r>
        <w:rPr>
          <w:rFonts w:hint="eastAsia" w:cs="Times New Roman"/>
          <w:lang w:val="en-US" w:eastAsia="zh-CN"/>
        </w:rPr>
        <w:t>.</w:t>
      </w:r>
      <w:r>
        <w:rPr>
          <w:rFonts w:hint="default" w:ascii="Times New Roman" w:hAnsi="Times New Roman" w:eastAsia="仿宋_GB2312" w:cs="Times New Roman"/>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本项目预算编制以项目业务过程及其控制为核心，从项目目标出发设定好了预算内部关联逻辑，确保预算编制承接住项目规划，本项目路径存在，目标存在，路径合理，目标合理，预算额度测算充分且合理，按照预算编制标准编制，预算确定的项目资金量与工作任务项匹配。</w:t>
      </w:r>
    </w:p>
    <w:p>
      <w:pPr>
        <w:pStyle w:val="2"/>
        <w:ind w:firstLine="600" w:firstLineChars="200"/>
        <w:jc w:val="left"/>
        <w:rPr>
          <w:rFonts w:hint="default" w:ascii="Times New Roman" w:hAnsi="Times New Roman" w:eastAsia="仿宋_GB2312" w:cs="Times New Roman"/>
        </w:rPr>
      </w:pPr>
      <w:r>
        <w:rPr>
          <w:rFonts w:hint="default"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6</w:t>
      </w:r>
      <w:r>
        <w:rPr>
          <w:rFonts w:hint="eastAsia" w:cs="Times New Roman"/>
          <w:lang w:val="en-US" w:eastAsia="zh-CN"/>
        </w:rPr>
        <w:t>.</w:t>
      </w:r>
      <w:r>
        <w:rPr>
          <w:rFonts w:hint="default" w:ascii="Times New Roman" w:hAnsi="Times New Roman" w:eastAsia="仿宋_GB2312" w:cs="Times New Roman"/>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本次评价的项目预算资金分配依据项目内容、所需试验材料、仪器设备以及劳务等情况进行综合的财务预算，结合以往科研项目实施经验，充分、合理以及科学的进行资金分配，与本单位农业科研项目开展实际相适应，与本地区实际农业生产相适应</w:t>
      </w:r>
      <w:r>
        <w:rPr>
          <w:rFonts w:hint="default" w:ascii="Times New Roman" w:hAnsi="Times New Roman" w:cs="Times New Roman"/>
          <w:color w:val="auto"/>
          <w:lang w:val="en-US" w:eastAsia="zh-CN"/>
        </w:rPr>
        <w:t>。</w:t>
      </w:r>
    </w:p>
    <w:p>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lang w:val="en-US" w:eastAsia="zh-CN" w:bidi="ar-SA"/>
        </w:rPr>
        <w:t>此</w:t>
      </w:r>
      <w:r>
        <w:rPr>
          <w:rFonts w:hint="default" w:ascii="Times New Roman" w:hAnsi="Times New Roman" w:eastAsia="仿宋_GB2312" w:cs="Times New Roman"/>
          <w:b w:val="0"/>
          <w:bCs w:val="0"/>
          <w:kern w:val="2"/>
          <w:sz w:val="30"/>
          <w:szCs w:val="24"/>
          <w:highlight w:val="none"/>
          <w:lang w:val="en-US" w:eastAsia="zh-CN" w:bidi="ar-SA"/>
        </w:rPr>
        <w:t>项权重分3分，得分3分。</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highlight w:val="none"/>
        </w:rPr>
      </w:pPr>
      <w:bookmarkStart w:id="13" w:name="_Toc68703839"/>
      <w:r>
        <w:rPr>
          <w:rFonts w:hint="default" w:ascii="Times New Roman" w:hAnsi="Times New Roman" w:eastAsia="仿宋_GB2312" w:cs="Times New Roman"/>
          <w:b/>
          <w:bCs/>
          <w:highlight w:val="none"/>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1</w:t>
      </w:r>
      <w:r>
        <w:rPr>
          <w:rFonts w:hint="eastAsia" w:cs="Times New Roman"/>
          <w:highlight w:val="none"/>
          <w:lang w:val="en-US" w:eastAsia="zh-CN"/>
        </w:rPr>
        <w:t>.</w:t>
      </w:r>
      <w:r>
        <w:rPr>
          <w:rFonts w:hint="default" w:ascii="Times New Roman" w:hAnsi="Times New Roman" w:eastAsia="仿宋_GB2312" w:cs="Times New Roman"/>
          <w:highlight w:val="none"/>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highlight w:val="none"/>
          <w:lang w:val="en-US" w:eastAsia="zh-CN" w:bidi="ar-SA"/>
        </w:rPr>
      </w:pPr>
      <w:r>
        <w:rPr>
          <w:rFonts w:hint="default" w:ascii="Times New Roman" w:hAnsi="Times New Roman" w:eastAsia="仿宋_GB2312" w:cs="Times New Roman"/>
          <w:b w:val="0"/>
          <w:bCs w:val="0"/>
          <w:kern w:val="2"/>
          <w:sz w:val="30"/>
          <w:szCs w:val="24"/>
          <w:highlight w:val="none"/>
          <w:lang w:val="en-US" w:eastAsia="zh-CN" w:bidi="ar-SA"/>
        </w:rPr>
        <w:t>预算资金20.00万元，实际到位资金20.00万元，资金到位率100.00%。</w:t>
      </w:r>
    </w:p>
    <w:p>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w:t>
      </w:r>
      <w:r>
        <w:rPr>
          <w:rFonts w:hint="eastAsia" w:cs="Times New Roman"/>
          <w:highlight w:val="none"/>
          <w:lang w:val="en-US" w:eastAsia="zh-CN"/>
        </w:rPr>
        <w:t>.</w:t>
      </w:r>
      <w:r>
        <w:rPr>
          <w:rFonts w:hint="default" w:ascii="Times New Roman" w:hAnsi="Times New Roman" w:eastAsia="仿宋_GB2312" w:cs="Times New Roman"/>
          <w:highlight w:val="none"/>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default" w:ascii="Times New Roman" w:hAnsi="Times New Roman" w:eastAsia="仿宋_GB2312" w:cs="Times New Roman"/>
          <w:b w:val="0"/>
          <w:bCs w:val="0"/>
          <w:kern w:val="2"/>
          <w:sz w:val="30"/>
          <w:szCs w:val="24"/>
          <w:highlight w:val="none"/>
          <w:lang w:val="en-US" w:eastAsia="zh-CN" w:bidi="ar-SA"/>
        </w:rPr>
        <w:t>年初预算数20</w:t>
      </w:r>
      <w:r>
        <w:rPr>
          <w:rFonts w:hint="eastAsia" w:cs="Times New Roman"/>
          <w:b w:val="0"/>
          <w:bCs w:val="0"/>
          <w:kern w:val="2"/>
          <w:sz w:val="30"/>
          <w:szCs w:val="24"/>
          <w:highlight w:val="none"/>
          <w:lang w:val="en-US" w:eastAsia="zh-CN" w:bidi="ar-SA"/>
        </w:rPr>
        <w:t>.00</w:t>
      </w:r>
      <w:r>
        <w:rPr>
          <w:rFonts w:hint="default" w:ascii="Times New Roman" w:hAnsi="Times New Roman" w:eastAsia="仿宋_GB2312" w:cs="Times New Roman"/>
          <w:b w:val="0"/>
          <w:bCs w:val="0"/>
          <w:kern w:val="2"/>
          <w:sz w:val="30"/>
          <w:szCs w:val="24"/>
          <w:highlight w:val="none"/>
          <w:lang w:val="en-US" w:eastAsia="zh-CN" w:bidi="ar-SA"/>
        </w:rPr>
        <w:t>万元，全年预算数20</w:t>
      </w:r>
      <w:r>
        <w:rPr>
          <w:rFonts w:hint="eastAsia" w:cs="Times New Roman"/>
          <w:b w:val="0"/>
          <w:bCs w:val="0"/>
          <w:kern w:val="2"/>
          <w:sz w:val="30"/>
          <w:szCs w:val="24"/>
          <w:highlight w:val="none"/>
          <w:lang w:val="en-US" w:eastAsia="zh-CN" w:bidi="ar-SA"/>
        </w:rPr>
        <w:t>.00</w:t>
      </w:r>
      <w:r>
        <w:rPr>
          <w:rFonts w:hint="default" w:ascii="Times New Roman" w:hAnsi="Times New Roman" w:eastAsia="仿宋_GB2312" w:cs="Times New Roman"/>
          <w:b w:val="0"/>
          <w:bCs w:val="0"/>
          <w:kern w:val="2"/>
          <w:sz w:val="30"/>
          <w:szCs w:val="24"/>
          <w:highlight w:val="none"/>
          <w:lang w:val="en-US" w:eastAsia="zh-CN" w:bidi="ar-SA"/>
        </w:rPr>
        <w:t>万元，全年执行数20.00万元，预算执行率为100.00%</w:t>
      </w:r>
      <w:r>
        <w:rPr>
          <w:rFonts w:hint="eastAsia" w:ascii="Times New Roman" w:hAnsi="Times New Roman" w:eastAsia="仿宋_GB2312" w:cs="Times New Roman"/>
          <w:b w:val="0"/>
          <w:bCs w:val="0"/>
          <w:kern w:val="2"/>
          <w:sz w:val="30"/>
          <w:szCs w:val="24"/>
          <w:highlight w:val="none"/>
          <w:lang w:val="en-US" w:eastAsia="zh-CN" w:bidi="ar-SA"/>
        </w:rPr>
        <w:t>。</w:t>
      </w:r>
    </w:p>
    <w:p>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3</w:t>
      </w:r>
      <w:r>
        <w:rPr>
          <w:rFonts w:hint="eastAsia" w:cs="Times New Roman"/>
          <w:highlight w:val="none"/>
          <w:lang w:val="en-US" w:eastAsia="zh-CN"/>
        </w:rPr>
        <w:t>.</w:t>
      </w:r>
      <w:r>
        <w:rPr>
          <w:rFonts w:hint="default" w:ascii="Times New Roman" w:hAnsi="Times New Roman" w:eastAsia="仿宋_GB2312" w:cs="Times New Roman"/>
          <w:highlight w:val="none"/>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本单位科研</w:t>
      </w:r>
      <w:r>
        <w:rPr>
          <w:rFonts w:hint="default" w:ascii="Times New Roman" w:hAnsi="Times New Roman" w:eastAsia="仿宋_GB2312" w:cs="Times New Roman"/>
          <w:b w:val="0"/>
          <w:bCs w:val="0"/>
          <w:kern w:val="2"/>
          <w:sz w:val="30"/>
          <w:szCs w:val="24"/>
          <w:highlight w:val="none"/>
          <w:lang w:val="en-US" w:eastAsia="zh-CN" w:bidi="ar-SA"/>
        </w:rPr>
        <w:t>项目严格按照预期绩效目标执行预算资金。</w:t>
      </w:r>
      <w:r>
        <w:rPr>
          <w:rFonts w:hint="eastAsia" w:ascii="Times New Roman" w:hAnsi="Times New Roman" w:eastAsia="仿宋_GB2312" w:cs="Times New Roman"/>
          <w:b w:val="0"/>
          <w:bCs w:val="0"/>
          <w:kern w:val="2"/>
          <w:sz w:val="30"/>
          <w:szCs w:val="24"/>
          <w:highlight w:val="none"/>
          <w:lang w:val="en-US" w:eastAsia="zh-CN" w:bidi="ar-SA"/>
        </w:rPr>
        <w:t>根据《新疆维吾尔自治区财政科研项目资金管理办法》，本单位</w:t>
      </w:r>
      <w:r>
        <w:rPr>
          <w:rFonts w:hint="default" w:ascii="Times New Roman" w:hAnsi="Times New Roman" w:eastAsia="仿宋_GB2312" w:cs="Times New Roman"/>
          <w:b w:val="0"/>
          <w:bCs w:val="0"/>
          <w:kern w:val="2"/>
          <w:sz w:val="30"/>
          <w:szCs w:val="24"/>
          <w:highlight w:val="none"/>
          <w:lang w:val="en-US" w:eastAsia="zh-CN" w:bidi="ar-SA"/>
        </w:rPr>
        <w:t>制定了</w:t>
      </w:r>
      <w:r>
        <w:rPr>
          <w:rFonts w:hint="eastAsia" w:ascii="Times New Roman" w:hAnsi="Times New Roman" w:eastAsia="仿宋_GB2312" w:cs="Times New Roman"/>
          <w:b w:val="0"/>
          <w:bCs w:val="0"/>
          <w:kern w:val="2"/>
          <w:sz w:val="30"/>
          <w:szCs w:val="24"/>
          <w:highlight w:val="none"/>
          <w:lang w:val="en-US" w:eastAsia="zh-CN" w:bidi="ar-SA"/>
        </w:rPr>
        <w:t>《巴州农科院科研项目经费管理办法 》</w:t>
      </w:r>
      <w:r>
        <w:rPr>
          <w:rFonts w:hint="default" w:ascii="Times New Roman" w:hAnsi="Times New Roman" w:eastAsia="仿宋_GB2312" w:cs="Times New Roman"/>
          <w:b w:val="0"/>
          <w:bCs w:val="0"/>
          <w:kern w:val="2"/>
          <w:sz w:val="30"/>
          <w:szCs w:val="24"/>
          <w:highlight w:val="none"/>
          <w:lang w:val="en-US" w:eastAsia="zh-CN" w:bidi="ar-SA"/>
        </w:rPr>
        <w:t>，对</w:t>
      </w:r>
      <w:r>
        <w:rPr>
          <w:rFonts w:hint="eastAsia" w:ascii="Times New Roman" w:hAnsi="Times New Roman" w:eastAsia="仿宋_GB2312" w:cs="Times New Roman"/>
          <w:b w:val="0"/>
          <w:bCs w:val="0"/>
          <w:kern w:val="2"/>
          <w:sz w:val="30"/>
          <w:szCs w:val="24"/>
          <w:highlight w:val="none"/>
          <w:lang w:val="en-US" w:eastAsia="zh-CN" w:bidi="ar-SA"/>
        </w:rPr>
        <w:t>本单位科研</w:t>
      </w:r>
      <w:r>
        <w:rPr>
          <w:rFonts w:hint="default" w:ascii="Times New Roman" w:hAnsi="Times New Roman" w:eastAsia="仿宋_GB2312" w:cs="Times New Roman"/>
          <w:b w:val="0"/>
          <w:bCs w:val="0"/>
          <w:kern w:val="2"/>
          <w:sz w:val="30"/>
          <w:szCs w:val="24"/>
          <w:highlight w:val="none"/>
          <w:lang w:val="en-US" w:eastAsia="zh-CN" w:bidi="ar-SA"/>
        </w:rPr>
        <w:t>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4</w:t>
      </w:r>
      <w:r>
        <w:rPr>
          <w:rFonts w:hint="eastAsia" w:cs="Times New Roman"/>
          <w:highlight w:val="none"/>
          <w:lang w:val="en-US" w:eastAsia="zh-CN"/>
        </w:rPr>
        <w:t>.</w:t>
      </w:r>
      <w:r>
        <w:rPr>
          <w:rFonts w:hint="default" w:ascii="Times New Roman" w:hAnsi="Times New Roman" w:eastAsia="仿宋_GB2312" w:cs="Times New Roman"/>
          <w:highlight w:val="none"/>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color w:val="0000FF"/>
          <w:sz w:val="32"/>
          <w:szCs w:val="32"/>
          <w:highlight w:val="none"/>
          <w:lang w:val="en-US" w:eastAsia="zh-CN"/>
        </w:rPr>
      </w:pPr>
      <w:r>
        <w:rPr>
          <w:rFonts w:hint="eastAsia" w:ascii="Times New Roman" w:hAnsi="Times New Roman" w:eastAsia="仿宋_GB2312" w:cs="Times New Roman"/>
          <w:b w:val="0"/>
          <w:bCs w:val="0"/>
          <w:kern w:val="2"/>
          <w:sz w:val="30"/>
          <w:szCs w:val="24"/>
          <w:highlight w:val="none"/>
          <w:lang w:val="en-US" w:eastAsia="zh-CN" w:bidi="ar-SA"/>
        </w:rPr>
        <w:t>根据《新疆维吾尔自治区财政科研项目资金管理办法》，本单位</w:t>
      </w:r>
      <w:r>
        <w:rPr>
          <w:rFonts w:hint="default" w:ascii="Times New Roman" w:hAnsi="Times New Roman" w:eastAsia="仿宋_GB2312" w:cs="Times New Roman"/>
          <w:b w:val="0"/>
          <w:bCs w:val="0"/>
          <w:kern w:val="2"/>
          <w:sz w:val="30"/>
          <w:szCs w:val="24"/>
          <w:highlight w:val="none"/>
          <w:lang w:val="en-US" w:eastAsia="zh-CN" w:bidi="ar-SA"/>
        </w:rPr>
        <w:t>制定了</w:t>
      </w:r>
      <w:r>
        <w:rPr>
          <w:rFonts w:hint="eastAsia" w:ascii="Times New Roman" w:hAnsi="Times New Roman" w:eastAsia="仿宋_GB2312" w:cs="Times New Roman"/>
          <w:b w:val="0"/>
          <w:bCs w:val="0"/>
          <w:kern w:val="2"/>
          <w:sz w:val="30"/>
          <w:szCs w:val="24"/>
          <w:highlight w:val="none"/>
          <w:lang w:val="en-US" w:eastAsia="zh-CN" w:bidi="ar-SA"/>
        </w:rPr>
        <w:t>《巴州农科院科研项目经费管理办法》</w:t>
      </w:r>
      <w:r>
        <w:rPr>
          <w:rFonts w:hint="default" w:ascii="Times New Roman" w:hAnsi="Times New Roman" w:eastAsia="仿宋_GB2312" w:cs="Times New Roman"/>
          <w:b w:val="0"/>
          <w:bCs w:val="0"/>
          <w:kern w:val="2"/>
          <w:sz w:val="30"/>
          <w:szCs w:val="24"/>
          <w:highlight w:val="none"/>
          <w:lang w:val="en-US" w:eastAsia="zh-CN" w:bidi="ar-SA"/>
        </w:rPr>
        <w:t>，对财政资金进行严格管理，做到专款专用，项目资金使用符合相关的财务管理制度规定，能够反映和考核项目资金的规范运行情况；</w:t>
      </w:r>
      <w:r>
        <w:rPr>
          <w:rFonts w:hint="eastAsia" w:ascii="Times New Roman" w:hAnsi="Times New Roman" w:eastAsia="仿宋_GB2312" w:cs="Times New Roman"/>
          <w:b w:val="0"/>
          <w:bCs w:val="0"/>
          <w:kern w:val="2"/>
          <w:sz w:val="30"/>
          <w:szCs w:val="24"/>
          <w:highlight w:val="none"/>
          <w:lang w:val="en-US" w:eastAsia="zh-CN" w:bidi="ar-SA"/>
        </w:rPr>
        <w:t>本单位</w:t>
      </w:r>
      <w:r>
        <w:rPr>
          <w:rFonts w:hint="default" w:ascii="Times New Roman" w:hAnsi="Times New Roman" w:eastAsia="仿宋_GB2312" w:cs="Times New Roman"/>
          <w:b w:val="0"/>
          <w:bCs w:val="0"/>
          <w:kern w:val="2"/>
          <w:sz w:val="30"/>
          <w:szCs w:val="24"/>
          <w:highlight w:val="none"/>
          <w:lang w:val="en-US" w:eastAsia="zh-CN" w:bidi="ar-SA"/>
        </w:rPr>
        <w:t>的财务和业务管理制度健全，能够反映和考核财务和业务管理制度对项目顺利实施的保障情况。</w:t>
      </w:r>
    </w:p>
    <w:p>
      <w:pPr>
        <w:pStyle w:val="2"/>
        <w:ind w:firstLine="600" w:firstLineChars="200"/>
        <w:jc w:val="left"/>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5</w:t>
      </w:r>
      <w:r>
        <w:rPr>
          <w:rFonts w:hint="eastAsia" w:ascii="Times New Roman" w:hAnsi="Times New Roman" w:eastAsia="仿宋_GB2312"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制度执行有效性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本项目遵守</w:t>
      </w:r>
      <w:r>
        <w:rPr>
          <w:rFonts w:hint="eastAsia" w:ascii="Times New Roman" w:hAnsi="Times New Roman" w:eastAsia="仿宋_GB2312" w:cs="Times New Roman"/>
          <w:b w:val="0"/>
          <w:bCs w:val="0"/>
          <w:kern w:val="2"/>
          <w:sz w:val="30"/>
          <w:szCs w:val="24"/>
          <w:lang w:val="en-US" w:eastAsia="zh-CN" w:bidi="ar-SA"/>
        </w:rPr>
        <w:t>《巴州农科院科研项目经费管理办法 》</w:t>
      </w:r>
      <w:r>
        <w:rPr>
          <w:rFonts w:hint="default" w:ascii="Times New Roman" w:hAnsi="Times New Roman" w:eastAsia="仿宋_GB2312" w:cs="Times New Roman"/>
          <w:b w:val="0"/>
          <w:bCs w:val="0"/>
          <w:kern w:val="2"/>
          <w:sz w:val="30"/>
          <w:szCs w:val="24"/>
          <w:lang w:val="en-US" w:eastAsia="zh-CN" w:bidi="ar-SA"/>
        </w:rPr>
        <w:t>规定，</w:t>
      </w:r>
      <w:r>
        <w:rPr>
          <w:rFonts w:hint="eastAsia" w:ascii="Times New Roman" w:hAnsi="Times New Roman" w:eastAsia="仿宋_GB2312" w:cs="Times New Roman"/>
          <w:b w:val="0"/>
          <w:bCs w:val="0"/>
          <w:kern w:val="2"/>
          <w:sz w:val="30"/>
          <w:szCs w:val="24"/>
          <w:lang w:val="en-US" w:eastAsia="zh-CN" w:bidi="ar-SA"/>
        </w:rPr>
        <w:t>项目经费调整均需要提交本单位支委会以及党委会研究通过，方可调整，经费调整和支出手续齐全。</w:t>
      </w:r>
      <w:r>
        <w:rPr>
          <w:rFonts w:hint="default" w:ascii="Times New Roman" w:hAnsi="Times New Roman" w:eastAsia="仿宋_GB2312" w:cs="Times New Roman"/>
          <w:b w:val="0"/>
          <w:bCs w:val="0"/>
          <w:kern w:val="2"/>
          <w:sz w:val="30"/>
          <w:szCs w:val="24"/>
          <w:lang w:val="en-US" w:eastAsia="zh-CN" w:bidi="ar-SA"/>
        </w:rPr>
        <w:t>项目申请书、</w:t>
      </w:r>
      <w:r>
        <w:rPr>
          <w:rFonts w:hint="eastAsia" w:ascii="Times New Roman" w:hAnsi="Times New Roman" w:eastAsia="仿宋_GB2312" w:cs="Times New Roman"/>
          <w:b w:val="0"/>
          <w:bCs w:val="0"/>
          <w:kern w:val="2"/>
          <w:sz w:val="30"/>
          <w:szCs w:val="24"/>
          <w:lang w:val="en-US" w:eastAsia="zh-CN" w:bidi="ar-SA"/>
        </w:rPr>
        <w:t>任务</w:t>
      </w:r>
      <w:r>
        <w:rPr>
          <w:rFonts w:hint="default" w:ascii="Times New Roman" w:hAnsi="Times New Roman" w:eastAsia="仿宋_GB2312" w:cs="Times New Roman"/>
          <w:b w:val="0"/>
          <w:bCs w:val="0"/>
          <w:kern w:val="2"/>
          <w:sz w:val="30"/>
          <w:szCs w:val="24"/>
          <w:lang w:val="en-US" w:eastAsia="zh-CN" w:bidi="ar-SA"/>
        </w:rPr>
        <w:t>书等材料按照项目实施单位管理办法，整理完毕后装订成册，及时上交实施</w:t>
      </w:r>
      <w:r>
        <w:rPr>
          <w:rFonts w:hint="eastAsia" w:ascii="Times New Roman" w:hAnsi="Times New Roman" w:eastAsia="仿宋_GB2312" w:cs="Times New Roman"/>
          <w:b w:val="0"/>
          <w:bCs w:val="0"/>
          <w:kern w:val="2"/>
          <w:sz w:val="30"/>
          <w:szCs w:val="24"/>
          <w:lang w:val="en-US" w:eastAsia="zh-CN" w:bidi="ar-SA"/>
        </w:rPr>
        <w:t>本单位</w:t>
      </w:r>
      <w:r>
        <w:rPr>
          <w:rFonts w:hint="default" w:ascii="Times New Roman" w:hAnsi="Times New Roman" w:eastAsia="仿宋_GB2312" w:cs="Times New Roman"/>
          <w:b w:val="0"/>
          <w:bCs w:val="0"/>
          <w:kern w:val="2"/>
          <w:sz w:val="30"/>
          <w:szCs w:val="24"/>
          <w:lang w:val="en-US" w:eastAsia="zh-CN" w:bidi="ar-SA"/>
        </w:rPr>
        <w:t>科研管理办公室留档。</w:t>
      </w:r>
      <w:r>
        <w:rPr>
          <w:rFonts w:hint="eastAsia" w:ascii="Times New Roman" w:hAnsi="Times New Roman" w:eastAsia="仿宋_GB2312" w:cs="Times New Roman"/>
          <w:b w:val="0"/>
          <w:bCs w:val="0"/>
          <w:kern w:val="2"/>
          <w:sz w:val="30"/>
          <w:szCs w:val="24"/>
          <w:lang w:val="en-US" w:eastAsia="zh-CN" w:bidi="ar-SA"/>
        </w:rPr>
        <w:t>本项目开展执行过程中所需</w:t>
      </w:r>
      <w:r>
        <w:rPr>
          <w:rFonts w:hint="eastAsia" w:ascii="Times New Roman" w:hAnsi="Times New Roman" w:cs="Times New Roman"/>
          <w:b w:val="0"/>
          <w:bCs w:val="0"/>
          <w:kern w:val="2"/>
          <w:sz w:val="30"/>
          <w:szCs w:val="24"/>
          <w:lang w:val="en-US" w:eastAsia="zh-CN" w:bidi="ar-SA"/>
        </w:rPr>
        <w:t>人员条件、</w:t>
      </w:r>
      <w:r>
        <w:rPr>
          <w:rFonts w:hint="eastAsia" w:ascii="Times New Roman" w:hAnsi="Times New Roman" w:eastAsia="仿宋_GB2312" w:cs="Times New Roman"/>
          <w:b w:val="0"/>
          <w:bCs w:val="0"/>
          <w:kern w:val="2"/>
          <w:sz w:val="30"/>
          <w:szCs w:val="24"/>
          <w:lang w:val="en-US" w:eastAsia="zh-CN" w:bidi="ar-SA"/>
        </w:rPr>
        <w:t>试验地、物资以及</w:t>
      </w:r>
      <w:r>
        <w:rPr>
          <w:rFonts w:hint="eastAsia" w:ascii="Times New Roman" w:hAnsi="Times New Roman" w:cs="Times New Roman"/>
          <w:b w:val="0"/>
          <w:bCs w:val="0"/>
          <w:kern w:val="2"/>
          <w:sz w:val="30"/>
          <w:szCs w:val="24"/>
          <w:lang w:val="en-US" w:eastAsia="zh-CN" w:bidi="ar-SA"/>
        </w:rPr>
        <w:t>仪器</w:t>
      </w:r>
      <w:r>
        <w:rPr>
          <w:rFonts w:hint="eastAsia" w:ascii="Times New Roman" w:hAnsi="Times New Roman" w:eastAsia="仿宋_GB2312" w:cs="Times New Roman"/>
          <w:b w:val="0"/>
          <w:bCs w:val="0"/>
          <w:kern w:val="2"/>
          <w:sz w:val="30"/>
          <w:szCs w:val="24"/>
          <w:lang w:val="en-US" w:eastAsia="zh-CN" w:bidi="ar-SA"/>
        </w:rPr>
        <w:t>设备均</w:t>
      </w:r>
      <w:r>
        <w:rPr>
          <w:rFonts w:hint="eastAsia" w:ascii="Times New Roman" w:hAnsi="Times New Roman" w:cs="Times New Roman"/>
          <w:b w:val="0"/>
          <w:bCs w:val="0"/>
          <w:kern w:val="2"/>
          <w:sz w:val="30"/>
          <w:szCs w:val="24"/>
          <w:lang w:val="en-US" w:eastAsia="zh-CN" w:bidi="ar-SA"/>
        </w:rPr>
        <w:t>得到本单位全力支持。</w:t>
      </w:r>
    </w:p>
    <w:p>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2"/>
          <w:sz w:val="32"/>
          <w:szCs w:val="32"/>
          <w:lang w:val="en-US" w:eastAsia="zh-CN" w:bidi="ar-SA"/>
        </w:rPr>
      </w:pPr>
      <w:bookmarkStart w:id="14" w:name="_Toc68703840"/>
      <w:r>
        <w:rPr>
          <w:rFonts w:hint="default" w:ascii="Times New Roman" w:hAnsi="Times New Roman" w:eastAsia="仿宋_GB2312" w:cs="Times New Roman"/>
          <w:b/>
          <w:bCs/>
          <w:kern w:val="2"/>
          <w:sz w:val="32"/>
          <w:szCs w:val="32"/>
          <w:lang w:val="en-US" w:eastAsia="zh-CN" w:bidi="ar-SA"/>
        </w:rPr>
        <w:t>（三）项目产出情况</w:t>
      </w:r>
      <w:bookmarkEnd w:id="14"/>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数量指标完成情况：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指标1：示范面积</w:t>
      </w:r>
      <w:r>
        <w:rPr>
          <w:rFonts w:hint="default" w:ascii="Times New Roman" w:hAnsi="Times New Roman" w:eastAsia="仿宋_GB2312" w:cs="Times New Roman"/>
          <w:b w:val="0"/>
          <w:bCs w:val="0"/>
          <w:kern w:val="2"/>
          <w:sz w:val="30"/>
          <w:szCs w:val="24"/>
          <w:lang w:val="en-US" w:eastAsia="zh-CN" w:bidi="ar-SA"/>
        </w:rPr>
        <w:tab/>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100亩，实际完成值100亩，指标完成率100%。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指标2：辐射带动面积，指标值：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2000亩，实际完成值2000亩，指标完成率100%。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指标3：引进新材料，指标值：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10个，实际完成值17个，指标完成率170%，偏差原因：项目实施前计划引进10个材料，但是根据实际试验开展情况增至17个。</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指标4：物资采购批次，指标值：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3批，实际完成值4批，指标完成率133.33%，偏差原因：物资采购根据实际项目实验开展，需要采购第四批次，所以采购了四批物资。</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ascii="Times New Roman" w:hAnsi="Times New Roman" w:eastAsia="仿宋_GB2312"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ascii="Times New Roman" w:hAnsi="Times New Roman" w:eastAsia="仿宋_GB2312"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质量指标完成情况：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指标1：物资验收合格率，指标值：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90%，实际完成值100%，指标完成率111.11%。</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指标2：新材料成活率，指标值：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80%，实际完成值86.80%，指标完成率108.50%。</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指标3：政府采购率，指标值：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65%，实际完成值75%，指标完成率115.38%。</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指标4：物资质量合格率，指标值：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90%，实际完成值100%，指标完成率111.11%。</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ascii="Times New Roman" w:hAnsi="Times New Roman" w:eastAsia="仿宋_GB2312"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ascii="Times New Roman" w:hAnsi="Times New Roman" w:eastAsia="仿宋_GB2312"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3</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时效指标完成情况：</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指标1：物资采购及时率，指标值：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90%，实际完成值100%，指标完成率111.11%。</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指标2：物资采购完成时间，指标值：2023年11月之前，实际完成值2023年10月10日，指标完成率100%。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4</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经济成本指标完成情况：</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指标1：物资采购费用，指标值：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8.56万元，实际完成值8.56万元，指标完成率100%。</w:t>
      </w:r>
    </w:p>
    <w:p>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指标2：基本科研业务费用，指标值：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11.44万元，实际完成值11.44万元，指标完成率100%。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color w:val="auto"/>
          <w:highlight w:val="none"/>
        </w:rPr>
      </w:pPr>
      <w:bookmarkStart w:id="15" w:name="_Toc68703841"/>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四</w:t>
      </w:r>
      <w:r>
        <w:rPr>
          <w:rFonts w:hint="default" w:ascii="Times New Roman" w:hAnsi="Times New Roman" w:eastAsia="仿宋_GB2312" w:cs="Times New Roman"/>
          <w:b/>
          <w:bCs/>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lang w:eastAsia="zh-CN"/>
        </w:rPr>
        <w:t>1</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经济效益指标完成情况：</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指标</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eastAsia="zh-CN"/>
        </w:rPr>
        <w:t>：物资利用率，指标值：</w:t>
      </w:r>
      <w:r>
        <w:rPr>
          <w:rFonts w:hint="eastAsia" w:cs="Times New Roman"/>
          <w:color w:val="auto"/>
          <w:highlight w:val="none"/>
          <w:lang w:eastAsia="zh-CN"/>
        </w:rPr>
        <w:t>≥</w:t>
      </w:r>
      <w:r>
        <w:rPr>
          <w:rFonts w:hint="default" w:ascii="Times New Roman" w:hAnsi="Times New Roman" w:eastAsia="仿宋_GB2312" w:cs="Times New Roman"/>
          <w:color w:val="auto"/>
          <w:highlight w:val="none"/>
          <w:lang w:eastAsia="zh-CN"/>
        </w:rPr>
        <w:t>90%，实际完成值</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111.11%</w:t>
      </w:r>
      <w:r>
        <w:rPr>
          <w:rFonts w:hint="default"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eastAsia="zh-CN"/>
        </w:rPr>
      </w:pPr>
      <w:r>
        <w:rPr>
          <w:rFonts w:hint="eastAsia" w:ascii="Times New Roman" w:hAnsi="Times New Roman" w:eastAsia="仿宋_GB2312" w:cs="Times New Roman"/>
          <w:color w:val="auto"/>
          <w:highlight w:val="none"/>
          <w:lang w:val="en-US" w:eastAsia="zh-CN"/>
        </w:rPr>
        <w:t>2</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社会效益指标完成情况：</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指标</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eastAsia="zh-CN"/>
        </w:rPr>
        <w:t>：试验站实力和指导能力，指标值：持续提高，实际完成值</w:t>
      </w:r>
      <w:r>
        <w:rPr>
          <w:rFonts w:hint="default" w:ascii="Times New Roman" w:hAnsi="Times New Roman" w:eastAsia="仿宋_GB2312" w:cs="Times New Roman"/>
          <w:color w:val="auto"/>
          <w:highlight w:val="none"/>
          <w:lang w:val="en-US" w:eastAsia="zh-CN"/>
        </w:rPr>
        <w:t>达成目标</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highlight w:val="none"/>
          <w:lang w:eastAsia="zh-CN"/>
        </w:rPr>
      </w:pPr>
      <w:r>
        <w:rPr>
          <w:rFonts w:hint="eastAsia" w:ascii="Times New Roman" w:hAnsi="Times New Roman" w:eastAsia="仿宋_GB2312" w:cs="Times New Roman"/>
          <w:color w:val="auto"/>
          <w:highlight w:val="none"/>
          <w:lang w:val="en-US" w:eastAsia="zh-CN"/>
        </w:rPr>
        <w:t>3</w:t>
      </w:r>
      <w:r>
        <w:rPr>
          <w:rFonts w:hint="eastAsia" w:cs="Times New Roman"/>
          <w:color w:val="auto"/>
          <w:highlight w:val="none"/>
          <w:lang w:val="en-US" w:eastAsia="zh-CN"/>
        </w:rPr>
        <w:t>.</w:t>
      </w:r>
      <w:r>
        <w:rPr>
          <w:rFonts w:hint="eastAsia" w:ascii="Times New Roman" w:hAnsi="Times New Roman" w:eastAsia="仿宋_GB2312" w:cs="Times New Roman"/>
          <w:color w:val="auto"/>
          <w:highlight w:val="none"/>
          <w:lang w:eastAsia="zh-CN"/>
        </w:rPr>
        <w:t>生态效益指标</w:t>
      </w:r>
      <w:r>
        <w:rPr>
          <w:rFonts w:hint="default" w:ascii="Times New Roman" w:hAnsi="Times New Roman" w:eastAsia="仿宋_GB2312" w:cs="Times New Roman"/>
          <w:color w:val="auto"/>
          <w:highlight w:val="none"/>
          <w:lang w:eastAsia="zh-CN"/>
        </w:rPr>
        <w:t>完成情况</w:t>
      </w:r>
      <w:r>
        <w:rPr>
          <w:rFonts w:hint="eastAsia" w:ascii="Times New Roman" w:hAnsi="Times New Roman" w:eastAsia="仿宋_GB2312" w:cs="Times New Roman"/>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4</w:t>
      </w:r>
      <w:r>
        <w:rPr>
          <w:rFonts w:hint="eastAsia" w:cs="Times New Roman"/>
          <w:color w:val="auto"/>
          <w:highlight w:val="none"/>
          <w:lang w:val="en-US" w:eastAsia="zh-CN"/>
        </w:rPr>
        <w:t>.</w:t>
      </w:r>
      <w:r>
        <w:rPr>
          <w:rFonts w:hint="eastAsia" w:ascii="Times New Roman" w:hAnsi="Times New Roman" w:eastAsia="仿宋_GB2312" w:cs="Times New Roman"/>
          <w:color w:val="auto"/>
          <w:highlight w:val="none"/>
          <w:lang w:eastAsia="zh-CN"/>
        </w:rPr>
        <w:t>可持续影响指标</w:t>
      </w:r>
      <w:r>
        <w:rPr>
          <w:rFonts w:hint="default" w:ascii="Times New Roman" w:hAnsi="Times New Roman" w:eastAsia="仿宋_GB2312" w:cs="Times New Roman"/>
          <w:color w:val="auto"/>
          <w:highlight w:val="none"/>
          <w:lang w:eastAsia="zh-CN"/>
        </w:rPr>
        <w:t>完成情况</w:t>
      </w:r>
      <w:r>
        <w:rPr>
          <w:rFonts w:hint="eastAsia" w:ascii="Times New Roman" w:hAnsi="Times New Roman" w:eastAsia="仿宋_GB2312" w:cs="Times New Roman"/>
          <w:color w:val="auto"/>
          <w:highlight w:val="none"/>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eastAsia="zh-CN"/>
        </w:rPr>
      </w:pPr>
      <w:r>
        <w:rPr>
          <w:rFonts w:hint="eastAsia" w:ascii="Times New Roman" w:hAnsi="Times New Roman" w:eastAsia="仿宋_GB2312" w:cs="Times New Roman"/>
          <w:color w:val="auto"/>
          <w:highlight w:val="none"/>
          <w:lang w:val="en-US" w:eastAsia="zh-CN"/>
        </w:rPr>
        <w:t>5</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满意度指标完成情况：</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color w:val="auto"/>
          <w:highlight w:val="none"/>
          <w:lang w:eastAsia="zh-CN"/>
        </w:rPr>
        <w:t>指标</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eastAsia="zh-CN"/>
        </w:rPr>
        <w:t>：农民满意度，指标值：</w:t>
      </w:r>
      <w:r>
        <w:rPr>
          <w:rFonts w:hint="eastAsia" w:cs="Times New Roman"/>
          <w:color w:val="auto"/>
          <w:highlight w:val="none"/>
          <w:lang w:eastAsia="zh-CN"/>
        </w:rPr>
        <w:t>≥</w:t>
      </w:r>
      <w:r>
        <w:rPr>
          <w:rFonts w:hint="default" w:ascii="Times New Roman" w:hAnsi="Times New Roman" w:eastAsia="仿宋_GB2312" w:cs="Times New Roman"/>
          <w:color w:val="auto"/>
          <w:highlight w:val="none"/>
          <w:lang w:eastAsia="zh-CN"/>
        </w:rPr>
        <w:t>90%，实际完成值</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111.11%</w:t>
      </w:r>
      <w:r>
        <w:rPr>
          <w:rFonts w:hint="default"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指标</w:t>
      </w:r>
      <w:r>
        <w:rPr>
          <w:rFonts w:hint="default" w:ascii="Times New Roman" w:hAnsi="Times New Roman" w:eastAsia="仿宋_GB2312" w:cs="Times New Roman"/>
          <w:color w:val="auto"/>
          <w:highlight w:val="none"/>
          <w:lang w:val="en-US" w:eastAsia="zh-CN"/>
        </w:rPr>
        <w:t>2</w:t>
      </w:r>
      <w:r>
        <w:rPr>
          <w:rFonts w:hint="default" w:ascii="Times New Roman" w:hAnsi="Times New Roman" w:eastAsia="仿宋_GB2312" w:cs="Times New Roman"/>
          <w:color w:val="auto"/>
          <w:highlight w:val="none"/>
          <w:lang w:eastAsia="zh-CN"/>
        </w:rPr>
        <w:t>：使用人员满意度，指标值：</w:t>
      </w:r>
      <w:r>
        <w:rPr>
          <w:rFonts w:hint="eastAsia" w:cs="Times New Roman"/>
          <w:color w:val="auto"/>
          <w:highlight w:val="none"/>
          <w:lang w:eastAsia="zh-CN"/>
        </w:rPr>
        <w:t>≥</w:t>
      </w:r>
      <w:r>
        <w:rPr>
          <w:rFonts w:hint="default" w:ascii="Times New Roman" w:hAnsi="Times New Roman" w:eastAsia="仿宋_GB2312" w:cs="Times New Roman"/>
          <w:color w:val="auto"/>
          <w:highlight w:val="none"/>
          <w:lang w:eastAsia="zh-CN"/>
        </w:rPr>
        <w:t>90%，实际完成值</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111.11%</w:t>
      </w:r>
      <w:r>
        <w:rPr>
          <w:rFonts w:hint="default"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20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20</w:t>
      </w:r>
      <w:r>
        <w:rPr>
          <w:rFonts w:hint="default"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44"/>
          <w:sz w:val="32"/>
          <w:szCs w:val="32"/>
          <w:lang w:val="en-US" w:eastAsia="zh-Hans" w:bidi="ar-SA"/>
        </w:rPr>
      </w:pPr>
      <w:bookmarkStart w:id="16" w:name="_Toc68703842"/>
      <w:r>
        <w:rPr>
          <w:rFonts w:hint="default" w:ascii="Times New Roman" w:hAnsi="Times New Roman" w:eastAsia="仿宋_GB2312" w:cs="Times New Roman"/>
          <w:b/>
          <w:bCs/>
          <w:kern w:val="44"/>
          <w:sz w:val="32"/>
          <w:szCs w:val="32"/>
          <w:lang w:val="en-US" w:eastAsia="zh-Hans" w:bidi="ar-SA"/>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eastAsia" w:cs="Times New Roman"/>
          <w:b w:val="0"/>
          <w:bCs w:val="0"/>
          <w:kern w:val="2"/>
          <w:sz w:val="30"/>
          <w:szCs w:val="24"/>
          <w:highlight w:val="none"/>
          <w:lang w:val="en-US" w:eastAsia="zh-CN" w:bidi="ar-SA"/>
        </w:rPr>
        <w:t>《2023年自治区人才发展基金项目-产业技术创新团队支持计划-现代农业产业技术体系人才-油料体系》</w:t>
      </w:r>
      <w:r>
        <w:rPr>
          <w:rFonts w:hint="default" w:ascii="Times New Roman" w:hAnsi="Times New Roman" w:eastAsia="仿宋_GB2312" w:cs="Times New Roman"/>
          <w:b w:val="0"/>
          <w:bCs w:val="0"/>
          <w:kern w:val="2"/>
          <w:sz w:val="30"/>
          <w:szCs w:val="24"/>
          <w:highlight w:val="none"/>
          <w:lang w:val="en-US" w:eastAsia="zh-CN" w:bidi="ar-SA"/>
        </w:rPr>
        <w:t>项目</w:t>
      </w:r>
      <w:r>
        <w:rPr>
          <w:rFonts w:hint="default" w:ascii="Times New Roman" w:hAnsi="Times New Roman" w:eastAsia="仿宋_GB2312" w:cs="Times New Roman"/>
          <w:color w:val="auto"/>
          <w:highlight w:val="none"/>
          <w:lang w:val="en-US" w:eastAsia="zh-CN"/>
        </w:rPr>
        <w:t>年初预算20万元，全年预算20万元，实际支出20万元，预算执行率为100%，项目绩效指标总体完成率为112.12%，</w:t>
      </w:r>
      <w:r>
        <w:rPr>
          <w:rFonts w:hint="default" w:ascii="Times New Roman" w:hAnsi="Times New Roman" w:eastAsia="仿宋_GB2312" w:cs="Times New Roman"/>
          <w:color w:val="auto"/>
          <w:highlight w:val="none"/>
          <w:lang w:val="en-US" w:eastAsia="zh-Hans"/>
        </w:rPr>
        <w:t>总体</w:t>
      </w:r>
      <w:r>
        <w:rPr>
          <w:rFonts w:hint="default" w:ascii="Times New Roman" w:hAnsi="Times New Roman" w:eastAsia="仿宋_GB2312" w:cs="Times New Roman"/>
          <w:color w:val="auto"/>
          <w:highlight w:val="none"/>
          <w:lang w:val="en-US" w:eastAsia="zh-CN"/>
        </w:rPr>
        <w:t>偏差率为12.12%，</w:t>
      </w:r>
      <w:r>
        <w:rPr>
          <w:rFonts w:hint="default" w:ascii="Times New Roman" w:hAnsi="Times New Roman" w:eastAsia="仿宋_GB2312" w:cs="Times New Roman"/>
          <w:color w:val="auto"/>
          <w:highlight w:val="none"/>
          <w:lang w:val="en-US" w:eastAsia="zh-Hans"/>
        </w:rPr>
        <w:t>偏差</w:t>
      </w:r>
      <w:r>
        <w:rPr>
          <w:rFonts w:hint="default" w:ascii="Times New Roman" w:hAnsi="Times New Roman" w:eastAsia="仿宋_GB2312" w:cs="Times New Roman"/>
          <w:color w:val="auto"/>
          <w:highlight w:val="none"/>
          <w:lang w:val="en-US" w:eastAsia="zh-CN"/>
        </w:rPr>
        <w:t>原因项目执行过程中存在项目实际开展需要和项目方案计划不一致的情况，</w:t>
      </w:r>
      <w:r>
        <w:rPr>
          <w:rFonts w:hint="default" w:ascii="Times New Roman" w:hAnsi="Times New Roman" w:eastAsia="仿宋_GB2312" w:cs="Times New Roman"/>
          <w:color w:val="auto"/>
          <w:highlight w:val="none"/>
          <w:lang w:val="en-US" w:eastAsia="zh-Hans"/>
        </w:rPr>
        <w:t>改进</w:t>
      </w:r>
      <w:r>
        <w:rPr>
          <w:rFonts w:hint="default" w:ascii="Times New Roman" w:hAnsi="Times New Roman" w:eastAsia="仿宋_GB2312" w:cs="Times New Roman"/>
          <w:color w:val="auto"/>
          <w:highlight w:val="none"/>
          <w:lang w:val="en-US" w:eastAsia="zh-CN"/>
        </w:rPr>
        <w:t>措施：加强项目计划</w:t>
      </w:r>
      <w:r>
        <w:rPr>
          <w:rFonts w:hint="eastAsia" w:cs="Times New Roman"/>
          <w:color w:val="auto"/>
          <w:highlight w:val="none"/>
          <w:lang w:val="en-US" w:eastAsia="zh-CN"/>
        </w:rPr>
        <w:t>指标值</w:t>
      </w:r>
      <w:r>
        <w:rPr>
          <w:rFonts w:hint="default" w:ascii="Times New Roman" w:hAnsi="Times New Roman" w:eastAsia="仿宋_GB2312" w:cs="Times New Roman"/>
          <w:color w:val="auto"/>
          <w:highlight w:val="none"/>
          <w:lang w:val="en-US" w:eastAsia="zh-CN"/>
        </w:rPr>
        <w:t>设定的合理性以及规范性。</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7" w:name="_Toc68703843"/>
      <w:r>
        <w:rPr>
          <w:rFonts w:hint="default" w:ascii="Times New Roman" w:hAnsi="Times New Roman" w:eastAsia="仿宋_GB2312" w:cs="Times New Roman"/>
          <w:b/>
          <w:bCs/>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一是</w:t>
      </w:r>
      <w:r>
        <w:rPr>
          <w:rFonts w:hint="default" w:ascii="Times New Roman" w:hAnsi="Times New Roman" w:eastAsia="仿宋_GB2312" w:cs="Times New Roman"/>
          <w:color w:val="auto"/>
          <w:highlight w:val="none"/>
          <w:lang w:val="en-US" w:eastAsia="zh-CN"/>
        </w:rPr>
        <w:t>项目开展前期做好可行性研究计划，更加细化项目涵盖的各类试验方案，做好指标值设定，以保质保量完成各项指标。</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二是</w:t>
      </w:r>
      <w:r>
        <w:rPr>
          <w:rFonts w:hint="default" w:ascii="Times New Roman" w:hAnsi="Times New Roman" w:eastAsia="仿宋_GB2312" w:cs="Times New Roman"/>
          <w:color w:val="auto"/>
          <w:highlight w:val="none"/>
          <w:lang w:val="en-US" w:eastAsia="zh-CN"/>
        </w:rPr>
        <w:t>严格执行资金管理办法和财政资金管理制度，严格按照项目实施计划以及试验方案等稳步推进工作。</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8" w:name="_Toc68703844"/>
      <w:r>
        <w:rPr>
          <w:rFonts w:hint="default" w:ascii="Times New Roman" w:hAnsi="Times New Roman" w:eastAsia="仿宋_GB2312" w:cs="Times New Roman"/>
          <w:b/>
          <w:bCs/>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bookmarkStart w:id="19" w:name="_Toc68703845"/>
      <w:r>
        <w:rPr>
          <w:rFonts w:hint="eastAsia" w:cs="Times New Roman"/>
          <w:color w:val="auto"/>
          <w:highlight w:val="none"/>
          <w:lang w:val="en-US" w:eastAsia="zh-CN"/>
        </w:rPr>
        <w:t>因</w:t>
      </w:r>
      <w:r>
        <w:rPr>
          <w:rFonts w:hint="default" w:ascii="Times New Roman" w:hAnsi="Times New Roman" w:eastAsia="仿宋_GB2312" w:cs="Times New Roman"/>
          <w:color w:val="auto"/>
          <w:highlight w:val="none"/>
          <w:lang w:val="en-US" w:eastAsia="zh-CN"/>
        </w:rPr>
        <w:t>有关绩效管理工作方面的学习不深入，理解不透彻，导致指标设定不合理，总体偏差过大。例如设定三级指标值不够合理，计划引进新材料</w:t>
      </w:r>
      <w:r>
        <w:rPr>
          <w:rFonts w:hint="eastAsia" w:cs="Times New Roman"/>
          <w:color w:val="auto"/>
          <w:highlight w:val="none"/>
          <w:lang w:val="en-US" w:eastAsia="zh-CN"/>
        </w:rPr>
        <w:t>不少于</w:t>
      </w:r>
      <w:r>
        <w:rPr>
          <w:rFonts w:hint="default" w:ascii="Times New Roman" w:hAnsi="Times New Roman" w:eastAsia="仿宋_GB2312" w:cs="Times New Roman"/>
          <w:color w:val="auto"/>
          <w:highlight w:val="none"/>
          <w:lang w:val="en-US" w:eastAsia="zh-CN"/>
        </w:rPr>
        <w:t>10份，实际引进17份，认为符合引进计划，但按照实际培训出现较大偏差</w:t>
      </w:r>
      <w:r>
        <w:rPr>
          <w:rFonts w:hint="eastAsia" w:cs="Times New Roman"/>
          <w:color w:val="auto"/>
          <w:highlight w:val="none"/>
          <w:lang w:val="en-US" w:eastAsia="zh-CN"/>
        </w:rPr>
        <w:t>。</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44"/>
          <w:sz w:val="32"/>
          <w:szCs w:val="32"/>
          <w:lang w:val="en-US" w:eastAsia="zh-CN" w:bidi="ar-SA"/>
        </w:rPr>
      </w:pPr>
      <w:r>
        <w:rPr>
          <w:rFonts w:hint="default" w:ascii="Times New Roman" w:hAnsi="Times New Roman" w:eastAsia="仿宋_GB2312" w:cs="Times New Roman"/>
          <w:b/>
          <w:bCs/>
          <w:kern w:val="44"/>
          <w:sz w:val="32"/>
          <w:szCs w:val="32"/>
          <w:lang w:val="en-US" w:eastAsia="zh-CN" w:bidi="ar-SA"/>
        </w:rPr>
        <w:t>七、有关建议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多进行有关绩效管理工作方面的培训。积极组织第三方开展绩效管理工作培训，进一步夯实业务基础，提高我单位绩效人员水平。</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20" w:name="_Toc68703846"/>
      <w:r>
        <w:rPr>
          <w:rFonts w:hint="default" w:ascii="Times New Roman" w:hAnsi="Times New Roman" w:eastAsia="仿宋_GB2312" w:cs="Times New Roman"/>
          <w:sz w:val="32"/>
          <w:szCs w:val="32"/>
          <w:lang w:val="en-US" w:eastAsia="zh-CN"/>
        </w:rPr>
        <w:t>八</w:t>
      </w:r>
      <w:r>
        <w:rPr>
          <w:rFonts w:hint="default" w:ascii="Times New Roman" w:hAnsi="Times New Roman" w:eastAsia="仿宋_GB2312" w:cs="Times New Roman"/>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p>
    <w:sectPr>
      <w:pgSz w:w="11906" w:h="16838"/>
      <w:pgMar w:top="1928" w:right="1803" w:bottom="1701"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08B6B5"/>
    <w:multiLevelType w:val="singleLevel"/>
    <w:tmpl w:val="8C08B6B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4NDIxMDgwYmQzM2EwZTQ3YTUwMjRjM2QyNTU2N2Y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D71BDF"/>
    <w:rsid w:val="00EB3433"/>
    <w:rsid w:val="01360C24"/>
    <w:rsid w:val="01D37272"/>
    <w:rsid w:val="031A7868"/>
    <w:rsid w:val="05227DA5"/>
    <w:rsid w:val="08D20D13"/>
    <w:rsid w:val="0BFE6B4C"/>
    <w:rsid w:val="0C4D0F1B"/>
    <w:rsid w:val="0F2A6BF7"/>
    <w:rsid w:val="0F31399D"/>
    <w:rsid w:val="10AE1E3E"/>
    <w:rsid w:val="13906362"/>
    <w:rsid w:val="19FA4DBC"/>
    <w:rsid w:val="1C792F4D"/>
    <w:rsid w:val="1D723F37"/>
    <w:rsid w:val="1D785367"/>
    <w:rsid w:val="1EDB3A75"/>
    <w:rsid w:val="1F6A25C9"/>
    <w:rsid w:val="22864680"/>
    <w:rsid w:val="25317C88"/>
    <w:rsid w:val="25C50504"/>
    <w:rsid w:val="26220CC5"/>
    <w:rsid w:val="2F7F61B0"/>
    <w:rsid w:val="32AE0DEC"/>
    <w:rsid w:val="36B72533"/>
    <w:rsid w:val="38E057F5"/>
    <w:rsid w:val="3A19625C"/>
    <w:rsid w:val="3A2B6F44"/>
    <w:rsid w:val="3A8121E7"/>
    <w:rsid w:val="3C1B2328"/>
    <w:rsid w:val="3DB86D41"/>
    <w:rsid w:val="4057649F"/>
    <w:rsid w:val="43182414"/>
    <w:rsid w:val="43DD2240"/>
    <w:rsid w:val="46507BB3"/>
    <w:rsid w:val="466439EE"/>
    <w:rsid w:val="4A7C25BE"/>
    <w:rsid w:val="4ABE6795"/>
    <w:rsid w:val="4C22332E"/>
    <w:rsid w:val="4C245CEF"/>
    <w:rsid w:val="4DFF6D77"/>
    <w:rsid w:val="536E624B"/>
    <w:rsid w:val="55B75F06"/>
    <w:rsid w:val="56796849"/>
    <w:rsid w:val="578E2E63"/>
    <w:rsid w:val="57D40AF4"/>
    <w:rsid w:val="5DA95371"/>
    <w:rsid w:val="615A781E"/>
    <w:rsid w:val="61664E58"/>
    <w:rsid w:val="645E00DC"/>
    <w:rsid w:val="68142C42"/>
    <w:rsid w:val="68F11999"/>
    <w:rsid w:val="70617E5E"/>
    <w:rsid w:val="723839D1"/>
    <w:rsid w:val="763A0251"/>
    <w:rsid w:val="784A2499"/>
    <w:rsid w:val="7AD24FFB"/>
    <w:rsid w:val="7DE65799"/>
    <w:rsid w:val="7EFC2D63"/>
    <w:rsid w:val="7FBB35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spacing w:line="560" w:lineRule="exact"/>
      <w:outlineLvl w:val="2"/>
    </w:pPr>
    <w:rPr>
      <w:rFonts w:ascii="Arial" w:hAnsi="Arial"/>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footer"/>
    <w:basedOn w:val="1"/>
    <w:link w:val="19"/>
    <w:semiHidden/>
    <w:unhideWhenUsed/>
    <w:qFormat/>
    <w:uiPriority w:val="99"/>
    <w:pPr>
      <w:tabs>
        <w:tab w:val="center" w:pos="4153"/>
        <w:tab w:val="right" w:pos="8306"/>
      </w:tabs>
      <w:snapToGrid w:val="0"/>
      <w:jc w:val="left"/>
    </w:pPr>
    <w:rPr>
      <w:sz w:val="18"/>
      <w:szCs w:val="18"/>
    </w:rPr>
  </w:style>
  <w:style w:type="paragraph" w:styleId="9">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9"/>
    <w:semiHidden/>
    <w:qFormat/>
    <w:uiPriority w:val="99"/>
    <w:rPr>
      <w:rFonts w:ascii="Times New Roman" w:hAnsi="Times New Roman" w:eastAsia="仿宋_GB2312" w:cs="Times New Roman"/>
      <w:sz w:val="18"/>
      <w:szCs w:val="18"/>
    </w:rPr>
  </w:style>
  <w:style w:type="character" w:customStyle="1" w:styleId="19">
    <w:name w:val="页脚 Char"/>
    <w:basedOn w:val="13"/>
    <w:link w:val="8"/>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5042</Words>
  <Characters>5242</Characters>
  <Lines>37</Lines>
  <Paragraphs>10</Paragraphs>
  <TotalTime>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2024-05-07T09:58:00Z</cp:lastPrinted>
  <dcterms:modified xsi:type="dcterms:W3CDTF">2024-05-09T09:02:10Z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288B4F1D33794A55B8C11E37FFA8C10B_13</vt:lpwstr>
  </property>
</Properties>
</file>