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894B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68E2F8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169B64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68FA4EF">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14E8666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85939F8">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3A0E2C0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B6D711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C6E047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AC3416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43E6F5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EEDEE25">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hint="eastAsia" w:ascii="宋体" w:hAnsi="宋体" w:eastAsia="宋体" w:cs="宋体"/>
          <w:kern w:val="0"/>
          <w:sz w:val="28"/>
          <w:szCs w:val="28"/>
        </w:rPr>
      </w:pPr>
      <w:r>
        <w:rPr>
          <w:rFonts w:hint="eastAsia" w:ascii="宋体" w:hAnsi="宋体" w:eastAsia="宋体" w:cs="仿宋_GB2312"/>
          <w:b/>
          <w:bCs/>
          <w:color w:val="000000"/>
          <w:kern w:val="0"/>
          <w:sz w:val="32"/>
          <w:szCs w:val="32"/>
        </w:rPr>
        <w:t>项目名称：</w:t>
      </w:r>
      <w:r>
        <w:rPr>
          <w:rFonts w:hint="eastAsia" w:ascii="宋体" w:hAnsi="宋体" w:eastAsia="宋体"/>
          <w:sz w:val="28"/>
          <w:szCs w:val="28"/>
        </w:rPr>
        <w:t>2023年国家文物保护资金</w:t>
      </w:r>
    </w:p>
    <w:p w14:paraId="4CD94BCB">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sz w:val="28"/>
          <w:szCs w:val="28"/>
          <w:lang w:eastAsia="zh-CN"/>
        </w:rPr>
        <w:t>新疆</w:t>
      </w:r>
      <w:r>
        <w:rPr>
          <w:rFonts w:hint="eastAsia" w:ascii="宋体" w:hAnsi="宋体"/>
          <w:sz w:val="28"/>
          <w:szCs w:val="28"/>
          <w:lang w:val="en-US" w:eastAsia="zh-CN"/>
        </w:rPr>
        <w:t xml:space="preserve">巴州文博院 </w:t>
      </w:r>
    </w:p>
    <w:p w14:paraId="0913A75A">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lang w:eastAsia="zh-CN"/>
        </w:rPr>
        <w:t>新疆巴州文化体育广播电视和旅游局</w:t>
      </w:r>
    </w:p>
    <w:p w14:paraId="1404F469">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sz w:val="28"/>
          <w:szCs w:val="28"/>
          <w:lang w:val="en-US" w:eastAsia="zh-CN"/>
        </w:rPr>
        <w:t>傅 雷</w:t>
      </w:r>
    </w:p>
    <w:p w14:paraId="5DDBBA23">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sz w:val="28"/>
          <w:szCs w:val="28"/>
        </w:rPr>
      </w:pPr>
      <w:r>
        <w:rPr>
          <w:rFonts w:hint="eastAsia" w:ascii="宋体" w:hAnsi="宋体" w:eastAsia="宋体" w:cs="仿宋_GB2312"/>
          <w:b/>
          <w:bCs/>
          <w:color w:val="000000"/>
          <w:kern w:val="0"/>
          <w:sz w:val="32"/>
          <w:szCs w:val="32"/>
        </w:rPr>
        <w:t>填报时间：</w:t>
      </w:r>
      <w:r>
        <w:rPr>
          <w:rFonts w:hint="eastAsia" w:ascii="宋体" w:hAnsi="宋体"/>
          <w:sz w:val="28"/>
          <w:szCs w:val="28"/>
          <w:lang w:val="en-US" w:eastAsia="zh-CN"/>
        </w:rPr>
        <w:t>2024</w:t>
      </w:r>
      <w:r>
        <w:rPr>
          <w:rFonts w:hint="eastAsia" w:ascii="宋体" w:hAnsi="宋体" w:eastAsia="宋体"/>
          <w:sz w:val="28"/>
          <w:szCs w:val="28"/>
        </w:rPr>
        <w:t xml:space="preserve">年 </w:t>
      </w:r>
      <w:r>
        <w:rPr>
          <w:rFonts w:hint="eastAsia" w:ascii="宋体" w:hAnsi="宋体"/>
          <w:sz w:val="28"/>
          <w:szCs w:val="28"/>
          <w:lang w:val="en-US" w:eastAsia="zh-CN"/>
        </w:rPr>
        <w:t xml:space="preserve">5 </w:t>
      </w:r>
      <w:r>
        <w:rPr>
          <w:rFonts w:hint="eastAsia" w:ascii="宋体" w:hAnsi="宋体" w:eastAsia="宋体"/>
          <w:sz w:val="28"/>
          <w:szCs w:val="28"/>
        </w:rPr>
        <w:t xml:space="preserve">月 </w:t>
      </w:r>
      <w:r>
        <w:rPr>
          <w:rFonts w:hint="eastAsia" w:ascii="宋体" w:hAnsi="宋体"/>
          <w:sz w:val="28"/>
          <w:szCs w:val="28"/>
          <w:lang w:val="en-US" w:eastAsia="zh-CN"/>
        </w:rPr>
        <w:t xml:space="preserve">8 </w:t>
      </w:r>
      <w:r>
        <w:rPr>
          <w:rFonts w:hint="eastAsia" w:ascii="宋体" w:hAnsi="宋体" w:eastAsia="宋体"/>
          <w:sz w:val="28"/>
          <w:szCs w:val="28"/>
        </w:rPr>
        <w:t>日</w:t>
      </w:r>
    </w:p>
    <w:p w14:paraId="29BDC59F">
      <w:pPr>
        <w:pageBreakBefore w:val="0"/>
        <w:kinsoku/>
        <w:wordWrap/>
        <w:overflowPunct/>
        <w:topLinePunct w:val="0"/>
        <w:autoSpaceDE/>
        <w:autoSpaceDN/>
        <w:bidi w:val="0"/>
        <w:adjustRightInd/>
        <w:snapToGrid/>
        <w:spacing w:line="560" w:lineRule="exact"/>
        <w:ind w:firstLine="1600" w:firstLineChars="500"/>
        <w:textAlignment w:val="auto"/>
        <w:rPr>
          <w:rFonts w:ascii="宋体" w:hAnsi="宋体" w:eastAsia="宋体" w:cs="仿宋_GB2312"/>
          <w:color w:val="000000"/>
          <w:kern w:val="0"/>
          <w:sz w:val="32"/>
          <w:szCs w:val="32"/>
        </w:rPr>
      </w:pPr>
    </w:p>
    <w:p w14:paraId="3B8B7689">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327E234C">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2A01F65">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0425717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75914A0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52EE6CC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40941D2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661DC3C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leftChars="0" w:right="0"/>
        <w:textAlignment w:val="auto"/>
        <w:rPr>
          <w:rFonts w:hint="default" w:ascii="仿宋_GB2312" w:hAnsi="Times New Roman" w:eastAsia="仿宋_GB2312" w:cs="Times New Roman"/>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hAnsi="Times New Roman" w:eastAsia="仿宋_GB2312" w:cs="Times New Roman"/>
          <w:kern w:val="2"/>
          <w:sz w:val="30"/>
          <w:szCs w:val="24"/>
          <w:highlight w:val="none"/>
          <w:lang w:val="en-US" w:eastAsia="zh-CN" w:bidi="ar-SA"/>
        </w:rPr>
        <w:t>推动</w:t>
      </w:r>
      <w:r>
        <w:rPr>
          <w:rFonts w:hint="eastAsia" w:ascii="仿宋_GB2312" w:cs="Times New Roman"/>
          <w:kern w:val="2"/>
          <w:sz w:val="30"/>
          <w:szCs w:val="24"/>
          <w:highlight w:val="none"/>
          <w:lang w:val="en-US" w:eastAsia="zh-CN" w:bidi="ar-SA"/>
        </w:rPr>
        <w:t>文博院</w:t>
      </w:r>
      <w:r>
        <w:rPr>
          <w:rFonts w:hint="eastAsia" w:ascii="仿宋_GB2312" w:hAnsi="Times New Roman" w:eastAsia="仿宋_GB2312" w:cs="Times New Roman"/>
          <w:kern w:val="2"/>
          <w:sz w:val="30"/>
          <w:szCs w:val="24"/>
          <w:highlight w:val="none"/>
          <w:lang w:val="en-US" w:eastAsia="zh-CN" w:bidi="ar-SA"/>
        </w:rPr>
        <w:t>开发虚拟现实数字化体验产品，</w:t>
      </w:r>
      <w:r>
        <w:rPr>
          <w:rFonts w:hint="eastAsia" w:ascii="仿宋_GB2312" w:cs="Times New Roman"/>
          <w:kern w:val="2"/>
          <w:sz w:val="30"/>
          <w:szCs w:val="24"/>
          <w:highlight w:val="none"/>
          <w:lang w:val="en-US" w:eastAsia="zh-CN" w:bidi="ar-SA"/>
        </w:rPr>
        <w:t>实现本地非遗文化、陶器</w:t>
      </w:r>
      <w:r>
        <w:rPr>
          <w:rFonts w:hint="eastAsia" w:ascii="仿宋_GB2312" w:hAnsi="Times New Roman" w:eastAsia="仿宋_GB2312" w:cs="Times New Roman"/>
          <w:kern w:val="2"/>
          <w:sz w:val="30"/>
          <w:szCs w:val="24"/>
          <w:highlight w:val="none"/>
          <w:lang w:val="en-US" w:eastAsia="zh-CN" w:bidi="ar-SA"/>
        </w:rPr>
        <w:t>展陈等虚拟现实创新应用</w:t>
      </w:r>
      <w:r>
        <w:rPr>
          <w:rFonts w:hint="eastAsia" w:ascii="仿宋_GB2312" w:cs="Times New Roman"/>
          <w:kern w:val="2"/>
          <w:sz w:val="30"/>
          <w:szCs w:val="24"/>
          <w:highlight w:val="none"/>
          <w:lang w:val="en-US" w:eastAsia="zh-CN" w:bidi="ar-SA"/>
        </w:rPr>
        <w:t>，不断</w:t>
      </w:r>
      <w:r>
        <w:rPr>
          <w:rFonts w:hint="eastAsia" w:ascii="仿宋_GB2312" w:hAnsi="Times New Roman" w:eastAsia="仿宋_GB2312" w:cs="Times New Roman"/>
          <w:kern w:val="2"/>
          <w:sz w:val="30"/>
          <w:szCs w:val="24"/>
          <w:highlight w:val="none"/>
          <w:lang w:val="en-US" w:eastAsia="zh-CN" w:bidi="ar-SA"/>
        </w:rPr>
        <w:t>进化</w:t>
      </w:r>
      <w:r>
        <w:rPr>
          <w:rFonts w:hint="eastAsia" w:ascii="仿宋_GB2312" w:cs="Times New Roman"/>
          <w:kern w:val="2"/>
          <w:sz w:val="30"/>
          <w:szCs w:val="24"/>
          <w:highlight w:val="none"/>
          <w:lang w:val="en-US" w:eastAsia="zh-CN" w:bidi="ar-SA"/>
        </w:rPr>
        <w:t>以</w:t>
      </w:r>
      <w:r>
        <w:rPr>
          <w:rFonts w:hint="eastAsia" w:ascii="仿宋_GB2312" w:hAnsi="Times New Roman" w:eastAsia="仿宋_GB2312" w:cs="Times New Roman"/>
          <w:kern w:val="2"/>
          <w:sz w:val="30"/>
          <w:szCs w:val="24"/>
          <w:highlight w:val="none"/>
          <w:lang w:val="en-US" w:eastAsia="zh-CN" w:bidi="ar-SA"/>
        </w:rPr>
        <w:t>“沉浸”为核心的空间设计和</w:t>
      </w:r>
      <w:r>
        <w:rPr>
          <w:rFonts w:hint="eastAsia" w:ascii="仿宋_GB2312" w:cs="Times New Roman"/>
          <w:kern w:val="2"/>
          <w:sz w:val="30"/>
          <w:szCs w:val="24"/>
          <w:highlight w:val="none"/>
          <w:lang w:val="en-US" w:eastAsia="zh-CN" w:bidi="ar-SA"/>
        </w:rPr>
        <w:t>展示</w:t>
      </w:r>
      <w:r>
        <w:rPr>
          <w:rFonts w:hint="eastAsia" w:ascii="仿宋_GB2312" w:hAnsi="Times New Roman" w:eastAsia="仿宋_GB2312" w:cs="Times New Roman"/>
          <w:kern w:val="2"/>
          <w:sz w:val="30"/>
          <w:szCs w:val="24"/>
          <w:highlight w:val="none"/>
          <w:lang w:val="en-US" w:eastAsia="zh-CN" w:bidi="ar-SA"/>
        </w:rPr>
        <w:t>形态，运用智能装备、混合现实、光影技术和互动技术等科技手段，为</w:t>
      </w:r>
      <w:r>
        <w:rPr>
          <w:rFonts w:hint="eastAsia" w:ascii="仿宋_GB2312" w:cs="Times New Roman"/>
          <w:kern w:val="2"/>
          <w:sz w:val="30"/>
          <w:szCs w:val="24"/>
          <w:highlight w:val="none"/>
          <w:lang w:val="en-US" w:eastAsia="zh-CN" w:bidi="ar-SA"/>
        </w:rPr>
        <w:t>读</w:t>
      </w:r>
      <w:r>
        <w:rPr>
          <w:rFonts w:hint="eastAsia" w:ascii="仿宋_GB2312" w:hAnsi="Times New Roman" w:eastAsia="仿宋_GB2312" w:cs="Times New Roman"/>
          <w:kern w:val="2"/>
          <w:sz w:val="30"/>
          <w:szCs w:val="24"/>
          <w:highlight w:val="none"/>
          <w:lang w:val="en-US" w:eastAsia="zh-CN" w:bidi="ar-SA"/>
        </w:rPr>
        <w:t>者打造超越现实的沉浸式体验新空间，激发人与</w:t>
      </w:r>
      <w:r>
        <w:rPr>
          <w:rFonts w:hint="eastAsia" w:ascii="仿宋_GB2312" w:cs="Times New Roman"/>
          <w:kern w:val="2"/>
          <w:sz w:val="30"/>
          <w:szCs w:val="24"/>
          <w:highlight w:val="none"/>
          <w:lang w:val="en-US" w:eastAsia="zh-CN" w:bidi="ar-SA"/>
        </w:rPr>
        <w:t>文博院</w:t>
      </w:r>
      <w:r>
        <w:rPr>
          <w:rFonts w:hint="eastAsia" w:ascii="仿宋_GB2312" w:hAnsi="Times New Roman" w:eastAsia="仿宋_GB2312" w:cs="Times New Roman"/>
          <w:kern w:val="2"/>
          <w:sz w:val="30"/>
          <w:szCs w:val="24"/>
          <w:highlight w:val="none"/>
          <w:lang w:val="en-US" w:eastAsia="zh-CN" w:bidi="ar-SA"/>
        </w:rPr>
        <w:t>之间科技感、互动性和趣味性</w:t>
      </w:r>
      <w:r>
        <w:rPr>
          <w:rFonts w:hint="eastAsia" w:ascii="仿宋_GB2312" w:cs="Times New Roman"/>
          <w:kern w:val="2"/>
          <w:sz w:val="30"/>
          <w:szCs w:val="24"/>
          <w:highlight w:val="none"/>
          <w:lang w:val="en-US" w:eastAsia="zh-CN" w:bidi="ar-SA"/>
        </w:rPr>
        <w:t>的</w:t>
      </w:r>
      <w:r>
        <w:rPr>
          <w:rFonts w:hint="eastAsia" w:ascii="仿宋_GB2312" w:hAnsi="Times New Roman" w:eastAsia="仿宋_GB2312" w:cs="Times New Roman"/>
          <w:kern w:val="2"/>
          <w:sz w:val="30"/>
          <w:szCs w:val="24"/>
          <w:highlight w:val="none"/>
          <w:lang w:val="en-US" w:eastAsia="zh-CN" w:bidi="ar-SA"/>
        </w:rPr>
        <w:t>交流</w:t>
      </w:r>
      <w:r>
        <w:rPr>
          <w:rFonts w:hint="eastAsia" w:ascii="仿宋_GB2312" w:cs="Times New Roman"/>
          <w:kern w:val="2"/>
          <w:sz w:val="30"/>
          <w:szCs w:val="24"/>
          <w:highlight w:val="none"/>
          <w:lang w:val="en-US" w:eastAsia="zh-CN" w:bidi="ar-SA"/>
        </w:rPr>
        <w:t>。</w:t>
      </w:r>
    </w:p>
    <w:p w14:paraId="16B7A5B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711ACA3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对638件巴音郭楞蒙古自治州文博院馆藏陶器文物进行病害调查，制定详实的科学保护修复方案，根据修复方案的目标消除文物存在的病害，整体提高它们的稳定性，以便长期保存，同时对每件文物建立准确详细的修复档案，以便为后续开展文物的研究和相关工作提供详细的信息和物质载体。根据保护修复后的文物提出科学的预防性保护建议。</w:t>
      </w:r>
    </w:p>
    <w:p w14:paraId="69156F1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完成对638件巴音郭楞蒙古自治州文博院馆藏陶器文物进行病害调查，制定了详实的科学保护修复方案，根据修复方案的目标消除文物存在的病害，提升文物安全性，加强文物存放周期，加大对于重点文物的展示利用效果，提升观众对于陶器文物的感知度。同时有利于整合巴州</w:t>
      </w:r>
      <w:r>
        <w:rPr>
          <w:rFonts w:hint="eastAsia" w:ascii="仿宋_GB2312" w:cs="Times New Roman"/>
          <w:kern w:val="2"/>
          <w:sz w:val="30"/>
          <w:szCs w:val="24"/>
          <w:highlight w:val="none"/>
          <w:lang w:val="en-US" w:eastAsia="zh-CN" w:bidi="ar-SA"/>
        </w:rPr>
        <w:t>文博院陶器文物</w:t>
      </w:r>
      <w:r>
        <w:rPr>
          <w:rFonts w:hint="eastAsia" w:ascii="仿宋_GB2312" w:hAnsi="Times New Roman" w:eastAsia="仿宋_GB2312" w:cs="Times New Roman"/>
          <w:kern w:val="2"/>
          <w:sz w:val="30"/>
          <w:szCs w:val="24"/>
          <w:highlight w:val="none"/>
          <w:lang w:val="en-US" w:eastAsia="zh-CN" w:bidi="ar-SA"/>
        </w:rPr>
        <w:t>资源，促进资源智慧化利用。</w:t>
      </w:r>
    </w:p>
    <w:p w14:paraId="02022C6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17C6B6A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，实际总投入</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，该项目资金已全部落实到位，资金来源为</w:t>
      </w:r>
      <w:r>
        <w:rPr>
          <w:rFonts w:hint="eastAsia" w:ascii="仿宋_GB2312" w:cs="Times New Roman"/>
          <w:kern w:val="2"/>
          <w:sz w:val="30"/>
          <w:szCs w:val="24"/>
          <w:highlight w:val="none"/>
          <w:lang w:val="en-US" w:eastAsia="zh-CN" w:bidi="ar-SA"/>
        </w:rPr>
        <w:t>中央</w:t>
      </w:r>
      <w:r>
        <w:rPr>
          <w:rFonts w:hint="eastAsia" w:ascii="仿宋_GB2312" w:hAnsi="Times New Roman" w:eastAsia="仿宋_GB2312" w:cs="Times New Roman"/>
          <w:kern w:val="2"/>
          <w:sz w:val="30"/>
          <w:szCs w:val="24"/>
          <w:highlight w:val="none"/>
          <w:lang w:val="en-US" w:eastAsia="zh-CN" w:bidi="ar-SA"/>
        </w:rPr>
        <w:t>上级转移专项资金。</w:t>
      </w:r>
    </w:p>
    <w:p w14:paraId="5541F87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，全年执行数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，预算执行率为100%</w:t>
      </w:r>
      <w:r>
        <w:rPr>
          <w:rFonts w:hint="eastAsia" w:ascii="仿宋_GB2312" w:cs="Times New Roman"/>
          <w:kern w:val="2"/>
          <w:sz w:val="30"/>
          <w:szCs w:val="24"/>
          <w:highlight w:val="none"/>
          <w:lang w:val="en-US" w:eastAsia="zh-CN" w:bidi="ar-SA"/>
        </w:rPr>
        <w:t>，用于修复馆藏638件陶器文物，每件修复成本为0.3万元，合计192.95万元</w:t>
      </w:r>
      <w:r>
        <w:rPr>
          <w:rFonts w:hint="eastAsia" w:ascii="仿宋_GB2312" w:hAnsi="Times New Roman" w:eastAsia="仿宋_GB2312" w:cs="Times New Roman"/>
          <w:kern w:val="2"/>
          <w:sz w:val="30"/>
          <w:szCs w:val="24"/>
          <w:highlight w:val="none"/>
          <w:lang w:val="en-US" w:eastAsia="zh-CN" w:bidi="ar-SA"/>
        </w:rPr>
        <w:t>。</w:t>
      </w:r>
    </w:p>
    <w:p w14:paraId="73E475CC">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1BCAA70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总体目标：</w:t>
      </w:r>
      <w:r>
        <w:rPr>
          <w:rFonts w:hint="eastAsia"/>
          <w:lang w:val="en-US" w:eastAsia="zh-CN"/>
        </w:rPr>
        <w:t>加强文物保护利用，提升文物安全水平，传承中华优秀传统文化，促进文物事业与经济社会和谐发展，完成对巴州文博院馆藏638件陶器文物的病害调查及修复工作，</w:t>
      </w:r>
      <w:r>
        <w:rPr>
          <w:rFonts w:hint="eastAsia" w:ascii="仿宋_GB2312" w:hAnsi="Times New Roman" w:eastAsia="仿宋_GB2312" w:cs="Times New Roman"/>
          <w:kern w:val="2"/>
          <w:sz w:val="30"/>
          <w:szCs w:val="24"/>
          <w:highlight w:val="none"/>
          <w:lang w:val="en-US" w:eastAsia="zh-CN" w:bidi="ar-SA"/>
        </w:rPr>
        <w:t>提升文物安全性，加强文物存放周期，加大对于重点文物的展示利用效果，提升观众对于陶器文物的感知度。</w:t>
      </w:r>
    </w:p>
    <w:p w14:paraId="7B8663D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s="Times New Roman"/>
          <w:kern w:val="2"/>
          <w:sz w:val="30"/>
          <w:szCs w:val="24"/>
          <w:highlight w:val="none"/>
          <w:lang w:val="en-US" w:eastAsia="zh-CN" w:bidi="ar-SA"/>
        </w:rPr>
      </w:pPr>
      <w:r>
        <w:rPr>
          <w:rFonts w:hint="eastAsia"/>
          <w:lang w:val="en-US" w:eastAsia="zh-CN"/>
        </w:rPr>
        <w:t>2.阶段性目标：</w:t>
      </w:r>
      <w:r>
        <w:rPr>
          <w:rFonts w:hint="eastAsia" w:ascii="仿宋_GB2312" w:cs="Times New Roman"/>
          <w:kern w:val="2"/>
          <w:sz w:val="30"/>
          <w:szCs w:val="24"/>
          <w:highlight w:val="none"/>
          <w:lang w:val="en-US" w:eastAsia="zh-CN" w:bidi="ar-SA"/>
        </w:rPr>
        <w:t>2023年上半年，计划按照修复方案，初步完成对于项目内638件文物病虫害检测、评估，信息采集工作。并根据信息采集工作完成时间，开展对于册内文物的修复工作，力争总体修复进度达到40%。</w:t>
      </w:r>
    </w:p>
    <w:p w14:paraId="04AF164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cs="Times New Roman"/>
          <w:kern w:val="2"/>
          <w:sz w:val="30"/>
          <w:szCs w:val="24"/>
          <w:highlight w:val="none"/>
          <w:lang w:val="en-US" w:eastAsia="zh-CN" w:bidi="ar-SA"/>
        </w:rPr>
        <w:t>2023年下半年，计划依照修复方案与合同，</w:t>
      </w:r>
      <w:r>
        <w:rPr>
          <w:rFonts w:hint="eastAsia" w:ascii="仿宋_GB2312" w:hAnsi="Times New Roman" w:eastAsia="仿宋_GB2312" w:cs="Times New Roman"/>
          <w:kern w:val="2"/>
          <w:sz w:val="30"/>
          <w:szCs w:val="24"/>
          <w:highlight w:val="none"/>
          <w:lang w:val="en-US" w:eastAsia="zh-CN" w:bidi="ar-SA"/>
        </w:rPr>
        <w:t>完成对638件巴音郭楞蒙古自治州文博院馆藏陶器文物</w:t>
      </w:r>
      <w:r>
        <w:rPr>
          <w:rFonts w:hint="eastAsia" w:ascii="仿宋_GB2312" w:cs="Times New Roman"/>
          <w:kern w:val="2"/>
          <w:sz w:val="30"/>
          <w:szCs w:val="24"/>
          <w:highlight w:val="none"/>
          <w:lang w:val="en-US" w:eastAsia="zh-CN" w:bidi="ar-SA"/>
        </w:rPr>
        <w:t>的病害修复工作</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并在修复完成后对陶器文物进行建档立册，同时完成全过程链路，保存修复前后对比展示工作，</w:t>
      </w:r>
      <w:r>
        <w:rPr>
          <w:rFonts w:hint="eastAsia" w:ascii="仿宋_GB2312" w:hAnsi="Times New Roman" w:eastAsia="仿宋_GB2312" w:cs="Times New Roman"/>
          <w:kern w:val="2"/>
          <w:sz w:val="30"/>
          <w:szCs w:val="24"/>
          <w:highlight w:val="none"/>
          <w:lang w:val="en-US" w:eastAsia="zh-CN" w:bidi="ar-SA"/>
        </w:rPr>
        <w:t>加强文物存放周期，加大对于重点文物的展示利用效果，提升观众对于陶器文物的感知度。</w:t>
      </w:r>
      <w:bookmarkStart w:id="3" w:name="_Toc68703830"/>
    </w:p>
    <w:p w14:paraId="2ADF8958">
      <w:pPr>
        <w:pageBreakBefore w:val="0"/>
        <w:kinsoku/>
        <w:wordWrap/>
        <w:overflowPunct/>
        <w:topLinePunct w:val="0"/>
        <w:autoSpaceDE/>
        <w:autoSpaceDN/>
        <w:bidi w:val="0"/>
        <w:adjustRightInd/>
        <w:snapToGrid/>
        <w:spacing w:line="560" w:lineRule="exact"/>
        <w:ind w:firstLine="640" w:firstLineChars="200"/>
        <w:textAlignment w:val="auto"/>
        <w:rPr>
          <w:rFonts w:ascii="宋体" w:hAnsi="宋体" w:eastAsia="宋体"/>
          <w:sz w:val="32"/>
          <w:szCs w:val="32"/>
        </w:rPr>
      </w:pPr>
      <w:r>
        <w:rPr>
          <w:rFonts w:hint="eastAsia" w:ascii="宋体" w:hAnsi="宋体" w:eastAsia="宋体"/>
          <w:sz w:val="32"/>
          <w:szCs w:val="32"/>
        </w:rPr>
        <w:t>二、绩效评价工作开展情况</w:t>
      </w:r>
      <w:bookmarkEnd w:id="3"/>
    </w:p>
    <w:p w14:paraId="2AD4D17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2D6C055B">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573F9B6A">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我单位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同时我院举一反三，为下一年预算编制与评审提供充分有效的依据，以达到改进预算管理、控制节约成本，优化资源配置、提高预算资金使用效益的目的。</w:t>
      </w:r>
    </w:p>
    <w:p w14:paraId="18645DDC">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14D86E0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2023年国家文物保护资金</w:t>
      </w:r>
    </w:p>
    <w:p w14:paraId="7414DF3C">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3EC367AB">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2023年国家文物保护资金评价，评价核心为资金的支出完成情况和效果。</w:t>
      </w:r>
    </w:p>
    <w:p w14:paraId="0419C94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392D278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0542B33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67420E96">
      <w:pPr>
        <w:widowControl/>
        <w:wordWrap w:val="0"/>
        <w:snapToGrid w:val="0"/>
        <w:spacing w:line="600" w:lineRule="exact"/>
        <w:ind w:firstLine="543" w:firstLineChars="181"/>
        <w:jc w:val="left"/>
        <w:rPr>
          <w:rFonts w:hint="eastAsia"/>
          <w:lang w:val="en-US" w:eastAsia="zh-CN"/>
        </w:rPr>
      </w:pPr>
      <w:r>
        <w:rPr>
          <w:rFonts w:hint="eastAsia"/>
          <w:lang w:val="en-US" w:eastAsia="zh-CN"/>
        </w:rPr>
        <w:t>（一）科学公正。本次项目支出绩效评价运用科学合理的方法，按照规范的程序，对项目绩效进行客观、公正的反映，院领导班子高度重视，指派专人进行负责，</w:t>
      </w:r>
      <w:r>
        <w:rPr>
          <w:rFonts w:hint="eastAsia" w:ascii="仿宋_GB2312" w:hAnsi="仿宋_GB2312" w:eastAsia="仿宋_GB2312" w:cs="仿宋_GB2312"/>
          <w:kern w:val="0"/>
          <w:sz w:val="30"/>
          <w:szCs w:val="30"/>
        </w:rPr>
        <w:t>所有项目资金严格按照《州</w:t>
      </w:r>
      <w:r>
        <w:rPr>
          <w:rFonts w:hint="eastAsia" w:ascii="仿宋_GB2312" w:hAnsi="仿宋_GB2312" w:cs="仿宋_GB2312"/>
          <w:kern w:val="0"/>
          <w:sz w:val="30"/>
          <w:szCs w:val="30"/>
          <w:lang w:eastAsia="zh-CN"/>
        </w:rPr>
        <w:t>文博院</w:t>
      </w:r>
      <w:r>
        <w:rPr>
          <w:rFonts w:hint="eastAsia" w:ascii="仿宋_GB2312" w:hAnsi="仿宋_GB2312" w:eastAsia="仿宋_GB2312" w:cs="仿宋_GB2312"/>
          <w:kern w:val="0"/>
          <w:sz w:val="30"/>
          <w:szCs w:val="30"/>
        </w:rPr>
        <w:t>项目资金申报与使用管理办法》执行，</w:t>
      </w:r>
      <w:r>
        <w:rPr>
          <w:rFonts w:hint="eastAsia" w:ascii="仿宋_GB2312" w:hAnsi="仿宋_GB2312" w:eastAsia="仿宋_GB2312" w:cs="仿宋_GB2312"/>
          <w:sz w:val="30"/>
          <w:szCs w:val="30"/>
        </w:rPr>
        <w:t>努力节约支出，规范专项资金的使用，</w:t>
      </w:r>
      <w:r>
        <w:rPr>
          <w:rFonts w:hint="eastAsia" w:ascii="仿宋_GB2312" w:hAnsi="仿宋_GB2312" w:eastAsia="仿宋_GB2312" w:cs="仿宋_GB2312"/>
          <w:kern w:val="0"/>
          <w:sz w:val="30"/>
          <w:szCs w:val="30"/>
        </w:rPr>
        <w:t>做到专款专用。</w:t>
      </w:r>
      <w:r>
        <w:rPr>
          <w:rFonts w:hint="eastAsia" w:ascii="仿宋_GB2312" w:hAnsi="仿宋_GB2312" w:eastAsia="仿宋_GB2312" w:cs="仿宋_GB2312"/>
          <w:sz w:val="30"/>
          <w:szCs w:val="30"/>
        </w:rPr>
        <w:t>加强经济核算，合理有效地利用各种经济资源，提高资金的使用效率</w:t>
      </w:r>
      <w:r>
        <w:rPr>
          <w:rFonts w:hint="eastAsia"/>
          <w:lang w:val="en-US" w:eastAsia="zh-CN"/>
        </w:rPr>
        <w:t>。</w:t>
      </w:r>
    </w:p>
    <w:p w14:paraId="1A1F451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（二）统筹兼顾。本次项目支出绩效评价由本单位自主实施，即“谁支出、谁自评”，项目负责人负责成立项目专班，与院内财务、办公室等部门积极协调配合，全面提高对于项目绩效管理工作的重视力度。</w:t>
      </w:r>
    </w:p>
    <w:p w14:paraId="009AF557">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我院不断建立健全绩效绩效工作考核制度，让“花钱必问效，无效必问责”的理念深入工作每个环节。</w:t>
      </w:r>
    </w:p>
    <w:p w14:paraId="431CC5A0">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14:paraId="298B191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2、评价指标体系</w:t>
      </w:r>
    </w:p>
    <w:p w14:paraId="6A97E960">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绩效评价框架是开展绩效评价的核心。绩效评价框架包括评价准则、关键评价问题、评价指标、数据来源、数据收集方法等。指标体系建立过程如下：</w:t>
      </w:r>
    </w:p>
    <w:p w14:paraId="614FD799">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（1）确定评价指标</w:t>
      </w:r>
    </w:p>
    <w:p w14:paraId="08EA0359">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2B3CE3A9">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（2）确定权重</w:t>
      </w:r>
    </w:p>
    <w:p w14:paraId="269CB40B">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确定各个指标相对于项目总体绩效的权重分值。在绩效评价指标体系中，项目决策权重为20分，项目过程权重为20分，项目产出权重为40分，项目效益权重为20分。</w:t>
      </w:r>
    </w:p>
    <w:p w14:paraId="072862FE">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（3）确定指标标准值</w:t>
      </w:r>
    </w:p>
    <w:p w14:paraId="60876CB7">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指标标准值是绩效评价指标的尺度，既要反映同类项目的先进水平，又要符合项目的实际绩效水平。具体采用计划标准等确定此次绩效评价指标标准值。</w:t>
      </w:r>
    </w:p>
    <w:p w14:paraId="3547CDCC">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8A743B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0684E8E1">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14:paraId="63469BE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本次评价指标中采用因素分析法，原因为：本次项目中既有定性指标又有定量指标，各类指标因考核内容不同和客观标准不同存在较大差异，需要综合分析影响绩效目标实现、实施效果的内外部因素。</w:t>
      </w:r>
    </w:p>
    <w:p w14:paraId="732508D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55A82414">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原因为：因本项目预算支出后，预期要达到的目标是明确的，故以预先制定的目标、计划、预算等作为评价标准。</w:t>
      </w:r>
    </w:p>
    <w:p w14:paraId="1DD90B8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6" w:name="_Toc68703833"/>
      <w:r>
        <w:rPr>
          <w:rFonts w:hint="eastAsia" w:ascii="Times New Roman" w:hAnsi="Times New Roman" w:eastAsia="仿宋_GB2312" w:cs="Times New Roman"/>
          <w:b w:val="0"/>
          <w:bCs w:val="0"/>
          <w:kern w:val="2"/>
          <w:sz w:val="30"/>
          <w:szCs w:val="24"/>
          <w:lang w:val="en-US" w:eastAsia="zh-CN" w:bidi="ar-SA"/>
        </w:rPr>
        <w:t>（三）绩效评价工作过程。</w:t>
      </w:r>
      <w:bookmarkEnd w:id="6"/>
    </w:p>
    <w:p w14:paraId="43D95796">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7" w:name="_Toc68703834"/>
      <w:r>
        <w:rPr>
          <w:rFonts w:hint="eastAsia" w:ascii="Times New Roman" w:hAnsi="Times New Roman" w:eastAsia="仿宋_GB2312" w:cs="Times New Roman"/>
          <w:b w:val="0"/>
          <w:bCs w:val="0"/>
          <w:kern w:val="2"/>
          <w:sz w:val="30"/>
          <w:szCs w:val="24"/>
          <w:lang w:val="en-US" w:eastAsia="zh-CN" w:bidi="ar-SA"/>
        </w:rPr>
        <w:t>1.前期准备。我</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成立项目支出绩效评价工作小组（小组负责人：</w:t>
      </w:r>
      <w:r>
        <w:rPr>
          <w:rFonts w:hint="eastAsia" w:cs="Times New Roman"/>
          <w:b w:val="0"/>
          <w:bCs w:val="0"/>
          <w:kern w:val="2"/>
          <w:sz w:val="30"/>
          <w:szCs w:val="24"/>
          <w:lang w:val="en-US" w:eastAsia="zh-CN" w:bidi="ar-SA"/>
        </w:rPr>
        <w:t>淳雪凤</w:t>
      </w:r>
      <w:r>
        <w:rPr>
          <w:rFonts w:hint="eastAsia" w:ascii="Times New Roman" w:hAnsi="Times New Roman" w:eastAsia="仿宋_GB2312" w:cs="Times New Roman"/>
          <w:b w:val="0"/>
          <w:bCs w:val="0"/>
          <w:kern w:val="2"/>
          <w:sz w:val="30"/>
          <w:szCs w:val="24"/>
          <w:lang w:val="en-US" w:eastAsia="zh-CN" w:bidi="ar-SA"/>
        </w:rPr>
        <w:t>，小组成员：</w:t>
      </w:r>
      <w:r>
        <w:rPr>
          <w:rFonts w:hint="eastAsia" w:cs="Times New Roman"/>
          <w:b w:val="0"/>
          <w:bCs w:val="0"/>
          <w:kern w:val="2"/>
          <w:sz w:val="30"/>
          <w:szCs w:val="24"/>
          <w:lang w:val="en-US" w:eastAsia="zh-CN" w:bidi="ar-SA"/>
        </w:rPr>
        <w:t>傅雷</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陈思远</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根据项目的实施内容和特征，</w:t>
      </w:r>
      <w:r>
        <w:rPr>
          <w:rFonts w:hint="eastAsia" w:cs="Times New Roman"/>
          <w:b w:val="0"/>
          <w:bCs w:val="0"/>
          <w:kern w:val="2"/>
          <w:sz w:val="30"/>
          <w:szCs w:val="24"/>
          <w:lang w:val="en-US" w:eastAsia="zh-CN" w:bidi="ar-SA"/>
        </w:rPr>
        <w:t>依托本项目特性特征，对应</w:t>
      </w:r>
      <w:r>
        <w:rPr>
          <w:rFonts w:hint="eastAsia" w:ascii="Times New Roman" w:hAnsi="Times New Roman" w:eastAsia="仿宋_GB2312" w:cs="Times New Roman"/>
          <w:b w:val="0"/>
          <w:bCs w:val="0"/>
          <w:kern w:val="2"/>
          <w:sz w:val="30"/>
          <w:szCs w:val="24"/>
          <w:lang w:val="en-US" w:eastAsia="zh-CN" w:bidi="ar-SA"/>
        </w:rPr>
        <w:t>制定了评价指标体系及评价标准以及评价实施方案，修正并确定所需资料清单，最终确定绩效评价工作方案。</w:t>
      </w:r>
    </w:p>
    <w:p w14:paraId="27784F7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2.组织实施。</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评价组收集绩效评价相关数据资料，进行项目分析、佐证材料收集；与项目实施负责人沟通，了解</w:t>
      </w:r>
      <w:r>
        <w:rPr>
          <w:rFonts w:hint="eastAsia" w:cs="Times New Roman"/>
          <w:b w:val="0"/>
          <w:bCs w:val="0"/>
          <w:kern w:val="2"/>
          <w:sz w:val="30"/>
          <w:szCs w:val="24"/>
          <w:lang w:val="en-US" w:eastAsia="zh-CN" w:bidi="ar-SA"/>
        </w:rPr>
        <w:t>国家文物保护</w:t>
      </w:r>
      <w:r>
        <w:rPr>
          <w:rFonts w:hint="eastAsia" w:ascii="Times New Roman" w:hAnsi="Times New Roman" w:eastAsia="仿宋_GB2312" w:cs="Times New Roman"/>
          <w:b w:val="0"/>
          <w:bCs w:val="0"/>
          <w:kern w:val="2"/>
          <w:sz w:val="30"/>
          <w:szCs w:val="24"/>
          <w:lang w:val="en-US" w:eastAsia="zh-CN" w:bidi="ar-SA"/>
        </w:rPr>
        <w:t>资金的</w:t>
      </w:r>
      <w:r>
        <w:rPr>
          <w:rFonts w:hint="eastAsia" w:cs="Times New Roman"/>
          <w:b w:val="0"/>
          <w:bCs w:val="0"/>
          <w:kern w:val="2"/>
          <w:sz w:val="30"/>
          <w:szCs w:val="24"/>
          <w:lang w:val="en-US" w:eastAsia="zh-CN" w:bidi="ar-SA"/>
        </w:rPr>
        <w:t>相关</w:t>
      </w:r>
      <w:r>
        <w:rPr>
          <w:rFonts w:hint="eastAsia" w:ascii="Times New Roman" w:hAnsi="Times New Roman" w:eastAsia="仿宋_GB2312" w:cs="Times New Roman"/>
          <w:b w:val="0"/>
          <w:bCs w:val="0"/>
          <w:kern w:val="2"/>
          <w:sz w:val="30"/>
          <w:szCs w:val="24"/>
          <w:lang w:val="en-US" w:eastAsia="zh-CN" w:bidi="ar-SA"/>
        </w:rPr>
        <w:t>内容、</w:t>
      </w:r>
      <w:r>
        <w:rPr>
          <w:rFonts w:hint="eastAsia" w:cs="Times New Roman"/>
          <w:b w:val="0"/>
          <w:bCs w:val="0"/>
          <w:kern w:val="2"/>
          <w:sz w:val="30"/>
          <w:szCs w:val="24"/>
          <w:lang w:val="en-US" w:eastAsia="zh-CN" w:bidi="ar-SA"/>
        </w:rPr>
        <w:t>项目实施管理过程中是否符合</w:t>
      </w:r>
      <w:r>
        <w:rPr>
          <w:rFonts w:hint="eastAsia" w:ascii="Times New Roman" w:hAnsi="Times New Roman" w:eastAsia="仿宋_GB2312" w:cs="Times New Roman"/>
          <w:b w:val="0"/>
          <w:bCs w:val="0"/>
          <w:kern w:val="2"/>
          <w:sz w:val="30"/>
          <w:szCs w:val="24"/>
          <w:lang w:val="en-US" w:eastAsia="zh-CN" w:bidi="ar-SA"/>
        </w:rPr>
        <w:t>操作流程</w:t>
      </w:r>
      <w:r>
        <w:rPr>
          <w:rFonts w:hint="eastAsia" w:cs="Times New Roman"/>
          <w:b w:val="0"/>
          <w:bCs w:val="0"/>
          <w:kern w:val="2"/>
          <w:sz w:val="30"/>
          <w:szCs w:val="24"/>
          <w:lang w:val="en-US" w:eastAsia="zh-CN" w:bidi="ar-SA"/>
        </w:rPr>
        <w:t>规范</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是否建立健全</w:t>
      </w:r>
      <w:r>
        <w:rPr>
          <w:rFonts w:hint="eastAsia" w:ascii="Times New Roman" w:hAnsi="Times New Roman" w:eastAsia="仿宋_GB2312" w:cs="Times New Roman"/>
          <w:b w:val="0"/>
          <w:bCs w:val="0"/>
          <w:kern w:val="2"/>
          <w:sz w:val="30"/>
          <w:szCs w:val="24"/>
          <w:lang w:val="en-US" w:eastAsia="zh-CN" w:bidi="ar-SA"/>
        </w:rPr>
        <w:t>管理机制、资金使用方向</w:t>
      </w:r>
      <w:r>
        <w:rPr>
          <w:rFonts w:hint="eastAsia" w:cs="Times New Roman"/>
          <w:b w:val="0"/>
          <w:bCs w:val="0"/>
          <w:kern w:val="2"/>
          <w:sz w:val="30"/>
          <w:szCs w:val="24"/>
          <w:lang w:val="en-US" w:eastAsia="zh-CN" w:bidi="ar-SA"/>
        </w:rPr>
        <w:t>是否合规</w:t>
      </w:r>
      <w:r>
        <w:rPr>
          <w:rFonts w:hint="eastAsia" w:ascii="Times New Roman" w:hAnsi="Times New Roman" w:eastAsia="仿宋_GB2312" w:cs="Times New Roman"/>
          <w:b w:val="0"/>
          <w:bCs w:val="0"/>
          <w:kern w:val="2"/>
          <w:sz w:val="30"/>
          <w:szCs w:val="24"/>
          <w:lang w:val="en-US" w:eastAsia="zh-CN" w:bidi="ar-SA"/>
        </w:rPr>
        <w:t xml:space="preserve">等情况，分析形成初步结论。 </w:t>
      </w:r>
    </w:p>
    <w:p w14:paraId="0A02000D">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3.分析评价。</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评价组按照绩效评价的原则和规范，对取得的资料进行审查核实，对采集的数据进行分析，按照绩效评价指标评分表逐项进行打分、分析，汇总各方评价结果，综合分析并形成评价结论。</w:t>
      </w:r>
    </w:p>
    <w:p w14:paraId="34599262">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三、综合评价情况及评价结论</w:t>
      </w:r>
      <w:bookmarkEnd w:id="7"/>
    </w:p>
    <w:p w14:paraId="42B70985">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8" w:name="_Toc68703835"/>
      <w:r>
        <w:rPr>
          <w:rFonts w:hint="eastAsia" w:ascii="Times New Roman" w:hAnsi="Times New Roman" w:eastAsia="仿宋_GB2312" w:cs="Times New Roman"/>
          <w:b w:val="0"/>
          <w:bCs w:val="0"/>
          <w:kern w:val="2"/>
          <w:sz w:val="30"/>
          <w:szCs w:val="24"/>
          <w:lang w:val="en-US" w:eastAsia="zh-CN" w:bidi="ar-SA"/>
        </w:rPr>
        <w:t>（一）综合评价情况</w:t>
      </w:r>
      <w:bookmarkEnd w:id="8"/>
      <w:r>
        <w:rPr>
          <w:rFonts w:hint="eastAsia" w:ascii="Times New Roman" w:hAnsi="Times New Roman" w:eastAsia="仿宋_GB2312" w:cs="Times New Roman"/>
          <w:b w:val="0"/>
          <w:bCs w:val="0"/>
          <w:kern w:val="2"/>
          <w:sz w:val="30"/>
          <w:szCs w:val="24"/>
          <w:lang w:val="en-US" w:eastAsia="zh-CN" w:bidi="ar-SA"/>
        </w:rPr>
        <w:t>及评价结论</w:t>
      </w:r>
    </w:p>
    <w:p w14:paraId="591A8FC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F31A6A1">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0D8348C5">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9" w:name="_Toc68703836"/>
      <w:r>
        <w:rPr>
          <w:rFonts w:hint="eastAsia" w:ascii="Times New Roman" w:hAnsi="Times New Roman" w:eastAsia="仿宋_GB2312" w:cs="Times New Roman"/>
          <w:b w:val="0"/>
          <w:bCs w:val="0"/>
          <w:kern w:val="2"/>
          <w:sz w:val="30"/>
          <w:szCs w:val="24"/>
          <w:lang w:val="en-US" w:eastAsia="zh-CN" w:bidi="ar-SA"/>
        </w:rPr>
        <w:t>2.评价结论</w:t>
      </w:r>
      <w:bookmarkEnd w:id="9"/>
    </w:p>
    <w:p w14:paraId="34E1A0B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100%。项目过程类指标权重为20分，得分为20分，得分率为100%。项目产出类指标权重为40分，得分为40分，得分率为100%。项目效益类指标权重为20分，得分为20分，得分率为100%。</w:t>
      </w:r>
    </w:p>
    <w:p w14:paraId="7B6176D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522C5D2F">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57AB8981">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2023年国家文物保护资金项目评价得分情况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1824713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7FFC781">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F0D8E8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463ADAA">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32D76D7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0B1E7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46C12F7">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58A674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2D271C1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F8913C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AEC684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616317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7AAB180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CF71B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32A2C7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F9428F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0712D41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04059D">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32C93A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1DBF2F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3FAE841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DF5BDA">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65FE0D0">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F90511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164D977D">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14:paraId="2F5C0DC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17C9971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7715533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364B1F2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项目立项依据新疆维吾尔自治区</w:t>
      </w:r>
      <w:bookmarkStart w:id="21" w:name="_GoBack"/>
      <w:bookmarkEnd w:id="21"/>
      <w:r>
        <w:rPr>
          <w:rFonts w:hint="eastAsia"/>
          <w:lang w:val="en-US" w:eastAsia="zh-CN"/>
        </w:rPr>
        <w:t>文物局《关于同意巴州文博院上报项目的批复》，计划修复巴州文博院馆藏638件陶器文物，通过展示修复过程，延长文物保存期限，进一步提升我州文化旅游影响力、知名度，推动全州文化旅游持续高质量发展，符合行业发展规划和政策要求；项目立项与部门职责范围相符，属于部门履职所需；项目属于公共财政支持范围，符合中央、地方事权支出责任划分原则；项目未与相关部门同类项目相重复。</w:t>
      </w:r>
    </w:p>
    <w:p w14:paraId="6A22C988">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9673A4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653598C8">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，项目相关文件均已上报自治区文物局请示</w:t>
      </w:r>
      <w:r>
        <w:rPr>
          <w:rFonts w:hint="eastAsia" w:ascii="Times New Roman" w:hAnsi="Times New Roman" w:eastAsia="仿宋_GB2312" w:cs="Times New Roman"/>
          <w:b w:val="0"/>
          <w:bCs w:val="0"/>
          <w:kern w:val="2"/>
          <w:sz w:val="30"/>
          <w:szCs w:val="24"/>
          <w:lang w:val="en-US" w:eastAsia="zh-Hans" w:bidi="ar-SA"/>
        </w:rPr>
        <w:t>；</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邀请自治区文博院、文管所相应专家进行了必要的可行性研究、专家论证、风险评估、绩效评估、集体决策，保障了程序的规范性。</w:t>
      </w:r>
    </w:p>
    <w:p w14:paraId="38F01B02">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4A1A632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1B87AF36">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2023年国家文物保护资金项目设立了项目绩效目标，与文博院</w:t>
      </w:r>
      <w:r>
        <w:rPr>
          <w:rFonts w:hint="default" w:ascii="Times New Roman" w:hAnsi="Times New Roman" w:eastAsia="仿宋_GB2312" w:cs="Times New Roman"/>
          <w:b w:val="0"/>
          <w:bCs w:val="0"/>
          <w:kern w:val="2"/>
          <w:sz w:val="30"/>
          <w:szCs w:val="24"/>
          <w:lang w:val="en-US" w:eastAsia="zh-CN" w:bidi="ar-SA"/>
        </w:rPr>
        <w:t>事业发展规划和政策要求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14:paraId="7BD78A09">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1D88681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4B7E68DC">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2023年国家文物保护资金项目将项目绩效目标细化分解为具体的绩效指标，一级指标共4条，二级指标共6条，三级指标共10条，其中量化指标条数共8条，所有绩效指标均通过清晰、可衡量的指标值予以体现，并且做到了与项目目标任务数或计划数相对应。</w:t>
      </w:r>
      <w:bookmarkEnd w:id="12"/>
    </w:p>
    <w:p w14:paraId="5211B584">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4B2F4392">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14:paraId="2B158D15">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14:paraId="2C068F27">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5F69411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3C13D314">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cs="Times New Roman"/>
          <w:b w:val="0"/>
          <w:bCs w:val="0"/>
          <w:kern w:val="2"/>
          <w:sz w:val="30"/>
          <w:szCs w:val="24"/>
          <w:lang w:val="en-US" w:eastAsia="zh-CN" w:bidi="ar-SA"/>
        </w:rPr>
        <w:t>192.95万元</w:t>
      </w:r>
      <w:r>
        <w:rPr>
          <w:rFonts w:hint="default"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其中：</w:t>
      </w:r>
      <w:r>
        <w:rPr>
          <w:rFonts w:hint="eastAsia" w:ascii="仿宋_GB2312" w:hAnsi="仿宋_GB2312" w:cs="仿宋_GB2312"/>
          <w:b w:val="0"/>
          <w:bCs w:val="0"/>
          <w:color w:val="auto"/>
          <w:spacing w:val="0"/>
          <w:w w:val="100"/>
          <w:kern w:val="2"/>
          <w:position w:val="0"/>
          <w:sz w:val="32"/>
          <w:szCs w:val="32"/>
          <w:lang w:val="en-US" w:eastAsia="zh-CN" w:bidi="ar-SA"/>
        </w:rPr>
        <w:t>陶器文物修复费用192.95万元，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馆</w:t>
      </w:r>
      <w:r>
        <w:rPr>
          <w:rFonts w:hint="default" w:ascii="Times New Roman" w:hAnsi="Times New Roman" w:eastAsia="仿宋_GB2312" w:cs="Times New Roman"/>
          <w:b w:val="0"/>
          <w:bCs w:val="0"/>
          <w:kern w:val="2"/>
          <w:sz w:val="30"/>
          <w:szCs w:val="24"/>
          <w:lang w:val="en-US" w:eastAsia="zh-CN" w:bidi="ar-SA"/>
        </w:rPr>
        <w:t>实际相适应。</w:t>
      </w:r>
    </w:p>
    <w:p w14:paraId="5B8072D9">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14:paraId="068E85C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77E803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6039A7FF">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，实际到位资金</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，资金到位率100%。</w:t>
      </w:r>
    </w:p>
    <w:p w14:paraId="66D667E0">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31D64B7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507DA581">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，全年预算数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，全年执行数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，预算执行率为100%。</w:t>
      </w:r>
    </w:p>
    <w:p w14:paraId="7307E297">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2D83433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2B7C2B54">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国家文物保护资金项目严格按照预期绩效目标执行预算资金。我院根据《巴州文博院项目绩效管理办法》、《巴州文博院项目管理办法》、《巴州文博院项目资金管理办法》等单位内部规定，对项该目经费使用进行规范管理，财务制度健全、执行严格。项目资金的拨付有完整的审批程序和手续，财务人员、项目负责人、分管领导均严格执行相关流程，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EBFD844">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5EAF498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3C48B79C">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我院严格对照《州文博院项目资金申报与使用管理办法》，对该项目的资金进行管理，其中严格对资金性质、资金使用情况、资金管理人员作出了规定。对财政资金进行严格管理，充分做到专款专用，项目资金使用符合相关的财务管理制度规定，能够反映和考核项目资金的规范运行情况；项目实施单位的财务和业务管理制度健全，项目相关负责人员及财务人员均在项目实施过程中严格履行了相关制度。</w:t>
      </w:r>
    </w:p>
    <w:p w14:paraId="60B9ADC4">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0CF4AEC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30A7162F">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eastAsia" w:ascii="Times New Roman" w:hAnsi="Times New Roman" w:eastAsia="仿宋_GB2312" w:cs="Times New Roman"/>
          <w:b w:val="0"/>
          <w:bCs w:val="0"/>
          <w:kern w:val="2"/>
          <w:sz w:val="30"/>
          <w:szCs w:val="24"/>
          <w:lang w:val="en-US" w:eastAsia="zh-CN" w:bidi="ar-SA"/>
        </w:rPr>
        <w:t>我院严格</w:t>
      </w:r>
      <w:r>
        <w:rPr>
          <w:rFonts w:hint="default" w:ascii="Times New Roman" w:hAnsi="Times New Roman" w:eastAsia="仿宋_GB2312" w:cs="Times New Roman"/>
          <w:b w:val="0"/>
          <w:bCs w:val="0"/>
          <w:kern w:val="2"/>
          <w:sz w:val="30"/>
          <w:szCs w:val="24"/>
          <w:lang w:val="en-US" w:eastAsia="zh-CN" w:bidi="ar-SA"/>
        </w:rPr>
        <w:t>遵守</w:t>
      </w:r>
      <w:r>
        <w:rPr>
          <w:rFonts w:hint="eastAsia" w:ascii="Times New Roman" w:hAnsi="Times New Roman" w:eastAsia="仿宋_GB2312" w:cs="Times New Roman"/>
          <w:b w:val="0"/>
          <w:bCs w:val="0"/>
          <w:kern w:val="2"/>
          <w:sz w:val="30"/>
          <w:szCs w:val="24"/>
          <w:lang w:val="en-US" w:eastAsia="zh-CN" w:bidi="ar-SA"/>
        </w:rPr>
        <w:t>《巴州文博院项目绩效管理办法》、《巴州文博院项目管理办法》、《巴州文博院项目资金管理办法》</w:t>
      </w:r>
      <w:r>
        <w:rPr>
          <w:rFonts w:hint="default" w:ascii="Times New Roman" w:hAnsi="Times New Roman" w:eastAsia="仿宋_GB2312"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该</w:t>
      </w:r>
      <w:r>
        <w:rPr>
          <w:rFonts w:hint="default" w:ascii="Times New Roman" w:hAnsi="Times New Roman" w:eastAsia="仿宋_GB2312" w:cs="Times New Roman"/>
          <w:b w:val="0"/>
          <w:bCs w:val="0"/>
          <w:kern w:val="2"/>
          <w:sz w:val="30"/>
          <w:szCs w:val="24"/>
          <w:lang w:val="en-US" w:eastAsia="zh-CN" w:bidi="ar-SA"/>
        </w:rPr>
        <w:t>项目无调整及支出调整手续，</w:t>
      </w:r>
      <w:r>
        <w:rPr>
          <w:rFonts w:hint="eastAsia" w:ascii="Times New Roman" w:hAnsi="Times New Roman" w:eastAsia="仿宋_GB2312" w:cs="Times New Roman"/>
          <w:b w:val="0"/>
          <w:bCs w:val="0"/>
          <w:kern w:val="2"/>
          <w:sz w:val="30"/>
          <w:szCs w:val="24"/>
          <w:lang w:val="en-US" w:eastAsia="zh-CN" w:bidi="ar-SA"/>
        </w:rPr>
        <w:t>项目招标公告、中标通知书、</w:t>
      </w:r>
      <w:r>
        <w:rPr>
          <w:rFonts w:hint="default" w:ascii="Times New Roman" w:hAnsi="Times New Roman" w:eastAsia="仿宋_GB2312" w:cs="Times New Roman"/>
          <w:b w:val="0"/>
          <w:bCs w:val="0"/>
          <w:kern w:val="2"/>
          <w:sz w:val="30"/>
          <w:szCs w:val="24"/>
          <w:lang w:val="en-US" w:eastAsia="zh-CN" w:bidi="ar-SA"/>
        </w:rPr>
        <w:t>项目合同书、验收报告等资料齐全</w:t>
      </w:r>
      <w:r>
        <w:rPr>
          <w:rFonts w:hint="eastAsia" w:ascii="Times New Roman" w:hAnsi="Times New Roman" w:eastAsia="仿宋_GB2312" w:cs="Times New Roman"/>
          <w:b w:val="0"/>
          <w:bCs w:val="0"/>
          <w:kern w:val="2"/>
          <w:sz w:val="30"/>
          <w:szCs w:val="24"/>
          <w:lang w:val="en-US" w:eastAsia="zh-CN" w:bidi="ar-SA"/>
        </w:rPr>
        <w:t>，并在项目实施完成后按时存入单位文件保管室进行编号</w:t>
      </w:r>
      <w:r>
        <w:rPr>
          <w:rFonts w:hint="default" w:ascii="Times New Roman" w:hAnsi="Times New Roman" w:eastAsia="仿宋_GB2312" w:cs="Times New Roman"/>
          <w:b w:val="0"/>
          <w:bCs w:val="0"/>
          <w:kern w:val="2"/>
          <w:sz w:val="30"/>
          <w:szCs w:val="24"/>
          <w:lang w:val="en-US" w:eastAsia="zh-CN" w:bidi="ar-SA"/>
        </w:rPr>
        <w:t>归档，项目实施</w:t>
      </w:r>
      <w:r>
        <w:rPr>
          <w:rFonts w:hint="eastAsia" w:ascii="Times New Roman" w:hAnsi="Times New Roman" w:eastAsia="仿宋_GB2312" w:cs="Times New Roman"/>
          <w:b w:val="0"/>
          <w:bCs w:val="0"/>
          <w:kern w:val="2"/>
          <w:sz w:val="30"/>
          <w:szCs w:val="24"/>
          <w:lang w:val="en-US" w:eastAsia="zh-CN" w:bidi="ar-SA"/>
        </w:rPr>
        <w:t>过程中</w:t>
      </w:r>
      <w:r>
        <w:rPr>
          <w:rFonts w:hint="default" w:ascii="Times New Roman" w:hAnsi="Times New Roman" w:eastAsia="仿宋_GB2312" w:cs="Times New Roman"/>
          <w:b w:val="0"/>
          <w:bCs w:val="0"/>
          <w:kern w:val="2"/>
          <w:sz w:val="30"/>
          <w:szCs w:val="24"/>
          <w:lang w:val="en-US" w:eastAsia="zh-CN" w:bidi="ar-SA"/>
        </w:rPr>
        <w:t>的人员</w:t>
      </w:r>
      <w:r>
        <w:rPr>
          <w:rFonts w:hint="eastAsia" w:ascii="Times New Roman" w:hAnsi="Times New Roman" w:eastAsia="仿宋_GB2312" w:cs="Times New Roman"/>
          <w:b w:val="0"/>
          <w:bCs w:val="0"/>
          <w:kern w:val="2"/>
          <w:sz w:val="30"/>
          <w:szCs w:val="24"/>
          <w:lang w:val="en-US" w:eastAsia="zh-CN" w:bidi="ar-SA"/>
        </w:rPr>
        <w:t>场地</w:t>
      </w:r>
      <w:r>
        <w:rPr>
          <w:rFonts w:hint="default" w:ascii="Times New Roman" w:hAnsi="Times New Roman" w:eastAsia="仿宋_GB2312" w:cs="Times New Roman"/>
          <w:b w:val="0"/>
          <w:bCs w:val="0"/>
          <w:kern w:val="2"/>
          <w:sz w:val="30"/>
          <w:szCs w:val="24"/>
          <w:lang w:val="en-US" w:eastAsia="zh-CN" w:bidi="ar-SA"/>
        </w:rPr>
        <w:t>条件、设备、</w:t>
      </w:r>
      <w:r>
        <w:rPr>
          <w:rFonts w:hint="eastAsia" w:ascii="Times New Roman" w:hAnsi="Times New Roman" w:eastAsia="仿宋_GB2312" w:cs="Times New Roman"/>
          <w:b w:val="0"/>
          <w:bCs w:val="0"/>
          <w:kern w:val="2"/>
          <w:sz w:val="30"/>
          <w:szCs w:val="24"/>
          <w:lang w:val="en-US" w:eastAsia="zh-CN" w:bidi="ar-SA"/>
        </w:rPr>
        <w:t>消防安全</w:t>
      </w:r>
      <w:r>
        <w:rPr>
          <w:rFonts w:hint="default" w:ascii="Times New Roman" w:hAnsi="Times New Roman" w:eastAsia="仿宋_GB2312" w:cs="Times New Roman"/>
          <w:b w:val="0"/>
          <w:bCs w:val="0"/>
          <w:kern w:val="2"/>
          <w:sz w:val="30"/>
          <w:szCs w:val="24"/>
          <w:lang w:val="en-US" w:eastAsia="zh-CN" w:bidi="ar-SA"/>
        </w:rPr>
        <w:t>等落实到位。</w:t>
      </w:r>
    </w:p>
    <w:p w14:paraId="1A003C69">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2DE9AD5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14:paraId="7C7702CD">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ascii="仿宋_GB2312" w:hAnsi="仿宋_GB2312" w:eastAsia="仿宋_GB2312" w:cs="仿宋_GB2312"/>
          <w:color w:val="auto"/>
          <w:spacing w:val="0"/>
          <w:w w:val="100"/>
          <w:position w:val="0"/>
          <w:sz w:val="32"/>
          <w:szCs w:val="32"/>
          <w:lang w:val="en-US" w:eastAsia="zh-CN"/>
        </w:rPr>
        <w:t>修复文物数量</w:t>
      </w:r>
      <w:r>
        <w:rPr>
          <w:rFonts w:hint="eastAsia"/>
          <w:color w:val="auto"/>
        </w:rPr>
        <w:t>，指标值：</w:t>
      </w:r>
      <w:r>
        <w:rPr>
          <w:rFonts w:hint="eastAsia" w:ascii="仿宋_GB2312" w:hAnsi="仿宋_GB2312" w:cs="仿宋_GB2312"/>
          <w:color w:val="auto"/>
          <w:spacing w:val="0"/>
          <w:w w:val="100"/>
          <w:position w:val="0"/>
          <w:sz w:val="32"/>
          <w:szCs w:val="32"/>
          <w:lang w:val="en-US" w:eastAsia="zh-CN"/>
        </w:rPr>
        <w:t>638件</w:t>
      </w:r>
      <w:r>
        <w:rPr>
          <w:rFonts w:hint="eastAsia"/>
          <w:color w:val="auto"/>
        </w:rPr>
        <w:t>，实际完成值</w:t>
      </w:r>
      <w:r>
        <w:rPr>
          <w:rFonts w:hint="eastAsia" w:ascii="仿宋_GB2312" w:hAnsi="仿宋_GB2312" w:cs="仿宋_GB2312"/>
          <w:color w:val="auto"/>
          <w:spacing w:val="0"/>
          <w:w w:val="100"/>
          <w:position w:val="0"/>
          <w:sz w:val="32"/>
          <w:szCs w:val="32"/>
          <w:lang w:val="en-US" w:eastAsia="zh-CN"/>
        </w:rPr>
        <w:t>638件</w:t>
      </w:r>
      <w:r>
        <w:rPr>
          <w:rFonts w:hint="eastAsia"/>
          <w:color w:val="auto"/>
        </w:rPr>
        <w:t>，指标完成率</w:t>
      </w:r>
      <w:r>
        <w:rPr>
          <w:rFonts w:hint="eastAsia"/>
          <w:color w:val="auto"/>
          <w:lang w:val="en-US" w:eastAsia="zh-CN"/>
        </w:rPr>
        <w:t>100</w:t>
      </w:r>
      <w:r>
        <w:rPr>
          <w:rFonts w:hint="eastAsia"/>
          <w:color w:val="auto"/>
        </w:rPr>
        <w:t>%；指标2：</w:t>
      </w:r>
      <w:r>
        <w:rPr>
          <w:rFonts w:hint="eastAsia" w:ascii="仿宋_GB2312" w:hAnsi="仿宋_GB2312" w:eastAsia="仿宋_GB2312" w:cs="仿宋_GB2312"/>
          <w:color w:val="auto"/>
          <w:spacing w:val="0"/>
          <w:w w:val="100"/>
          <w:position w:val="0"/>
          <w:sz w:val="32"/>
          <w:szCs w:val="32"/>
          <w:lang w:val="en-US" w:eastAsia="zh-CN"/>
        </w:rPr>
        <w:t>可移动文物保护项目</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14:paraId="07B524CE">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32884F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质量指标完成情况：指标1：安全事故发生率，指标值：&lt;=0.5‰，实际完成值0‰，指标完成率10</w:t>
      </w:r>
      <w:r>
        <w:rPr>
          <w:rFonts w:hint="eastAsia" w:ascii="仿宋_GB2312" w:hAnsi="仿宋_GB2312" w:cs="仿宋_GB2312"/>
          <w:b w:val="0"/>
          <w:bCs w:val="0"/>
          <w:color w:val="auto"/>
          <w:spacing w:val="0"/>
          <w:w w:val="100"/>
          <w:kern w:val="2"/>
          <w:position w:val="0"/>
          <w:sz w:val="32"/>
          <w:szCs w:val="32"/>
          <w:lang w:val="en-US" w:eastAsia="zh-CN" w:bidi="ar-SA"/>
        </w:rPr>
        <w:t>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；指标2：项目按计划完成率，</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&gt;=85%</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指标完成率118%</w:t>
      </w:r>
      <w:r>
        <w:rPr>
          <w:rFonts w:hint="eastAsia" w:ascii="仿宋_GB2312" w:hAnsi="仿宋_GB2312" w:cs="仿宋_GB2312"/>
          <w:b w:val="0"/>
          <w:bCs w:val="0"/>
          <w:color w:val="auto"/>
          <w:spacing w:val="0"/>
          <w:w w:val="100"/>
          <w:kern w:val="2"/>
          <w:position w:val="0"/>
          <w:sz w:val="32"/>
          <w:szCs w:val="32"/>
          <w:lang w:val="en-US" w:eastAsia="zh-CN" w:bidi="ar-SA"/>
        </w:rPr>
        <w:t>。指标3：文物毁损、违规修复发生率，</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&lt;=0.5‰</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实际完成值0‰</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w:t>
      </w:r>
      <w:r>
        <w:rPr>
          <w:rFonts w:hint="eastAsia" w:ascii="仿宋_GB2312" w:hAnsi="仿宋_GB2312" w:cs="仿宋_GB2312"/>
          <w:b w:val="0"/>
          <w:bCs w:val="0"/>
          <w:color w:val="auto"/>
          <w:spacing w:val="0"/>
          <w:w w:val="100"/>
          <w:kern w:val="2"/>
          <w:position w:val="0"/>
          <w:sz w:val="32"/>
          <w:szCs w:val="32"/>
          <w:lang w:val="en-US" w:eastAsia="zh-CN" w:bidi="ar-SA"/>
        </w:rPr>
        <w:t>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w:t>
      </w:r>
    </w:p>
    <w:p w14:paraId="62D93423">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71A067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3.时效指标完成情况：指标1：项目按计划开工率，指标值：&gt;=95%，实际完成值100%，指标完成率105%。</w:t>
      </w:r>
    </w:p>
    <w:p w14:paraId="192B3A5D">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74BDB3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4.经济成本指标完成情况：指标1：</w:t>
      </w:r>
      <w:r>
        <w:rPr>
          <w:rFonts w:hint="eastAsia" w:ascii="仿宋_GB2312" w:hAnsi="仿宋_GB2312" w:cs="仿宋_GB2312"/>
          <w:b w:val="0"/>
          <w:bCs w:val="0"/>
          <w:color w:val="auto"/>
          <w:spacing w:val="0"/>
          <w:w w:val="100"/>
          <w:kern w:val="2"/>
          <w:position w:val="0"/>
          <w:sz w:val="32"/>
          <w:szCs w:val="32"/>
          <w:lang w:val="en-US" w:eastAsia="zh-CN" w:bidi="ar-SA"/>
        </w:rPr>
        <w:tab/>
      </w:r>
      <w:r>
        <w:rPr>
          <w:rFonts w:hint="eastAsia" w:ascii="仿宋_GB2312" w:hAnsi="仿宋_GB2312" w:cs="仿宋_GB2312"/>
          <w:b w:val="0"/>
          <w:bCs w:val="0"/>
          <w:color w:val="auto"/>
          <w:spacing w:val="0"/>
          <w:w w:val="100"/>
          <w:kern w:val="2"/>
          <w:position w:val="0"/>
          <w:sz w:val="32"/>
          <w:szCs w:val="32"/>
          <w:lang w:val="en-US" w:eastAsia="zh-CN" w:bidi="ar-SA"/>
        </w:rPr>
        <w:t>陶器文物修复费用，指标值：&lt;=0.30万元/件，实际完成值=0.30万元/件，指标完成率100%；。</w:t>
      </w:r>
    </w:p>
    <w:p w14:paraId="6B11A2C0">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此项权重分10分，得分01分。</w:t>
      </w:r>
    </w:p>
    <w:p w14:paraId="68617B0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12C79D8D">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color w:val="auto"/>
          <w:highlight w:val="none"/>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提升全国文物保护水平与全民文物保护</w:t>
      </w:r>
      <w:r>
        <w:rPr>
          <w:rFonts w:hint="eastAsia" w:ascii="仿宋_GB2312" w:hAnsi="仿宋_GB2312" w:cs="仿宋_GB2312"/>
          <w:color w:val="000000"/>
          <w:spacing w:val="0"/>
          <w:w w:val="100"/>
          <w:position w:val="0"/>
          <w:sz w:val="32"/>
          <w:szCs w:val="32"/>
          <w:lang w:val="en-US" w:eastAsia="zh-CN"/>
        </w:rPr>
        <w:t>意识</w:t>
      </w:r>
      <w:r>
        <w:rPr>
          <w:rFonts w:hint="eastAsia"/>
          <w:color w:val="auto"/>
        </w:rPr>
        <w:t>，指标值</w:t>
      </w:r>
      <w:r>
        <w:rPr>
          <w:rFonts w:hint="eastAsia" w:ascii="仿宋_GB2312" w:hAnsi="仿宋_GB2312" w:cs="仿宋_GB2312"/>
          <w:color w:val="000000"/>
          <w:spacing w:val="0"/>
          <w:w w:val="100"/>
          <w:position w:val="0"/>
          <w:sz w:val="32"/>
          <w:szCs w:val="32"/>
          <w:lang w:val="en-US" w:eastAsia="zh-CN"/>
        </w:rPr>
        <w:t>长期</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达成目标</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2</w:t>
      </w:r>
      <w:r>
        <w:rPr>
          <w:rFonts w:hint="eastAsia"/>
          <w:color w:val="auto"/>
        </w:rPr>
        <w:t>：</w:t>
      </w:r>
      <w:r>
        <w:rPr>
          <w:rFonts w:hint="eastAsia" w:ascii="仿宋_GB2312" w:hAnsi="仿宋_GB2312" w:eastAsia="仿宋_GB2312" w:cs="仿宋_GB2312"/>
          <w:color w:val="000000"/>
          <w:spacing w:val="0"/>
          <w:w w:val="100"/>
          <w:position w:val="0"/>
          <w:sz w:val="32"/>
          <w:szCs w:val="32"/>
          <w:lang w:val="en-US" w:eastAsia="zh-CN"/>
        </w:rPr>
        <w:t>对中华优秀传统文化传承影响</w:t>
      </w:r>
      <w:r>
        <w:rPr>
          <w:rFonts w:hint="eastAsia"/>
          <w:color w:val="auto"/>
        </w:rPr>
        <w:t>，指标值</w:t>
      </w:r>
      <w:r>
        <w:rPr>
          <w:rFonts w:hint="eastAsia" w:ascii="仿宋_GB2312" w:hAnsi="仿宋_GB2312" w:cs="仿宋_GB2312"/>
          <w:color w:val="000000"/>
          <w:spacing w:val="0"/>
          <w:w w:val="100"/>
          <w:position w:val="0"/>
          <w:sz w:val="32"/>
          <w:szCs w:val="32"/>
          <w:lang w:val="en-US" w:eastAsia="zh-CN"/>
        </w:rPr>
        <w:t>比上一年度提升</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p>
    <w:p w14:paraId="5032BE0C">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5EEBD767">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社会公众对重点文物保护满意度</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100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111</w:t>
      </w:r>
      <w:r>
        <w:rPr>
          <w:rFonts w:hint="eastAsia"/>
          <w:color w:val="auto"/>
        </w:rPr>
        <w:t>%；</w:t>
      </w:r>
    </w:p>
    <w:p w14:paraId="231EA250">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14:paraId="1DD570DC">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18FDA68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eastAsia="zh-CN"/>
        </w:rPr>
        <w:t>2023年国家文物保护资金项目年初预算</w:t>
      </w:r>
      <w:r>
        <w:rPr>
          <w:rFonts w:hint="eastAsia"/>
          <w:color w:val="auto"/>
          <w:highlight w:val="none"/>
          <w:lang w:val="en-US" w:eastAsia="zh-CN"/>
        </w:rPr>
        <w:t>192.95万元</w:t>
      </w:r>
      <w:r>
        <w:rPr>
          <w:rFonts w:hint="eastAsia"/>
          <w:color w:val="auto"/>
          <w:highlight w:val="none"/>
          <w:lang w:eastAsia="zh-CN"/>
        </w:rPr>
        <w:t>，全年预算</w:t>
      </w:r>
      <w:r>
        <w:rPr>
          <w:rFonts w:hint="eastAsia"/>
          <w:color w:val="auto"/>
          <w:highlight w:val="none"/>
          <w:lang w:val="en-US" w:eastAsia="zh-CN"/>
        </w:rPr>
        <w:t>192.95万元</w:t>
      </w:r>
      <w:r>
        <w:rPr>
          <w:rFonts w:hint="eastAsia"/>
          <w:color w:val="auto"/>
          <w:highlight w:val="none"/>
          <w:lang w:eastAsia="zh-CN"/>
        </w:rPr>
        <w:t>，实际支出</w:t>
      </w:r>
      <w:r>
        <w:rPr>
          <w:rFonts w:hint="eastAsia"/>
          <w:color w:val="auto"/>
          <w:highlight w:val="none"/>
          <w:lang w:val="en-US" w:eastAsia="zh-CN"/>
        </w:rPr>
        <w:t>192.95万元</w:t>
      </w:r>
      <w:r>
        <w:rPr>
          <w:rFonts w:hint="eastAsia"/>
          <w:color w:val="auto"/>
          <w:highlight w:val="none"/>
          <w:lang w:eastAsia="zh-CN"/>
        </w:rPr>
        <w:t>，预算执行率为</w:t>
      </w:r>
      <w:r>
        <w:rPr>
          <w:rFonts w:hint="eastAsia"/>
          <w:color w:val="auto"/>
          <w:highlight w:val="none"/>
          <w:lang w:val="en-US" w:eastAsia="zh-CN"/>
        </w:rPr>
        <w:t>100</w:t>
      </w:r>
      <w:r>
        <w:rPr>
          <w:rFonts w:hint="eastAsia"/>
          <w:color w:val="auto"/>
          <w:highlight w:val="none"/>
          <w:lang w:eastAsia="zh-CN"/>
        </w:rPr>
        <w:t>%，项目绩效指标总体完成率为</w:t>
      </w:r>
      <w:r>
        <w:rPr>
          <w:rFonts w:hint="eastAsia"/>
          <w:color w:val="auto"/>
          <w:highlight w:val="none"/>
          <w:lang w:val="en-US" w:eastAsia="zh-CN"/>
        </w:rPr>
        <w:t>103.4</w:t>
      </w:r>
      <w:r>
        <w:rPr>
          <w:rFonts w:hint="eastAsia"/>
          <w:color w:val="auto"/>
          <w:highlight w:val="none"/>
          <w:lang w:eastAsia="zh-CN"/>
        </w:rPr>
        <w:t>%，偏差率</w:t>
      </w:r>
      <w:r>
        <w:rPr>
          <w:rFonts w:hint="eastAsia"/>
          <w:color w:val="auto"/>
          <w:highlight w:val="none"/>
          <w:lang w:val="en-US" w:eastAsia="zh-CN"/>
        </w:rPr>
        <w:t>3.4%，偏差原因为：项目按照合同约定开工，项目按照合同约定按期完成，公众对于文物保护项目满意度超过预期。</w:t>
      </w:r>
      <w:r>
        <w:rPr>
          <w:rFonts w:hint="eastAsia" w:ascii="仿宋_GB2312" w:hAnsi="仿宋_GB2312" w:eastAsia="仿宋_GB2312" w:cs="仿宋_GB2312"/>
          <w:color w:val="auto"/>
          <w:sz w:val="32"/>
          <w:szCs w:val="32"/>
          <w:highlight w:val="none"/>
          <w:lang w:eastAsia="zh-Hans"/>
        </w:rPr>
        <w:t>改进</w:t>
      </w:r>
      <w:r>
        <w:rPr>
          <w:rFonts w:hint="eastAsia" w:ascii="仿宋_GB2312" w:hAnsi="仿宋_GB2312" w:eastAsia="仿宋_GB2312" w:cs="仿宋_GB2312"/>
          <w:color w:val="auto"/>
          <w:sz w:val="32"/>
          <w:szCs w:val="32"/>
          <w:highlight w:val="none"/>
        </w:rPr>
        <w:t>措施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今后</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我们将根据项目性质，结合实际工作制定年初目标，确保目标按计划完成</w:t>
      </w:r>
      <w:r>
        <w:rPr>
          <w:rFonts w:hint="eastAsia" w:ascii="仿宋_GB2312" w:hAnsi="仿宋_GB2312" w:eastAsia="仿宋_GB2312" w:cs="仿宋_GB2312"/>
          <w:color w:val="auto"/>
          <w:sz w:val="32"/>
          <w:szCs w:val="32"/>
          <w:highlight w:val="none"/>
          <w:lang w:eastAsia="zh-CN"/>
        </w:rPr>
        <w:t>。</w:t>
      </w:r>
      <w:r>
        <w:rPr>
          <w:rFonts w:hint="eastAsia"/>
          <w:color w:val="auto"/>
          <w:highlight w:val="none"/>
          <w:lang w:val="en-US" w:eastAsia="zh-CN"/>
        </w:rPr>
        <w:t>按照财政部设定的绩效目标均已全部完成，未出现偏离情况。</w:t>
      </w:r>
    </w:p>
    <w:p w14:paraId="0DB8E892">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3A72DF2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75717165">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项目实施过程中符合国家文物规定的质量要求，在保护修复项目实施过程中，严格执行《中华人民共和国文物保护法》和有关法律法规，严格按照相关原则和要求进行项目实施，严格执行陶器文物保护修复的相关标准，坚持使用成熟修复材料及工艺。</w:t>
      </w:r>
    </w:p>
    <w:p w14:paraId="2AEE65D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03C7EA9D">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仿宋_GB2312" w:hAnsi="仿宋_GB2312" w:eastAsia="仿宋_GB2312" w:cs="仿宋_GB2312"/>
          <w:color w:val="auto"/>
          <w:sz w:val="32"/>
          <w:szCs w:val="32"/>
          <w:highlight w:val="none"/>
          <w:lang w:val="en-US" w:eastAsia="zh-CN"/>
        </w:rPr>
      </w:pPr>
      <w:bookmarkStart w:id="19" w:name="_Toc68703845"/>
      <w:r>
        <w:rPr>
          <w:rFonts w:hint="eastAsia" w:ascii="仿宋_GB2312" w:hAnsi="仿宋_GB2312" w:cs="仿宋_GB2312"/>
          <w:color w:val="auto"/>
          <w:sz w:val="32"/>
          <w:szCs w:val="32"/>
          <w:highlight w:val="none"/>
          <w:lang w:val="en-US" w:eastAsia="zh-CN"/>
        </w:rPr>
        <w:t>质量指标实际完成值出现偏差，项目实施前期已根据业务内容设置绩效目标，但绩效目标设置过于保守，造成指标完成值大于指标值。</w:t>
      </w:r>
    </w:p>
    <w:p w14:paraId="46780B0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14:paraId="7DE8260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1.多进行有关绩效目标设置工作方面的培训。积极邀请第三方或兄弟单位开展绩效目标设置工作培训，进一步细化绩效目标工作，大胆设置目标，不断提高我单位绩效申报人员水平。</w:t>
      </w:r>
    </w:p>
    <w:p w14:paraId="6592F14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14:paraId="7E8B857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C45AB64">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14:paraId="114AFCF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296D14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5A13FBF5">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14:paraId="13D7F8A4">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120124"/>
    <w:rsid w:val="05227DA5"/>
    <w:rsid w:val="08D20D13"/>
    <w:rsid w:val="0BC66E3F"/>
    <w:rsid w:val="0C4D0F1B"/>
    <w:rsid w:val="0F2A6BF7"/>
    <w:rsid w:val="11BA3663"/>
    <w:rsid w:val="19E724EE"/>
    <w:rsid w:val="1D723F37"/>
    <w:rsid w:val="1D785367"/>
    <w:rsid w:val="220152DE"/>
    <w:rsid w:val="22D123D2"/>
    <w:rsid w:val="24171230"/>
    <w:rsid w:val="32AE0DEC"/>
    <w:rsid w:val="338C02C7"/>
    <w:rsid w:val="36B72533"/>
    <w:rsid w:val="39B747A8"/>
    <w:rsid w:val="3C7A3548"/>
    <w:rsid w:val="3F8D6E7D"/>
    <w:rsid w:val="4057649F"/>
    <w:rsid w:val="43182414"/>
    <w:rsid w:val="4414342A"/>
    <w:rsid w:val="46507BB3"/>
    <w:rsid w:val="4A7C25BE"/>
    <w:rsid w:val="4BA6195C"/>
    <w:rsid w:val="4C22332E"/>
    <w:rsid w:val="4DD43EE1"/>
    <w:rsid w:val="50B25872"/>
    <w:rsid w:val="515F322A"/>
    <w:rsid w:val="518E1E3B"/>
    <w:rsid w:val="56796849"/>
    <w:rsid w:val="5DA95371"/>
    <w:rsid w:val="5E2C6C63"/>
    <w:rsid w:val="60A94E35"/>
    <w:rsid w:val="63E638BD"/>
    <w:rsid w:val="68F11999"/>
    <w:rsid w:val="6B7F5A1F"/>
    <w:rsid w:val="6C742D41"/>
    <w:rsid w:val="6F20011E"/>
    <w:rsid w:val="703917E6"/>
    <w:rsid w:val="70553DC4"/>
    <w:rsid w:val="733C129F"/>
    <w:rsid w:val="73942E89"/>
    <w:rsid w:val="763A0251"/>
    <w:rsid w:val="76746FA2"/>
    <w:rsid w:val="7D427867"/>
    <w:rsid w:val="7EC2417C"/>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6832</Words>
  <Characters>7172</Characters>
  <Lines>37</Lines>
  <Paragraphs>10</Paragraphs>
  <TotalTime>1</TotalTime>
  <ScaleCrop>false</ScaleCrop>
  <LinksUpToDate>false</LinksUpToDate>
  <CharactersWithSpaces>7187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2024-05-06T04:51:00Z</cp:lastPrinted>
  <dcterms:modified xsi:type="dcterms:W3CDTF">2024-10-21T11:49:32Z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34D4C0B6ACA4448FBEE3EA68A859B17A</vt:lpwstr>
  </property>
</Properties>
</file>