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widowControl w:val="0"/>
        <w:kinsoku/>
        <w:wordWrap/>
        <w:overflowPunct/>
        <w:topLinePunct w:val="0"/>
        <w:autoSpaceDE/>
        <w:autoSpaceDN/>
        <w:bidi w:val="0"/>
        <w:adjustRightInd/>
        <w:snapToGrid/>
        <w:spacing w:line="540" w:lineRule="exact"/>
        <w:ind w:firstLine="964" w:firstLineChars="200"/>
        <w:jc w:val="center"/>
        <w:textAlignment w:val="auto"/>
        <w:rPr>
          <w:rFonts w:ascii="宋体" w:hAnsi="宋体" w:eastAsia="宋体" w:cs="Arial"/>
          <w:b/>
          <w:bCs/>
          <w:color w:val="auto"/>
          <w:sz w:val="48"/>
          <w:szCs w:val="48"/>
          <w:highlight w:val="none"/>
        </w:rPr>
      </w:pPr>
    </w:p>
    <w:p>
      <w:pPr>
        <w:pageBreakBefore w:val="0"/>
        <w:widowControl w:val="0"/>
        <w:kinsoku/>
        <w:wordWrap/>
        <w:overflowPunct/>
        <w:topLinePunct w:val="0"/>
        <w:autoSpaceDE/>
        <w:autoSpaceDN/>
        <w:bidi w:val="0"/>
        <w:adjustRightInd/>
        <w:snapToGrid/>
        <w:spacing w:line="540" w:lineRule="exact"/>
        <w:ind w:firstLine="964" w:firstLineChars="200"/>
        <w:jc w:val="center"/>
        <w:textAlignment w:val="auto"/>
        <w:rPr>
          <w:rFonts w:ascii="宋体" w:hAnsi="宋体" w:eastAsia="宋体" w:cs="Arial"/>
          <w:b/>
          <w:bCs/>
          <w:color w:val="auto"/>
          <w:sz w:val="48"/>
          <w:szCs w:val="48"/>
          <w:highlight w:val="none"/>
        </w:rPr>
      </w:pPr>
    </w:p>
    <w:p>
      <w:pPr>
        <w:keepNext w:val="0"/>
        <w:keepLines w:val="0"/>
        <w:pageBreakBefore w:val="0"/>
        <w:widowControl w:val="0"/>
        <w:kinsoku/>
        <w:wordWrap/>
        <w:overflowPunct/>
        <w:topLinePunct w:val="0"/>
        <w:autoSpaceDE/>
        <w:autoSpaceDN/>
        <w:bidi w:val="0"/>
        <w:adjustRightInd/>
        <w:snapToGrid/>
        <w:spacing w:line="540" w:lineRule="exact"/>
        <w:ind w:firstLine="0" w:firstLineChars="0"/>
        <w:jc w:val="center"/>
        <w:textAlignment w:val="auto"/>
        <w:rPr>
          <w:rFonts w:ascii="宋体" w:hAnsi="宋体" w:eastAsia="宋体" w:cs="Arial"/>
          <w:b/>
          <w:bCs/>
          <w:color w:val="auto"/>
          <w:sz w:val="48"/>
          <w:szCs w:val="48"/>
          <w:highlight w:val="none"/>
        </w:rPr>
      </w:pPr>
    </w:p>
    <w:p>
      <w:pPr>
        <w:keepNext w:val="0"/>
        <w:keepLines w:val="0"/>
        <w:pageBreakBefore w:val="0"/>
        <w:widowControl w:val="0"/>
        <w:kinsoku/>
        <w:wordWrap/>
        <w:overflowPunct/>
        <w:topLinePunct w:val="0"/>
        <w:autoSpaceDE/>
        <w:autoSpaceDN/>
        <w:bidi w:val="0"/>
        <w:adjustRightInd/>
        <w:snapToGrid/>
        <w:spacing w:line="540" w:lineRule="exact"/>
        <w:ind w:firstLine="0" w:firstLineChars="0"/>
        <w:jc w:val="center"/>
        <w:textAlignment w:val="auto"/>
        <w:rPr>
          <w:rFonts w:ascii="宋体" w:hAnsi="宋体" w:eastAsia="宋体" w:cs="Arial"/>
          <w:b/>
          <w:bCs/>
          <w:color w:val="auto"/>
          <w:sz w:val="52"/>
          <w:szCs w:val="52"/>
          <w:highlight w:val="none"/>
        </w:rPr>
      </w:pPr>
      <w:r>
        <w:rPr>
          <w:rFonts w:hint="eastAsia" w:ascii="宋体" w:hAnsi="宋体" w:eastAsia="宋体" w:cs="Arial"/>
          <w:b/>
          <w:bCs/>
          <w:color w:val="auto"/>
          <w:sz w:val="52"/>
          <w:szCs w:val="52"/>
          <w:highlight w:val="none"/>
        </w:rPr>
        <w:t>项目支出绩效评价报告</w:t>
      </w:r>
    </w:p>
    <w:p>
      <w:pPr>
        <w:keepNext w:val="0"/>
        <w:keepLines w:val="0"/>
        <w:pageBreakBefore w:val="0"/>
        <w:widowControl w:val="0"/>
        <w:kinsoku/>
        <w:wordWrap/>
        <w:overflowPunct/>
        <w:topLinePunct w:val="0"/>
        <w:autoSpaceDE/>
        <w:autoSpaceDN/>
        <w:bidi w:val="0"/>
        <w:adjustRightInd/>
        <w:snapToGrid/>
        <w:spacing w:line="540" w:lineRule="exact"/>
        <w:ind w:firstLine="0" w:firstLineChars="0"/>
        <w:jc w:val="center"/>
        <w:textAlignment w:val="auto"/>
        <w:rPr>
          <w:rFonts w:ascii="宋体" w:hAnsi="宋体" w:eastAsia="宋体" w:cs="Arial"/>
          <w:b/>
          <w:bCs/>
          <w:color w:val="auto"/>
          <w:sz w:val="48"/>
          <w:szCs w:val="48"/>
          <w:highlight w:val="none"/>
        </w:rPr>
      </w:pPr>
    </w:p>
    <w:p>
      <w:pPr>
        <w:keepNext w:val="0"/>
        <w:keepLines w:val="0"/>
        <w:pageBreakBefore w:val="0"/>
        <w:widowControl w:val="0"/>
        <w:kinsoku/>
        <w:wordWrap/>
        <w:overflowPunct/>
        <w:topLinePunct w:val="0"/>
        <w:autoSpaceDE/>
        <w:autoSpaceDN/>
        <w:bidi w:val="0"/>
        <w:adjustRightInd/>
        <w:snapToGrid/>
        <w:spacing w:line="540" w:lineRule="exact"/>
        <w:ind w:firstLine="0" w:firstLineChars="0"/>
        <w:jc w:val="center"/>
        <w:textAlignment w:val="auto"/>
        <w:rPr>
          <w:rFonts w:ascii="仿宋_GB2312" w:hAnsi="仿宋_GB2312" w:cs="仿宋_GB2312"/>
          <w:b/>
          <w:color w:val="auto"/>
          <w:kern w:val="0"/>
          <w:sz w:val="50"/>
          <w:szCs w:val="50"/>
          <w:highlight w:val="none"/>
          <w:lang w:bidi="en-US"/>
        </w:rPr>
      </w:pPr>
      <w:r>
        <w:rPr>
          <w:rFonts w:hint="eastAsia" w:ascii="红豆小标宋简体" w:hAnsi="红豆小标宋简体" w:eastAsia="红豆小标宋简体" w:cs="红豆小标宋简体"/>
          <w:color w:val="auto"/>
          <w:kern w:val="0"/>
          <w:sz w:val="36"/>
          <w:szCs w:val="36"/>
          <w:highlight w:val="none"/>
        </w:rPr>
        <w:t>（2</w:t>
      </w:r>
      <w:r>
        <w:rPr>
          <w:rFonts w:ascii="红豆小标宋简体" w:hAnsi="红豆小标宋简体" w:eastAsia="红豆小标宋简体" w:cs="红豆小标宋简体"/>
          <w:color w:val="auto"/>
          <w:kern w:val="0"/>
          <w:sz w:val="36"/>
          <w:szCs w:val="36"/>
          <w:highlight w:val="none"/>
        </w:rPr>
        <w:t>02</w:t>
      </w:r>
      <w:r>
        <w:rPr>
          <w:rFonts w:hint="eastAsia" w:ascii="红豆小标宋简体" w:hAnsi="红豆小标宋简体" w:eastAsia="红豆小标宋简体" w:cs="红豆小标宋简体"/>
          <w:color w:val="auto"/>
          <w:kern w:val="0"/>
          <w:sz w:val="36"/>
          <w:szCs w:val="36"/>
          <w:highlight w:val="none"/>
          <w:lang w:val="en-US" w:eastAsia="zh-CN"/>
        </w:rPr>
        <w:t>3</w:t>
      </w:r>
      <w:r>
        <w:rPr>
          <w:rFonts w:hint="eastAsia" w:ascii="红豆小标宋简体" w:hAnsi="红豆小标宋简体" w:eastAsia="红豆小标宋简体" w:cs="红豆小标宋简体"/>
          <w:color w:val="auto"/>
          <w:kern w:val="0"/>
          <w:sz w:val="36"/>
          <w:szCs w:val="36"/>
          <w:highlight w:val="none"/>
        </w:rPr>
        <w:t>年度）</w:t>
      </w:r>
    </w:p>
    <w:p>
      <w:pPr>
        <w:keepNext w:val="0"/>
        <w:keepLines w:val="0"/>
        <w:pageBreakBefore w:val="0"/>
        <w:widowControl w:val="0"/>
        <w:kinsoku/>
        <w:wordWrap/>
        <w:overflowPunct/>
        <w:topLinePunct w:val="0"/>
        <w:autoSpaceDE/>
        <w:autoSpaceDN/>
        <w:bidi w:val="0"/>
        <w:adjustRightInd/>
        <w:snapToGrid/>
        <w:spacing w:line="540" w:lineRule="exact"/>
        <w:ind w:firstLine="0" w:firstLineChars="0"/>
        <w:jc w:val="center"/>
        <w:textAlignment w:val="auto"/>
        <w:rPr>
          <w:rFonts w:ascii="仿宋_GB2312" w:hAnsi="仿宋_GB2312" w:cs="仿宋_GB2312"/>
          <w:b/>
          <w:color w:val="auto"/>
          <w:kern w:val="0"/>
          <w:sz w:val="50"/>
          <w:szCs w:val="50"/>
          <w:highlight w:val="none"/>
          <w:lang w:bidi="en-US"/>
        </w:rPr>
      </w:pPr>
    </w:p>
    <w:p>
      <w:pPr>
        <w:keepNext w:val="0"/>
        <w:keepLines w:val="0"/>
        <w:pageBreakBefore w:val="0"/>
        <w:widowControl w:val="0"/>
        <w:kinsoku/>
        <w:wordWrap/>
        <w:overflowPunct/>
        <w:topLinePunct w:val="0"/>
        <w:autoSpaceDE/>
        <w:autoSpaceDN/>
        <w:bidi w:val="0"/>
        <w:adjustRightInd/>
        <w:snapToGrid/>
        <w:spacing w:line="540" w:lineRule="exact"/>
        <w:ind w:firstLine="0" w:firstLineChars="0"/>
        <w:jc w:val="center"/>
        <w:textAlignment w:val="auto"/>
        <w:rPr>
          <w:rFonts w:ascii="仿宋_GB2312" w:hAnsi="仿宋_GB2312" w:cs="仿宋_GB2312"/>
          <w:b/>
          <w:color w:val="auto"/>
          <w:kern w:val="0"/>
          <w:sz w:val="50"/>
          <w:szCs w:val="50"/>
          <w:highlight w:val="none"/>
          <w:lang w:bidi="en-US"/>
        </w:rPr>
      </w:pPr>
    </w:p>
    <w:p>
      <w:pPr>
        <w:keepNext w:val="0"/>
        <w:keepLines w:val="0"/>
        <w:pageBreakBefore w:val="0"/>
        <w:widowControl w:val="0"/>
        <w:kinsoku/>
        <w:wordWrap/>
        <w:overflowPunct/>
        <w:topLinePunct w:val="0"/>
        <w:autoSpaceDE/>
        <w:autoSpaceDN/>
        <w:bidi w:val="0"/>
        <w:adjustRightInd/>
        <w:snapToGrid/>
        <w:spacing w:line="540" w:lineRule="exact"/>
        <w:ind w:firstLine="0" w:firstLineChars="0"/>
        <w:jc w:val="center"/>
        <w:textAlignment w:val="auto"/>
        <w:rPr>
          <w:rFonts w:ascii="仿宋_GB2312" w:hAnsi="仿宋_GB2312" w:cs="仿宋_GB2312"/>
          <w:b/>
          <w:color w:val="auto"/>
          <w:kern w:val="0"/>
          <w:sz w:val="50"/>
          <w:szCs w:val="50"/>
          <w:highlight w:val="none"/>
          <w:lang w:bidi="en-US"/>
        </w:rPr>
      </w:pPr>
    </w:p>
    <w:p>
      <w:pPr>
        <w:keepNext w:val="0"/>
        <w:keepLines w:val="0"/>
        <w:pageBreakBefore w:val="0"/>
        <w:widowControl w:val="0"/>
        <w:kinsoku/>
        <w:wordWrap/>
        <w:overflowPunct/>
        <w:topLinePunct w:val="0"/>
        <w:autoSpaceDE/>
        <w:autoSpaceDN/>
        <w:bidi w:val="0"/>
        <w:adjustRightInd/>
        <w:snapToGrid/>
        <w:spacing w:line="540" w:lineRule="exact"/>
        <w:ind w:firstLine="0" w:firstLineChars="0"/>
        <w:jc w:val="center"/>
        <w:textAlignment w:val="auto"/>
        <w:rPr>
          <w:rFonts w:ascii="仿宋_GB2312" w:hAnsi="仿宋_GB2312" w:cs="仿宋_GB2312"/>
          <w:b/>
          <w:color w:val="auto"/>
          <w:kern w:val="0"/>
          <w:sz w:val="50"/>
          <w:szCs w:val="50"/>
          <w:highlight w:val="none"/>
          <w:lang w:bidi="en-US"/>
        </w:rPr>
      </w:pPr>
    </w:p>
    <w:p>
      <w:pPr>
        <w:keepNext w:val="0"/>
        <w:keepLines w:val="0"/>
        <w:pageBreakBefore w:val="0"/>
        <w:widowControl w:val="0"/>
        <w:kinsoku/>
        <w:wordWrap/>
        <w:overflowPunct/>
        <w:topLinePunct w:val="0"/>
        <w:autoSpaceDE/>
        <w:autoSpaceDN/>
        <w:bidi w:val="0"/>
        <w:adjustRightInd/>
        <w:snapToGrid/>
        <w:spacing w:line="540" w:lineRule="exact"/>
        <w:ind w:firstLine="0" w:firstLineChars="0"/>
        <w:jc w:val="center"/>
        <w:textAlignment w:val="auto"/>
        <w:rPr>
          <w:rFonts w:ascii="仿宋_GB2312" w:hAnsi="仿宋_GB2312" w:cs="仿宋_GB2312"/>
          <w:b/>
          <w:color w:val="auto"/>
          <w:kern w:val="0"/>
          <w:sz w:val="50"/>
          <w:szCs w:val="50"/>
          <w:highlight w:val="none"/>
          <w:lang w:bidi="en-US"/>
        </w:rPr>
      </w:pPr>
    </w:p>
    <w:p>
      <w:pPr>
        <w:keepNext w:val="0"/>
        <w:keepLines w:val="0"/>
        <w:pageBreakBefore w:val="0"/>
        <w:widowControl w:val="0"/>
        <w:kinsoku/>
        <w:wordWrap/>
        <w:overflowPunct/>
        <w:topLinePunct w:val="0"/>
        <w:autoSpaceDE/>
        <w:autoSpaceDN/>
        <w:bidi w:val="0"/>
        <w:adjustRightInd/>
        <w:snapToGrid/>
        <w:spacing w:line="540" w:lineRule="exact"/>
        <w:ind w:firstLine="0" w:firstLineChars="0"/>
        <w:textAlignment w:val="auto"/>
        <w:rPr>
          <w:rFonts w:ascii="宋体" w:hAnsi="宋体" w:eastAsia="宋体" w:cs="宋体"/>
          <w:color w:val="auto"/>
          <w:kern w:val="0"/>
          <w:sz w:val="32"/>
          <w:szCs w:val="32"/>
          <w:highlight w:val="none"/>
        </w:rPr>
      </w:pPr>
      <w:r>
        <w:rPr>
          <w:rFonts w:hint="eastAsia" w:ascii="宋体" w:hAnsi="宋体" w:eastAsia="宋体" w:cs="仿宋_GB2312"/>
          <w:b/>
          <w:bCs/>
          <w:color w:val="auto"/>
          <w:kern w:val="0"/>
          <w:sz w:val="32"/>
          <w:szCs w:val="32"/>
          <w:highlight w:val="none"/>
        </w:rPr>
        <w:t>项目名称：自治区第十四届运动会经费</w:t>
      </w:r>
    </w:p>
    <w:p>
      <w:pPr>
        <w:keepNext w:val="0"/>
        <w:keepLines w:val="0"/>
        <w:pageBreakBefore w:val="0"/>
        <w:widowControl w:val="0"/>
        <w:kinsoku/>
        <w:wordWrap/>
        <w:overflowPunct/>
        <w:topLinePunct w:val="0"/>
        <w:autoSpaceDE/>
        <w:autoSpaceDN/>
        <w:bidi w:val="0"/>
        <w:adjustRightInd/>
        <w:snapToGrid/>
        <w:spacing w:line="540" w:lineRule="exact"/>
        <w:ind w:firstLine="0" w:firstLineChars="0"/>
        <w:textAlignment w:val="auto"/>
        <w:rPr>
          <w:rFonts w:ascii="宋体" w:hAnsi="宋体" w:eastAsia="宋体" w:cs="宋体"/>
          <w:color w:val="auto"/>
          <w:kern w:val="0"/>
          <w:sz w:val="32"/>
          <w:szCs w:val="32"/>
          <w:highlight w:val="none"/>
        </w:rPr>
      </w:pPr>
      <w:r>
        <w:rPr>
          <w:rFonts w:hint="eastAsia" w:ascii="宋体" w:hAnsi="宋体" w:eastAsia="宋体" w:cs="仿宋_GB2312"/>
          <w:b/>
          <w:bCs/>
          <w:color w:val="auto"/>
          <w:kern w:val="0"/>
          <w:sz w:val="32"/>
          <w:szCs w:val="32"/>
          <w:highlight w:val="none"/>
        </w:rPr>
        <w:t>实施单位（公章）：巴州文化体育广播电视和旅游局</w:t>
      </w:r>
    </w:p>
    <w:p>
      <w:pPr>
        <w:keepNext w:val="0"/>
        <w:keepLines w:val="0"/>
        <w:pageBreakBefore w:val="0"/>
        <w:widowControl w:val="0"/>
        <w:kinsoku/>
        <w:wordWrap/>
        <w:overflowPunct/>
        <w:topLinePunct w:val="0"/>
        <w:autoSpaceDE/>
        <w:autoSpaceDN/>
        <w:bidi w:val="0"/>
        <w:adjustRightInd/>
        <w:snapToGrid/>
        <w:spacing w:line="540" w:lineRule="exact"/>
        <w:ind w:firstLine="0" w:firstLineChars="0"/>
        <w:textAlignment w:val="auto"/>
        <w:rPr>
          <w:rFonts w:ascii="宋体" w:hAnsi="宋体" w:eastAsia="宋体" w:cs="宋体"/>
          <w:color w:val="auto"/>
          <w:kern w:val="0"/>
          <w:sz w:val="32"/>
          <w:szCs w:val="32"/>
          <w:highlight w:val="none"/>
        </w:rPr>
      </w:pPr>
      <w:r>
        <w:rPr>
          <w:rFonts w:hint="eastAsia" w:ascii="宋体" w:hAnsi="宋体" w:eastAsia="宋体" w:cs="仿宋_GB2312"/>
          <w:b/>
          <w:bCs/>
          <w:color w:val="auto"/>
          <w:kern w:val="0"/>
          <w:sz w:val="32"/>
          <w:szCs w:val="32"/>
          <w:highlight w:val="none"/>
        </w:rPr>
        <w:t>主管部门（公章）：巴州文化体育广播电视和旅游局</w:t>
      </w:r>
    </w:p>
    <w:p>
      <w:pPr>
        <w:keepNext w:val="0"/>
        <w:keepLines w:val="0"/>
        <w:pageBreakBefore w:val="0"/>
        <w:widowControl w:val="0"/>
        <w:kinsoku/>
        <w:wordWrap/>
        <w:overflowPunct/>
        <w:topLinePunct w:val="0"/>
        <w:autoSpaceDE/>
        <w:autoSpaceDN/>
        <w:bidi w:val="0"/>
        <w:adjustRightInd/>
        <w:snapToGrid/>
        <w:spacing w:line="540" w:lineRule="exact"/>
        <w:ind w:firstLine="0" w:firstLineChars="0"/>
        <w:textAlignment w:val="auto"/>
        <w:rPr>
          <w:rFonts w:hint="eastAsia" w:ascii="宋体" w:hAnsi="宋体" w:eastAsia="宋体" w:cs="宋体"/>
          <w:color w:val="auto"/>
          <w:kern w:val="0"/>
          <w:sz w:val="32"/>
          <w:szCs w:val="32"/>
          <w:highlight w:val="none"/>
          <w:lang w:val="en-US" w:eastAsia="zh-CN"/>
        </w:rPr>
      </w:pPr>
      <w:r>
        <w:rPr>
          <w:rFonts w:hint="eastAsia" w:ascii="宋体" w:hAnsi="宋体" w:eastAsia="宋体" w:cs="仿宋_GB2312"/>
          <w:b/>
          <w:bCs/>
          <w:color w:val="auto"/>
          <w:kern w:val="0"/>
          <w:sz w:val="32"/>
          <w:szCs w:val="32"/>
          <w:highlight w:val="none"/>
        </w:rPr>
        <w:t>项目负责人（签章）：</w:t>
      </w:r>
      <w:r>
        <w:rPr>
          <w:rFonts w:hint="eastAsia" w:ascii="宋体" w:hAnsi="宋体" w:eastAsia="宋体" w:cs="仿宋_GB2312"/>
          <w:b/>
          <w:bCs/>
          <w:color w:val="auto"/>
          <w:kern w:val="0"/>
          <w:sz w:val="32"/>
          <w:szCs w:val="32"/>
          <w:highlight w:val="none"/>
          <w:lang w:val="en-US" w:eastAsia="zh-CN"/>
        </w:rPr>
        <w:t>孟凯</w:t>
      </w:r>
    </w:p>
    <w:p>
      <w:pPr>
        <w:keepNext w:val="0"/>
        <w:keepLines w:val="0"/>
        <w:pageBreakBefore w:val="0"/>
        <w:widowControl w:val="0"/>
        <w:kinsoku/>
        <w:wordWrap/>
        <w:overflowPunct/>
        <w:topLinePunct w:val="0"/>
        <w:autoSpaceDE/>
        <w:autoSpaceDN/>
        <w:bidi w:val="0"/>
        <w:adjustRightInd/>
        <w:snapToGrid/>
        <w:spacing w:line="540" w:lineRule="exact"/>
        <w:ind w:firstLine="0" w:firstLineChars="0"/>
        <w:textAlignment w:val="auto"/>
        <w:rPr>
          <w:rFonts w:ascii="宋体" w:hAnsi="宋体" w:eastAsia="宋体" w:cs="仿宋_GB2312"/>
          <w:b/>
          <w:bCs/>
          <w:color w:val="auto"/>
          <w:kern w:val="0"/>
          <w:sz w:val="32"/>
          <w:szCs w:val="32"/>
          <w:highlight w:val="none"/>
        </w:rPr>
      </w:pPr>
      <w:r>
        <w:rPr>
          <w:rFonts w:hint="eastAsia" w:ascii="宋体" w:hAnsi="宋体" w:eastAsia="宋体" w:cs="仿宋_GB2312"/>
          <w:b/>
          <w:bCs/>
          <w:color w:val="auto"/>
          <w:kern w:val="0"/>
          <w:sz w:val="32"/>
          <w:szCs w:val="32"/>
          <w:highlight w:val="none"/>
        </w:rPr>
        <w:t>填报时间：202</w:t>
      </w:r>
      <w:r>
        <w:rPr>
          <w:rFonts w:hint="eastAsia" w:ascii="宋体" w:hAnsi="宋体" w:eastAsia="宋体" w:cs="仿宋_GB2312"/>
          <w:b/>
          <w:bCs/>
          <w:color w:val="auto"/>
          <w:kern w:val="0"/>
          <w:sz w:val="32"/>
          <w:szCs w:val="32"/>
          <w:highlight w:val="none"/>
          <w:lang w:val="en-US" w:eastAsia="zh-CN"/>
        </w:rPr>
        <w:t>4</w:t>
      </w:r>
      <w:r>
        <w:rPr>
          <w:rFonts w:hint="eastAsia" w:ascii="宋体" w:hAnsi="宋体" w:eastAsia="宋体" w:cs="仿宋_GB2312"/>
          <w:b/>
          <w:bCs/>
          <w:color w:val="auto"/>
          <w:kern w:val="0"/>
          <w:sz w:val="32"/>
          <w:szCs w:val="32"/>
          <w:highlight w:val="none"/>
        </w:rPr>
        <w:t>年</w:t>
      </w:r>
      <w:r>
        <w:rPr>
          <w:rFonts w:hint="eastAsia" w:ascii="宋体" w:hAnsi="宋体" w:eastAsia="宋体" w:cs="仿宋_GB2312"/>
          <w:b/>
          <w:bCs/>
          <w:color w:val="auto"/>
          <w:kern w:val="0"/>
          <w:sz w:val="32"/>
          <w:szCs w:val="32"/>
          <w:highlight w:val="none"/>
          <w:lang w:val="en-US" w:eastAsia="zh-CN"/>
        </w:rPr>
        <w:t>5</w:t>
      </w:r>
      <w:r>
        <w:rPr>
          <w:rFonts w:hint="eastAsia" w:ascii="宋体" w:hAnsi="宋体" w:eastAsia="宋体" w:cs="仿宋_GB2312"/>
          <w:b/>
          <w:bCs/>
          <w:color w:val="auto"/>
          <w:kern w:val="0"/>
          <w:sz w:val="32"/>
          <w:szCs w:val="32"/>
          <w:highlight w:val="none"/>
        </w:rPr>
        <w:t>月</w:t>
      </w:r>
      <w:r>
        <w:rPr>
          <w:rFonts w:hint="eastAsia" w:ascii="宋体" w:hAnsi="宋体" w:eastAsia="宋体" w:cs="仿宋_GB2312"/>
          <w:b/>
          <w:bCs/>
          <w:color w:val="auto"/>
          <w:kern w:val="0"/>
          <w:sz w:val="32"/>
          <w:szCs w:val="32"/>
          <w:highlight w:val="none"/>
          <w:lang w:val="en-US" w:eastAsia="zh-CN"/>
        </w:rPr>
        <w:t>9</w:t>
      </w:r>
      <w:r>
        <w:rPr>
          <w:rFonts w:hint="eastAsia" w:ascii="宋体" w:hAnsi="宋体" w:eastAsia="宋体" w:cs="仿宋_GB2312"/>
          <w:b/>
          <w:bCs/>
          <w:color w:val="auto"/>
          <w:kern w:val="0"/>
          <w:sz w:val="32"/>
          <w:szCs w:val="32"/>
          <w:highlight w:val="none"/>
        </w:rPr>
        <w:t>日</w:t>
      </w:r>
    </w:p>
    <w:p>
      <w:pPr>
        <w:keepNext w:val="0"/>
        <w:keepLines w:val="0"/>
        <w:pageBreakBefore w:val="0"/>
        <w:widowControl w:val="0"/>
        <w:kinsoku/>
        <w:wordWrap/>
        <w:overflowPunct/>
        <w:topLinePunct w:val="0"/>
        <w:autoSpaceDE/>
        <w:autoSpaceDN/>
        <w:bidi w:val="0"/>
        <w:adjustRightInd/>
        <w:snapToGrid/>
        <w:spacing w:line="540" w:lineRule="exact"/>
        <w:ind w:firstLine="0" w:firstLineChars="0"/>
        <w:jc w:val="left"/>
        <w:textAlignment w:val="auto"/>
        <w:rPr>
          <w:rFonts w:ascii="宋体" w:hAnsi="宋体" w:eastAsia="宋体" w:cs="Arial"/>
          <w:b/>
          <w:bCs/>
          <w:color w:val="auto"/>
          <w:sz w:val="36"/>
          <w:szCs w:val="36"/>
          <w:highlight w:val="none"/>
        </w:rPr>
      </w:pPr>
      <w:r>
        <w:rPr>
          <w:rFonts w:ascii="宋体" w:hAnsi="宋体" w:eastAsia="宋体" w:cs="Arial"/>
          <w:b/>
          <w:bCs/>
          <w:color w:val="auto"/>
          <w:sz w:val="36"/>
          <w:szCs w:val="36"/>
          <w:highlight w:val="none"/>
        </w:rPr>
        <w:br w:type="page"/>
      </w:r>
    </w:p>
    <w:p>
      <w:pPr>
        <w:keepNext w:val="0"/>
        <w:keepLines w:val="0"/>
        <w:pageBreakBefore w:val="0"/>
        <w:widowControl w:val="0"/>
        <w:kinsoku/>
        <w:wordWrap/>
        <w:overflowPunct/>
        <w:topLinePunct w:val="0"/>
        <w:autoSpaceDE/>
        <w:autoSpaceDN/>
        <w:bidi w:val="0"/>
        <w:adjustRightInd/>
        <w:snapToGrid/>
        <w:spacing w:line="520" w:lineRule="exact"/>
        <w:ind w:firstLine="0" w:firstLineChars="0"/>
        <w:jc w:val="center"/>
        <w:textAlignment w:val="auto"/>
        <w:rPr>
          <w:rFonts w:ascii="Arial" w:hAnsi="Arial" w:eastAsia="宋体" w:cs="Arial"/>
          <w:b/>
          <w:bCs/>
          <w:color w:val="auto"/>
          <w:sz w:val="36"/>
          <w:szCs w:val="36"/>
          <w:highlight w:val="none"/>
        </w:rPr>
      </w:pPr>
      <w:r>
        <w:rPr>
          <w:rFonts w:hint="eastAsia" w:ascii="宋体" w:hAnsi="宋体" w:eastAsia="宋体" w:cs="Arial"/>
          <w:b/>
          <w:bCs/>
          <w:color w:val="auto"/>
          <w:sz w:val="36"/>
          <w:szCs w:val="36"/>
          <w:highlight w:val="none"/>
        </w:rPr>
        <w:t>项目支出</w:t>
      </w:r>
      <w:r>
        <w:rPr>
          <w:rFonts w:ascii="宋体" w:hAnsi="宋体" w:eastAsia="宋体" w:cs="Arial"/>
          <w:b/>
          <w:bCs/>
          <w:color w:val="auto"/>
          <w:sz w:val="36"/>
          <w:szCs w:val="36"/>
          <w:highlight w:val="none"/>
        </w:rPr>
        <w:t>绩效</w:t>
      </w:r>
      <w:r>
        <w:rPr>
          <w:rFonts w:hint="eastAsia" w:ascii="宋体" w:hAnsi="宋体" w:eastAsia="宋体" w:cs="Arial"/>
          <w:b/>
          <w:bCs/>
          <w:color w:val="auto"/>
          <w:sz w:val="36"/>
          <w:szCs w:val="36"/>
          <w:highlight w:val="none"/>
        </w:rPr>
        <w:t>评价报告</w:t>
      </w:r>
    </w:p>
    <w:p>
      <w:pPr>
        <w:pageBreakBefore w:val="0"/>
        <w:widowControl w:val="0"/>
        <w:kinsoku/>
        <w:wordWrap/>
        <w:overflowPunct/>
        <w:topLinePunct w:val="0"/>
        <w:autoSpaceDE/>
        <w:autoSpaceDN/>
        <w:bidi w:val="0"/>
        <w:adjustRightInd/>
        <w:snapToGrid/>
        <w:spacing w:line="520" w:lineRule="exact"/>
        <w:ind w:firstLine="600" w:firstLineChars="200"/>
        <w:jc w:val="center"/>
        <w:textAlignment w:val="auto"/>
        <w:rPr>
          <w:rFonts w:ascii="仿宋_GB2312"/>
          <w:color w:val="auto"/>
          <w:highlight w:val="none"/>
        </w:rPr>
      </w:pPr>
    </w:p>
    <w:p>
      <w:pPr>
        <w:pStyle w:val="3"/>
        <w:pageBreakBefore w:val="0"/>
        <w:widowControl w:val="0"/>
        <w:kinsoku/>
        <w:wordWrap/>
        <w:overflowPunct/>
        <w:topLinePunct w:val="0"/>
        <w:autoSpaceDE/>
        <w:autoSpaceDN/>
        <w:bidi w:val="0"/>
        <w:adjustRightInd/>
        <w:snapToGrid/>
        <w:spacing w:before="0" w:after="0" w:line="520" w:lineRule="exact"/>
        <w:ind w:firstLine="643" w:firstLineChars="200"/>
        <w:textAlignment w:val="auto"/>
        <w:rPr>
          <w:rFonts w:ascii="宋体" w:hAnsi="宋体" w:eastAsia="宋体"/>
          <w:color w:val="auto"/>
          <w:sz w:val="32"/>
          <w:szCs w:val="32"/>
          <w:highlight w:val="none"/>
        </w:rPr>
      </w:pPr>
      <w:bookmarkStart w:id="0" w:name="_Toc68703827"/>
      <w:r>
        <w:rPr>
          <w:rFonts w:hint="eastAsia" w:ascii="宋体" w:hAnsi="宋体" w:eastAsia="宋体"/>
          <w:color w:val="auto"/>
          <w:sz w:val="32"/>
          <w:szCs w:val="32"/>
          <w:highlight w:val="none"/>
        </w:rPr>
        <w:t>一、基本情况</w:t>
      </w:r>
      <w:bookmarkEnd w:id="0"/>
    </w:p>
    <w:p>
      <w:pPr>
        <w:pStyle w:val="4"/>
        <w:pageBreakBefore w:val="0"/>
        <w:widowControl w:val="0"/>
        <w:kinsoku/>
        <w:wordWrap/>
        <w:overflowPunct/>
        <w:topLinePunct w:val="0"/>
        <w:autoSpaceDE/>
        <w:autoSpaceDN/>
        <w:bidi w:val="0"/>
        <w:adjustRightInd/>
        <w:snapToGrid/>
        <w:spacing w:before="0" w:after="0" w:line="520" w:lineRule="exact"/>
        <w:ind w:firstLine="640" w:firstLineChars="200"/>
        <w:textAlignment w:val="auto"/>
        <w:rPr>
          <w:rFonts w:hint="eastAsia" w:ascii="仿宋_GB2312" w:eastAsia="仿宋_GB2312"/>
          <w:b w:val="0"/>
          <w:bCs w:val="0"/>
          <w:color w:val="auto"/>
          <w:highlight w:val="none"/>
        </w:rPr>
      </w:pPr>
      <w:bookmarkStart w:id="1" w:name="_Toc68703828"/>
      <w:r>
        <w:rPr>
          <w:rFonts w:hint="eastAsia" w:ascii="仿宋_GB2312" w:eastAsia="仿宋_GB2312"/>
          <w:b w:val="0"/>
          <w:bCs w:val="0"/>
          <w:color w:val="auto"/>
          <w:highlight w:val="none"/>
        </w:rPr>
        <w:t>（一）项目概况。</w:t>
      </w:r>
      <w:bookmarkEnd w:id="1"/>
    </w:p>
    <w:p>
      <w:pPr>
        <w:pageBreakBefore w:val="0"/>
        <w:widowControl w:val="0"/>
        <w:numPr>
          <w:ilvl w:val="0"/>
          <w:numId w:val="0"/>
        </w:numPr>
        <w:kinsoku/>
        <w:wordWrap/>
        <w:overflowPunct/>
        <w:topLinePunct w:val="0"/>
        <w:autoSpaceDE/>
        <w:autoSpaceDN/>
        <w:bidi w:val="0"/>
        <w:adjustRightInd/>
        <w:snapToGrid/>
        <w:spacing w:line="520" w:lineRule="exact"/>
        <w:ind w:firstLine="600" w:firstLineChars="200"/>
        <w:textAlignment w:val="auto"/>
        <w:rPr>
          <w:rFonts w:hint="eastAsia" w:ascii="仿宋_GB2312"/>
          <w:color w:val="auto"/>
          <w:highlight w:val="none"/>
        </w:rPr>
      </w:pPr>
      <w:r>
        <w:rPr>
          <w:rFonts w:hint="eastAsia" w:ascii="仿宋_GB2312"/>
          <w:color w:val="auto"/>
          <w:highlight w:val="none"/>
          <w:lang w:val="en-US" w:eastAsia="zh-CN"/>
        </w:rPr>
        <w:t>1.</w:t>
      </w:r>
      <w:r>
        <w:rPr>
          <w:rFonts w:hint="eastAsia" w:ascii="仿宋_GB2312"/>
          <w:color w:val="auto"/>
          <w:highlight w:val="none"/>
        </w:rPr>
        <w:t>项目背景，主要内容及实施情况</w:t>
      </w:r>
    </w:p>
    <w:p>
      <w:pPr>
        <w:pageBreakBefore w:val="0"/>
        <w:widowControl w:val="0"/>
        <w:numPr>
          <w:ilvl w:val="0"/>
          <w:numId w:val="0"/>
        </w:numPr>
        <w:kinsoku/>
        <w:wordWrap/>
        <w:overflowPunct/>
        <w:topLinePunct w:val="0"/>
        <w:autoSpaceDE/>
        <w:autoSpaceDN/>
        <w:bidi w:val="0"/>
        <w:adjustRightInd/>
        <w:snapToGrid/>
        <w:spacing w:line="520" w:lineRule="exact"/>
        <w:ind w:firstLine="600" w:firstLineChars="200"/>
        <w:textAlignment w:val="auto"/>
        <w:rPr>
          <w:rFonts w:hint="eastAsia" w:ascii="仿宋_GB2312"/>
          <w:color w:val="auto"/>
          <w:highlight w:val="none"/>
        </w:rPr>
      </w:pPr>
      <w:r>
        <w:rPr>
          <w:rFonts w:hint="eastAsia" w:ascii="仿宋_GB2312"/>
          <w:color w:val="auto"/>
          <w:highlight w:val="none"/>
        </w:rPr>
        <w:t>（1）项目背景</w:t>
      </w:r>
    </w:p>
    <w:p>
      <w:pPr>
        <w:pageBreakBefore w:val="0"/>
        <w:widowControl w:val="0"/>
        <w:kinsoku/>
        <w:wordWrap/>
        <w:overflowPunct/>
        <w:topLinePunct w:val="0"/>
        <w:autoSpaceDE/>
        <w:autoSpaceDN/>
        <w:bidi w:val="0"/>
        <w:adjustRightInd/>
        <w:snapToGrid/>
        <w:spacing w:line="520" w:lineRule="exact"/>
        <w:ind w:firstLine="600" w:firstLineChars="200"/>
        <w:textAlignment w:val="auto"/>
        <w:rPr>
          <w:rFonts w:hint="eastAsia" w:ascii="仿宋_GB2312"/>
          <w:color w:val="auto"/>
          <w:highlight w:val="none"/>
          <w:lang w:val="en-US" w:eastAsia="zh-CN"/>
        </w:rPr>
      </w:pPr>
      <w:r>
        <w:rPr>
          <w:rFonts w:hint="eastAsia" w:ascii="仿宋_GB2312"/>
          <w:color w:val="auto"/>
          <w:highlight w:val="none"/>
          <w:lang w:val="en-US" w:eastAsia="zh-CN"/>
        </w:rPr>
        <w:t>2015年巴州人民政府向自治区人民政府上报了承办十四运会的请示。同年9月，自治区人民政府批复同意巴州于2018年承办自治区第十四届运动会。后因故未能如期举办。2022年初，自治区人民政府主要领导到自治区体育局调研，提出举办自治区十四运会，自治区体育局建议仍由巴州承办。2022年1月30日，自治区体育局向州人民政府发来《关于联合举办新疆维吾尔自治区第十四届运动会的函》，后因疫情原因，该项赛事延期至2023年8月举办该项赛事。</w:t>
      </w:r>
    </w:p>
    <w:p>
      <w:pPr>
        <w:pageBreakBefore w:val="0"/>
        <w:widowControl w:val="0"/>
        <w:kinsoku/>
        <w:wordWrap/>
        <w:overflowPunct/>
        <w:topLinePunct w:val="0"/>
        <w:autoSpaceDE/>
        <w:autoSpaceDN/>
        <w:bidi w:val="0"/>
        <w:adjustRightInd/>
        <w:snapToGrid/>
        <w:spacing w:line="520" w:lineRule="exact"/>
        <w:ind w:firstLine="600" w:firstLineChars="200"/>
        <w:textAlignment w:val="auto"/>
        <w:rPr>
          <w:rFonts w:hint="eastAsia" w:ascii="仿宋_GB2312"/>
          <w:color w:val="auto"/>
          <w:highlight w:val="none"/>
          <w:lang w:val="en-US" w:eastAsia="zh-CN"/>
        </w:rPr>
      </w:pPr>
      <w:r>
        <w:rPr>
          <w:rFonts w:hint="eastAsia" w:ascii="仿宋_GB2312"/>
          <w:color w:val="auto"/>
          <w:highlight w:val="none"/>
        </w:rPr>
        <w:t>（</w:t>
      </w:r>
      <w:r>
        <w:rPr>
          <w:rFonts w:hint="eastAsia" w:ascii="仿宋_GB2312"/>
          <w:color w:val="auto"/>
          <w:highlight w:val="none"/>
          <w:lang w:val="en-US" w:eastAsia="zh-CN"/>
        </w:rPr>
        <w:t>2</w:t>
      </w:r>
      <w:r>
        <w:rPr>
          <w:rFonts w:hint="eastAsia" w:ascii="仿宋_GB2312"/>
          <w:color w:val="auto"/>
          <w:highlight w:val="none"/>
        </w:rPr>
        <w:t>）主要内容</w:t>
      </w:r>
      <w:r>
        <w:rPr>
          <w:rFonts w:hint="eastAsia"/>
          <w:color w:val="auto"/>
          <w:highlight w:val="none"/>
        </w:rPr>
        <w:t>及</w:t>
      </w:r>
      <w:r>
        <w:rPr>
          <w:rFonts w:hint="eastAsia" w:ascii="仿宋_GB2312"/>
          <w:color w:val="auto"/>
          <w:highlight w:val="none"/>
        </w:rPr>
        <w:t>实施情况</w:t>
      </w:r>
    </w:p>
    <w:p>
      <w:pPr>
        <w:pageBreakBefore w:val="0"/>
        <w:widowControl w:val="0"/>
        <w:kinsoku/>
        <w:wordWrap/>
        <w:overflowPunct/>
        <w:topLinePunct w:val="0"/>
        <w:autoSpaceDE/>
        <w:autoSpaceDN/>
        <w:bidi w:val="0"/>
        <w:adjustRightInd/>
        <w:snapToGrid/>
        <w:spacing w:line="520" w:lineRule="exact"/>
        <w:ind w:firstLine="600" w:firstLineChars="200"/>
        <w:textAlignment w:val="auto"/>
        <w:rPr>
          <w:rFonts w:ascii="仿宋_GB2312"/>
          <w:color w:val="auto"/>
          <w:highlight w:val="none"/>
        </w:rPr>
      </w:pPr>
      <w:r>
        <w:rPr>
          <w:rFonts w:hint="eastAsia" w:ascii="仿宋_GB2312"/>
          <w:color w:val="auto"/>
          <w:highlight w:val="none"/>
        </w:rPr>
        <w:t>主要内容：自治区十四运会由自治区人民政府主办，自治区体育局、巴州人民政府承办，是我区规格最高、规模最大的运动会，四年举行一届（原定2018年延期至2023年），全区14个地州市组建代表团参加，参赛人员为青少年，我州代表团参赛人数预计达730人以上</w:t>
      </w:r>
      <w:r>
        <w:rPr>
          <w:rFonts w:hint="eastAsia" w:ascii="仿宋_GB2312"/>
          <w:color w:val="auto"/>
          <w:highlight w:val="none"/>
          <w:lang w:eastAsia="zh-CN"/>
        </w:rPr>
        <w:t>，</w:t>
      </w:r>
      <w:r>
        <w:rPr>
          <w:rFonts w:hint="eastAsia" w:ascii="仿宋_GB2312"/>
          <w:color w:val="auto"/>
          <w:highlight w:val="none"/>
        </w:rPr>
        <w:t>涉及2个主要场馆利用2个月的时间实施全方位提升改造工程</w:t>
      </w:r>
      <w:r>
        <w:rPr>
          <w:rFonts w:hint="eastAsia" w:ascii="仿宋_GB2312"/>
          <w:color w:val="auto"/>
          <w:highlight w:val="none"/>
          <w:lang w:eastAsia="zh-CN"/>
        </w:rPr>
        <w:t>，我州组织运动员积极参加，为组织</w:t>
      </w:r>
      <w:r>
        <w:rPr>
          <w:rFonts w:hint="eastAsia" w:ascii="仿宋_GB2312"/>
          <w:color w:val="auto"/>
          <w:highlight w:val="none"/>
          <w:lang w:val="en-US" w:eastAsia="zh-CN"/>
        </w:rPr>
        <w:t>715人的</w:t>
      </w:r>
      <w:r>
        <w:rPr>
          <w:rFonts w:hint="eastAsia" w:ascii="仿宋_GB2312"/>
          <w:color w:val="auto"/>
          <w:highlight w:val="none"/>
          <w:lang w:eastAsia="zh-CN"/>
        </w:rPr>
        <w:t>代表团</w:t>
      </w:r>
      <w:r>
        <w:rPr>
          <w:rFonts w:hint="eastAsia" w:ascii="仿宋_GB2312"/>
          <w:color w:val="auto"/>
          <w:highlight w:val="none"/>
          <w:lang w:val="en-US" w:eastAsia="zh-CN"/>
        </w:rPr>
        <w:t>参加此次赛事，</w:t>
      </w:r>
      <w:r>
        <w:rPr>
          <w:rFonts w:hint="eastAsia" w:ascii="仿宋_GB2312"/>
          <w:color w:val="auto"/>
          <w:highlight w:val="none"/>
        </w:rPr>
        <w:t>本届运动会是历届自治区运动会中组别设置最全、项目设置最广、参加人数最多的一届赛会。</w:t>
      </w:r>
    </w:p>
    <w:p>
      <w:pPr>
        <w:pageBreakBefore w:val="0"/>
        <w:widowControl w:val="0"/>
        <w:kinsoku/>
        <w:wordWrap/>
        <w:overflowPunct/>
        <w:topLinePunct w:val="0"/>
        <w:autoSpaceDE/>
        <w:autoSpaceDN/>
        <w:bidi w:val="0"/>
        <w:adjustRightInd/>
        <w:snapToGrid/>
        <w:spacing w:line="520" w:lineRule="exact"/>
        <w:ind w:firstLine="600" w:firstLineChars="200"/>
        <w:textAlignment w:val="auto"/>
        <w:rPr>
          <w:rFonts w:hint="eastAsia" w:ascii="仿宋_GB2312"/>
          <w:color w:val="auto"/>
          <w:highlight w:val="none"/>
        </w:rPr>
      </w:pPr>
      <w:r>
        <w:rPr>
          <w:rFonts w:hint="eastAsia" w:ascii="仿宋_GB2312"/>
          <w:color w:val="auto"/>
          <w:highlight w:val="none"/>
        </w:rPr>
        <w:t>实施情况：新疆维吾尔自治区第十四届运动会在巴州成功举办，经前期多方调研认证，涉及2个主要场馆利用2个月的时间实施全方位提升改造工程，本项目支出维修改造提升资金651.74万元，本届运动会竞技体育项目设20个大项687个小项，在巴州举办的10个群众体育项目。为参加十四运开幕式代表团采购715套服装，展现巴州风采。按照奖励办法，我们为785名运动员教练员发放奖励，发放资金数698.27万元，本届运动会是历届自治区运动会中组别设置最全、项目设置最广、参加人数最多的一届赛会。运动会集中检阅了巴州竞技体育发展成就，极大活跃了群众文体生活，全面展示了巴州经济发展、社会进步的丰硕成果，完美呈现了全周人民崭新的精神风貌，深刻诠释了巴州人民的“奉献、友爱、互助”精神，赢得了参赛各方和各族群众的一致好评。</w:t>
      </w:r>
    </w:p>
    <w:p>
      <w:pPr>
        <w:pageBreakBefore w:val="0"/>
        <w:widowControl w:val="0"/>
        <w:kinsoku/>
        <w:wordWrap/>
        <w:overflowPunct/>
        <w:topLinePunct w:val="0"/>
        <w:autoSpaceDE/>
        <w:autoSpaceDN/>
        <w:bidi w:val="0"/>
        <w:adjustRightInd/>
        <w:snapToGrid/>
        <w:spacing w:line="560" w:lineRule="exact"/>
        <w:ind w:firstLine="600" w:firstLineChars="200"/>
        <w:textAlignment w:val="auto"/>
        <w:rPr>
          <w:rFonts w:ascii="仿宋_GB2312"/>
          <w:color w:val="auto"/>
          <w:highlight w:val="none"/>
        </w:rPr>
      </w:pPr>
      <w:r>
        <w:rPr>
          <w:rFonts w:hint="eastAsia" w:ascii="仿宋_GB2312"/>
          <w:color w:val="auto"/>
          <w:highlight w:val="none"/>
          <w:lang w:val="en-US" w:eastAsia="zh-CN"/>
        </w:rPr>
        <w:t>2.</w:t>
      </w:r>
      <w:r>
        <w:rPr>
          <w:rFonts w:hint="eastAsia" w:ascii="仿宋_GB2312"/>
          <w:color w:val="auto"/>
          <w:highlight w:val="none"/>
        </w:rPr>
        <w:t>资金投入和使用情况</w:t>
      </w:r>
    </w:p>
    <w:p>
      <w:pPr>
        <w:pageBreakBefore w:val="0"/>
        <w:widowControl w:val="0"/>
        <w:kinsoku/>
        <w:wordWrap/>
        <w:overflowPunct/>
        <w:topLinePunct w:val="0"/>
        <w:autoSpaceDE/>
        <w:autoSpaceDN/>
        <w:bidi w:val="0"/>
        <w:adjustRightInd/>
        <w:snapToGrid/>
        <w:spacing w:line="560" w:lineRule="exact"/>
        <w:ind w:firstLine="600" w:firstLineChars="200"/>
        <w:textAlignment w:val="auto"/>
        <w:rPr>
          <w:color w:val="auto"/>
          <w:highlight w:val="none"/>
        </w:rPr>
      </w:pPr>
      <w:r>
        <w:rPr>
          <w:rFonts w:hint="eastAsia"/>
          <w:color w:val="auto"/>
          <w:highlight w:val="none"/>
          <w:lang w:eastAsia="zh-CN"/>
        </w:rPr>
        <w:t>（</w:t>
      </w:r>
      <w:r>
        <w:rPr>
          <w:rFonts w:hint="eastAsia"/>
          <w:color w:val="auto"/>
          <w:highlight w:val="none"/>
          <w:lang w:val="en-US" w:eastAsia="zh-CN"/>
        </w:rPr>
        <w:t>1</w:t>
      </w:r>
      <w:r>
        <w:rPr>
          <w:rFonts w:hint="eastAsia"/>
          <w:color w:val="auto"/>
          <w:highlight w:val="none"/>
          <w:lang w:eastAsia="zh-CN"/>
        </w:rPr>
        <w:t>）</w:t>
      </w:r>
      <w:r>
        <w:rPr>
          <w:rFonts w:hint="eastAsia"/>
          <w:color w:val="auto"/>
          <w:highlight w:val="none"/>
        </w:rPr>
        <w:t>资金投入情况：该项目年初预算数</w:t>
      </w:r>
      <w:r>
        <w:rPr>
          <w:rFonts w:hint="eastAsia"/>
          <w:color w:val="auto"/>
          <w:highlight w:val="none"/>
          <w:lang w:val="en-US" w:eastAsia="zh-CN"/>
        </w:rPr>
        <w:t>1400</w:t>
      </w:r>
      <w:r>
        <w:rPr>
          <w:rFonts w:hint="eastAsia"/>
          <w:color w:val="auto"/>
          <w:highlight w:val="none"/>
        </w:rPr>
        <w:t>万元，全年预算数</w:t>
      </w:r>
      <w:r>
        <w:rPr>
          <w:rFonts w:hint="eastAsia"/>
          <w:color w:val="auto"/>
          <w:highlight w:val="none"/>
          <w:lang w:val="en-US" w:eastAsia="zh-CN"/>
        </w:rPr>
        <w:t>1400</w:t>
      </w:r>
      <w:r>
        <w:rPr>
          <w:rFonts w:hint="eastAsia"/>
          <w:color w:val="auto"/>
          <w:highlight w:val="none"/>
        </w:rPr>
        <w:t>万元，实际总投入</w:t>
      </w:r>
      <w:r>
        <w:rPr>
          <w:rFonts w:hint="eastAsia"/>
          <w:color w:val="auto"/>
          <w:highlight w:val="none"/>
          <w:lang w:val="en-US" w:eastAsia="zh-CN"/>
        </w:rPr>
        <w:t>1400</w:t>
      </w:r>
      <w:r>
        <w:rPr>
          <w:rFonts w:hint="eastAsia"/>
          <w:color w:val="auto"/>
          <w:highlight w:val="none"/>
        </w:rPr>
        <w:t>万元，该项目资金已全部落实到位，资金来源为</w:t>
      </w:r>
      <w:r>
        <w:rPr>
          <w:rFonts w:hint="eastAsia"/>
          <w:color w:val="auto"/>
          <w:highlight w:val="none"/>
          <w:lang w:val="en-US" w:eastAsia="zh-CN"/>
        </w:rPr>
        <w:t>财政拨款</w:t>
      </w:r>
      <w:r>
        <w:rPr>
          <w:rFonts w:hint="eastAsia"/>
          <w:color w:val="auto"/>
          <w:highlight w:val="none"/>
        </w:rPr>
        <w:t>。</w:t>
      </w:r>
    </w:p>
    <w:p>
      <w:pPr>
        <w:pageBreakBefore w:val="0"/>
        <w:widowControl w:val="0"/>
        <w:kinsoku/>
        <w:wordWrap/>
        <w:overflowPunct/>
        <w:topLinePunct w:val="0"/>
        <w:autoSpaceDE/>
        <w:autoSpaceDN/>
        <w:bidi w:val="0"/>
        <w:adjustRightInd/>
        <w:snapToGrid/>
        <w:spacing w:line="560" w:lineRule="exact"/>
        <w:ind w:firstLine="600" w:firstLineChars="200"/>
        <w:textAlignment w:val="auto"/>
        <w:rPr>
          <w:color w:val="auto"/>
          <w:highlight w:val="none"/>
        </w:rPr>
      </w:pPr>
      <w:r>
        <w:rPr>
          <w:rFonts w:hint="eastAsia"/>
          <w:color w:val="auto"/>
          <w:highlight w:val="none"/>
          <w:lang w:eastAsia="zh-CN"/>
        </w:rPr>
        <w:t>（</w:t>
      </w:r>
      <w:r>
        <w:rPr>
          <w:rFonts w:hint="eastAsia"/>
          <w:color w:val="auto"/>
          <w:highlight w:val="none"/>
          <w:lang w:val="en-US" w:eastAsia="zh-CN"/>
        </w:rPr>
        <w:t>2</w:t>
      </w:r>
      <w:r>
        <w:rPr>
          <w:rFonts w:hint="eastAsia"/>
          <w:color w:val="auto"/>
          <w:highlight w:val="none"/>
          <w:lang w:eastAsia="zh-CN"/>
        </w:rPr>
        <w:t>）</w:t>
      </w:r>
      <w:r>
        <w:rPr>
          <w:rFonts w:hint="eastAsia"/>
          <w:color w:val="auto"/>
          <w:highlight w:val="none"/>
        </w:rPr>
        <w:t>资金使用情况：该项目年初预算数</w:t>
      </w:r>
      <w:r>
        <w:rPr>
          <w:rFonts w:hint="eastAsia"/>
          <w:color w:val="auto"/>
          <w:highlight w:val="none"/>
          <w:lang w:val="en-US" w:eastAsia="zh-CN"/>
        </w:rPr>
        <w:t>1400</w:t>
      </w:r>
      <w:r>
        <w:rPr>
          <w:rFonts w:hint="eastAsia"/>
          <w:color w:val="auto"/>
          <w:highlight w:val="none"/>
        </w:rPr>
        <w:t>万元，全年预算数</w:t>
      </w:r>
      <w:r>
        <w:rPr>
          <w:rFonts w:hint="eastAsia"/>
          <w:color w:val="auto"/>
          <w:highlight w:val="none"/>
          <w:lang w:val="en-US" w:eastAsia="zh-CN"/>
        </w:rPr>
        <w:t>1400</w:t>
      </w:r>
      <w:r>
        <w:rPr>
          <w:rFonts w:hint="eastAsia"/>
          <w:color w:val="auto"/>
          <w:highlight w:val="none"/>
        </w:rPr>
        <w:t>万元，全年执行数</w:t>
      </w:r>
      <w:r>
        <w:rPr>
          <w:rFonts w:hint="eastAsia"/>
          <w:color w:val="auto"/>
          <w:highlight w:val="none"/>
          <w:lang w:val="en-US" w:eastAsia="zh-CN"/>
        </w:rPr>
        <w:t>1400</w:t>
      </w:r>
      <w:r>
        <w:rPr>
          <w:rFonts w:hint="eastAsia"/>
          <w:color w:val="auto"/>
          <w:highlight w:val="none"/>
        </w:rPr>
        <w:t>万元，预算执行率为</w:t>
      </w:r>
      <w:r>
        <w:rPr>
          <w:rFonts w:hint="eastAsia"/>
          <w:color w:val="auto"/>
          <w:highlight w:val="none"/>
          <w:lang w:val="en-US" w:eastAsia="zh-CN"/>
        </w:rPr>
        <w:t>100</w:t>
      </w:r>
      <w:r>
        <w:rPr>
          <w:rFonts w:hint="eastAsia"/>
          <w:color w:val="auto"/>
          <w:highlight w:val="none"/>
        </w:rPr>
        <w:t>%，用于场馆提升改造</w:t>
      </w:r>
      <w:r>
        <w:rPr>
          <w:rFonts w:hint="eastAsia"/>
          <w:color w:val="auto"/>
          <w:highlight w:val="none"/>
          <w:lang w:val="en-US" w:eastAsia="zh-CN"/>
        </w:rPr>
        <w:t>651.74万元、发放运动员奖励金698.27</w:t>
      </w:r>
      <w:r>
        <w:rPr>
          <w:rFonts w:hint="eastAsia"/>
          <w:color w:val="auto"/>
          <w:highlight w:val="none"/>
        </w:rPr>
        <w:t>万元</w:t>
      </w:r>
      <w:r>
        <w:rPr>
          <w:rFonts w:hint="eastAsia"/>
          <w:color w:val="auto"/>
          <w:highlight w:val="none"/>
          <w:lang w:eastAsia="zh-CN"/>
        </w:rPr>
        <w:t>、</w:t>
      </w:r>
      <w:r>
        <w:rPr>
          <w:rFonts w:hint="eastAsia"/>
          <w:color w:val="auto"/>
          <w:highlight w:val="none"/>
          <w:lang w:val="en-US" w:eastAsia="zh-CN"/>
        </w:rPr>
        <w:t>购买代表团服装49.99万元</w:t>
      </w:r>
      <w:r>
        <w:rPr>
          <w:rFonts w:hint="eastAsia"/>
          <w:color w:val="auto"/>
          <w:highlight w:val="none"/>
        </w:rPr>
        <w:t>。</w:t>
      </w:r>
    </w:p>
    <w:p>
      <w:pPr>
        <w:pageBreakBefore w:val="0"/>
        <w:widowControl w:val="0"/>
        <w:kinsoku/>
        <w:wordWrap/>
        <w:overflowPunct/>
        <w:topLinePunct w:val="0"/>
        <w:autoSpaceDE/>
        <w:autoSpaceDN/>
        <w:bidi w:val="0"/>
        <w:adjustRightInd/>
        <w:snapToGrid/>
        <w:spacing w:line="560" w:lineRule="exact"/>
        <w:ind w:firstLine="600" w:firstLineChars="200"/>
        <w:textAlignment w:val="auto"/>
        <w:rPr>
          <w:rFonts w:hint="default" w:ascii="仿宋_GB2312" w:eastAsia="仿宋_GB2312"/>
          <w:b w:val="0"/>
          <w:bCs w:val="0"/>
          <w:color w:val="auto"/>
          <w:highlight w:val="none"/>
          <w:lang w:val="en-US" w:eastAsia="zh-CN"/>
        </w:rPr>
      </w:pPr>
      <w:bookmarkStart w:id="2" w:name="_Toc68703829"/>
      <w:r>
        <w:rPr>
          <w:rFonts w:hint="eastAsia" w:ascii="仿宋_GB2312" w:eastAsia="仿宋_GB2312"/>
          <w:b w:val="0"/>
          <w:bCs w:val="0"/>
          <w:color w:val="auto"/>
          <w:highlight w:val="none"/>
        </w:rPr>
        <w:t>（二）项目绩效目标</w:t>
      </w:r>
      <w:bookmarkEnd w:id="2"/>
      <w:r>
        <w:rPr>
          <w:rFonts w:hint="eastAsia" w:ascii="仿宋_GB2312" w:eastAsia="仿宋_GB2312"/>
          <w:b w:val="0"/>
          <w:bCs w:val="0"/>
          <w:color w:val="auto"/>
          <w:highlight w:val="none"/>
          <w:lang w:eastAsia="zh-CN"/>
        </w:rPr>
        <w:t>，</w:t>
      </w:r>
      <w:r>
        <w:rPr>
          <w:rFonts w:hint="eastAsia"/>
          <w:color w:val="auto"/>
          <w:highlight w:val="none"/>
        </w:rPr>
        <w:t>包括总体目标和阶段性目标。</w:t>
      </w:r>
    </w:p>
    <w:p>
      <w:pPr>
        <w:pageBreakBefore w:val="0"/>
        <w:widowControl w:val="0"/>
        <w:kinsoku/>
        <w:wordWrap/>
        <w:overflowPunct/>
        <w:topLinePunct w:val="0"/>
        <w:autoSpaceDE/>
        <w:autoSpaceDN/>
        <w:bidi w:val="0"/>
        <w:adjustRightInd/>
        <w:snapToGrid/>
        <w:spacing w:line="560" w:lineRule="exact"/>
        <w:ind w:firstLine="600" w:firstLineChars="200"/>
        <w:textAlignment w:val="auto"/>
        <w:rPr>
          <w:color w:val="auto"/>
          <w:highlight w:val="none"/>
        </w:rPr>
      </w:pPr>
      <w:r>
        <w:rPr>
          <w:rFonts w:hint="eastAsia"/>
          <w:color w:val="auto"/>
          <w:highlight w:val="none"/>
        </w:rPr>
        <w:t>1</w:t>
      </w:r>
      <w:r>
        <w:rPr>
          <w:rFonts w:hint="eastAsia"/>
          <w:color w:val="auto"/>
          <w:highlight w:val="none"/>
          <w:lang w:val="en-US" w:eastAsia="zh-CN"/>
        </w:rPr>
        <w:t>.</w:t>
      </w:r>
      <w:r>
        <w:rPr>
          <w:rFonts w:hint="eastAsia"/>
          <w:color w:val="auto"/>
          <w:highlight w:val="none"/>
        </w:rPr>
        <w:t>总体目标：根据《关于恢复举办新疆维吾尔自治区第十四届运动会的通知》新体竞字</w:t>
      </w:r>
      <w:r>
        <w:rPr>
          <w:rFonts w:hint="eastAsia" w:ascii="宋体" w:hAnsi="宋体" w:eastAsia="宋体" w:cs="宋体"/>
          <w:color w:val="auto"/>
          <w:highlight w:val="none"/>
        </w:rPr>
        <w:t>〔</w:t>
      </w:r>
      <w:r>
        <w:rPr>
          <w:rFonts w:hint="eastAsia"/>
          <w:color w:val="auto"/>
          <w:highlight w:val="none"/>
        </w:rPr>
        <w:t>2023</w:t>
      </w:r>
      <w:r>
        <w:rPr>
          <w:rFonts w:hint="eastAsia" w:ascii="宋体" w:hAnsi="宋体" w:eastAsia="宋体" w:cs="宋体"/>
          <w:color w:val="auto"/>
          <w:highlight w:val="none"/>
        </w:rPr>
        <w:t>〕</w:t>
      </w:r>
      <w:r>
        <w:rPr>
          <w:rFonts w:hint="eastAsia"/>
          <w:color w:val="auto"/>
          <w:highlight w:val="none"/>
        </w:rPr>
        <w:t>10号，为确保我州能顺利举办各项赛事，根据文件精神，对比赛场馆要求对巴音体育场及体育馆进行改造提升，预计维修两处大型赛场。作为十四运协办单位、参与单位，我州预计将选派730名运动员的组成的代表团参加自治区第十四届运动会，并为运动员配备统一服装展现巴州形象，并根据我州大型赛事奖励办法，将对获奖运动员、教练员进行奖励。自治区第十四届运动会是巴州有史以来承办的水平最高、规模最大、影响最广的综合性体育赛事，我们将加强组织领导，建立高效合理的管理运行机制，群策群力做好各项筹备工作，圆满完成自治区第十四届运动会参赛任务，提高我州竞技体育整体竞争能力。</w:t>
      </w:r>
    </w:p>
    <w:p>
      <w:pPr>
        <w:pageBreakBefore w:val="0"/>
        <w:widowControl w:val="0"/>
        <w:kinsoku/>
        <w:wordWrap/>
        <w:overflowPunct/>
        <w:topLinePunct w:val="0"/>
        <w:autoSpaceDE/>
        <w:autoSpaceDN/>
        <w:bidi w:val="0"/>
        <w:adjustRightInd/>
        <w:snapToGrid/>
        <w:spacing w:line="560" w:lineRule="exact"/>
        <w:ind w:leftChars="0" w:firstLine="600" w:firstLineChars="200"/>
        <w:textAlignment w:val="auto"/>
        <w:rPr>
          <w:rFonts w:hint="eastAsia"/>
          <w:color w:val="auto"/>
          <w:highlight w:val="none"/>
        </w:rPr>
      </w:pPr>
      <w:r>
        <w:rPr>
          <w:color w:val="auto"/>
          <w:highlight w:val="none"/>
        </w:rPr>
        <w:t>2</w:t>
      </w:r>
      <w:r>
        <w:rPr>
          <w:rFonts w:hint="eastAsia"/>
          <w:color w:val="auto"/>
          <w:highlight w:val="none"/>
          <w:lang w:val="en-US" w:eastAsia="zh-CN"/>
        </w:rPr>
        <w:t>.</w:t>
      </w:r>
      <w:r>
        <w:rPr>
          <w:rFonts w:hint="eastAsia"/>
          <w:color w:val="auto"/>
          <w:highlight w:val="none"/>
        </w:rPr>
        <w:t>阶段性目标：</w:t>
      </w:r>
    </w:p>
    <w:p>
      <w:pPr>
        <w:pageBreakBefore w:val="0"/>
        <w:widowControl w:val="0"/>
        <w:kinsoku/>
        <w:wordWrap/>
        <w:overflowPunct/>
        <w:topLinePunct w:val="0"/>
        <w:autoSpaceDE/>
        <w:autoSpaceDN/>
        <w:bidi w:val="0"/>
        <w:adjustRightInd/>
        <w:snapToGrid/>
        <w:spacing w:line="560" w:lineRule="exact"/>
        <w:ind w:leftChars="0" w:firstLine="640" w:firstLineChars="200"/>
        <w:textAlignment w:val="auto"/>
        <w:rPr>
          <w:rFonts w:hint="eastAsia"/>
          <w:color w:val="auto"/>
          <w:sz w:val="32"/>
          <w:szCs w:val="32"/>
          <w:lang w:val="en-US" w:eastAsia="zh-CN"/>
        </w:rPr>
      </w:pPr>
      <w:r>
        <w:rPr>
          <w:rFonts w:hint="default" w:ascii="Times New Roman" w:hAnsi="Times New Roman" w:eastAsia="方正仿宋_GBK" w:cs="Times New Roman"/>
          <w:color w:val="auto"/>
          <w:sz w:val="32"/>
          <w:szCs w:val="32"/>
          <w:lang w:val="en-US" w:eastAsia="zh-CN"/>
        </w:rPr>
        <w:t>1</w:t>
      </w:r>
      <w:r>
        <w:rPr>
          <w:rFonts w:hint="eastAsia"/>
          <w:color w:val="auto"/>
          <w:sz w:val="32"/>
          <w:szCs w:val="32"/>
          <w:lang w:val="en-US" w:eastAsia="zh-CN"/>
        </w:rPr>
        <w:t>.于</w:t>
      </w:r>
      <w:r>
        <w:rPr>
          <w:rFonts w:hint="default" w:ascii="Times New Roman" w:hAnsi="Times New Roman" w:eastAsia="方正仿宋_GBK" w:cs="Times New Roman"/>
          <w:color w:val="auto"/>
          <w:sz w:val="32"/>
          <w:szCs w:val="32"/>
          <w:lang w:val="en-US" w:eastAsia="zh-CN"/>
        </w:rPr>
        <w:t>2023</w:t>
      </w:r>
      <w:r>
        <w:rPr>
          <w:rFonts w:hint="eastAsia"/>
          <w:color w:val="auto"/>
          <w:sz w:val="32"/>
          <w:szCs w:val="32"/>
          <w:lang w:val="en-US" w:eastAsia="zh-CN"/>
        </w:rPr>
        <w:t>年</w:t>
      </w:r>
      <w:r>
        <w:rPr>
          <w:rFonts w:hint="default" w:ascii="Times New Roman" w:hAnsi="Times New Roman" w:eastAsia="方正仿宋_GBK" w:cs="Times New Roman"/>
          <w:color w:val="auto"/>
          <w:sz w:val="32"/>
          <w:szCs w:val="32"/>
          <w:lang w:val="en-US" w:eastAsia="zh-CN"/>
        </w:rPr>
        <w:t>5</w:t>
      </w:r>
      <w:r>
        <w:rPr>
          <w:rFonts w:hint="eastAsia"/>
          <w:color w:val="auto"/>
          <w:sz w:val="32"/>
          <w:szCs w:val="32"/>
          <w:lang w:val="en-US" w:eastAsia="zh-CN"/>
        </w:rPr>
        <w:t>月前完成自治区第十四运动会筹备委员会成立工作。</w:t>
      </w:r>
    </w:p>
    <w:p>
      <w:pPr>
        <w:pageBreakBefore w:val="0"/>
        <w:widowControl w:val="0"/>
        <w:kinsoku/>
        <w:wordWrap/>
        <w:overflowPunct/>
        <w:topLinePunct w:val="0"/>
        <w:autoSpaceDE/>
        <w:autoSpaceDN/>
        <w:bidi w:val="0"/>
        <w:adjustRightInd/>
        <w:snapToGrid/>
        <w:spacing w:line="560" w:lineRule="exact"/>
        <w:ind w:leftChars="0" w:firstLine="640" w:firstLineChars="200"/>
        <w:textAlignment w:val="auto"/>
        <w:rPr>
          <w:rFonts w:hint="eastAsia"/>
          <w:color w:val="auto"/>
          <w:sz w:val="32"/>
          <w:szCs w:val="32"/>
          <w:lang w:val="en-US" w:eastAsia="zh-CN"/>
        </w:rPr>
      </w:pPr>
      <w:r>
        <w:rPr>
          <w:rFonts w:hint="default" w:ascii="Times New Roman" w:hAnsi="Times New Roman" w:eastAsia="方正仿宋_GBK" w:cs="Times New Roman"/>
          <w:color w:val="auto"/>
          <w:sz w:val="32"/>
          <w:szCs w:val="32"/>
          <w:lang w:val="en-US" w:eastAsia="zh-CN"/>
        </w:rPr>
        <w:t>2</w:t>
      </w:r>
      <w:r>
        <w:rPr>
          <w:rFonts w:hint="eastAsia"/>
          <w:color w:val="auto"/>
          <w:sz w:val="32"/>
          <w:szCs w:val="32"/>
          <w:lang w:val="en-US" w:eastAsia="zh-CN"/>
        </w:rPr>
        <w:t>.于</w:t>
      </w:r>
      <w:r>
        <w:rPr>
          <w:rFonts w:hint="default" w:ascii="Times New Roman" w:hAnsi="Times New Roman" w:eastAsia="方正仿宋_GBK" w:cs="Times New Roman"/>
          <w:color w:val="auto"/>
          <w:sz w:val="32"/>
          <w:szCs w:val="32"/>
          <w:lang w:val="en-US" w:eastAsia="zh-CN"/>
        </w:rPr>
        <w:t>2023</w:t>
      </w:r>
      <w:r>
        <w:rPr>
          <w:rFonts w:hint="eastAsia"/>
          <w:color w:val="auto"/>
          <w:sz w:val="32"/>
          <w:szCs w:val="32"/>
          <w:lang w:val="en-US" w:eastAsia="zh-CN"/>
        </w:rPr>
        <w:t>年</w:t>
      </w:r>
      <w:r>
        <w:rPr>
          <w:rFonts w:hint="default" w:ascii="Times New Roman" w:hAnsi="Times New Roman" w:eastAsia="方正仿宋_GBK" w:cs="Times New Roman"/>
          <w:color w:val="auto"/>
          <w:sz w:val="32"/>
          <w:szCs w:val="32"/>
          <w:lang w:val="en-US" w:eastAsia="zh-CN"/>
        </w:rPr>
        <w:t>7</w:t>
      </w:r>
      <w:r>
        <w:rPr>
          <w:rFonts w:hint="eastAsia"/>
          <w:color w:val="auto"/>
          <w:sz w:val="32"/>
          <w:szCs w:val="32"/>
          <w:lang w:val="en-US" w:eastAsia="zh-CN"/>
        </w:rPr>
        <w:t>月前完成自治区第十四届运动会完成开闭幕式招投标工作。</w:t>
      </w:r>
    </w:p>
    <w:p>
      <w:pPr>
        <w:pageBreakBefore w:val="0"/>
        <w:widowControl w:val="0"/>
        <w:kinsoku/>
        <w:wordWrap/>
        <w:overflowPunct/>
        <w:topLinePunct w:val="0"/>
        <w:autoSpaceDE/>
        <w:autoSpaceDN/>
        <w:bidi w:val="0"/>
        <w:adjustRightInd/>
        <w:snapToGrid/>
        <w:spacing w:line="560" w:lineRule="exact"/>
        <w:ind w:leftChars="0" w:firstLine="640" w:firstLineChars="200"/>
        <w:textAlignment w:val="auto"/>
        <w:rPr>
          <w:rFonts w:hint="eastAsia"/>
          <w:color w:val="auto"/>
          <w:sz w:val="32"/>
          <w:szCs w:val="32"/>
          <w:lang w:val="en-US" w:eastAsia="zh-CN"/>
        </w:rPr>
      </w:pPr>
      <w:r>
        <w:rPr>
          <w:rFonts w:hint="default" w:ascii="Times New Roman" w:hAnsi="Times New Roman" w:eastAsia="方正仿宋_GBK" w:cs="Times New Roman"/>
          <w:color w:val="auto"/>
          <w:sz w:val="32"/>
          <w:szCs w:val="32"/>
          <w:lang w:val="en-US" w:eastAsia="zh-CN"/>
        </w:rPr>
        <w:t>3</w:t>
      </w:r>
      <w:r>
        <w:rPr>
          <w:rFonts w:hint="eastAsia"/>
          <w:color w:val="auto"/>
          <w:sz w:val="32"/>
          <w:szCs w:val="32"/>
          <w:lang w:val="en-US" w:eastAsia="zh-CN"/>
        </w:rPr>
        <w:t>.于</w:t>
      </w:r>
      <w:r>
        <w:rPr>
          <w:rFonts w:hint="default" w:ascii="Times New Roman" w:hAnsi="Times New Roman" w:eastAsia="方正仿宋_GBK" w:cs="Times New Roman"/>
          <w:color w:val="auto"/>
          <w:sz w:val="32"/>
          <w:szCs w:val="32"/>
          <w:lang w:val="en-US" w:eastAsia="zh-CN"/>
        </w:rPr>
        <w:t>2023</w:t>
      </w:r>
      <w:r>
        <w:rPr>
          <w:rFonts w:hint="eastAsia"/>
          <w:color w:val="auto"/>
          <w:sz w:val="32"/>
          <w:szCs w:val="32"/>
          <w:lang w:val="en-US" w:eastAsia="zh-CN"/>
        </w:rPr>
        <w:t>年</w:t>
      </w:r>
      <w:r>
        <w:rPr>
          <w:rFonts w:hint="default" w:ascii="Times New Roman" w:hAnsi="Times New Roman" w:eastAsia="方正仿宋_GBK" w:cs="Times New Roman"/>
          <w:color w:val="auto"/>
          <w:sz w:val="32"/>
          <w:szCs w:val="32"/>
          <w:lang w:val="en-US" w:eastAsia="zh-CN"/>
        </w:rPr>
        <w:t>7</w:t>
      </w:r>
      <w:r>
        <w:rPr>
          <w:rFonts w:hint="eastAsia"/>
          <w:color w:val="auto"/>
          <w:sz w:val="32"/>
          <w:szCs w:val="32"/>
          <w:lang w:val="en-US" w:eastAsia="zh-CN"/>
        </w:rPr>
        <w:t>月</w:t>
      </w:r>
      <w:r>
        <w:rPr>
          <w:rFonts w:hint="default" w:ascii="Times New Roman" w:hAnsi="Times New Roman" w:eastAsia="方正仿宋_GBK" w:cs="Times New Roman"/>
          <w:color w:val="auto"/>
          <w:sz w:val="32"/>
          <w:szCs w:val="32"/>
          <w:lang w:val="en-US" w:eastAsia="zh-CN"/>
        </w:rPr>
        <w:t>12</w:t>
      </w:r>
      <w:r>
        <w:rPr>
          <w:rFonts w:hint="eastAsia"/>
          <w:color w:val="auto"/>
          <w:sz w:val="32"/>
          <w:szCs w:val="32"/>
          <w:lang w:val="en-US" w:eastAsia="zh-CN"/>
        </w:rPr>
        <w:t>日前完成巴音体育场、巴音体育馆提升改造工程。</w:t>
      </w:r>
    </w:p>
    <w:p>
      <w:pPr>
        <w:pageBreakBefore w:val="0"/>
        <w:widowControl w:val="0"/>
        <w:kinsoku/>
        <w:wordWrap/>
        <w:overflowPunct/>
        <w:topLinePunct w:val="0"/>
        <w:autoSpaceDE/>
        <w:autoSpaceDN/>
        <w:bidi w:val="0"/>
        <w:adjustRightInd/>
        <w:snapToGrid/>
        <w:spacing w:line="560" w:lineRule="exact"/>
        <w:ind w:leftChars="0" w:firstLine="640" w:firstLineChars="200"/>
        <w:textAlignment w:val="auto"/>
        <w:rPr>
          <w:rFonts w:hint="eastAsia"/>
          <w:color w:val="auto"/>
          <w:sz w:val="32"/>
          <w:szCs w:val="32"/>
          <w:lang w:val="en-US" w:eastAsia="zh-CN"/>
        </w:rPr>
      </w:pPr>
      <w:r>
        <w:rPr>
          <w:rFonts w:hint="default" w:ascii="Times New Roman" w:hAnsi="Times New Roman" w:eastAsia="方正仿宋_GBK" w:cs="Times New Roman"/>
          <w:color w:val="auto"/>
          <w:sz w:val="32"/>
          <w:szCs w:val="32"/>
          <w:lang w:val="en-US" w:eastAsia="zh-CN"/>
        </w:rPr>
        <w:t>4</w:t>
      </w:r>
      <w:r>
        <w:rPr>
          <w:rFonts w:hint="eastAsia"/>
          <w:color w:val="auto"/>
          <w:sz w:val="32"/>
          <w:szCs w:val="32"/>
          <w:lang w:val="en-US" w:eastAsia="zh-CN"/>
        </w:rPr>
        <w:t>.于</w:t>
      </w:r>
      <w:r>
        <w:rPr>
          <w:rFonts w:hint="default" w:ascii="Times New Roman" w:hAnsi="Times New Roman" w:eastAsia="方正仿宋_GBK" w:cs="Times New Roman"/>
          <w:color w:val="auto"/>
          <w:sz w:val="32"/>
          <w:szCs w:val="32"/>
          <w:lang w:val="en-US" w:eastAsia="zh-CN"/>
        </w:rPr>
        <w:t>2023</w:t>
      </w:r>
      <w:r>
        <w:rPr>
          <w:rFonts w:hint="eastAsia"/>
          <w:color w:val="auto"/>
          <w:sz w:val="32"/>
          <w:szCs w:val="32"/>
          <w:lang w:val="en-US" w:eastAsia="zh-CN"/>
        </w:rPr>
        <w:t>年</w:t>
      </w:r>
      <w:r>
        <w:rPr>
          <w:rFonts w:hint="default" w:ascii="Times New Roman" w:hAnsi="Times New Roman" w:eastAsia="方正仿宋_GBK" w:cs="Times New Roman"/>
          <w:color w:val="auto"/>
          <w:sz w:val="32"/>
          <w:szCs w:val="32"/>
          <w:lang w:val="en-US" w:eastAsia="zh-CN"/>
        </w:rPr>
        <w:t>8</w:t>
      </w:r>
      <w:r>
        <w:rPr>
          <w:rFonts w:hint="eastAsia"/>
          <w:color w:val="auto"/>
          <w:sz w:val="32"/>
          <w:szCs w:val="32"/>
          <w:lang w:val="en-US" w:eastAsia="zh-CN"/>
        </w:rPr>
        <w:t>月</w:t>
      </w:r>
      <w:r>
        <w:rPr>
          <w:rFonts w:hint="default" w:ascii="Times New Roman" w:hAnsi="Times New Roman" w:eastAsia="方正仿宋_GBK" w:cs="Times New Roman"/>
          <w:color w:val="auto"/>
          <w:sz w:val="32"/>
          <w:szCs w:val="32"/>
          <w:lang w:val="en-US" w:eastAsia="zh-CN"/>
        </w:rPr>
        <w:t>8</w:t>
      </w:r>
      <w:r>
        <w:rPr>
          <w:rFonts w:hint="eastAsia"/>
          <w:color w:val="auto"/>
          <w:sz w:val="32"/>
          <w:szCs w:val="32"/>
          <w:lang w:val="en-US" w:eastAsia="zh-CN"/>
        </w:rPr>
        <w:t>日举办自治区第十四届运动会开幕式。</w:t>
      </w:r>
    </w:p>
    <w:p>
      <w:pPr>
        <w:pageBreakBefore w:val="0"/>
        <w:widowControl w:val="0"/>
        <w:kinsoku/>
        <w:wordWrap/>
        <w:overflowPunct/>
        <w:topLinePunct w:val="0"/>
        <w:autoSpaceDE/>
        <w:autoSpaceDN/>
        <w:bidi w:val="0"/>
        <w:adjustRightInd/>
        <w:snapToGrid/>
        <w:spacing w:line="560" w:lineRule="exact"/>
        <w:ind w:leftChars="0" w:firstLine="640" w:firstLineChars="200"/>
        <w:textAlignment w:val="auto"/>
        <w:rPr>
          <w:rFonts w:hint="eastAsia"/>
          <w:color w:val="auto"/>
          <w:sz w:val="32"/>
          <w:szCs w:val="32"/>
          <w:lang w:val="en-US" w:eastAsia="zh-CN"/>
        </w:rPr>
      </w:pPr>
      <w:r>
        <w:rPr>
          <w:rFonts w:hint="default" w:ascii="Times New Roman" w:hAnsi="Times New Roman" w:eastAsia="方正仿宋_GBK" w:cs="Times New Roman"/>
          <w:color w:val="auto"/>
          <w:sz w:val="32"/>
          <w:szCs w:val="32"/>
          <w:lang w:val="en-US" w:eastAsia="zh-CN"/>
        </w:rPr>
        <w:t>5</w:t>
      </w:r>
      <w:r>
        <w:rPr>
          <w:rFonts w:hint="eastAsia"/>
          <w:color w:val="auto"/>
          <w:sz w:val="32"/>
          <w:szCs w:val="32"/>
          <w:lang w:val="en-US" w:eastAsia="zh-CN"/>
        </w:rPr>
        <w:t>.于</w:t>
      </w:r>
      <w:r>
        <w:rPr>
          <w:rFonts w:hint="default" w:ascii="Times New Roman" w:hAnsi="Times New Roman" w:eastAsia="方正仿宋_GBK" w:cs="Times New Roman"/>
          <w:color w:val="auto"/>
          <w:sz w:val="32"/>
          <w:szCs w:val="32"/>
          <w:lang w:val="en-US" w:eastAsia="zh-CN"/>
        </w:rPr>
        <w:t>2023</w:t>
      </w:r>
      <w:r>
        <w:rPr>
          <w:rFonts w:hint="eastAsia"/>
          <w:color w:val="auto"/>
          <w:sz w:val="32"/>
          <w:szCs w:val="32"/>
          <w:lang w:val="en-US" w:eastAsia="zh-CN"/>
        </w:rPr>
        <w:t>年</w:t>
      </w:r>
      <w:r>
        <w:rPr>
          <w:rFonts w:hint="default" w:ascii="Times New Roman" w:hAnsi="Times New Roman" w:eastAsia="方正仿宋_GBK" w:cs="Times New Roman"/>
          <w:color w:val="auto"/>
          <w:sz w:val="32"/>
          <w:szCs w:val="32"/>
          <w:lang w:val="en-US" w:eastAsia="zh-CN"/>
        </w:rPr>
        <w:t>8</w:t>
      </w:r>
      <w:r>
        <w:rPr>
          <w:rFonts w:hint="eastAsia"/>
          <w:color w:val="auto"/>
          <w:sz w:val="32"/>
          <w:szCs w:val="32"/>
          <w:lang w:val="en-US" w:eastAsia="zh-CN"/>
        </w:rPr>
        <w:t>月</w:t>
      </w:r>
      <w:r>
        <w:rPr>
          <w:rFonts w:hint="default" w:ascii="Times New Roman" w:hAnsi="Times New Roman" w:eastAsia="方正仿宋_GBK" w:cs="Times New Roman"/>
          <w:color w:val="auto"/>
          <w:sz w:val="32"/>
          <w:szCs w:val="32"/>
          <w:lang w:val="en-US" w:eastAsia="zh-CN"/>
        </w:rPr>
        <w:t>14</w:t>
      </w:r>
      <w:r>
        <w:rPr>
          <w:rFonts w:hint="eastAsia"/>
          <w:color w:val="auto"/>
          <w:sz w:val="32"/>
          <w:szCs w:val="32"/>
          <w:lang w:val="en-US" w:eastAsia="zh-CN"/>
        </w:rPr>
        <w:t>日完成自治区第十四届运动会全部赛事。</w:t>
      </w:r>
    </w:p>
    <w:p>
      <w:pPr>
        <w:pageBreakBefore w:val="0"/>
        <w:widowControl w:val="0"/>
        <w:kinsoku/>
        <w:wordWrap/>
        <w:overflowPunct/>
        <w:topLinePunct w:val="0"/>
        <w:autoSpaceDE/>
        <w:autoSpaceDN/>
        <w:bidi w:val="0"/>
        <w:adjustRightInd/>
        <w:snapToGrid/>
        <w:spacing w:line="560" w:lineRule="exact"/>
        <w:ind w:leftChars="0" w:firstLine="640" w:firstLineChars="200"/>
        <w:textAlignment w:val="auto"/>
        <w:rPr>
          <w:rFonts w:hint="eastAsia"/>
          <w:color w:val="auto"/>
          <w:sz w:val="32"/>
          <w:szCs w:val="32"/>
          <w:lang w:val="en-US" w:eastAsia="zh-CN"/>
        </w:rPr>
      </w:pPr>
      <w:r>
        <w:rPr>
          <w:rFonts w:hint="default" w:ascii="Times New Roman" w:hAnsi="Times New Roman" w:eastAsia="方正仿宋_GBK" w:cs="Times New Roman"/>
          <w:color w:val="auto"/>
          <w:sz w:val="32"/>
          <w:szCs w:val="32"/>
          <w:lang w:val="en-US" w:eastAsia="zh-CN"/>
        </w:rPr>
        <w:t>6</w:t>
      </w:r>
      <w:r>
        <w:rPr>
          <w:rFonts w:hint="eastAsia"/>
          <w:color w:val="auto"/>
          <w:sz w:val="32"/>
          <w:szCs w:val="32"/>
          <w:lang w:val="en-US" w:eastAsia="zh-CN"/>
        </w:rPr>
        <w:t>.于</w:t>
      </w:r>
      <w:r>
        <w:rPr>
          <w:rFonts w:hint="default" w:ascii="Times New Roman" w:hAnsi="Times New Roman" w:eastAsia="方正仿宋_GBK" w:cs="Times New Roman"/>
          <w:color w:val="auto"/>
          <w:sz w:val="32"/>
          <w:szCs w:val="32"/>
          <w:lang w:val="en-US" w:eastAsia="zh-CN"/>
        </w:rPr>
        <w:t>2023</w:t>
      </w:r>
      <w:r>
        <w:rPr>
          <w:rFonts w:hint="eastAsia"/>
          <w:color w:val="auto"/>
          <w:sz w:val="32"/>
          <w:szCs w:val="32"/>
          <w:lang w:val="en-US" w:eastAsia="zh-CN"/>
        </w:rPr>
        <w:t>年</w:t>
      </w:r>
      <w:r>
        <w:rPr>
          <w:rFonts w:hint="default" w:ascii="Times New Roman" w:hAnsi="Times New Roman" w:eastAsia="方正仿宋_GBK" w:cs="Times New Roman"/>
          <w:color w:val="auto"/>
          <w:sz w:val="32"/>
          <w:szCs w:val="32"/>
          <w:lang w:val="en-US" w:eastAsia="zh-CN"/>
        </w:rPr>
        <w:t>8</w:t>
      </w:r>
      <w:r>
        <w:rPr>
          <w:rFonts w:hint="eastAsia"/>
          <w:color w:val="auto"/>
          <w:sz w:val="32"/>
          <w:szCs w:val="32"/>
          <w:lang w:val="en-US" w:eastAsia="zh-CN"/>
        </w:rPr>
        <w:t>月</w:t>
      </w:r>
      <w:r>
        <w:rPr>
          <w:rFonts w:hint="default" w:ascii="Times New Roman" w:hAnsi="Times New Roman" w:eastAsia="方正仿宋_GBK" w:cs="Times New Roman"/>
          <w:color w:val="auto"/>
          <w:sz w:val="32"/>
          <w:szCs w:val="32"/>
          <w:lang w:val="en-US" w:eastAsia="zh-CN"/>
        </w:rPr>
        <w:t>15</w:t>
      </w:r>
      <w:r>
        <w:rPr>
          <w:rFonts w:hint="eastAsia"/>
          <w:color w:val="auto"/>
          <w:sz w:val="32"/>
          <w:szCs w:val="32"/>
          <w:lang w:val="en-US" w:eastAsia="zh-CN"/>
        </w:rPr>
        <w:t>日举办自治区第十四届运动会闭幕式。</w:t>
      </w:r>
    </w:p>
    <w:p>
      <w:pPr>
        <w:pStyle w:val="3"/>
        <w:pageBreakBefore w:val="0"/>
        <w:widowControl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color w:val="auto"/>
          <w:sz w:val="32"/>
          <w:szCs w:val="32"/>
          <w:highlight w:val="none"/>
        </w:rPr>
      </w:pPr>
      <w:bookmarkStart w:id="3" w:name="_Toc68703830"/>
      <w:r>
        <w:rPr>
          <w:rFonts w:hint="eastAsia" w:ascii="宋体" w:hAnsi="宋体" w:eastAsia="宋体"/>
          <w:color w:val="auto"/>
          <w:sz w:val="32"/>
          <w:szCs w:val="32"/>
          <w:highlight w:val="none"/>
        </w:rPr>
        <w:t>二、绩效评价工作开展情况</w:t>
      </w:r>
      <w:bookmarkEnd w:id="3"/>
    </w:p>
    <w:p>
      <w:pPr>
        <w:pStyle w:val="4"/>
        <w:pageBreakBefore w:val="0"/>
        <w:widowControl w:val="0"/>
        <w:kinsoku/>
        <w:wordWrap/>
        <w:overflowPunct/>
        <w:topLinePunct w:val="0"/>
        <w:autoSpaceDE/>
        <w:autoSpaceDN/>
        <w:bidi w:val="0"/>
        <w:adjustRightInd/>
        <w:snapToGrid/>
        <w:spacing w:before="0" w:after="0" w:line="560" w:lineRule="exact"/>
        <w:ind w:firstLine="640" w:firstLineChars="200"/>
        <w:textAlignment w:val="auto"/>
        <w:rPr>
          <w:rFonts w:hint="eastAsia" w:eastAsia="仿宋_GB2312"/>
          <w:color w:val="auto"/>
          <w:highlight w:val="none"/>
          <w:lang w:val="en-US" w:eastAsia="zh-CN"/>
        </w:rPr>
      </w:pPr>
      <w:bookmarkStart w:id="4" w:name="_Toc68703831"/>
      <w:r>
        <w:rPr>
          <w:rFonts w:hint="eastAsia" w:ascii="仿宋_GB2312" w:eastAsia="仿宋_GB2312"/>
          <w:b w:val="0"/>
          <w:bCs w:val="0"/>
          <w:color w:val="auto"/>
          <w:highlight w:val="none"/>
        </w:rPr>
        <w:t>（一）绩效评价目的、对象和范围</w:t>
      </w:r>
      <w:bookmarkEnd w:id="4"/>
    </w:p>
    <w:p>
      <w:pPr>
        <w:pageBreakBefore w:val="0"/>
        <w:widowControl w:val="0"/>
        <w:kinsoku/>
        <w:wordWrap/>
        <w:overflowPunct/>
        <w:topLinePunct w:val="0"/>
        <w:autoSpaceDE/>
        <w:autoSpaceDN/>
        <w:bidi w:val="0"/>
        <w:adjustRightInd/>
        <w:snapToGrid/>
        <w:spacing w:line="560" w:lineRule="exact"/>
        <w:ind w:firstLine="600" w:firstLineChars="200"/>
        <w:textAlignment w:val="auto"/>
        <w:rPr>
          <w:rFonts w:eastAsia="方正仿宋_GBK" w:cs="方正仿宋_GBK"/>
          <w:color w:val="auto"/>
          <w:sz w:val="32"/>
          <w:szCs w:val="32"/>
          <w:highlight w:val="none"/>
        </w:rPr>
      </w:pPr>
      <w:r>
        <w:rPr>
          <w:rFonts w:hint="eastAsia"/>
          <w:color w:val="auto"/>
          <w:highlight w:val="none"/>
          <w:lang w:val="en-US" w:eastAsia="zh-CN"/>
        </w:rPr>
        <w:t>1.</w:t>
      </w:r>
      <w:r>
        <w:rPr>
          <w:rFonts w:hint="eastAsia"/>
          <w:color w:val="auto"/>
          <w:highlight w:val="none"/>
        </w:rPr>
        <w:t>绩效评价目的：</w:t>
      </w:r>
      <w:r>
        <w:rPr>
          <w:rFonts w:eastAsia="仿宋_GB2312"/>
          <w:color w:val="auto"/>
          <w:sz w:val="32"/>
          <w:szCs w:val="32"/>
          <w:highlight w:val="none"/>
        </w:rPr>
        <w:t>通过开展有效的财政支出绩效评价管理，</w:t>
      </w:r>
      <w:r>
        <w:rPr>
          <w:rFonts w:hint="eastAsia" w:eastAsia="仿宋_GB2312"/>
          <w:color w:val="auto"/>
          <w:sz w:val="32"/>
          <w:szCs w:val="32"/>
          <w:highlight w:val="none"/>
        </w:rPr>
        <w:t>全面了解该项目预算编制合理性、资金使用合规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改进预算管理、控制节约成本，优化资源配置、提高预算资金使用效益的目的。</w:t>
      </w:r>
    </w:p>
    <w:p>
      <w:pPr>
        <w:pageBreakBefore w:val="0"/>
        <w:widowControl w:val="0"/>
        <w:kinsoku/>
        <w:wordWrap/>
        <w:overflowPunct/>
        <w:topLinePunct w:val="0"/>
        <w:autoSpaceDE/>
        <w:autoSpaceDN/>
        <w:bidi w:val="0"/>
        <w:adjustRightInd/>
        <w:snapToGrid/>
        <w:spacing w:line="560" w:lineRule="exact"/>
        <w:ind w:firstLine="600" w:firstLineChars="200"/>
        <w:jc w:val="left"/>
        <w:textAlignment w:val="auto"/>
        <w:rPr>
          <w:color w:val="auto"/>
          <w:highlight w:val="none"/>
        </w:rPr>
      </w:pPr>
      <w:r>
        <w:rPr>
          <w:rFonts w:hint="eastAsia"/>
          <w:color w:val="auto"/>
          <w:highlight w:val="none"/>
          <w:lang w:val="en-US" w:eastAsia="zh-CN"/>
        </w:rPr>
        <w:t>2.</w:t>
      </w:r>
      <w:r>
        <w:rPr>
          <w:rFonts w:hint="eastAsia"/>
          <w:color w:val="auto"/>
          <w:highlight w:val="none"/>
        </w:rPr>
        <w:t>绩效评价对象：自治区第十四届运动会经费</w:t>
      </w:r>
    </w:p>
    <w:p>
      <w:pPr>
        <w:pageBreakBefore w:val="0"/>
        <w:widowControl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cs="Times New Roman"/>
          <w:b w:val="0"/>
          <w:bCs w:val="0"/>
          <w:color w:val="auto"/>
          <w:kern w:val="2"/>
          <w:sz w:val="30"/>
          <w:szCs w:val="24"/>
          <w:highlight w:val="none"/>
          <w:lang w:val="en-US" w:eastAsia="zh-CN" w:bidi="ar-SA"/>
        </w:rPr>
      </w:pPr>
      <w:r>
        <w:rPr>
          <w:rFonts w:hint="eastAsia"/>
          <w:color w:val="auto"/>
          <w:highlight w:val="none"/>
          <w:lang w:val="en-US" w:eastAsia="zh-CN"/>
        </w:rPr>
        <w:t>3.</w:t>
      </w:r>
      <w:r>
        <w:rPr>
          <w:rFonts w:hint="eastAsia"/>
          <w:color w:val="auto"/>
          <w:highlight w:val="none"/>
        </w:rPr>
        <w:t>绩效评价范围：</w:t>
      </w:r>
      <w:bookmarkStart w:id="5" w:name="_Toc68703832"/>
      <w:r>
        <w:rPr>
          <w:rFonts w:hint="eastAsia" w:ascii="Times New Roman" w:hAnsi="Times New Roman" w:eastAsia="仿宋_GB2312" w:cs="Times New Roman"/>
          <w:b w:val="0"/>
          <w:bCs w:val="0"/>
          <w:color w:val="auto"/>
          <w:kern w:val="2"/>
          <w:sz w:val="30"/>
          <w:szCs w:val="24"/>
          <w:highlight w:val="none"/>
          <w:lang w:val="en-US" w:eastAsia="zh-CN" w:bidi="ar-SA"/>
        </w:rPr>
        <w:t>本次评价从项目决策（包括绩效目标、决策过程）、项目管理（包括项目资金、项目实施）、项目产出（包括项目产出数量、产出质量、产出时效和产出成本）项目效益四个维度进行自治区第十四届运动会经费评价，评价核心为资金的支出完成情况和效果。</w:t>
      </w:r>
    </w:p>
    <w:p>
      <w:pPr>
        <w:pageBreakBefore w:val="0"/>
        <w:widowControl w:val="0"/>
        <w:kinsoku/>
        <w:wordWrap/>
        <w:overflowPunct/>
        <w:topLinePunct w:val="0"/>
        <w:autoSpaceDE/>
        <w:autoSpaceDN/>
        <w:bidi w:val="0"/>
        <w:adjustRightInd/>
        <w:snapToGrid/>
        <w:spacing w:line="560" w:lineRule="exact"/>
        <w:ind w:firstLine="600" w:firstLineChars="200"/>
        <w:textAlignment w:val="auto"/>
        <w:rPr>
          <w:rFonts w:hint="eastAsia" w:ascii="仿宋_GB2312" w:eastAsia="仿宋_GB2312"/>
          <w:b w:val="0"/>
          <w:bCs w:val="0"/>
          <w:color w:val="auto"/>
          <w:highlight w:val="none"/>
        </w:rPr>
      </w:pPr>
      <w:r>
        <w:rPr>
          <w:rFonts w:hint="eastAsia" w:ascii="仿宋_GB2312" w:eastAsia="仿宋_GB2312"/>
          <w:b w:val="0"/>
          <w:bCs w:val="0"/>
          <w:color w:val="auto"/>
          <w:highlight w:val="none"/>
        </w:rPr>
        <w:t>（二）绩效评价原则、评价指标体系</w:t>
      </w:r>
      <w:r>
        <w:rPr>
          <w:rFonts w:hint="eastAsia" w:ascii="仿宋_GB2312" w:eastAsia="仿宋_GB2312"/>
          <w:b w:val="0"/>
          <w:bCs w:val="0"/>
          <w:color w:val="auto"/>
          <w:highlight w:val="none"/>
          <w:lang w:eastAsia="zh-CN"/>
        </w:rPr>
        <w:t>（附表说明）</w:t>
      </w:r>
      <w:r>
        <w:rPr>
          <w:rFonts w:hint="eastAsia" w:ascii="仿宋_GB2312" w:eastAsia="仿宋_GB2312"/>
          <w:b w:val="0"/>
          <w:bCs w:val="0"/>
          <w:color w:val="auto"/>
          <w:highlight w:val="none"/>
        </w:rPr>
        <w:t>、评价方法、评价标准等。</w:t>
      </w:r>
      <w:bookmarkEnd w:id="5"/>
    </w:p>
    <w:p>
      <w:pPr>
        <w:pageBreakBefore w:val="0"/>
        <w:widowControl w:val="0"/>
        <w:kinsoku/>
        <w:wordWrap/>
        <w:overflowPunct/>
        <w:topLinePunct w:val="0"/>
        <w:autoSpaceDE/>
        <w:autoSpaceDN/>
        <w:bidi w:val="0"/>
        <w:adjustRightInd/>
        <w:snapToGrid/>
        <w:spacing w:line="560" w:lineRule="exact"/>
        <w:ind w:firstLine="600" w:firstLineChars="200"/>
        <w:jc w:val="left"/>
        <w:textAlignment w:val="auto"/>
        <w:rPr>
          <w:rFonts w:hint="eastAsia"/>
          <w:color w:val="auto"/>
          <w:highlight w:val="none"/>
        </w:rPr>
      </w:pPr>
      <w:r>
        <w:rPr>
          <w:rFonts w:hint="eastAsia"/>
          <w:color w:val="auto"/>
          <w:highlight w:val="none"/>
        </w:rPr>
        <w:t>1</w:t>
      </w:r>
      <w:r>
        <w:rPr>
          <w:rFonts w:hint="eastAsia"/>
          <w:color w:val="auto"/>
          <w:highlight w:val="none"/>
          <w:lang w:val="en-US" w:eastAsia="zh-CN"/>
        </w:rPr>
        <w:t>.</w:t>
      </w:r>
      <w:r>
        <w:rPr>
          <w:rFonts w:hint="eastAsia"/>
          <w:color w:val="auto"/>
          <w:highlight w:val="none"/>
        </w:rPr>
        <w:t>绩效评价原则</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bCs/>
          <w:color w:val="auto"/>
          <w:sz w:val="32"/>
          <w:szCs w:val="32"/>
          <w:highlight w:val="none"/>
        </w:rPr>
      </w:pPr>
      <w:r>
        <w:rPr>
          <w:rFonts w:eastAsia="仿宋_GB2312"/>
          <w:color w:val="auto"/>
          <w:sz w:val="32"/>
          <w:szCs w:val="32"/>
          <w:highlight w:val="none"/>
        </w:rPr>
        <w:t>本次项目绩效评价遵循以下基本原则：</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bCs/>
          <w:color w:val="auto"/>
          <w:sz w:val="32"/>
          <w:szCs w:val="32"/>
          <w:highlight w:val="none"/>
        </w:rPr>
      </w:pPr>
      <w:r>
        <w:rPr>
          <w:rFonts w:hint="eastAsia" w:ascii="仿宋_GB2312"/>
          <w:bCs/>
          <w:color w:val="auto"/>
          <w:sz w:val="32"/>
          <w:szCs w:val="32"/>
          <w:highlight w:val="none"/>
        </w:rPr>
        <w:t>（一）科学公正。本次项目支出绩效评价运用科学合理的方法，按照规范的程序，对项目绩效进行客观、公正的反映。</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bCs/>
          <w:color w:val="auto"/>
          <w:sz w:val="32"/>
          <w:szCs w:val="32"/>
          <w:highlight w:val="none"/>
        </w:rPr>
      </w:pPr>
      <w:r>
        <w:rPr>
          <w:rFonts w:hint="eastAsia" w:ascii="仿宋_GB2312"/>
          <w:bCs/>
          <w:color w:val="auto"/>
          <w:sz w:val="32"/>
          <w:szCs w:val="32"/>
          <w:highlight w:val="none"/>
        </w:rPr>
        <w:t>（二）统筹兼顾。本次项目支出绩效评价由本单位自主实施，即“谁支出、谁自评”。</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bCs/>
          <w:color w:val="auto"/>
          <w:sz w:val="32"/>
          <w:szCs w:val="32"/>
          <w:highlight w:val="none"/>
        </w:rPr>
      </w:pPr>
      <w:r>
        <w:rPr>
          <w:rFonts w:hint="eastAsia" w:ascii="仿宋_GB2312"/>
          <w:bCs/>
          <w:color w:val="auto"/>
          <w:sz w:val="32"/>
          <w:szCs w:val="32"/>
          <w:highlight w:val="none"/>
        </w:rPr>
        <w:t>（三）激励约束。本次项目支出绩效评价结果与预算安排、政策调整、改进管理实质性挂钩，体现奖优罚劣和激励相容导向，有效要安排、低效要压减、无效要问责。</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color w:val="auto"/>
          <w:highlight w:val="none"/>
        </w:rPr>
      </w:pPr>
      <w:r>
        <w:rPr>
          <w:rFonts w:hint="eastAsia" w:ascii="仿宋_GB2312"/>
          <w:bCs/>
          <w:color w:val="auto"/>
          <w:sz w:val="32"/>
          <w:szCs w:val="32"/>
          <w:highlight w:val="none"/>
        </w:rPr>
        <w:t>（四）公开透明。本次项目支出绩效评价结果已依法依规公开在</w:t>
      </w:r>
      <w:r>
        <w:rPr>
          <w:rFonts w:hint="eastAsia" w:ascii="仿宋_GB2312"/>
          <w:bCs/>
          <w:color w:val="auto"/>
          <w:sz w:val="32"/>
          <w:szCs w:val="32"/>
          <w:highlight w:val="none"/>
          <w:lang w:val="en-US" w:eastAsia="zh-CN"/>
        </w:rPr>
        <w:t>巴州人民政府</w:t>
      </w:r>
      <w:r>
        <w:rPr>
          <w:rFonts w:hint="eastAsia" w:ascii="仿宋_GB2312"/>
          <w:bCs/>
          <w:color w:val="auto"/>
          <w:sz w:val="32"/>
          <w:szCs w:val="32"/>
          <w:highlight w:val="none"/>
        </w:rPr>
        <w:t>网站网站上，并自觉接受社会监督。</w:t>
      </w:r>
    </w:p>
    <w:p>
      <w:pPr>
        <w:pageBreakBefore w:val="0"/>
        <w:widowControl w:val="0"/>
        <w:kinsoku/>
        <w:wordWrap/>
        <w:overflowPunct/>
        <w:topLinePunct w:val="0"/>
        <w:autoSpaceDE/>
        <w:autoSpaceDN/>
        <w:bidi w:val="0"/>
        <w:adjustRightInd/>
        <w:snapToGrid/>
        <w:spacing w:line="560" w:lineRule="exact"/>
        <w:ind w:firstLine="600" w:firstLineChars="200"/>
        <w:jc w:val="left"/>
        <w:textAlignment w:val="auto"/>
        <w:rPr>
          <w:rFonts w:hint="eastAsia"/>
          <w:color w:val="auto"/>
          <w:highlight w:val="none"/>
        </w:rPr>
      </w:pPr>
      <w:r>
        <w:rPr>
          <w:rFonts w:hint="eastAsia"/>
          <w:color w:val="auto"/>
          <w:highlight w:val="none"/>
        </w:rPr>
        <w:t>2、评价指标体系（附表说明）</w:t>
      </w:r>
    </w:p>
    <w:p>
      <w:pPr>
        <w:pageBreakBefore w:val="0"/>
        <w:widowControl w:val="0"/>
        <w:kinsoku/>
        <w:wordWrap/>
        <w:overflowPunct/>
        <w:topLinePunct w:val="0"/>
        <w:autoSpaceDE/>
        <w:autoSpaceDN/>
        <w:bidi w:val="0"/>
        <w:adjustRightInd/>
        <w:snapToGrid/>
        <w:spacing w:line="560" w:lineRule="exact"/>
        <w:ind w:firstLine="708" w:firstLineChars="200"/>
        <w:textAlignment w:val="auto"/>
        <w:rPr>
          <w:color w:val="auto"/>
          <w:spacing w:val="17"/>
          <w:sz w:val="32"/>
          <w:szCs w:val="32"/>
          <w:highlight w:val="none"/>
        </w:rPr>
      </w:pPr>
      <w:r>
        <w:rPr>
          <w:rFonts w:eastAsia="仿宋_GB2312"/>
          <w:color w:val="auto"/>
          <w:spacing w:val="17"/>
          <w:sz w:val="32"/>
          <w:szCs w:val="32"/>
          <w:highlight w:val="none"/>
        </w:rPr>
        <w:t>绩效评价框架是开展绩效评价的核心。绩效评价框架包括评价准则、关键评价问题、评价指标、数据来源、数据收集方法等。指标体系建立过程如下：</w:t>
      </w:r>
    </w:p>
    <w:p>
      <w:pPr>
        <w:pageBreakBefore w:val="0"/>
        <w:widowControl w:val="0"/>
        <w:kinsoku/>
        <w:wordWrap/>
        <w:overflowPunct/>
        <w:topLinePunct w:val="0"/>
        <w:autoSpaceDE/>
        <w:autoSpaceDN/>
        <w:bidi w:val="0"/>
        <w:adjustRightInd/>
        <w:snapToGrid/>
        <w:spacing w:line="560" w:lineRule="exact"/>
        <w:ind w:firstLine="708" w:firstLineChars="200"/>
        <w:textAlignment w:val="auto"/>
        <w:rPr>
          <w:rFonts w:eastAsia="仿宋_GB2312"/>
          <w:color w:val="auto"/>
          <w:spacing w:val="17"/>
          <w:sz w:val="32"/>
          <w:szCs w:val="32"/>
          <w:highlight w:val="none"/>
        </w:rPr>
      </w:pPr>
      <w:r>
        <w:rPr>
          <w:rFonts w:eastAsia="仿宋_GB2312"/>
          <w:color w:val="auto"/>
          <w:spacing w:val="17"/>
          <w:sz w:val="32"/>
          <w:szCs w:val="32"/>
          <w:highlight w:val="none"/>
        </w:rPr>
        <w:t>（1）确定评价指标</w:t>
      </w:r>
    </w:p>
    <w:p>
      <w:pPr>
        <w:pageBreakBefore w:val="0"/>
        <w:widowControl w:val="0"/>
        <w:kinsoku/>
        <w:wordWrap/>
        <w:overflowPunct/>
        <w:topLinePunct w:val="0"/>
        <w:autoSpaceDE/>
        <w:autoSpaceDN/>
        <w:bidi w:val="0"/>
        <w:adjustRightInd/>
        <w:snapToGrid/>
        <w:spacing w:line="560" w:lineRule="exact"/>
        <w:ind w:firstLine="708" w:firstLineChars="200"/>
        <w:textAlignment w:val="auto"/>
        <w:rPr>
          <w:rFonts w:eastAsia="仿宋_GB2312"/>
          <w:color w:val="auto"/>
          <w:spacing w:val="17"/>
          <w:sz w:val="32"/>
          <w:szCs w:val="32"/>
          <w:highlight w:val="none"/>
        </w:rPr>
      </w:pPr>
      <w:r>
        <w:rPr>
          <w:rFonts w:eastAsia="仿宋_GB2312"/>
          <w:color w:val="auto"/>
          <w:spacing w:val="17"/>
          <w:sz w:val="32"/>
          <w:szCs w:val="32"/>
          <w:highlight w:val="none"/>
        </w:rPr>
        <w:t>采用层次分析法，建立评价指标体系。绩效评价将指标分为项目决策指标、项目过程指标、项目产出指标、项目效益指标四个维度，最终形成一个由多个相互联系的指标组成的多层次指标体系。</w:t>
      </w:r>
    </w:p>
    <w:p>
      <w:pPr>
        <w:pageBreakBefore w:val="0"/>
        <w:widowControl w:val="0"/>
        <w:kinsoku/>
        <w:wordWrap/>
        <w:overflowPunct/>
        <w:topLinePunct w:val="0"/>
        <w:autoSpaceDE/>
        <w:autoSpaceDN/>
        <w:bidi w:val="0"/>
        <w:adjustRightInd/>
        <w:snapToGrid/>
        <w:spacing w:line="560" w:lineRule="exact"/>
        <w:ind w:firstLine="708" w:firstLineChars="200"/>
        <w:textAlignment w:val="auto"/>
        <w:rPr>
          <w:rFonts w:eastAsia="仿宋_GB2312"/>
          <w:color w:val="auto"/>
          <w:spacing w:val="17"/>
          <w:sz w:val="32"/>
          <w:szCs w:val="32"/>
          <w:highlight w:val="none"/>
        </w:rPr>
      </w:pPr>
      <w:r>
        <w:rPr>
          <w:rFonts w:eastAsia="仿宋_GB2312"/>
          <w:color w:val="auto"/>
          <w:spacing w:val="17"/>
          <w:sz w:val="32"/>
          <w:szCs w:val="32"/>
          <w:highlight w:val="none"/>
        </w:rPr>
        <w:t>（2）确定权重</w:t>
      </w:r>
    </w:p>
    <w:p>
      <w:pPr>
        <w:keepNext w:val="0"/>
        <w:keepLines w:val="0"/>
        <w:pageBreakBefore w:val="0"/>
        <w:widowControl w:val="0"/>
        <w:kinsoku/>
        <w:wordWrap/>
        <w:overflowPunct/>
        <w:topLinePunct w:val="0"/>
        <w:autoSpaceDE w:val="0"/>
        <w:autoSpaceDN w:val="0"/>
        <w:bidi w:val="0"/>
        <w:adjustRightInd/>
        <w:snapToGrid/>
        <w:spacing w:line="560" w:lineRule="exact"/>
        <w:ind w:firstLine="708" w:firstLineChars="200"/>
        <w:textAlignment w:val="auto"/>
        <w:rPr>
          <w:rFonts w:hint="eastAsia" w:eastAsia="仿宋_GB2312"/>
          <w:color w:val="auto"/>
          <w:spacing w:val="17"/>
          <w:sz w:val="32"/>
          <w:szCs w:val="32"/>
          <w:highlight w:val="none"/>
          <w:lang w:eastAsia="zh-CN"/>
        </w:rPr>
      </w:pPr>
      <w:r>
        <w:rPr>
          <w:rFonts w:eastAsia="仿宋_GB2312"/>
          <w:color w:val="auto"/>
          <w:spacing w:val="17"/>
          <w:sz w:val="32"/>
          <w:szCs w:val="32"/>
          <w:highlight w:val="none"/>
        </w:rPr>
        <w:t>确定各个指标相对于项目总体绩效的权重分值。在绩效评价指标体系中，项目决策权重为20分，项目过程权重为20分，项目产出权重为40分，项目效益权重为20分。</w:t>
      </w:r>
    </w:p>
    <w:p>
      <w:pPr>
        <w:pageBreakBefore w:val="0"/>
        <w:widowControl w:val="0"/>
        <w:kinsoku/>
        <w:wordWrap/>
        <w:overflowPunct/>
        <w:topLinePunct w:val="0"/>
        <w:autoSpaceDE/>
        <w:autoSpaceDN/>
        <w:bidi w:val="0"/>
        <w:adjustRightInd/>
        <w:snapToGrid/>
        <w:spacing w:line="560" w:lineRule="exact"/>
        <w:ind w:firstLine="708" w:firstLineChars="200"/>
        <w:textAlignment w:val="auto"/>
        <w:rPr>
          <w:rFonts w:eastAsia="仿宋_GB2312"/>
          <w:color w:val="auto"/>
          <w:spacing w:val="17"/>
          <w:sz w:val="32"/>
          <w:szCs w:val="32"/>
          <w:highlight w:val="none"/>
        </w:rPr>
      </w:pPr>
      <w:r>
        <w:rPr>
          <w:rFonts w:eastAsia="仿宋_GB2312"/>
          <w:color w:val="auto"/>
          <w:spacing w:val="17"/>
          <w:sz w:val="32"/>
          <w:szCs w:val="32"/>
          <w:highlight w:val="none"/>
        </w:rPr>
        <w:t>（3）确定指标标准值</w:t>
      </w:r>
    </w:p>
    <w:p>
      <w:pPr>
        <w:pageBreakBefore w:val="0"/>
        <w:widowControl w:val="0"/>
        <w:kinsoku/>
        <w:wordWrap/>
        <w:overflowPunct/>
        <w:topLinePunct w:val="0"/>
        <w:autoSpaceDE/>
        <w:autoSpaceDN/>
        <w:bidi w:val="0"/>
        <w:adjustRightInd/>
        <w:snapToGrid/>
        <w:spacing w:line="560" w:lineRule="exact"/>
        <w:ind w:firstLine="708" w:firstLineChars="200"/>
        <w:textAlignment w:val="auto"/>
        <w:rPr>
          <w:rFonts w:eastAsia="仿宋_GB2312"/>
          <w:color w:val="auto"/>
          <w:spacing w:val="17"/>
          <w:sz w:val="32"/>
          <w:szCs w:val="32"/>
          <w:highlight w:val="none"/>
        </w:rPr>
      </w:pPr>
      <w:r>
        <w:rPr>
          <w:rFonts w:eastAsia="仿宋_GB2312"/>
          <w:color w:val="auto"/>
          <w:spacing w:val="17"/>
          <w:sz w:val="32"/>
          <w:szCs w:val="32"/>
          <w:highlight w:val="none"/>
        </w:rPr>
        <w:t>指标标准值是绩效评价指标的尺度，既要反映同类项目的先进水平，又要符合项目的实际绩效水平。具体采用计划标准等确定此次绩效评价指标标准值。</w:t>
      </w:r>
    </w:p>
    <w:p>
      <w:pPr>
        <w:pStyle w:val="10"/>
        <w:pageBreakBefore w:val="0"/>
        <w:widowControl w:val="0"/>
        <w:kinsoku/>
        <w:wordWrap/>
        <w:overflowPunct/>
        <w:topLinePunct w:val="0"/>
        <w:autoSpaceDE/>
        <w:autoSpaceDN/>
        <w:bidi w:val="0"/>
        <w:adjustRightInd/>
        <w:snapToGrid/>
        <w:spacing w:before="0" w:after="0" w:line="560" w:lineRule="exact"/>
        <w:ind w:firstLine="708" w:firstLineChars="200"/>
        <w:jc w:val="both"/>
        <w:textAlignment w:val="auto"/>
        <w:rPr>
          <w:rFonts w:ascii="Times New Roman" w:hAnsi="Times New Roman" w:eastAsia="仿宋_GB2312"/>
          <w:b w:val="0"/>
          <w:bCs w:val="0"/>
          <w:color w:val="auto"/>
          <w:spacing w:val="17"/>
          <w:kern w:val="2"/>
          <w:highlight w:val="none"/>
        </w:rPr>
      </w:pPr>
      <w:r>
        <w:rPr>
          <w:rFonts w:ascii="Times New Roman" w:hAnsi="Times New Roman" w:eastAsia="仿宋_GB2312"/>
          <w:b w:val="0"/>
          <w:bCs w:val="0"/>
          <w:color w:val="auto"/>
          <w:spacing w:val="17"/>
          <w:kern w:val="2"/>
          <w:highlight w:val="none"/>
        </w:rPr>
        <w:t>绩效评价总分值100分，根据综合评分结果，评价计分90分-100分（含90分）对应的评分结果级别为优，80-90分（含80分）对应的评分结果级别为良，60-80分（含60分）对应的评分结果级别为中，60分以下对应的评分结果级别为差。</w:t>
      </w:r>
    </w:p>
    <w:p>
      <w:pPr>
        <w:pageBreakBefore w:val="0"/>
        <w:widowControl w:val="0"/>
        <w:kinsoku/>
        <w:wordWrap/>
        <w:overflowPunct/>
        <w:topLinePunct w:val="0"/>
        <w:autoSpaceDE/>
        <w:autoSpaceDN/>
        <w:bidi w:val="0"/>
        <w:adjustRightInd/>
        <w:snapToGrid/>
        <w:spacing w:line="560" w:lineRule="exact"/>
        <w:ind w:firstLine="600" w:firstLineChars="200"/>
        <w:jc w:val="left"/>
        <w:textAlignment w:val="auto"/>
        <w:rPr>
          <w:rFonts w:hint="eastAsia"/>
          <w:color w:val="auto"/>
          <w:highlight w:val="none"/>
        </w:rPr>
      </w:pPr>
      <w:r>
        <w:rPr>
          <w:rFonts w:hint="eastAsia"/>
          <w:color w:val="auto"/>
          <w:highlight w:val="none"/>
        </w:rPr>
        <w:t>3、评价方法</w:t>
      </w:r>
    </w:p>
    <w:p>
      <w:pPr>
        <w:pageBreakBefore w:val="0"/>
        <w:widowControl w:val="0"/>
        <w:kinsoku/>
        <w:wordWrap/>
        <w:overflowPunct/>
        <w:topLinePunct w:val="0"/>
        <w:autoSpaceDE/>
        <w:autoSpaceDN/>
        <w:bidi w:val="0"/>
        <w:adjustRightInd/>
        <w:snapToGrid/>
        <w:spacing w:line="560" w:lineRule="exact"/>
        <w:ind w:firstLine="708" w:firstLineChars="200"/>
        <w:textAlignment w:val="auto"/>
        <w:rPr>
          <w:rFonts w:eastAsia="仿宋_GB2312"/>
          <w:color w:val="auto"/>
          <w:spacing w:val="17"/>
          <w:sz w:val="32"/>
          <w:szCs w:val="32"/>
          <w:highlight w:val="none"/>
        </w:rPr>
      </w:pPr>
      <w:r>
        <w:rPr>
          <w:rFonts w:eastAsia="仿宋_GB2312"/>
          <w:color w:val="auto"/>
          <w:spacing w:val="17"/>
          <w:sz w:val="32"/>
          <w:szCs w:val="32"/>
          <w:highlight w:val="none"/>
        </w:rPr>
        <w:t>绩效评价从项目决策、项目过程、项目产出、项目效益四个维度进行评价。评价对象为项目目标实施情况，评价核心为资金的支出完成情况和项目的产出效益。</w:t>
      </w:r>
    </w:p>
    <w:p>
      <w:pPr>
        <w:pageBreakBefore w:val="0"/>
        <w:widowControl w:val="0"/>
        <w:kinsoku/>
        <w:wordWrap/>
        <w:overflowPunct/>
        <w:topLinePunct w:val="0"/>
        <w:autoSpaceDE/>
        <w:autoSpaceDN/>
        <w:bidi w:val="0"/>
        <w:adjustRightInd/>
        <w:snapToGrid/>
        <w:spacing w:line="560" w:lineRule="exact"/>
        <w:ind w:firstLine="708" w:firstLineChars="200"/>
        <w:textAlignment w:val="auto"/>
        <w:rPr>
          <w:rFonts w:hint="eastAsia" w:eastAsia="仿宋_GB2312"/>
          <w:color w:val="auto"/>
          <w:highlight w:val="none"/>
          <w:lang w:eastAsia="zh-CN"/>
        </w:rPr>
      </w:pPr>
      <w:r>
        <w:rPr>
          <w:rFonts w:hint="eastAsia" w:eastAsia="仿宋_GB2312"/>
          <w:color w:val="auto"/>
          <w:spacing w:val="17"/>
          <w:sz w:val="32"/>
          <w:szCs w:val="32"/>
          <w:highlight w:val="none"/>
        </w:rPr>
        <w:t>本次项目支出绩效自评采用成本效益法，原因为：本项目为自治区体育运动赛事，项目支出评价内容主要方向为赛事费用支出后赛事取得的成绩及效益进行分析，故使用成本效益分析法。</w:t>
      </w:r>
    </w:p>
    <w:p>
      <w:pPr>
        <w:pageBreakBefore w:val="0"/>
        <w:widowControl w:val="0"/>
        <w:kinsoku/>
        <w:wordWrap/>
        <w:overflowPunct/>
        <w:topLinePunct w:val="0"/>
        <w:autoSpaceDE/>
        <w:autoSpaceDN/>
        <w:bidi w:val="0"/>
        <w:adjustRightInd/>
        <w:snapToGrid/>
        <w:spacing w:line="560" w:lineRule="exact"/>
        <w:ind w:firstLine="600" w:firstLineChars="200"/>
        <w:jc w:val="left"/>
        <w:textAlignment w:val="auto"/>
        <w:rPr>
          <w:rFonts w:hint="eastAsia"/>
          <w:color w:val="auto"/>
          <w:highlight w:val="none"/>
        </w:rPr>
      </w:pPr>
      <w:r>
        <w:rPr>
          <w:rFonts w:hint="eastAsia"/>
          <w:color w:val="auto"/>
          <w:highlight w:val="none"/>
        </w:rPr>
        <w:t>4</w:t>
      </w:r>
      <w:r>
        <w:rPr>
          <w:rFonts w:hint="eastAsia"/>
          <w:color w:val="auto"/>
          <w:highlight w:val="none"/>
          <w:lang w:val="en-US" w:eastAsia="zh-CN"/>
        </w:rPr>
        <w:t>.</w:t>
      </w:r>
      <w:r>
        <w:rPr>
          <w:rFonts w:hint="eastAsia"/>
          <w:color w:val="auto"/>
          <w:highlight w:val="none"/>
        </w:rPr>
        <w:t>评价标准</w:t>
      </w:r>
    </w:p>
    <w:p>
      <w:pPr>
        <w:pageBreakBefore w:val="0"/>
        <w:widowControl w:val="0"/>
        <w:kinsoku/>
        <w:wordWrap/>
        <w:overflowPunct/>
        <w:topLinePunct w:val="0"/>
        <w:autoSpaceDE/>
        <w:autoSpaceDN/>
        <w:bidi w:val="0"/>
        <w:adjustRightInd/>
        <w:snapToGrid/>
        <w:spacing w:line="560" w:lineRule="exact"/>
        <w:ind w:firstLine="708" w:firstLineChars="200"/>
        <w:textAlignment w:val="auto"/>
        <w:rPr>
          <w:rFonts w:hint="eastAsia" w:eastAsia="仿宋_GB2312"/>
          <w:color w:val="auto"/>
          <w:spacing w:val="17"/>
          <w:sz w:val="32"/>
          <w:szCs w:val="32"/>
          <w:highlight w:val="none"/>
        </w:rPr>
      </w:pPr>
      <w:r>
        <w:rPr>
          <w:rFonts w:hint="eastAsia" w:eastAsia="仿宋_GB2312"/>
          <w:color w:val="auto"/>
          <w:spacing w:val="17"/>
          <w:sz w:val="32"/>
          <w:szCs w:val="32"/>
          <w:highlight w:val="none"/>
        </w:rPr>
        <w:t>绩效评价标准通常包括计划标准、行业标准、历史标准等，用于对绩效指标完成情况进行比较</w:t>
      </w:r>
      <w:bookmarkStart w:id="21" w:name="_GoBack"/>
      <w:bookmarkEnd w:id="21"/>
      <w:r>
        <w:rPr>
          <w:rFonts w:hint="eastAsia" w:eastAsia="仿宋_GB2312"/>
          <w:color w:val="auto"/>
          <w:spacing w:val="17"/>
          <w:sz w:val="32"/>
          <w:szCs w:val="32"/>
          <w:highlight w:val="none"/>
        </w:rPr>
        <w:t>、分析、评价。</w:t>
      </w:r>
    </w:p>
    <w:p>
      <w:pPr>
        <w:pageBreakBefore w:val="0"/>
        <w:widowControl w:val="0"/>
        <w:kinsoku/>
        <w:wordWrap/>
        <w:overflowPunct/>
        <w:topLinePunct w:val="0"/>
        <w:autoSpaceDE/>
        <w:autoSpaceDN/>
        <w:bidi w:val="0"/>
        <w:adjustRightInd/>
        <w:snapToGrid/>
        <w:spacing w:line="560" w:lineRule="exact"/>
        <w:ind w:firstLine="708" w:firstLineChars="200"/>
        <w:textAlignment w:val="auto"/>
        <w:rPr>
          <w:bCs/>
          <w:color w:val="auto"/>
          <w:sz w:val="32"/>
          <w:szCs w:val="32"/>
          <w:highlight w:val="none"/>
        </w:rPr>
      </w:pPr>
      <w:r>
        <w:rPr>
          <w:rFonts w:hint="eastAsia" w:eastAsia="仿宋_GB2312"/>
          <w:color w:val="auto"/>
          <w:spacing w:val="17"/>
          <w:sz w:val="32"/>
          <w:szCs w:val="32"/>
          <w:highlight w:val="none"/>
        </w:rPr>
        <w:t>本次项目支出绩效自评</w:t>
      </w:r>
      <w:r>
        <w:rPr>
          <w:rFonts w:hint="eastAsia"/>
          <w:color w:val="auto"/>
          <w:spacing w:val="17"/>
          <w:sz w:val="32"/>
          <w:szCs w:val="32"/>
          <w:highlight w:val="none"/>
          <w:lang w:val="en-US" w:eastAsia="zh-CN"/>
        </w:rPr>
        <w:t>主要</w:t>
      </w:r>
      <w:r>
        <w:rPr>
          <w:rFonts w:hint="eastAsia" w:eastAsia="仿宋_GB2312"/>
          <w:color w:val="auto"/>
          <w:spacing w:val="17"/>
          <w:sz w:val="32"/>
          <w:szCs w:val="32"/>
          <w:highlight w:val="none"/>
        </w:rPr>
        <w:t>采用计划标准，原因是：因本项目预算支出后，预期要达到的目标是明确的，故以预先制定的目标、计划、预算等作为评价标准。</w:t>
      </w:r>
    </w:p>
    <w:p>
      <w:pPr>
        <w:pStyle w:val="4"/>
        <w:pageBreakBefore w:val="0"/>
        <w:widowControl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color w:val="auto"/>
          <w:highlight w:val="none"/>
        </w:rPr>
      </w:pPr>
      <w:bookmarkStart w:id="6" w:name="_Toc68703833"/>
      <w:r>
        <w:rPr>
          <w:rFonts w:hint="eastAsia" w:ascii="仿宋_GB2312" w:eastAsia="仿宋_GB2312"/>
          <w:b w:val="0"/>
          <w:bCs w:val="0"/>
          <w:color w:val="auto"/>
          <w:highlight w:val="none"/>
        </w:rPr>
        <w:t>（三）绩效评价工作过程。</w:t>
      </w:r>
      <w:bookmarkEnd w:id="6"/>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kern w:val="28"/>
          <w:sz w:val="32"/>
          <w:szCs w:val="32"/>
          <w:lang w:val="en-US" w:eastAsia="zh-CN" w:bidi="ar-SA"/>
        </w:rPr>
      </w:pPr>
      <w:bookmarkStart w:id="7" w:name="_Toc68703834"/>
      <w:r>
        <w:rPr>
          <w:rFonts w:hint="default" w:ascii="Times New Roman" w:hAnsi="Times New Roman" w:eastAsia="仿宋_GB2312" w:cs="Times New Roman"/>
          <w:b w:val="0"/>
          <w:bCs w:val="0"/>
          <w:kern w:val="28"/>
          <w:sz w:val="32"/>
          <w:szCs w:val="32"/>
          <w:lang w:val="en-US" w:eastAsia="zh-CN" w:bidi="ar-SA"/>
        </w:rPr>
        <w:t>1.前期准备。</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kern w:val="28"/>
          <w:sz w:val="32"/>
          <w:szCs w:val="32"/>
          <w:lang w:val="en-US" w:eastAsia="zh-CN" w:bidi="ar-SA"/>
        </w:rPr>
      </w:pPr>
      <w:r>
        <w:rPr>
          <w:rFonts w:hint="default" w:ascii="Times New Roman" w:hAnsi="Times New Roman" w:eastAsia="仿宋_GB2312" w:cs="Times New Roman"/>
          <w:b w:val="0"/>
          <w:bCs w:val="0"/>
          <w:kern w:val="28"/>
          <w:sz w:val="32"/>
          <w:szCs w:val="32"/>
          <w:lang w:val="en-US" w:eastAsia="zh-CN" w:bidi="ar-SA"/>
        </w:rPr>
        <w:t>（1）2024年3月11日，开始前期准备工作；</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kern w:val="28"/>
          <w:sz w:val="32"/>
          <w:szCs w:val="32"/>
          <w:lang w:val="en-US" w:eastAsia="zh-CN" w:bidi="ar-SA"/>
        </w:rPr>
      </w:pPr>
      <w:r>
        <w:rPr>
          <w:rFonts w:hint="default" w:ascii="Times New Roman" w:hAnsi="Times New Roman" w:eastAsia="仿宋_GB2312" w:cs="Times New Roman"/>
          <w:b w:val="0"/>
          <w:bCs w:val="0"/>
          <w:kern w:val="28"/>
          <w:sz w:val="32"/>
          <w:szCs w:val="32"/>
          <w:lang w:val="en-US" w:eastAsia="zh-CN" w:bidi="ar-SA"/>
        </w:rPr>
        <w:t>（2）2024年3月11日，我局成立项目支出绩效评价工作小组（小组负责人：宋建军，小组成员：车淑红、程松）；</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kern w:val="28"/>
          <w:sz w:val="32"/>
          <w:szCs w:val="32"/>
          <w:lang w:val="en-US" w:eastAsia="zh-CN" w:bidi="ar-SA"/>
        </w:rPr>
      </w:pPr>
      <w:r>
        <w:rPr>
          <w:rFonts w:hint="default" w:ascii="Times New Roman" w:hAnsi="Times New Roman" w:eastAsia="仿宋_GB2312" w:cs="Times New Roman"/>
          <w:b w:val="0"/>
          <w:bCs w:val="0"/>
          <w:kern w:val="28"/>
          <w:sz w:val="32"/>
          <w:szCs w:val="32"/>
          <w:lang w:val="en-US" w:eastAsia="zh-CN" w:bidi="ar-SA"/>
        </w:rPr>
        <w:t>（3）2024年3月14日，根据项目的实施内容和特征，我局制定了评价指标体系及评价标准以及评价实施方案，修正并确定所需资料清单，最终确定绩效评价工作方案。</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kern w:val="28"/>
          <w:sz w:val="32"/>
          <w:szCs w:val="32"/>
          <w:lang w:val="en-US" w:eastAsia="zh-CN" w:bidi="ar-SA"/>
        </w:rPr>
      </w:pPr>
      <w:r>
        <w:rPr>
          <w:rFonts w:hint="default" w:ascii="Times New Roman" w:hAnsi="Times New Roman" w:eastAsia="仿宋_GB2312" w:cs="Times New Roman"/>
          <w:b w:val="0"/>
          <w:bCs w:val="0"/>
          <w:kern w:val="28"/>
          <w:sz w:val="32"/>
          <w:szCs w:val="32"/>
          <w:lang w:val="en-US" w:eastAsia="zh-CN" w:bidi="ar-SA"/>
        </w:rPr>
        <w:t>2.组织实施。</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kern w:val="28"/>
          <w:sz w:val="32"/>
          <w:szCs w:val="32"/>
          <w:lang w:val="en-US" w:eastAsia="zh-CN" w:bidi="ar-SA"/>
        </w:rPr>
      </w:pPr>
      <w:r>
        <w:rPr>
          <w:rFonts w:hint="default" w:ascii="Times New Roman" w:hAnsi="Times New Roman" w:eastAsia="仿宋_GB2312" w:cs="Times New Roman"/>
          <w:b w:val="0"/>
          <w:bCs w:val="0"/>
          <w:kern w:val="28"/>
          <w:sz w:val="32"/>
          <w:szCs w:val="32"/>
          <w:lang w:val="en-US" w:eastAsia="zh-CN" w:bidi="ar-SA"/>
        </w:rPr>
        <w:t>2024年3月16日-3月23日，评价工作进入实施阶段：</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kern w:val="28"/>
          <w:sz w:val="32"/>
          <w:szCs w:val="32"/>
          <w:lang w:val="en-US" w:eastAsia="zh-CN" w:bidi="ar-SA"/>
        </w:rPr>
      </w:pPr>
      <w:r>
        <w:rPr>
          <w:rFonts w:hint="default" w:ascii="Times New Roman" w:hAnsi="Times New Roman" w:eastAsia="仿宋_GB2312" w:cs="Times New Roman"/>
          <w:b w:val="0"/>
          <w:bCs w:val="0"/>
          <w:kern w:val="28"/>
          <w:sz w:val="32"/>
          <w:szCs w:val="32"/>
          <w:lang w:val="en-US" w:eastAsia="zh-CN" w:bidi="ar-SA"/>
        </w:rPr>
        <w:t>（1）评价组收集绩效评价相关数据资料，进行项目分析、佐证材料收集；</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kern w:val="28"/>
          <w:sz w:val="32"/>
          <w:szCs w:val="32"/>
          <w:lang w:val="en-US" w:eastAsia="zh-CN" w:bidi="ar-SA"/>
        </w:rPr>
      </w:pPr>
      <w:r>
        <w:rPr>
          <w:rFonts w:hint="default" w:ascii="Times New Roman" w:hAnsi="Times New Roman" w:eastAsia="仿宋_GB2312" w:cs="Times New Roman"/>
          <w:b w:val="0"/>
          <w:bCs w:val="0"/>
          <w:kern w:val="28"/>
          <w:sz w:val="32"/>
          <w:szCs w:val="32"/>
          <w:lang w:val="en-US" w:eastAsia="zh-CN" w:bidi="ar-SA"/>
        </w:rPr>
        <w:t>（2）与项目实施负责人沟通，了解资金的内容、操作流程、管理机制、资金使用方向等情况，分析形成初步结论。</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kern w:val="28"/>
          <w:sz w:val="32"/>
          <w:szCs w:val="32"/>
          <w:lang w:val="en-US" w:eastAsia="zh-CN" w:bidi="ar-SA"/>
        </w:rPr>
      </w:pPr>
      <w:r>
        <w:rPr>
          <w:rFonts w:hint="default" w:ascii="Times New Roman" w:hAnsi="Times New Roman" w:eastAsia="仿宋_GB2312" w:cs="Times New Roman"/>
          <w:b w:val="0"/>
          <w:bCs w:val="0"/>
          <w:kern w:val="28"/>
          <w:sz w:val="32"/>
          <w:szCs w:val="32"/>
          <w:lang w:val="en-US" w:eastAsia="zh-CN" w:bidi="ar-SA"/>
        </w:rPr>
        <w:t>3.分析评价。</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kern w:val="28"/>
          <w:sz w:val="32"/>
          <w:szCs w:val="32"/>
          <w:lang w:val="en-US" w:eastAsia="zh-CN" w:bidi="ar-SA"/>
        </w:rPr>
      </w:pPr>
      <w:r>
        <w:rPr>
          <w:rFonts w:hint="default" w:ascii="Times New Roman" w:hAnsi="Times New Roman" w:eastAsia="仿宋_GB2312" w:cs="Times New Roman"/>
          <w:b w:val="0"/>
          <w:bCs w:val="0"/>
          <w:kern w:val="28"/>
          <w:sz w:val="32"/>
          <w:szCs w:val="32"/>
          <w:lang w:val="en-US" w:eastAsia="zh-CN" w:bidi="ar-SA"/>
        </w:rPr>
        <w:t>2024年3月24日-3月29日，评价组按照绩效评价的原则和规范，对取得的资料进行审查核实，对采集的数据进行分析，按照绩效评价指标评分表逐项进行打分、分析，汇总各方评价结果，综合分析并形成评价结论。</w:t>
      </w:r>
    </w:p>
    <w:p>
      <w:pPr>
        <w:pStyle w:val="3"/>
        <w:pageBreakBefore w:val="0"/>
        <w:widowControl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color w:val="auto"/>
          <w:sz w:val="32"/>
          <w:szCs w:val="32"/>
          <w:highlight w:val="none"/>
        </w:rPr>
      </w:pPr>
      <w:r>
        <w:rPr>
          <w:rFonts w:hint="eastAsia" w:ascii="宋体" w:hAnsi="宋体" w:eastAsia="宋体"/>
          <w:color w:val="auto"/>
          <w:sz w:val="32"/>
          <w:szCs w:val="32"/>
          <w:highlight w:val="none"/>
        </w:rPr>
        <w:t>三、综合评价情况及评价结论</w:t>
      </w:r>
      <w:bookmarkEnd w:id="7"/>
    </w:p>
    <w:p>
      <w:pPr>
        <w:pStyle w:val="4"/>
        <w:pageBreakBefore w:val="0"/>
        <w:widowControl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color w:val="auto"/>
          <w:highlight w:val="none"/>
          <w:lang w:eastAsia="zh-CN"/>
        </w:rPr>
      </w:pPr>
      <w:bookmarkStart w:id="8" w:name="_Toc68703835"/>
      <w:r>
        <w:rPr>
          <w:rFonts w:hint="eastAsia" w:ascii="仿宋_GB2312" w:eastAsia="仿宋_GB2312"/>
          <w:b w:val="0"/>
          <w:bCs w:val="0"/>
          <w:color w:val="auto"/>
          <w:highlight w:val="none"/>
        </w:rPr>
        <w:t>（一）综合评价情况</w:t>
      </w:r>
      <w:bookmarkEnd w:id="8"/>
      <w:r>
        <w:rPr>
          <w:rFonts w:hint="eastAsia" w:ascii="仿宋_GB2312" w:eastAsia="仿宋_GB2312"/>
          <w:b w:val="0"/>
          <w:bCs w:val="0"/>
          <w:color w:val="auto"/>
          <w:highlight w:val="none"/>
          <w:lang w:eastAsia="zh-CN"/>
        </w:rPr>
        <w:t>及评价结论</w:t>
      </w:r>
    </w:p>
    <w:p>
      <w:pPr>
        <w:keepNext w:val="0"/>
        <w:keepLines w:val="0"/>
        <w:pageBreakBefore w:val="0"/>
        <w:widowControl w:val="0"/>
        <w:kinsoku/>
        <w:wordWrap/>
        <w:overflowPunct/>
        <w:topLinePunct w:val="0"/>
        <w:autoSpaceDE w:val="0"/>
        <w:autoSpaceDN w:val="0"/>
        <w:bidi w:val="0"/>
        <w:adjustRightInd/>
        <w:snapToGrid/>
        <w:spacing w:line="560" w:lineRule="exact"/>
        <w:ind w:firstLine="600" w:firstLineChars="200"/>
        <w:textAlignment w:val="auto"/>
        <w:rPr>
          <w:rFonts w:hint="eastAsia" w:ascii="Times New Roman" w:hAnsi="Times New Roman" w:eastAsia="仿宋_GB2312" w:cs="Times New Roman"/>
          <w:b w:val="0"/>
          <w:bCs w:val="0"/>
          <w:color w:val="auto"/>
          <w:kern w:val="28"/>
          <w:sz w:val="32"/>
          <w:szCs w:val="32"/>
          <w:highlight w:val="none"/>
          <w:lang w:val="en-US" w:eastAsia="zh-CN" w:bidi="ar-SA"/>
        </w:rPr>
      </w:pPr>
      <w:r>
        <w:rPr>
          <w:rFonts w:hint="eastAsia" w:ascii="仿宋_GB2312"/>
          <w:b w:val="0"/>
          <w:bCs w:val="0"/>
          <w:color w:val="auto"/>
          <w:highlight w:val="none"/>
          <w:lang w:val="en-US" w:eastAsia="zh-CN"/>
        </w:rPr>
        <w:t>1.</w:t>
      </w:r>
      <w:r>
        <w:rPr>
          <w:rFonts w:hint="eastAsia" w:ascii="仿宋_GB2312" w:eastAsia="仿宋_GB2312"/>
          <w:b w:val="0"/>
          <w:bCs w:val="0"/>
          <w:color w:val="auto"/>
          <w:highlight w:val="none"/>
        </w:rPr>
        <w:t>综合评价情况</w:t>
      </w:r>
      <w:r>
        <w:rPr>
          <w:rFonts w:hint="eastAsia" w:ascii="仿宋_GB2312"/>
          <w:b w:val="0"/>
          <w:bCs w:val="0"/>
          <w:color w:val="auto"/>
          <w:highlight w:val="none"/>
          <w:lang w:eastAsia="zh-CN"/>
        </w:rPr>
        <w:t>：</w:t>
      </w:r>
      <w:r>
        <w:rPr>
          <w:rFonts w:hint="eastAsia" w:ascii="Times New Roman" w:hAnsi="Times New Roman" w:eastAsia="仿宋_GB2312" w:cs="Times New Roman"/>
          <w:b w:val="0"/>
          <w:bCs w:val="0"/>
          <w:color w:val="auto"/>
          <w:kern w:val="28"/>
          <w:sz w:val="32"/>
          <w:szCs w:val="32"/>
          <w:highlight w:val="none"/>
          <w:lang w:val="en-US" w:eastAsia="zh-CN" w:bidi="ar-SA"/>
        </w:rPr>
        <w:t>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p>
    <w:p>
      <w:pPr>
        <w:pageBreakBefore w:val="0"/>
        <w:widowControl w:val="0"/>
        <w:kinsoku/>
        <w:wordWrap/>
        <w:overflowPunct/>
        <w:topLinePunct w:val="0"/>
        <w:autoSpaceDE/>
        <w:autoSpaceDN/>
        <w:bidi w:val="0"/>
        <w:adjustRightInd/>
        <w:snapToGrid/>
        <w:spacing w:line="560" w:lineRule="exact"/>
        <w:ind w:firstLine="600" w:firstLineChars="200"/>
        <w:textAlignment w:val="auto"/>
        <w:rPr>
          <w:color w:val="auto"/>
          <w:highlight w:val="none"/>
        </w:rPr>
      </w:pPr>
      <w:r>
        <w:rPr>
          <w:rFonts w:hint="eastAsia"/>
          <w:color w:val="auto"/>
          <w:highlight w:val="none"/>
        </w:rPr>
        <w:t>本项目严格按照</w:t>
      </w:r>
      <w:r>
        <w:rPr>
          <w:rFonts w:hint="eastAsia" w:ascii="仿宋_GB2312"/>
          <w:bCs/>
          <w:color w:val="auto"/>
          <w:kern w:val="0"/>
          <w:sz w:val="32"/>
          <w:szCs w:val="32"/>
          <w:highlight w:val="none"/>
        </w:rPr>
        <w:t>科学公正、统筹兼顾、激励约束、公开透明的</w:t>
      </w:r>
      <w:r>
        <w:rPr>
          <w:rFonts w:hint="eastAsia"/>
          <w:color w:val="auto"/>
          <w:highlight w:val="none"/>
        </w:rPr>
        <w:t>绩效评价原则，采用</w:t>
      </w:r>
      <w:r>
        <w:rPr>
          <w:rFonts w:hint="eastAsia"/>
          <w:bCs/>
          <w:color w:val="auto"/>
          <w:sz w:val="32"/>
          <w:szCs w:val="32"/>
          <w:highlight w:val="none"/>
          <w:lang w:val="en-US" w:eastAsia="zh-CN"/>
        </w:rPr>
        <w:t>成本效益</w:t>
      </w:r>
      <w:r>
        <w:rPr>
          <w:rFonts w:hint="eastAsia"/>
          <w:bCs/>
          <w:color w:val="auto"/>
          <w:sz w:val="32"/>
          <w:szCs w:val="32"/>
          <w:highlight w:val="none"/>
        </w:rPr>
        <w:t>分析法</w:t>
      </w:r>
      <w:r>
        <w:rPr>
          <w:rFonts w:hint="eastAsia"/>
          <w:color w:val="auto"/>
          <w:highlight w:val="none"/>
        </w:rPr>
        <w:t>，坚持</w:t>
      </w:r>
      <w:r>
        <w:rPr>
          <w:rFonts w:hint="eastAsia"/>
          <w:color w:val="auto"/>
          <w:highlight w:val="none"/>
          <w:lang w:val="en-US" w:eastAsia="zh-CN"/>
        </w:rPr>
        <w:t>计划标准</w:t>
      </w:r>
      <w:r>
        <w:rPr>
          <w:rFonts w:hint="eastAsia"/>
          <w:color w:val="auto"/>
          <w:highlight w:val="none"/>
        </w:rPr>
        <w:t>对本项目的立项、绩效目标、资金投入、资金管理、组织实施、产出数量、产出质量、产出时效、产出成本、项目效益进行了综合评价。</w:t>
      </w:r>
    </w:p>
    <w:p>
      <w:pPr>
        <w:pStyle w:val="4"/>
        <w:pageBreakBefore w:val="0"/>
        <w:widowControl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color w:val="auto"/>
          <w:highlight w:val="none"/>
        </w:rPr>
      </w:pPr>
      <w:bookmarkStart w:id="9" w:name="_Toc68703836"/>
      <w:r>
        <w:rPr>
          <w:rFonts w:hint="eastAsia" w:ascii="仿宋_GB2312" w:eastAsia="仿宋_GB2312"/>
          <w:b w:val="0"/>
          <w:bCs w:val="0"/>
          <w:color w:val="auto"/>
          <w:highlight w:val="none"/>
          <w:lang w:val="en-US" w:eastAsia="zh-CN"/>
        </w:rPr>
        <w:t>2.</w:t>
      </w:r>
      <w:r>
        <w:rPr>
          <w:rFonts w:hint="eastAsia" w:ascii="仿宋_GB2312" w:eastAsia="仿宋_GB2312"/>
          <w:b w:val="0"/>
          <w:bCs w:val="0"/>
          <w:color w:val="auto"/>
          <w:highlight w:val="none"/>
        </w:rPr>
        <w:t>评价结论</w:t>
      </w:r>
      <w:bookmarkEnd w:id="9"/>
    </w:p>
    <w:p>
      <w:pPr>
        <w:pageBreakBefore w:val="0"/>
        <w:widowControl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b w:val="0"/>
          <w:bCs w:val="0"/>
          <w:color w:val="auto"/>
          <w:highlight w:val="none"/>
        </w:rPr>
      </w:pPr>
      <w:r>
        <w:rPr>
          <w:rFonts w:hint="eastAsia" w:ascii="Times New Roman" w:hAnsi="Times New Roman" w:eastAsia="仿宋_GB2312"/>
          <w:b w:val="0"/>
          <w:bCs w:val="0"/>
          <w:color w:val="auto"/>
          <w:highlight w:val="none"/>
        </w:rPr>
        <w:t>运用绩效评价组制定的评价指标体系以及财政部《项目支出绩效评价管理办法》（财预〔2020〕10号）文件的评分标准，通过数据采集、问卷调查及访谈等方式，对本项目进行客观评价，最终评分结果：总得分为</w:t>
      </w:r>
      <w:r>
        <w:rPr>
          <w:rFonts w:hint="eastAsia"/>
          <w:b w:val="0"/>
          <w:bCs w:val="0"/>
          <w:color w:val="auto"/>
          <w:highlight w:val="none"/>
          <w:lang w:val="en-US" w:eastAsia="zh-CN"/>
        </w:rPr>
        <w:t>100</w:t>
      </w:r>
      <w:r>
        <w:rPr>
          <w:rFonts w:hint="eastAsia" w:ascii="Times New Roman" w:hAnsi="Times New Roman" w:eastAsia="仿宋_GB2312"/>
          <w:b w:val="0"/>
          <w:bCs w:val="0"/>
          <w:color w:val="auto"/>
          <w:highlight w:val="none"/>
        </w:rPr>
        <w:t>分，属于“优”。其中，项目决策类指标权重为20分，得分为</w:t>
      </w:r>
      <w:r>
        <w:rPr>
          <w:rFonts w:hint="eastAsia"/>
          <w:b w:val="0"/>
          <w:bCs w:val="0"/>
          <w:color w:val="auto"/>
          <w:highlight w:val="none"/>
          <w:lang w:val="en-US" w:eastAsia="zh-CN"/>
        </w:rPr>
        <w:t>20</w:t>
      </w:r>
      <w:r>
        <w:rPr>
          <w:rFonts w:hint="eastAsia" w:ascii="Times New Roman" w:hAnsi="Times New Roman" w:eastAsia="仿宋_GB2312"/>
          <w:b w:val="0"/>
          <w:bCs w:val="0"/>
          <w:color w:val="auto"/>
          <w:highlight w:val="none"/>
        </w:rPr>
        <w:t>分，得分率为</w:t>
      </w:r>
      <w:r>
        <w:rPr>
          <w:rFonts w:hint="eastAsia"/>
          <w:b w:val="0"/>
          <w:bCs w:val="0"/>
          <w:color w:val="auto"/>
          <w:highlight w:val="none"/>
          <w:lang w:val="en-US" w:eastAsia="zh-CN"/>
        </w:rPr>
        <w:t>100</w:t>
      </w:r>
      <w:r>
        <w:rPr>
          <w:rFonts w:hint="eastAsia" w:ascii="Times New Roman" w:hAnsi="Times New Roman" w:eastAsia="仿宋_GB2312"/>
          <w:b w:val="0"/>
          <w:bCs w:val="0"/>
          <w:color w:val="auto"/>
          <w:highlight w:val="none"/>
        </w:rPr>
        <w:t>%。项目过程类指标权重为20分，得分为</w:t>
      </w:r>
      <w:r>
        <w:rPr>
          <w:rFonts w:hint="eastAsia"/>
          <w:b w:val="0"/>
          <w:bCs w:val="0"/>
          <w:color w:val="auto"/>
          <w:highlight w:val="none"/>
          <w:lang w:val="en-US" w:eastAsia="zh-CN"/>
        </w:rPr>
        <w:t>20</w:t>
      </w:r>
      <w:r>
        <w:rPr>
          <w:rFonts w:hint="eastAsia" w:ascii="Times New Roman" w:hAnsi="Times New Roman" w:eastAsia="仿宋_GB2312"/>
          <w:b w:val="0"/>
          <w:bCs w:val="0"/>
          <w:color w:val="auto"/>
          <w:highlight w:val="none"/>
        </w:rPr>
        <w:t>分，得分率为</w:t>
      </w:r>
      <w:r>
        <w:rPr>
          <w:rFonts w:hint="eastAsia"/>
          <w:b w:val="0"/>
          <w:bCs w:val="0"/>
          <w:color w:val="auto"/>
          <w:highlight w:val="none"/>
          <w:lang w:val="en-US" w:eastAsia="zh-CN"/>
        </w:rPr>
        <w:t>100</w:t>
      </w:r>
      <w:r>
        <w:rPr>
          <w:rFonts w:hint="eastAsia" w:ascii="Times New Roman" w:hAnsi="Times New Roman" w:eastAsia="仿宋_GB2312"/>
          <w:b w:val="0"/>
          <w:bCs w:val="0"/>
          <w:color w:val="auto"/>
          <w:highlight w:val="none"/>
        </w:rPr>
        <w:t>%。项目产出类指标权重为40分，得分为</w:t>
      </w:r>
      <w:r>
        <w:rPr>
          <w:rFonts w:hint="eastAsia"/>
          <w:b w:val="0"/>
          <w:bCs w:val="0"/>
          <w:color w:val="auto"/>
          <w:highlight w:val="none"/>
          <w:lang w:val="en-US" w:eastAsia="zh-CN"/>
        </w:rPr>
        <w:t>40</w:t>
      </w:r>
      <w:r>
        <w:rPr>
          <w:rFonts w:hint="eastAsia" w:ascii="Times New Roman" w:hAnsi="Times New Roman" w:eastAsia="仿宋_GB2312"/>
          <w:b w:val="0"/>
          <w:bCs w:val="0"/>
          <w:color w:val="auto"/>
          <w:highlight w:val="none"/>
        </w:rPr>
        <w:t>分，得分率为</w:t>
      </w:r>
      <w:r>
        <w:rPr>
          <w:rFonts w:hint="eastAsia"/>
          <w:b w:val="0"/>
          <w:bCs w:val="0"/>
          <w:color w:val="auto"/>
          <w:highlight w:val="none"/>
          <w:lang w:val="en-US" w:eastAsia="zh-CN"/>
        </w:rPr>
        <w:t>100</w:t>
      </w:r>
      <w:r>
        <w:rPr>
          <w:rFonts w:hint="eastAsia" w:ascii="Times New Roman" w:hAnsi="Times New Roman" w:eastAsia="仿宋_GB2312"/>
          <w:b w:val="0"/>
          <w:bCs w:val="0"/>
          <w:color w:val="auto"/>
          <w:highlight w:val="none"/>
        </w:rPr>
        <w:t>%。项目效益类指标权重为20分，得分为</w:t>
      </w:r>
      <w:r>
        <w:rPr>
          <w:rFonts w:hint="eastAsia"/>
          <w:b w:val="0"/>
          <w:bCs w:val="0"/>
          <w:color w:val="auto"/>
          <w:highlight w:val="none"/>
          <w:lang w:val="en-US" w:eastAsia="zh-CN"/>
        </w:rPr>
        <w:t>20</w:t>
      </w:r>
      <w:r>
        <w:rPr>
          <w:rFonts w:hint="eastAsia" w:ascii="Times New Roman" w:hAnsi="Times New Roman" w:eastAsia="仿宋_GB2312"/>
          <w:b w:val="0"/>
          <w:bCs w:val="0"/>
          <w:color w:val="auto"/>
          <w:highlight w:val="none"/>
        </w:rPr>
        <w:t>分，得分率为</w:t>
      </w:r>
      <w:r>
        <w:rPr>
          <w:rFonts w:hint="eastAsia"/>
          <w:b w:val="0"/>
          <w:bCs w:val="0"/>
          <w:color w:val="auto"/>
          <w:highlight w:val="none"/>
          <w:lang w:val="en-US" w:eastAsia="zh-CN"/>
        </w:rPr>
        <w:t>100</w:t>
      </w:r>
      <w:r>
        <w:rPr>
          <w:rFonts w:hint="eastAsia" w:ascii="Times New Roman" w:hAnsi="Times New Roman" w:eastAsia="仿宋_GB2312"/>
          <w:b w:val="0"/>
          <w:bCs w:val="0"/>
          <w:color w:val="auto"/>
          <w:highlight w:val="none"/>
        </w:rPr>
        <w:t>%。</w:t>
      </w:r>
    </w:p>
    <w:p>
      <w:pPr>
        <w:pStyle w:val="4"/>
        <w:pageBreakBefore w:val="0"/>
        <w:widowControl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color w:val="auto"/>
          <w:highlight w:val="none"/>
          <w:lang w:eastAsia="zh-CN"/>
        </w:rPr>
      </w:pPr>
      <w:r>
        <w:rPr>
          <w:rFonts w:hint="eastAsia" w:ascii="仿宋_GB2312" w:eastAsia="仿宋_GB2312"/>
          <w:b w:val="0"/>
          <w:bCs w:val="0"/>
          <w:color w:val="auto"/>
          <w:highlight w:val="none"/>
        </w:rPr>
        <w:t>（</w:t>
      </w:r>
      <w:r>
        <w:rPr>
          <w:rFonts w:hint="eastAsia" w:ascii="仿宋_GB2312" w:eastAsia="仿宋_GB2312"/>
          <w:b w:val="0"/>
          <w:bCs w:val="0"/>
          <w:color w:val="auto"/>
          <w:highlight w:val="none"/>
          <w:lang w:eastAsia="zh-CN"/>
        </w:rPr>
        <w:t>二</w:t>
      </w:r>
      <w:r>
        <w:rPr>
          <w:rFonts w:hint="eastAsia" w:ascii="仿宋_GB2312" w:eastAsia="仿宋_GB2312"/>
          <w:b w:val="0"/>
          <w:bCs w:val="0"/>
          <w:color w:val="auto"/>
          <w:highlight w:val="none"/>
        </w:rPr>
        <w:t>）</w:t>
      </w:r>
      <w:r>
        <w:rPr>
          <w:rFonts w:hint="eastAsia" w:ascii="仿宋_GB2312" w:eastAsia="仿宋_GB2312"/>
          <w:b w:val="0"/>
          <w:bCs w:val="0"/>
          <w:color w:val="auto"/>
          <w:highlight w:val="none"/>
          <w:lang w:eastAsia="zh-CN"/>
        </w:rPr>
        <w:t>相关评分表</w:t>
      </w:r>
    </w:p>
    <w:p>
      <w:pPr>
        <w:pageBreakBefore w:val="0"/>
        <w:widowControl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b w:val="0"/>
          <w:bCs w:val="0"/>
          <w:color w:val="auto"/>
          <w:highlight w:val="none"/>
          <w:lang w:eastAsia="zh-CN"/>
        </w:rPr>
      </w:pPr>
      <w:r>
        <w:rPr>
          <w:rFonts w:hint="eastAsia" w:ascii="Times New Roman" w:hAnsi="Times New Roman" w:eastAsia="仿宋_GB2312"/>
          <w:b w:val="0"/>
          <w:bCs w:val="0"/>
          <w:color w:val="auto"/>
          <w:highlight w:val="none"/>
        </w:rPr>
        <w:t>具体打分情况详见：附件1综合评分表</w:t>
      </w:r>
      <w:r>
        <w:rPr>
          <w:rFonts w:hint="eastAsia" w:ascii="Times New Roman" w:hAnsi="Times New Roman" w:eastAsia="仿宋_GB2312"/>
          <w:b w:val="0"/>
          <w:bCs w:val="0"/>
          <w:color w:val="auto"/>
          <w:highlight w:val="none"/>
          <w:lang w:eastAsia="zh-CN"/>
        </w:rPr>
        <w:t>。</w:t>
      </w:r>
    </w:p>
    <w:p>
      <w:pPr>
        <w:pageBreakBefore w:val="0"/>
        <w:widowControl w:val="0"/>
        <w:kinsoku/>
        <w:wordWrap/>
        <w:overflowPunct/>
        <w:topLinePunct w:val="0"/>
        <w:autoSpaceDE/>
        <w:autoSpaceDN/>
        <w:bidi w:val="0"/>
        <w:adjustRightInd/>
        <w:snapToGrid/>
        <w:spacing w:line="560" w:lineRule="exact"/>
        <w:jc w:val="center"/>
        <w:textAlignment w:val="auto"/>
        <w:rPr>
          <w:color w:val="auto"/>
          <w:highlight w:val="none"/>
        </w:rPr>
      </w:pPr>
      <w:r>
        <w:rPr>
          <w:rFonts w:hint="eastAsia"/>
          <w:color w:val="auto"/>
          <w:highlight w:val="none"/>
        </w:rPr>
        <w:t>自治区第十四届运动会经费项目评价得分情况</w:t>
      </w:r>
    </w:p>
    <w:tbl>
      <w:tblPr>
        <w:tblStyle w:val="11"/>
        <w:tblW w:w="7400" w:type="dxa"/>
        <w:jc w:val="center"/>
        <w:tblLayout w:type="fixed"/>
        <w:tblCellMar>
          <w:top w:w="0" w:type="dxa"/>
          <w:left w:w="108" w:type="dxa"/>
          <w:bottom w:w="0" w:type="dxa"/>
          <w:right w:w="108" w:type="dxa"/>
        </w:tblCellMar>
      </w:tblPr>
      <w:tblGrid>
        <w:gridCol w:w="3061"/>
        <w:gridCol w:w="2116"/>
        <w:gridCol w:w="2223"/>
      </w:tblGrid>
      <w:tr>
        <w:tblPrEx>
          <w:tblCellMar>
            <w:top w:w="0" w:type="dxa"/>
            <w:left w:w="108" w:type="dxa"/>
            <w:bottom w:w="0" w:type="dxa"/>
            <w:right w:w="108" w:type="dxa"/>
          </w:tblCellMar>
        </w:tblPrEx>
        <w:trPr>
          <w:trHeight w:val="479" w:hRule="atLeast"/>
          <w:tblHeader/>
          <w:jc w:val="center"/>
        </w:trPr>
        <w:tc>
          <w:tcPr>
            <w:tcW w:w="3061"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pPr>
              <w:pageBreakBefore w:val="0"/>
              <w:widowControl w:val="0"/>
              <w:kinsoku/>
              <w:wordWrap/>
              <w:overflowPunct/>
              <w:topLinePunct w:val="0"/>
              <w:autoSpaceDE/>
              <w:autoSpaceDN/>
              <w:bidi w:val="0"/>
              <w:adjustRightInd/>
              <w:snapToGrid/>
              <w:spacing w:line="560" w:lineRule="exact"/>
              <w:ind w:firstLine="442" w:firstLineChars="200"/>
              <w:jc w:val="center"/>
              <w:textAlignment w:val="auto"/>
              <w:rPr>
                <w:b/>
                <w:bCs/>
                <w:color w:val="auto"/>
                <w:sz w:val="22"/>
                <w:highlight w:val="none"/>
              </w:rPr>
            </w:pPr>
            <w:r>
              <w:rPr>
                <w:rFonts w:hint="eastAsia"/>
                <w:b/>
                <w:bCs/>
                <w:color w:val="auto"/>
                <w:sz w:val="22"/>
                <w:highlight w:val="none"/>
              </w:rPr>
              <w:t>一级指标</w:t>
            </w:r>
          </w:p>
        </w:tc>
        <w:tc>
          <w:tcPr>
            <w:tcW w:w="2116"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pageBreakBefore w:val="0"/>
              <w:widowControl w:val="0"/>
              <w:kinsoku/>
              <w:wordWrap/>
              <w:overflowPunct/>
              <w:topLinePunct w:val="0"/>
              <w:autoSpaceDE/>
              <w:autoSpaceDN/>
              <w:bidi w:val="0"/>
              <w:adjustRightInd/>
              <w:snapToGrid/>
              <w:spacing w:line="560" w:lineRule="exact"/>
              <w:ind w:firstLine="442" w:firstLineChars="200"/>
              <w:jc w:val="center"/>
              <w:textAlignment w:val="auto"/>
              <w:rPr>
                <w:b/>
                <w:bCs/>
                <w:color w:val="auto"/>
                <w:sz w:val="22"/>
                <w:highlight w:val="none"/>
              </w:rPr>
            </w:pPr>
            <w:r>
              <w:rPr>
                <w:rFonts w:hint="eastAsia"/>
                <w:b/>
                <w:bCs/>
                <w:color w:val="auto"/>
                <w:sz w:val="22"/>
                <w:highlight w:val="none"/>
              </w:rPr>
              <w:t>权重分</w:t>
            </w:r>
          </w:p>
        </w:tc>
        <w:tc>
          <w:tcPr>
            <w:tcW w:w="2223"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pageBreakBefore w:val="0"/>
              <w:widowControl w:val="0"/>
              <w:kinsoku/>
              <w:wordWrap/>
              <w:overflowPunct/>
              <w:topLinePunct w:val="0"/>
              <w:autoSpaceDE/>
              <w:autoSpaceDN/>
              <w:bidi w:val="0"/>
              <w:adjustRightInd/>
              <w:snapToGrid/>
              <w:spacing w:line="560" w:lineRule="exact"/>
              <w:ind w:firstLine="442" w:firstLineChars="200"/>
              <w:jc w:val="center"/>
              <w:textAlignment w:val="auto"/>
              <w:rPr>
                <w:b/>
                <w:bCs/>
                <w:color w:val="auto"/>
                <w:sz w:val="22"/>
                <w:highlight w:val="none"/>
              </w:rPr>
            </w:pPr>
            <w:r>
              <w:rPr>
                <w:rFonts w:hint="eastAsia"/>
                <w:b/>
                <w:bCs/>
                <w:color w:val="auto"/>
                <w:sz w:val="22"/>
                <w:highlight w:val="none"/>
              </w:rPr>
              <w:t>得分</w:t>
            </w:r>
          </w:p>
        </w:tc>
      </w:tr>
      <w:tr>
        <w:tblPrEx>
          <w:tblCellMar>
            <w:top w:w="0" w:type="dxa"/>
            <w:left w:w="108" w:type="dxa"/>
            <w:bottom w:w="0" w:type="dxa"/>
            <w:right w:w="108" w:type="dxa"/>
          </w:tblCellMar>
        </w:tblPrEx>
        <w:trPr>
          <w:trHeight w:val="479" w:hRule="atLeast"/>
          <w:jc w:val="center"/>
        </w:trPr>
        <w:tc>
          <w:tcPr>
            <w:tcW w:w="3061" w:type="dxa"/>
            <w:tcBorders>
              <w:top w:val="nil"/>
              <w:left w:val="single" w:color="auto" w:sz="4" w:space="0"/>
              <w:bottom w:val="single" w:color="auto" w:sz="4" w:space="0"/>
              <w:right w:val="single" w:color="auto" w:sz="4" w:space="0"/>
            </w:tcBorders>
            <w:shd w:val="clear" w:color="auto" w:fill="auto"/>
            <w:vAlign w:val="center"/>
          </w:tcPr>
          <w:p>
            <w:pPr>
              <w:pageBreakBefore w:val="0"/>
              <w:widowControl w:val="0"/>
              <w:kinsoku/>
              <w:wordWrap/>
              <w:overflowPunct/>
              <w:topLinePunct w:val="0"/>
              <w:autoSpaceDE/>
              <w:autoSpaceDN/>
              <w:bidi w:val="0"/>
              <w:adjustRightInd/>
              <w:snapToGrid/>
              <w:spacing w:line="560" w:lineRule="exact"/>
              <w:ind w:firstLine="440" w:firstLineChars="200"/>
              <w:jc w:val="center"/>
              <w:textAlignment w:val="auto"/>
              <w:rPr>
                <w:color w:val="auto"/>
                <w:sz w:val="22"/>
                <w:highlight w:val="none"/>
              </w:rPr>
            </w:pPr>
            <w:r>
              <w:rPr>
                <w:rFonts w:hint="eastAsia"/>
                <w:color w:val="auto"/>
                <w:sz w:val="22"/>
                <w:highlight w:val="none"/>
              </w:rPr>
              <w:t>项目决策</w:t>
            </w:r>
          </w:p>
        </w:tc>
        <w:tc>
          <w:tcPr>
            <w:tcW w:w="2116" w:type="dxa"/>
            <w:tcBorders>
              <w:top w:val="nil"/>
              <w:left w:val="nil"/>
              <w:bottom w:val="single" w:color="auto" w:sz="4" w:space="0"/>
              <w:right w:val="single" w:color="auto" w:sz="4" w:space="0"/>
            </w:tcBorders>
            <w:shd w:val="clear" w:color="auto" w:fill="auto"/>
            <w:vAlign w:val="center"/>
          </w:tcPr>
          <w:p>
            <w:pPr>
              <w:pageBreakBefore w:val="0"/>
              <w:widowControl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auto"/>
                <w:sz w:val="22"/>
                <w:highlight w:val="none"/>
                <w:lang w:val="en-US" w:eastAsia="zh-CN"/>
              </w:rPr>
            </w:pPr>
            <w:r>
              <w:rPr>
                <w:rFonts w:hint="eastAsia"/>
                <w:color w:val="auto"/>
                <w:sz w:val="22"/>
                <w:highlight w:val="none"/>
                <w:lang w:val="en-US" w:eastAsia="zh-CN"/>
              </w:rPr>
              <w:t>20</w:t>
            </w:r>
          </w:p>
        </w:tc>
        <w:tc>
          <w:tcPr>
            <w:tcW w:w="2223" w:type="dxa"/>
            <w:tcBorders>
              <w:top w:val="nil"/>
              <w:left w:val="nil"/>
              <w:bottom w:val="single" w:color="auto" w:sz="4" w:space="0"/>
              <w:right w:val="single" w:color="auto" w:sz="4" w:space="0"/>
            </w:tcBorders>
            <w:shd w:val="clear" w:color="auto" w:fill="auto"/>
            <w:vAlign w:val="center"/>
          </w:tcPr>
          <w:p>
            <w:pPr>
              <w:pageBreakBefore w:val="0"/>
              <w:widowControl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auto"/>
                <w:sz w:val="22"/>
                <w:highlight w:val="none"/>
                <w:lang w:val="en-US" w:eastAsia="zh-CN"/>
              </w:rPr>
            </w:pPr>
            <w:r>
              <w:rPr>
                <w:rFonts w:hint="eastAsia"/>
                <w:color w:val="auto"/>
                <w:sz w:val="22"/>
                <w:highlight w:val="none"/>
                <w:lang w:val="en-US" w:eastAsia="zh-CN"/>
              </w:rPr>
              <w:t>20</w:t>
            </w:r>
          </w:p>
        </w:tc>
      </w:tr>
      <w:tr>
        <w:tblPrEx>
          <w:tblCellMar>
            <w:top w:w="0" w:type="dxa"/>
            <w:left w:w="108" w:type="dxa"/>
            <w:bottom w:w="0" w:type="dxa"/>
            <w:right w:w="108" w:type="dxa"/>
          </w:tblCellMar>
        </w:tblPrEx>
        <w:trPr>
          <w:trHeight w:val="479" w:hRule="atLeast"/>
          <w:jc w:val="center"/>
        </w:trPr>
        <w:tc>
          <w:tcPr>
            <w:tcW w:w="3061" w:type="dxa"/>
            <w:tcBorders>
              <w:top w:val="nil"/>
              <w:left w:val="single" w:color="auto" w:sz="4" w:space="0"/>
              <w:bottom w:val="single" w:color="auto" w:sz="4" w:space="0"/>
              <w:right w:val="single" w:color="auto" w:sz="4" w:space="0"/>
            </w:tcBorders>
            <w:shd w:val="clear" w:color="auto" w:fill="auto"/>
            <w:vAlign w:val="center"/>
          </w:tcPr>
          <w:p>
            <w:pPr>
              <w:pageBreakBefore w:val="0"/>
              <w:widowControl w:val="0"/>
              <w:kinsoku/>
              <w:wordWrap/>
              <w:overflowPunct/>
              <w:topLinePunct w:val="0"/>
              <w:autoSpaceDE/>
              <w:autoSpaceDN/>
              <w:bidi w:val="0"/>
              <w:adjustRightInd/>
              <w:snapToGrid/>
              <w:spacing w:line="560" w:lineRule="exact"/>
              <w:ind w:firstLine="440" w:firstLineChars="200"/>
              <w:jc w:val="center"/>
              <w:textAlignment w:val="auto"/>
              <w:rPr>
                <w:color w:val="auto"/>
                <w:sz w:val="22"/>
                <w:highlight w:val="none"/>
              </w:rPr>
            </w:pPr>
            <w:r>
              <w:rPr>
                <w:rFonts w:hint="eastAsia"/>
                <w:color w:val="auto"/>
                <w:sz w:val="22"/>
                <w:highlight w:val="none"/>
              </w:rPr>
              <w:t>项目过程</w:t>
            </w:r>
          </w:p>
        </w:tc>
        <w:tc>
          <w:tcPr>
            <w:tcW w:w="2116" w:type="dxa"/>
            <w:tcBorders>
              <w:top w:val="nil"/>
              <w:left w:val="nil"/>
              <w:bottom w:val="single" w:color="auto" w:sz="4" w:space="0"/>
              <w:right w:val="single" w:color="auto" w:sz="4" w:space="0"/>
            </w:tcBorders>
            <w:shd w:val="clear" w:color="auto" w:fill="auto"/>
            <w:vAlign w:val="center"/>
          </w:tcPr>
          <w:p>
            <w:pPr>
              <w:pageBreakBefore w:val="0"/>
              <w:widowControl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auto"/>
                <w:sz w:val="22"/>
                <w:highlight w:val="none"/>
                <w:lang w:val="en-US" w:eastAsia="zh-CN"/>
              </w:rPr>
            </w:pPr>
            <w:r>
              <w:rPr>
                <w:rFonts w:hint="eastAsia"/>
                <w:color w:val="auto"/>
                <w:sz w:val="22"/>
                <w:highlight w:val="none"/>
                <w:lang w:val="en-US" w:eastAsia="zh-CN"/>
              </w:rPr>
              <w:t>20</w:t>
            </w:r>
          </w:p>
        </w:tc>
        <w:tc>
          <w:tcPr>
            <w:tcW w:w="2223" w:type="dxa"/>
            <w:tcBorders>
              <w:top w:val="nil"/>
              <w:left w:val="nil"/>
              <w:bottom w:val="single" w:color="auto" w:sz="4" w:space="0"/>
              <w:right w:val="single" w:color="auto" w:sz="4" w:space="0"/>
            </w:tcBorders>
            <w:shd w:val="clear" w:color="auto" w:fill="auto"/>
            <w:vAlign w:val="center"/>
          </w:tcPr>
          <w:p>
            <w:pPr>
              <w:pageBreakBefore w:val="0"/>
              <w:widowControl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auto"/>
                <w:sz w:val="22"/>
                <w:highlight w:val="none"/>
                <w:lang w:val="en-US" w:eastAsia="zh-CN"/>
              </w:rPr>
            </w:pPr>
            <w:r>
              <w:rPr>
                <w:rFonts w:hint="eastAsia"/>
                <w:color w:val="auto"/>
                <w:sz w:val="22"/>
                <w:highlight w:val="none"/>
                <w:lang w:val="en-US" w:eastAsia="zh-CN"/>
              </w:rPr>
              <w:t>20</w:t>
            </w:r>
          </w:p>
        </w:tc>
      </w:tr>
      <w:tr>
        <w:tblPrEx>
          <w:tblCellMar>
            <w:top w:w="0" w:type="dxa"/>
            <w:left w:w="108" w:type="dxa"/>
            <w:bottom w:w="0" w:type="dxa"/>
            <w:right w:w="108" w:type="dxa"/>
          </w:tblCellMar>
        </w:tblPrEx>
        <w:trPr>
          <w:trHeight w:val="479" w:hRule="atLeast"/>
          <w:jc w:val="center"/>
        </w:trPr>
        <w:tc>
          <w:tcPr>
            <w:tcW w:w="3061" w:type="dxa"/>
            <w:tcBorders>
              <w:top w:val="nil"/>
              <w:left w:val="single" w:color="auto" w:sz="4" w:space="0"/>
              <w:bottom w:val="single" w:color="auto" w:sz="4" w:space="0"/>
              <w:right w:val="single" w:color="auto" w:sz="4" w:space="0"/>
            </w:tcBorders>
            <w:shd w:val="clear" w:color="auto" w:fill="auto"/>
            <w:vAlign w:val="center"/>
          </w:tcPr>
          <w:p>
            <w:pPr>
              <w:pageBreakBefore w:val="0"/>
              <w:widowControl w:val="0"/>
              <w:kinsoku/>
              <w:wordWrap/>
              <w:overflowPunct/>
              <w:topLinePunct w:val="0"/>
              <w:autoSpaceDE/>
              <w:autoSpaceDN/>
              <w:bidi w:val="0"/>
              <w:adjustRightInd/>
              <w:snapToGrid/>
              <w:spacing w:line="560" w:lineRule="exact"/>
              <w:ind w:firstLine="440" w:firstLineChars="200"/>
              <w:jc w:val="center"/>
              <w:textAlignment w:val="auto"/>
              <w:rPr>
                <w:color w:val="auto"/>
                <w:sz w:val="22"/>
                <w:highlight w:val="none"/>
              </w:rPr>
            </w:pPr>
            <w:r>
              <w:rPr>
                <w:rFonts w:hint="eastAsia"/>
                <w:color w:val="auto"/>
                <w:sz w:val="22"/>
                <w:highlight w:val="none"/>
              </w:rPr>
              <w:t>项目产出</w:t>
            </w:r>
          </w:p>
        </w:tc>
        <w:tc>
          <w:tcPr>
            <w:tcW w:w="2116" w:type="dxa"/>
            <w:tcBorders>
              <w:top w:val="nil"/>
              <w:left w:val="nil"/>
              <w:bottom w:val="single" w:color="auto" w:sz="4" w:space="0"/>
              <w:right w:val="single" w:color="auto" w:sz="4" w:space="0"/>
            </w:tcBorders>
            <w:shd w:val="clear" w:color="auto" w:fill="auto"/>
            <w:vAlign w:val="center"/>
          </w:tcPr>
          <w:p>
            <w:pPr>
              <w:pageBreakBefore w:val="0"/>
              <w:widowControl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auto"/>
                <w:sz w:val="22"/>
                <w:highlight w:val="none"/>
                <w:lang w:val="en-US" w:eastAsia="zh-CN"/>
              </w:rPr>
            </w:pPr>
            <w:r>
              <w:rPr>
                <w:rFonts w:hint="eastAsia"/>
                <w:color w:val="auto"/>
                <w:sz w:val="22"/>
                <w:highlight w:val="none"/>
                <w:lang w:val="en-US" w:eastAsia="zh-CN"/>
              </w:rPr>
              <w:t>40</w:t>
            </w:r>
          </w:p>
        </w:tc>
        <w:tc>
          <w:tcPr>
            <w:tcW w:w="2223" w:type="dxa"/>
            <w:tcBorders>
              <w:top w:val="nil"/>
              <w:left w:val="nil"/>
              <w:bottom w:val="single" w:color="auto" w:sz="4" w:space="0"/>
              <w:right w:val="single" w:color="auto" w:sz="4" w:space="0"/>
            </w:tcBorders>
            <w:shd w:val="clear" w:color="auto" w:fill="auto"/>
            <w:vAlign w:val="center"/>
          </w:tcPr>
          <w:p>
            <w:pPr>
              <w:pageBreakBefore w:val="0"/>
              <w:widowControl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auto"/>
                <w:sz w:val="22"/>
                <w:highlight w:val="none"/>
                <w:lang w:val="en-US" w:eastAsia="zh-CN"/>
              </w:rPr>
            </w:pPr>
            <w:r>
              <w:rPr>
                <w:rFonts w:hint="eastAsia"/>
                <w:color w:val="auto"/>
                <w:sz w:val="22"/>
                <w:highlight w:val="none"/>
                <w:lang w:val="en-US" w:eastAsia="zh-CN"/>
              </w:rPr>
              <w:t>40</w:t>
            </w:r>
          </w:p>
        </w:tc>
      </w:tr>
      <w:tr>
        <w:tblPrEx>
          <w:tblCellMar>
            <w:top w:w="0" w:type="dxa"/>
            <w:left w:w="108" w:type="dxa"/>
            <w:bottom w:w="0" w:type="dxa"/>
            <w:right w:w="108" w:type="dxa"/>
          </w:tblCellMar>
        </w:tblPrEx>
        <w:trPr>
          <w:trHeight w:val="479" w:hRule="atLeast"/>
          <w:jc w:val="center"/>
        </w:trPr>
        <w:tc>
          <w:tcPr>
            <w:tcW w:w="3061" w:type="dxa"/>
            <w:tcBorders>
              <w:top w:val="nil"/>
              <w:left w:val="single" w:color="auto" w:sz="4" w:space="0"/>
              <w:bottom w:val="single" w:color="auto" w:sz="4" w:space="0"/>
              <w:right w:val="single" w:color="auto" w:sz="4" w:space="0"/>
            </w:tcBorders>
            <w:shd w:val="clear" w:color="auto" w:fill="auto"/>
            <w:vAlign w:val="center"/>
          </w:tcPr>
          <w:p>
            <w:pPr>
              <w:pageBreakBefore w:val="0"/>
              <w:widowControl w:val="0"/>
              <w:kinsoku/>
              <w:wordWrap/>
              <w:overflowPunct/>
              <w:topLinePunct w:val="0"/>
              <w:autoSpaceDE/>
              <w:autoSpaceDN/>
              <w:bidi w:val="0"/>
              <w:adjustRightInd/>
              <w:snapToGrid/>
              <w:spacing w:line="560" w:lineRule="exact"/>
              <w:ind w:firstLine="440" w:firstLineChars="200"/>
              <w:jc w:val="center"/>
              <w:textAlignment w:val="auto"/>
              <w:rPr>
                <w:color w:val="auto"/>
                <w:sz w:val="22"/>
                <w:highlight w:val="none"/>
              </w:rPr>
            </w:pPr>
            <w:r>
              <w:rPr>
                <w:rFonts w:hint="eastAsia"/>
                <w:color w:val="auto"/>
                <w:sz w:val="22"/>
                <w:highlight w:val="none"/>
              </w:rPr>
              <w:t>项目效益</w:t>
            </w:r>
          </w:p>
        </w:tc>
        <w:tc>
          <w:tcPr>
            <w:tcW w:w="2116" w:type="dxa"/>
            <w:tcBorders>
              <w:top w:val="nil"/>
              <w:left w:val="nil"/>
              <w:bottom w:val="single" w:color="auto" w:sz="4" w:space="0"/>
              <w:right w:val="single" w:color="auto" w:sz="4" w:space="0"/>
            </w:tcBorders>
            <w:shd w:val="clear" w:color="auto" w:fill="auto"/>
            <w:vAlign w:val="center"/>
          </w:tcPr>
          <w:p>
            <w:pPr>
              <w:pageBreakBefore w:val="0"/>
              <w:widowControl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auto"/>
                <w:sz w:val="22"/>
                <w:highlight w:val="none"/>
                <w:lang w:val="en-US" w:eastAsia="zh-CN"/>
              </w:rPr>
            </w:pPr>
            <w:r>
              <w:rPr>
                <w:rFonts w:hint="eastAsia"/>
                <w:color w:val="auto"/>
                <w:sz w:val="22"/>
                <w:highlight w:val="none"/>
                <w:lang w:val="en-US" w:eastAsia="zh-CN"/>
              </w:rPr>
              <w:t>20</w:t>
            </w:r>
          </w:p>
        </w:tc>
        <w:tc>
          <w:tcPr>
            <w:tcW w:w="2223" w:type="dxa"/>
            <w:tcBorders>
              <w:top w:val="nil"/>
              <w:left w:val="nil"/>
              <w:bottom w:val="single" w:color="auto" w:sz="4" w:space="0"/>
              <w:right w:val="single" w:color="auto" w:sz="4" w:space="0"/>
            </w:tcBorders>
            <w:shd w:val="clear" w:color="auto" w:fill="auto"/>
            <w:vAlign w:val="center"/>
          </w:tcPr>
          <w:p>
            <w:pPr>
              <w:pageBreakBefore w:val="0"/>
              <w:widowControl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auto"/>
                <w:sz w:val="22"/>
                <w:highlight w:val="none"/>
                <w:lang w:val="en-US" w:eastAsia="zh-CN"/>
              </w:rPr>
            </w:pPr>
            <w:r>
              <w:rPr>
                <w:rFonts w:hint="eastAsia"/>
                <w:color w:val="auto"/>
                <w:sz w:val="22"/>
                <w:highlight w:val="none"/>
                <w:lang w:val="en-US" w:eastAsia="zh-CN"/>
              </w:rPr>
              <w:t>20</w:t>
            </w:r>
          </w:p>
        </w:tc>
      </w:tr>
      <w:tr>
        <w:tblPrEx>
          <w:tblCellMar>
            <w:top w:w="0" w:type="dxa"/>
            <w:left w:w="108" w:type="dxa"/>
            <w:bottom w:w="0" w:type="dxa"/>
            <w:right w:w="108" w:type="dxa"/>
          </w:tblCellMar>
        </w:tblPrEx>
        <w:trPr>
          <w:trHeight w:val="487" w:hRule="atLeast"/>
          <w:jc w:val="center"/>
        </w:trPr>
        <w:tc>
          <w:tcPr>
            <w:tcW w:w="3061" w:type="dxa"/>
            <w:tcBorders>
              <w:top w:val="nil"/>
              <w:left w:val="single" w:color="auto" w:sz="4" w:space="0"/>
              <w:bottom w:val="single" w:color="auto" w:sz="4" w:space="0"/>
              <w:right w:val="single" w:color="auto" w:sz="4" w:space="0"/>
            </w:tcBorders>
            <w:shd w:val="clear" w:color="auto" w:fill="auto"/>
            <w:vAlign w:val="center"/>
          </w:tcPr>
          <w:p>
            <w:pPr>
              <w:pageBreakBefore w:val="0"/>
              <w:widowControl w:val="0"/>
              <w:kinsoku/>
              <w:wordWrap/>
              <w:overflowPunct/>
              <w:topLinePunct w:val="0"/>
              <w:autoSpaceDE/>
              <w:autoSpaceDN/>
              <w:bidi w:val="0"/>
              <w:adjustRightInd/>
              <w:snapToGrid/>
              <w:spacing w:line="560" w:lineRule="exact"/>
              <w:ind w:firstLine="442" w:firstLineChars="200"/>
              <w:jc w:val="center"/>
              <w:textAlignment w:val="auto"/>
              <w:rPr>
                <w:rFonts w:cs="宋体"/>
                <w:b/>
                <w:bCs/>
                <w:color w:val="auto"/>
                <w:sz w:val="22"/>
                <w:highlight w:val="none"/>
              </w:rPr>
            </w:pPr>
            <w:r>
              <w:rPr>
                <w:rFonts w:hint="eastAsia" w:cs="宋体"/>
                <w:b/>
                <w:bCs/>
                <w:color w:val="auto"/>
                <w:sz w:val="22"/>
                <w:highlight w:val="none"/>
              </w:rPr>
              <w:t>合计</w:t>
            </w:r>
          </w:p>
        </w:tc>
        <w:tc>
          <w:tcPr>
            <w:tcW w:w="2116" w:type="dxa"/>
            <w:tcBorders>
              <w:top w:val="nil"/>
              <w:left w:val="nil"/>
              <w:bottom w:val="single" w:color="auto" w:sz="4" w:space="0"/>
              <w:right w:val="single" w:color="auto" w:sz="4" w:space="0"/>
            </w:tcBorders>
            <w:shd w:val="clear" w:color="auto" w:fill="auto"/>
            <w:vAlign w:val="center"/>
          </w:tcPr>
          <w:p>
            <w:pPr>
              <w:pageBreakBefore w:val="0"/>
              <w:widowControl w:val="0"/>
              <w:kinsoku/>
              <w:wordWrap/>
              <w:overflowPunct/>
              <w:topLinePunct w:val="0"/>
              <w:autoSpaceDE/>
              <w:autoSpaceDN/>
              <w:bidi w:val="0"/>
              <w:adjustRightInd/>
              <w:snapToGrid/>
              <w:spacing w:line="560" w:lineRule="exact"/>
              <w:ind w:firstLine="442" w:firstLineChars="200"/>
              <w:jc w:val="center"/>
              <w:textAlignment w:val="auto"/>
              <w:rPr>
                <w:rFonts w:hint="default" w:eastAsia="仿宋_GB2312"/>
                <w:b/>
                <w:bCs/>
                <w:color w:val="auto"/>
                <w:sz w:val="22"/>
                <w:highlight w:val="none"/>
                <w:lang w:val="en-US" w:eastAsia="zh-CN"/>
              </w:rPr>
            </w:pPr>
            <w:r>
              <w:rPr>
                <w:rFonts w:hint="eastAsia"/>
                <w:b/>
                <w:bCs/>
                <w:color w:val="auto"/>
                <w:sz w:val="22"/>
                <w:highlight w:val="none"/>
                <w:lang w:val="en-US" w:eastAsia="zh-CN"/>
              </w:rPr>
              <w:t>100</w:t>
            </w:r>
          </w:p>
        </w:tc>
        <w:tc>
          <w:tcPr>
            <w:tcW w:w="2223" w:type="dxa"/>
            <w:tcBorders>
              <w:top w:val="nil"/>
              <w:left w:val="nil"/>
              <w:bottom w:val="single" w:color="auto" w:sz="4" w:space="0"/>
              <w:right w:val="single" w:color="auto" w:sz="4" w:space="0"/>
            </w:tcBorders>
            <w:shd w:val="clear" w:color="auto" w:fill="auto"/>
            <w:vAlign w:val="center"/>
          </w:tcPr>
          <w:p>
            <w:pPr>
              <w:pageBreakBefore w:val="0"/>
              <w:widowControl w:val="0"/>
              <w:kinsoku/>
              <w:wordWrap/>
              <w:overflowPunct/>
              <w:topLinePunct w:val="0"/>
              <w:autoSpaceDE/>
              <w:autoSpaceDN/>
              <w:bidi w:val="0"/>
              <w:adjustRightInd/>
              <w:snapToGrid/>
              <w:spacing w:line="560" w:lineRule="exact"/>
              <w:ind w:firstLine="442" w:firstLineChars="200"/>
              <w:jc w:val="center"/>
              <w:textAlignment w:val="auto"/>
              <w:rPr>
                <w:rFonts w:hint="default" w:eastAsia="仿宋_GB2312"/>
                <w:b/>
                <w:bCs/>
                <w:color w:val="auto"/>
                <w:sz w:val="22"/>
                <w:highlight w:val="none"/>
                <w:lang w:val="en-US" w:eastAsia="zh-CN"/>
              </w:rPr>
            </w:pPr>
            <w:r>
              <w:rPr>
                <w:rFonts w:hint="eastAsia"/>
                <w:b/>
                <w:bCs/>
                <w:color w:val="auto"/>
                <w:sz w:val="22"/>
                <w:highlight w:val="none"/>
                <w:lang w:val="en-US" w:eastAsia="zh-CN"/>
              </w:rPr>
              <w:t>100</w:t>
            </w:r>
          </w:p>
        </w:tc>
      </w:tr>
    </w:tbl>
    <w:p>
      <w:pPr>
        <w:pStyle w:val="3"/>
        <w:pageBreakBefore w:val="0"/>
        <w:widowControl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color w:val="auto"/>
          <w:sz w:val="32"/>
          <w:szCs w:val="32"/>
          <w:highlight w:val="none"/>
        </w:rPr>
      </w:pPr>
      <w:bookmarkStart w:id="10" w:name="_Toc68703837"/>
      <w:bookmarkStart w:id="11" w:name="_Toc68703842"/>
      <w:r>
        <w:rPr>
          <w:rFonts w:hint="eastAsia" w:ascii="宋体" w:hAnsi="宋体" w:eastAsia="宋体"/>
          <w:color w:val="auto"/>
          <w:sz w:val="32"/>
          <w:szCs w:val="32"/>
          <w:highlight w:val="none"/>
        </w:rPr>
        <w:t>四、绩效评价指标分析</w:t>
      </w:r>
      <w:bookmarkEnd w:id="10"/>
    </w:p>
    <w:p>
      <w:pPr>
        <w:pStyle w:val="4"/>
        <w:pageBreakBefore w:val="0"/>
        <w:widowControl w:val="0"/>
        <w:kinsoku/>
        <w:wordWrap/>
        <w:overflowPunct/>
        <w:topLinePunct w:val="0"/>
        <w:autoSpaceDE/>
        <w:autoSpaceDN/>
        <w:bidi w:val="0"/>
        <w:adjustRightInd/>
        <w:snapToGrid/>
        <w:spacing w:before="0" w:after="0" w:line="560" w:lineRule="exact"/>
        <w:ind w:firstLine="640" w:firstLineChars="200"/>
        <w:textAlignment w:val="auto"/>
        <w:rPr>
          <w:rFonts w:hint="eastAsia" w:ascii="方正楷体_GBK" w:hAnsi="方正楷体_GBK" w:eastAsia="方正楷体_GBK" w:cs="方正楷体_GBK"/>
          <w:b w:val="0"/>
          <w:bCs w:val="0"/>
          <w:color w:val="auto"/>
          <w:highlight w:val="none"/>
        </w:rPr>
      </w:pPr>
      <w:bookmarkStart w:id="12" w:name="_Toc68703838"/>
      <w:r>
        <w:rPr>
          <w:rFonts w:hint="eastAsia" w:ascii="方正楷体_GBK" w:hAnsi="方正楷体_GBK" w:eastAsia="方正楷体_GBK" w:cs="方正楷体_GBK"/>
          <w:b w:val="0"/>
          <w:bCs w:val="0"/>
          <w:color w:val="auto"/>
          <w:highlight w:val="none"/>
        </w:rPr>
        <w:t>（一）项目决策情况。</w:t>
      </w:r>
      <w:bookmarkEnd w:id="12"/>
    </w:p>
    <w:p>
      <w:pPr>
        <w:pageBreakBefore w:val="0"/>
        <w:widowControl w:val="0"/>
        <w:kinsoku/>
        <w:wordWrap/>
        <w:overflowPunct/>
        <w:topLinePunct w:val="0"/>
        <w:autoSpaceDE/>
        <w:autoSpaceDN/>
        <w:bidi w:val="0"/>
        <w:adjustRightInd/>
        <w:snapToGrid/>
        <w:spacing w:line="560" w:lineRule="exact"/>
        <w:ind w:firstLine="600" w:firstLineChars="200"/>
        <w:jc w:val="left"/>
        <w:textAlignment w:val="auto"/>
        <w:rPr>
          <w:rFonts w:hint="eastAsia"/>
          <w:color w:val="auto"/>
          <w:highlight w:val="none"/>
        </w:rPr>
      </w:pPr>
      <w:r>
        <w:rPr>
          <w:rFonts w:hint="eastAsia"/>
          <w:color w:val="auto"/>
          <w:highlight w:val="none"/>
        </w:rPr>
        <w:t>1</w:t>
      </w:r>
      <w:r>
        <w:rPr>
          <w:rFonts w:hint="eastAsia"/>
          <w:color w:val="auto"/>
          <w:highlight w:val="none"/>
          <w:lang w:val="en-US" w:eastAsia="zh-CN"/>
        </w:rPr>
        <w:t>.</w:t>
      </w:r>
      <w:r>
        <w:rPr>
          <w:rFonts w:hint="eastAsia"/>
          <w:color w:val="auto"/>
          <w:highlight w:val="none"/>
        </w:rPr>
        <w:t>立项依据充分性</w:t>
      </w:r>
    </w:p>
    <w:p>
      <w:pPr>
        <w:pageBreakBefore w:val="0"/>
        <w:widowControl w:val="0"/>
        <w:kinsoku/>
        <w:wordWrap/>
        <w:overflowPunct/>
        <w:topLinePunct w:val="0"/>
        <w:autoSpaceDE/>
        <w:autoSpaceDN/>
        <w:bidi w:val="0"/>
        <w:adjustRightInd/>
        <w:snapToGrid/>
        <w:spacing w:line="560" w:lineRule="exact"/>
        <w:ind w:firstLine="600" w:firstLineChars="200"/>
        <w:textAlignment w:val="auto"/>
        <w:rPr>
          <w:rFonts w:hint="eastAsia" w:eastAsia="仿宋_GB2312"/>
          <w:color w:val="auto"/>
          <w:highlight w:val="none"/>
          <w:lang w:eastAsia="zh-CN"/>
        </w:rPr>
      </w:pPr>
      <w:r>
        <w:rPr>
          <w:rFonts w:hint="eastAsia"/>
          <w:color w:val="auto"/>
          <w:highlight w:val="none"/>
        </w:rPr>
        <w:t>项目立项依据《关于恢复举办新疆维吾尔自治区第十四届运动会的通知》新体竞字〔2023〕10号文，符合行业发展规划和政策要求；项目立项与我单位职责范围相符，属于我单位履行体育职能所需；项目属于公共财政支持范围，符合中央、地方事权支出责任划分原则；项目未与相关部门同类项目相重复</w:t>
      </w:r>
      <w:r>
        <w:rPr>
          <w:rFonts w:hint="eastAsia"/>
          <w:color w:val="auto"/>
          <w:highlight w:val="none"/>
          <w:lang w:eastAsia="zh-CN"/>
        </w:rPr>
        <w:t>。</w:t>
      </w:r>
    </w:p>
    <w:p>
      <w:pPr>
        <w:pStyle w:val="10"/>
        <w:pageBreakBefore w:val="0"/>
        <w:widowControl w:val="0"/>
        <w:kinsoku/>
        <w:wordWrap/>
        <w:overflowPunct/>
        <w:topLinePunct w:val="0"/>
        <w:autoSpaceDE/>
        <w:autoSpaceDN/>
        <w:bidi w:val="0"/>
        <w:adjustRightInd/>
        <w:snapToGrid/>
        <w:spacing w:before="0" w:after="0" w:line="560" w:lineRule="exact"/>
        <w:ind w:firstLine="600" w:firstLineChars="200"/>
        <w:jc w:val="left"/>
        <w:textAlignment w:val="auto"/>
        <w:rPr>
          <w:rFonts w:hint="default" w:ascii="Times New Roman" w:hAnsi="Times New Roman" w:eastAsia="仿宋_GB2312" w:cs="Times New Roman"/>
          <w:b w:val="0"/>
          <w:bCs w:val="0"/>
          <w:color w:val="auto"/>
          <w:kern w:val="2"/>
          <w:sz w:val="30"/>
          <w:szCs w:val="24"/>
          <w:highlight w:val="none"/>
          <w:lang w:val="en-US" w:eastAsia="zh-CN" w:bidi="ar-SA"/>
        </w:rPr>
      </w:pPr>
      <w:r>
        <w:rPr>
          <w:rFonts w:hint="eastAsia" w:ascii="Times New Roman" w:hAnsi="Times New Roman" w:eastAsia="仿宋_GB2312" w:cs="Times New Roman"/>
          <w:b w:val="0"/>
          <w:bCs w:val="0"/>
          <w:color w:val="auto"/>
          <w:kern w:val="2"/>
          <w:sz w:val="30"/>
          <w:szCs w:val="24"/>
          <w:highlight w:val="none"/>
          <w:lang w:val="en-US" w:eastAsia="zh-CN" w:bidi="ar-SA"/>
        </w:rPr>
        <w:t>此项权重分3分，得分3分。</w:t>
      </w:r>
    </w:p>
    <w:p>
      <w:pPr>
        <w:pageBreakBefore w:val="0"/>
        <w:widowControl w:val="0"/>
        <w:kinsoku/>
        <w:wordWrap/>
        <w:overflowPunct/>
        <w:topLinePunct w:val="0"/>
        <w:autoSpaceDE/>
        <w:autoSpaceDN/>
        <w:bidi w:val="0"/>
        <w:adjustRightInd/>
        <w:snapToGrid/>
        <w:spacing w:line="560" w:lineRule="exact"/>
        <w:ind w:firstLine="600" w:firstLineChars="200"/>
        <w:jc w:val="left"/>
        <w:textAlignment w:val="auto"/>
        <w:rPr>
          <w:rFonts w:hint="eastAsia"/>
          <w:color w:val="auto"/>
          <w:highlight w:val="none"/>
        </w:rPr>
      </w:pPr>
      <w:r>
        <w:rPr>
          <w:rFonts w:hint="eastAsia"/>
          <w:color w:val="auto"/>
          <w:highlight w:val="none"/>
        </w:rPr>
        <w:t>2</w:t>
      </w:r>
      <w:r>
        <w:rPr>
          <w:rFonts w:hint="eastAsia"/>
          <w:color w:val="auto"/>
          <w:highlight w:val="none"/>
          <w:lang w:val="en-US" w:eastAsia="zh-CN"/>
        </w:rPr>
        <w:t>.</w:t>
      </w:r>
      <w:r>
        <w:rPr>
          <w:rFonts w:hint="eastAsia"/>
          <w:color w:val="auto"/>
          <w:highlight w:val="none"/>
        </w:rPr>
        <w:t>立项程序规范性</w:t>
      </w:r>
    </w:p>
    <w:p>
      <w:pPr>
        <w:pStyle w:val="10"/>
        <w:pageBreakBefore w:val="0"/>
        <w:widowControl w:val="0"/>
        <w:kinsoku/>
        <w:wordWrap/>
        <w:overflowPunct/>
        <w:topLinePunct w:val="0"/>
        <w:autoSpaceDE/>
        <w:autoSpaceDN/>
        <w:bidi w:val="0"/>
        <w:adjustRightInd/>
        <w:snapToGrid/>
        <w:spacing w:before="0" w:after="0" w:line="560" w:lineRule="exact"/>
        <w:ind w:firstLine="640" w:firstLineChars="200"/>
        <w:jc w:val="both"/>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自治区第十四届运动会经费项目申请、设立过程符合相关要求，严格按照审批流程准备符合要求的文件、材料；根据决算依据编制工作计划和经费预算，经过与我局项目分管领导沟通、筛选确定经费预算计划，确定最终预算方案。项目的审批文件、材料符合相关要求，项目事前经过必要的可行性研究、专家论证、绩效评估、集体决策，保障了程序的规范性。</w:t>
      </w:r>
    </w:p>
    <w:p>
      <w:pPr>
        <w:pStyle w:val="10"/>
        <w:pageBreakBefore w:val="0"/>
        <w:widowControl w:val="0"/>
        <w:kinsoku/>
        <w:wordWrap/>
        <w:overflowPunct/>
        <w:topLinePunct w:val="0"/>
        <w:autoSpaceDE/>
        <w:autoSpaceDN/>
        <w:bidi w:val="0"/>
        <w:adjustRightInd/>
        <w:snapToGrid/>
        <w:spacing w:before="0" w:after="0" w:line="560" w:lineRule="exact"/>
        <w:ind w:firstLine="600" w:firstLineChars="200"/>
        <w:jc w:val="left"/>
        <w:textAlignment w:val="auto"/>
        <w:rPr>
          <w:rFonts w:hint="default" w:ascii="Times New Roman" w:hAnsi="Times New Roman" w:eastAsia="仿宋_GB2312" w:cs="Times New Roman"/>
          <w:b w:val="0"/>
          <w:bCs w:val="0"/>
          <w:color w:val="auto"/>
          <w:kern w:val="2"/>
          <w:sz w:val="30"/>
          <w:szCs w:val="24"/>
          <w:highlight w:val="none"/>
          <w:lang w:val="en-US" w:eastAsia="zh-CN" w:bidi="ar-SA"/>
        </w:rPr>
      </w:pPr>
      <w:r>
        <w:rPr>
          <w:rFonts w:hint="eastAsia" w:ascii="Times New Roman" w:hAnsi="Times New Roman" w:eastAsia="仿宋_GB2312" w:cs="Times New Roman"/>
          <w:b w:val="0"/>
          <w:bCs w:val="0"/>
          <w:color w:val="auto"/>
          <w:kern w:val="2"/>
          <w:sz w:val="30"/>
          <w:szCs w:val="24"/>
          <w:highlight w:val="none"/>
          <w:lang w:val="en-US" w:eastAsia="zh-CN" w:bidi="ar-SA"/>
        </w:rPr>
        <w:t>此项权重分3分，得分3分。</w:t>
      </w:r>
    </w:p>
    <w:p>
      <w:pPr>
        <w:pageBreakBefore w:val="0"/>
        <w:widowControl w:val="0"/>
        <w:kinsoku/>
        <w:wordWrap/>
        <w:overflowPunct/>
        <w:topLinePunct w:val="0"/>
        <w:autoSpaceDE/>
        <w:autoSpaceDN/>
        <w:bidi w:val="0"/>
        <w:adjustRightInd/>
        <w:snapToGrid/>
        <w:spacing w:line="560" w:lineRule="exact"/>
        <w:ind w:firstLine="600" w:firstLineChars="200"/>
        <w:jc w:val="left"/>
        <w:textAlignment w:val="auto"/>
        <w:rPr>
          <w:rFonts w:hint="eastAsia"/>
          <w:color w:val="auto"/>
          <w:highlight w:val="none"/>
        </w:rPr>
      </w:pPr>
      <w:r>
        <w:rPr>
          <w:rFonts w:hint="eastAsia"/>
          <w:color w:val="auto"/>
          <w:highlight w:val="none"/>
        </w:rPr>
        <w:t>3</w:t>
      </w:r>
      <w:r>
        <w:rPr>
          <w:rFonts w:hint="eastAsia"/>
          <w:color w:val="auto"/>
          <w:highlight w:val="none"/>
          <w:lang w:val="en-US" w:eastAsia="zh-CN"/>
        </w:rPr>
        <w:t>.</w:t>
      </w:r>
      <w:r>
        <w:rPr>
          <w:rFonts w:hint="eastAsia"/>
          <w:color w:val="auto"/>
          <w:highlight w:val="none"/>
        </w:rPr>
        <w:t>绩效目标合理性</w:t>
      </w:r>
    </w:p>
    <w:p>
      <w:pPr>
        <w:pageBreakBefore w:val="0"/>
        <w:widowControl w:val="0"/>
        <w:kinsoku/>
        <w:wordWrap/>
        <w:overflowPunct/>
        <w:topLinePunct w:val="0"/>
        <w:autoSpaceDE/>
        <w:autoSpaceDN/>
        <w:bidi w:val="0"/>
        <w:adjustRightInd/>
        <w:snapToGrid/>
        <w:spacing w:line="560" w:lineRule="exact"/>
        <w:ind w:firstLine="600" w:firstLineChars="200"/>
        <w:textAlignment w:val="auto"/>
        <w:rPr>
          <w:rFonts w:hint="eastAsia"/>
          <w:color w:val="auto"/>
          <w:highlight w:val="none"/>
        </w:rPr>
      </w:pPr>
      <w:r>
        <w:rPr>
          <w:rFonts w:hint="eastAsia"/>
          <w:color w:val="auto"/>
          <w:highlight w:val="none"/>
          <w:lang w:val="en-US" w:eastAsia="zh-CN"/>
        </w:rPr>
        <w:t>自治区第十四届运动会经费</w:t>
      </w:r>
      <w:r>
        <w:rPr>
          <w:rFonts w:hint="eastAsia"/>
          <w:color w:val="auto"/>
          <w:highlight w:val="none"/>
        </w:rPr>
        <w:t>项目设立了项目绩效目标，与举办自治区第十四届运动会具有相关性，项目的预期产出效益和效果也均能符合正常的业绩水平，并且与预算确定的项目资金量相匹配。</w:t>
      </w:r>
    </w:p>
    <w:p>
      <w:pPr>
        <w:pStyle w:val="10"/>
        <w:pageBreakBefore w:val="0"/>
        <w:widowControl w:val="0"/>
        <w:kinsoku/>
        <w:wordWrap/>
        <w:overflowPunct/>
        <w:topLinePunct w:val="0"/>
        <w:autoSpaceDE/>
        <w:autoSpaceDN/>
        <w:bidi w:val="0"/>
        <w:adjustRightInd/>
        <w:snapToGrid/>
        <w:spacing w:before="0" w:after="0" w:line="560" w:lineRule="exact"/>
        <w:ind w:firstLine="600" w:firstLineChars="200"/>
        <w:jc w:val="left"/>
        <w:textAlignment w:val="auto"/>
        <w:rPr>
          <w:color w:val="auto"/>
          <w:highlight w:val="none"/>
        </w:rPr>
      </w:pPr>
      <w:r>
        <w:rPr>
          <w:rFonts w:hint="eastAsia" w:ascii="Times New Roman" w:hAnsi="Times New Roman" w:eastAsia="仿宋_GB2312" w:cs="Times New Roman"/>
          <w:b w:val="0"/>
          <w:bCs w:val="0"/>
          <w:color w:val="auto"/>
          <w:kern w:val="2"/>
          <w:sz w:val="30"/>
          <w:szCs w:val="24"/>
          <w:highlight w:val="none"/>
          <w:lang w:val="en-US" w:eastAsia="zh-CN" w:bidi="ar-SA"/>
        </w:rPr>
        <w:t>此项权重分3分，得分3分。</w:t>
      </w:r>
    </w:p>
    <w:p>
      <w:pPr>
        <w:pageBreakBefore w:val="0"/>
        <w:widowControl w:val="0"/>
        <w:kinsoku/>
        <w:wordWrap/>
        <w:overflowPunct/>
        <w:topLinePunct w:val="0"/>
        <w:autoSpaceDE/>
        <w:autoSpaceDN/>
        <w:bidi w:val="0"/>
        <w:adjustRightInd/>
        <w:snapToGrid/>
        <w:spacing w:line="560" w:lineRule="exact"/>
        <w:ind w:firstLine="600" w:firstLineChars="200"/>
        <w:jc w:val="left"/>
        <w:textAlignment w:val="auto"/>
        <w:rPr>
          <w:rFonts w:hint="eastAsia"/>
          <w:color w:val="auto"/>
          <w:highlight w:val="none"/>
        </w:rPr>
      </w:pPr>
      <w:r>
        <w:rPr>
          <w:rFonts w:hint="eastAsia"/>
          <w:color w:val="auto"/>
          <w:highlight w:val="none"/>
        </w:rPr>
        <w:t>4</w:t>
      </w:r>
      <w:r>
        <w:rPr>
          <w:rFonts w:hint="eastAsia"/>
          <w:color w:val="auto"/>
          <w:highlight w:val="none"/>
          <w:lang w:val="en-US" w:eastAsia="zh-CN"/>
        </w:rPr>
        <w:t>.</w:t>
      </w:r>
      <w:r>
        <w:rPr>
          <w:rFonts w:hint="eastAsia"/>
          <w:color w:val="auto"/>
          <w:highlight w:val="none"/>
        </w:rPr>
        <w:t>绩效指标明确性</w:t>
      </w:r>
    </w:p>
    <w:p>
      <w:pPr>
        <w:pageBreakBefore w:val="0"/>
        <w:widowControl w:val="0"/>
        <w:kinsoku/>
        <w:wordWrap/>
        <w:overflowPunct/>
        <w:topLinePunct w:val="0"/>
        <w:autoSpaceDE/>
        <w:autoSpaceDN/>
        <w:bidi w:val="0"/>
        <w:adjustRightInd/>
        <w:snapToGrid/>
        <w:spacing w:line="560" w:lineRule="exact"/>
        <w:ind w:firstLine="600" w:firstLineChars="200"/>
        <w:textAlignment w:val="auto"/>
        <w:rPr>
          <w:rFonts w:hint="eastAsia"/>
          <w:color w:val="auto"/>
          <w:highlight w:val="none"/>
        </w:rPr>
      </w:pPr>
      <w:bookmarkStart w:id="13" w:name="_Hlk68699917"/>
      <w:r>
        <w:rPr>
          <w:rFonts w:hint="eastAsia"/>
          <w:color w:val="auto"/>
          <w:highlight w:val="none"/>
          <w:lang w:val="en-US" w:eastAsia="zh-CN"/>
        </w:rPr>
        <w:t>自治区第十四届运动会经费</w:t>
      </w:r>
      <w:r>
        <w:rPr>
          <w:rFonts w:hint="eastAsia"/>
          <w:color w:val="auto"/>
          <w:highlight w:val="none"/>
        </w:rPr>
        <w:t>项目将项目绩效目标细化分解为具体的绩效指标，一级指标共</w:t>
      </w:r>
      <w:r>
        <w:rPr>
          <w:rFonts w:hint="eastAsia"/>
          <w:color w:val="auto"/>
          <w:highlight w:val="none"/>
          <w:lang w:val="en-US" w:eastAsia="zh-CN"/>
        </w:rPr>
        <w:t>4</w:t>
      </w:r>
      <w:r>
        <w:rPr>
          <w:rFonts w:hint="eastAsia"/>
          <w:color w:val="auto"/>
          <w:highlight w:val="none"/>
        </w:rPr>
        <w:t>条，二级指标共</w:t>
      </w:r>
      <w:r>
        <w:rPr>
          <w:rFonts w:hint="eastAsia"/>
          <w:color w:val="auto"/>
          <w:highlight w:val="none"/>
          <w:lang w:val="en-US" w:eastAsia="zh-CN"/>
        </w:rPr>
        <w:t>6</w:t>
      </w:r>
      <w:r>
        <w:rPr>
          <w:rFonts w:hint="eastAsia"/>
          <w:color w:val="auto"/>
          <w:highlight w:val="none"/>
        </w:rPr>
        <w:t>条，三级指标共</w:t>
      </w:r>
      <w:r>
        <w:rPr>
          <w:rFonts w:hint="eastAsia"/>
          <w:color w:val="auto"/>
          <w:highlight w:val="none"/>
          <w:lang w:val="en-US" w:eastAsia="zh-CN"/>
        </w:rPr>
        <w:t>15</w:t>
      </w:r>
      <w:r>
        <w:rPr>
          <w:rFonts w:hint="eastAsia"/>
          <w:color w:val="auto"/>
          <w:highlight w:val="none"/>
        </w:rPr>
        <w:t>条，其中量化指标条数共</w:t>
      </w:r>
      <w:r>
        <w:rPr>
          <w:rFonts w:hint="eastAsia"/>
          <w:color w:val="auto"/>
          <w:highlight w:val="none"/>
          <w:lang w:val="en-US" w:eastAsia="zh-CN"/>
        </w:rPr>
        <w:t>15</w:t>
      </w:r>
      <w:r>
        <w:rPr>
          <w:rFonts w:hint="eastAsia"/>
          <w:color w:val="auto"/>
          <w:highlight w:val="none"/>
        </w:rPr>
        <w:t>条，所有绩效指标均通过清晰、可衡量的指标值予以体现，并且做到了与项目目标任务数或计划数相对应。</w:t>
      </w:r>
      <w:bookmarkEnd w:id="13"/>
    </w:p>
    <w:p>
      <w:pPr>
        <w:pStyle w:val="10"/>
        <w:pageBreakBefore w:val="0"/>
        <w:widowControl w:val="0"/>
        <w:kinsoku/>
        <w:wordWrap/>
        <w:overflowPunct/>
        <w:topLinePunct w:val="0"/>
        <w:autoSpaceDE/>
        <w:autoSpaceDN/>
        <w:bidi w:val="0"/>
        <w:adjustRightInd/>
        <w:snapToGrid/>
        <w:spacing w:before="0" w:after="0" w:line="560" w:lineRule="exact"/>
        <w:ind w:firstLine="600" w:firstLineChars="200"/>
        <w:jc w:val="left"/>
        <w:textAlignment w:val="auto"/>
        <w:rPr>
          <w:color w:val="auto"/>
          <w:highlight w:val="none"/>
        </w:rPr>
      </w:pPr>
      <w:r>
        <w:rPr>
          <w:rFonts w:hint="eastAsia" w:ascii="Times New Roman" w:hAnsi="Times New Roman" w:eastAsia="仿宋_GB2312" w:cs="Times New Roman"/>
          <w:b w:val="0"/>
          <w:bCs w:val="0"/>
          <w:color w:val="auto"/>
          <w:kern w:val="2"/>
          <w:sz w:val="30"/>
          <w:szCs w:val="24"/>
          <w:highlight w:val="none"/>
          <w:lang w:val="en-US" w:eastAsia="zh-CN" w:bidi="ar-SA"/>
        </w:rPr>
        <w:t>此项权重分3分，得分3分。</w:t>
      </w:r>
    </w:p>
    <w:p>
      <w:pPr>
        <w:pageBreakBefore w:val="0"/>
        <w:widowControl w:val="0"/>
        <w:kinsoku/>
        <w:wordWrap/>
        <w:overflowPunct/>
        <w:topLinePunct w:val="0"/>
        <w:autoSpaceDE/>
        <w:autoSpaceDN/>
        <w:bidi w:val="0"/>
        <w:adjustRightInd/>
        <w:snapToGrid/>
        <w:spacing w:line="560" w:lineRule="exact"/>
        <w:ind w:firstLine="600" w:firstLineChars="200"/>
        <w:jc w:val="left"/>
        <w:textAlignment w:val="auto"/>
        <w:rPr>
          <w:rFonts w:hint="eastAsia"/>
          <w:color w:val="auto"/>
          <w:highlight w:val="none"/>
        </w:rPr>
      </w:pPr>
      <w:r>
        <w:rPr>
          <w:rFonts w:hint="eastAsia"/>
          <w:color w:val="auto"/>
          <w:highlight w:val="none"/>
        </w:rPr>
        <w:t>5</w:t>
      </w:r>
      <w:r>
        <w:rPr>
          <w:rFonts w:hint="eastAsia"/>
          <w:color w:val="auto"/>
          <w:highlight w:val="none"/>
          <w:lang w:val="en-US" w:eastAsia="zh-CN"/>
        </w:rPr>
        <w:t>.</w:t>
      </w:r>
      <w:r>
        <w:rPr>
          <w:rFonts w:hint="eastAsia"/>
          <w:color w:val="auto"/>
          <w:highlight w:val="none"/>
        </w:rPr>
        <w:t>预算编制科学性</w:t>
      </w:r>
    </w:p>
    <w:p>
      <w:pPr>
        <w:pageBreakBefore w:val="0"/>
        <w:widowControl w:val="0"/>
        <w:kinsoku/>
        <w:wordWrap/>
        <w:overflowPunct/>
        <w:topLinePunct w:val="0"/>
        <w:autoSpaceDE/>
        <w:autoSpaceDN/>
        <w:bidi w:val="0"/>
        <w:adjustRightInd/>
        <w:snapToGrid/>
        <w:spacing w:line="560" w:lineRule="exact"/>
        <w:ind w:firstLine="600" w:firstLineChars="200"/>
        <w:textAlignment w:val="auto"/>
        <w:rPr>
          <w:rFonts w:hint="eastAsia"/>
          <w:color w:val="auto"/>
          <w:highlight w:val="none"/>
        </w:rPr>
      </w:pPr>
      <w:r>
        <w:rPr>
          <w:rFonts w:hint="eastAsia"/>
          <w:color w:val="auto"/>
          <w:highlight w:val="none"/>
          <w:lang w:val="en-US" w:eastAsia="zh-CN"/>
        </w:rPr>
        <w:t>自治区第十四届运动会经费（6500万）项目经过科学论证；项目预算编制根据项目内容进行计算，预算数通过州财经委员会确定，预算内容与项目内容无偏差，项目投入资金与工作任务相匹配。</w:t>
      </w:r>
    </w:p>
    <w:p>
      <w:pPr>
        <w:pStyle w:val="10"/>
        <w:pageBreakBefore w:val="0"/>
        <w:widowControl w:val="0"/>
        <w:kinsoku/>
        <w:wordWrap/>
        <w:overflowPunct/>
        <w:topLinePunct w:val="0"/>
        <w:autoSpaceDE/>
        <w:autoSpaceDN/>
        <w:bidi w:val="0"/>
        <w:adjustRightInd/>
        <w:snapToGrid/>
        <w:spacing w:before="0" w:after="0" w:line="560" w:lineRule="exact"/>
        <w:ind w:firstLine="600" w:firstLineChars="200"/>
        <w:jc w:val="left"/>
        <w:textAlignment w:val="auto"/>
        <w:rPr>
          <w:color w:val="auto"/>
          <w:highlight w:val="none"/>
        </w:rPr>
      </w:pPr>
      <w:r>
        <w:rPr>
          <w:rFonts w:hint="eastAsia" w:ascii="Times New Roman" w:hAnsi="Times New Roman" w:eastAsia="仿宋_GB2312" w:cs="Times New Roman"/>
          <w:b w:val="0"/>
          <w:bCs w:val="0"/>
          <w:color w:val="auto"/>
          <w:kern w:val="2"/>
          <w:sz w:val="30"/>
          <w:szCs w:val="24"/>
          <w:highlight w:val="none"/>
          <w:lang w:val="en-US" w:eastAsia="zh-CN" w:bidi="ar-SA"/>
        </w:rPr>
        <w:t>此项权重分4分，得分4分。</w:t>
      </w:r>
    </w:p>
    <w:p>
      <w:pPr>
        <w:pageBreakBefore w:val="0"/>
        <w:widowControl w:val="0"/>
        <w:kinsoku/>
        <w:wordWrap/>
        <w:overflowPunct/>
        <w:topLinePunct w:val="0"/>
        <w:autoSpaceDE/>
        <w:autoSpaceDN/>
        <w:bidi w:val="0"/>
        <w:adjustRightInd/>
        <w:snapToGrid/>
        <w:spacing w:line="560" w:lineRule="exact"/>
        <w:ind w:firstLine="600" w:firstLineChars="200"/>
        <w:jc w:val="left"/>
        <w:textAlignment w:val="auto"/>
        <w:rPr>
          <w:rFonts w:hint="eastAsia"/>
          <w:color w:val="auto"/>
          <w:highlight w:val="none"/>
        </w:rPr>
      </w:pPr>
      <w:r>
        <w:rPr>
          <w:rFonts w:hint="eastAsia"/>
          <w:color w:val="auto"/>
          <w:highlight w:val="none"/>
        </w:rPr>
        <w:t>6</w:t>
      </w:r>
      <w:r>
        <w:rPr>
          <w:rFonts w:hint="eastAsia"/>
          <w:color w:val="auto"/>
          <w:highlight w:val="none"/>
          <w:lang w:val="en-US" w:eastAsia="zh-CN"/>
        </w:rPr>
        <w:t>.</w:t>
      </w:r>
      <w:r>
        <w:rPr>
          <w:rFonts w:hint="eastAsia"/>
          <w:color w:val="auto"/>
          <w:highlight w:val="none"/>
        </w:rPr>
        <w:t>资金分配合理性</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eastAsia"/>
          <w:color w:val="auto"/>
          <w:highlight w:val="none"/>
        </w:rPr>
      </w:pPr>
      <w:r>
        <w:rPr>
          <w:rFonts w:hint="eastAsia"/>
          <w:color w:val="auto"/>
          <w:highlight w:val="none"/>
          <w:lang w:val="en-US" w:eastAsia="zh-CN"/>
        </w:rPr>
        <w:t>预算资金分配1400万元，其中：发放获奖人员奖励金698.27万元，体育场馆维修和提升改造651.74万元，购置代表团服装49.99万元，预算资金分配依据充分，资金分配额度合理，与该项目实际相适应。</w:t>
      </w:r>
    </w:p>
    <w:p>
      <w:pPr>
        <w:pStyle w:val="10"/>
        <w:keepNext w:val="0"/>
        <w:keepLines w:val="0"/>
        <w:pageBreakBefore w:val="0"/>
        <w:widowControl w:val="0"/>
        <w:kinsoku/>
        <w:wordWrap/>
        <w:overflowPunct/>
        <w:topLinePunct w:val="0"/>
        <w:autoSpaceDE/>
        <w:autoSpaceDN/>
        <w:bidi w:val="0"/>
        <w:adjustRightInd/>
        <w:snapToGrid/>
        <w:spacing w:before="0" w:after="0" w:line="560" w:lineRule="exact"/>
        <w:ind w:firstLine="600" w:firstLineChars="200"/>
        <w:jc w:val="left"/>
        <w:textAlignment w:val="auto"/>
        <w:rPr>
          <w:color w:val="auto"/>
          <w:highlight w:val="none"/>
        </w:rPr>
      </w:pPr>
      <w:r>
        <w:rPr>
          <w:rFonts w:hint="eastAsia" w:ascii="Times New Roman" w:hAnsi="Times New Roman" w:eastAsia="仿宋_GB2312" w:cs="Times New Roman"/>
          <w:b w:val="0"/>
          <w:bCs w:val="0"/>
          <w:color w:val="auto"/>
          <w:kern w:val="2"/>
          <w:sz w:val="30"/>
          <w:szCs w:val="24"/>
          <w:highlight w:val="none"/>
          <w:lang w:val="en-US" w:eastAsia="zh-CN" w:bidi="ar-SA"/>
        </w:rPr>
        <w:t>此项权重分4分，得分4分。</w:t>
      </w:r>
    </w:p>
    <w:p>
      <w:pPr>
        <w:pStyle w:val="4"/>
        <w:pageBreakBefore w:val="0"/>
        <w:widowControl w:val="0"/>
        <w:kinsoku/>
        <w:wordWrap/>
        <w:overflowPunct/>
        <w:topLinePunct w:val="0"/>
        <w:autoSpaceDE/>
        <w:autoSpaceDN/>
        <w:bidi w:val="0"/>
        <w:adjustRightInd/>
        <w:snapToGrid/>
        <w:spacing w:before="0" w:after="0" w:line="560" w:lineRule="exact"/>
        <w:ind w:firstLine="640" w:firstLineChars="200"/>
        <w:textAlignment w:val="auto"/>
        <w:rPr>
          <w:rFonts w:hint="eastAsia" w:ascii="方正楷体_GBK" w:hAnsi="方正楷体_GBK" w:eastAsia="方正楷体_GBK" w:cs="方正楷体_GBK"/>
          <w:b w:val="0"/>
          <w:bCs w:val="0"/>
          <w:color w:val="auto"/>
          <w:highlight w:val="none"/>
        </w:rPr>
      </w:pPr>
      <w:bookmarkStart w:id="14" w:name="_Toc68703839"/>
      <w:r>
        <w:rPr>
          <w:rFonts w:hint="eastAsia" w:ascii="方正楷体_GBK" w:hAnsi="方正楷体_GBK" w:eastAsia="方正楷体_GBK" w:cs="方正楷体_GBK"/>
          <w:b w:val="0"/>
          <w:bCs w:val="0"/>
          <w:color w:val="auto"/>
          <w:highlight w:val="none"/>
        </w:rPr>
        <w:t>（二）项目过程情况。</w:t>
      </w:r>
      <w:bookmarkEnd w:id="14"/>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eastAsia"/>
          <w:color w:val="auto"/>
          <w:highlight w:val="none"/>
          <w:lang w:val="en-US" w:eastAsia="zh-CN"/>
        </w:rPr>
      </w:pPr>
      <w:r>
        <w:rPr>
          <w:rFonts w:hint="eastAsia"/>
          <w:color w:val="auto"/>
          <w:highlight w:val="none"/>
          <w:lang w:val="en-US" w:eastAsia="zh-CN"/>
        </w:rPr>
        <w:t>1.资金到位率：</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eastAsia"/>
          <w:color w:val="auto"/>
          <w:highlight w:val="none"/>
          <w:lang w:val="en-US" w:eastAsia="zh-CN"/>
        </w:rPr>
      </w:pPr>
      <w:r>
        <w:rPr>
          <w:rFonts w:hint="eastAsia"/>
          <w:color w:val="auto"/>
          <w:highlight w:val="none"/>
          <w:lang w:val="en-US" w:eastAsia="zh-CN"/>
        </w:rPr>
        <w:t>预算资金1400万元，实际到位资金1400万元，资金到位率100%。</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eastAsia"/>
          <w:color w:val="auto"/>
          <w:highlight w:val="none"/>
          <w:lang w:val="en-US" w:eastAsia="zh-CN"/>
        </w:rPr>
      </w:pPr>
      <w:r>
        <w:rPr>
          <w:rFonts w:hint="eastAsia"/>
          <w:color w:val="auto"/>
          <w:highlight w:val="none"/>
          <w:lang w:val="en-US" w:eastAsia="zh-CN"/>
        </w:rPr>
        <w:t>此项权重分4分，得分4分。</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eastAsia"/>
          <w:color w:val="auto"/>
          <w:highlight w:val="none"/>
          <w:lang w:val="en-US" w:eastAsia="zh-CN"/>
        </w:rPr>
      </w:pPr>
      <w:r>
        <w:rPr>
          <w:rFonts w:hint="eastAsia"/>
          <w:color w:val="auto"/>
          <w:highlight w:val="none"/>
          <w:lang w:val="en-US" w:eastAsia="zh-CN"/>
        </w:rPr>
        <w:t>2.预算执行率</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eastAsia"/>
          <w:color w:val="auto"/>
          <w:highlight w:val="none"/>
          <w:lang w:val="en-US" w:eastAsia="zh-CN"/>
        </w:rPr>
      </w:pPr>
      <w:r>
        <w:rPr>
          <w:rFonts w:hint="eastAsia"/>
          <w:color w:val="auto"/>
          <w:highlight w:val="none"/>
          <w:lang w:val="en-US" w:eastAsia="zh-CN"/>
        </w:rPr>
        <w:t>年初预算数1400万元，全年预算数1400万元，全年执行数1400万元，预算执行率为100%。</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eastAsia"/>
          <w:color w:val="auto"/>
          <w:highlight w:val="none"/>
          <w:lang w:val="en-US" w:eastAsia="zh-CN"/>
        </w:rPr>
      </w:pPr>
      <w:r>
        <w:rPr>
          <w:rFonts w:hint="eastAsia"/>
          <w:color w:val="auto"/>
          <w:highlight w:val="none"/>
          <w:lang w:val="en-US" w:eastAsia="zh-CN"/>
        </w:rPr>
        <w:t>此项权重分4分，得分4分。</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eastAsia"/>
          <w:color w:val="auto"/>
          <w:highlight w:val="none"/>
          <w:lang w:val="en-US" w:eastAsia="zh-CN"/>
        </w:rPr>
      </w:pPr>
      <w:r>
        <w:rPr>
          <w:rFonts w:hint="eastAsia"/>
          <w:color w:val="auto"/>
          <w:highlight w:val="none"/>
          <w:lang w:val="en-US" w:eastAsia="zh-CN"/>
        </w:rPr>
        <w:t>3.资金使用合规性</w:t>
      </w:r>
    </w:p>
    <w:p>
      <w:pPr>
        <w:pStyle w:val="10"/>
        <w:pageBreakBefore w:val="0"/>
        <w:widowControl w:val="0"/>
        <w:kinsoku/>
        <w:wordWrap/>
        <w:overflowPunct/>
        <w:topLinePunct w:val="0"/>
        <w:autoSpaceDE/>
        <w:autoSpaceDN/>
        <w:bidi w:val="0"/>
        <w:adjustRightInd/>
        <w:snapToGrid/>
        <w:spacing w:before="0" w:after="0" w:line="560" w:lineRule="exact"/>
        <w:ind w:firstLine="640" w:firstLineChars="200"/>
        <w:jc w:val="left"/>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资金使用符合、财务管理制度以及有关专项资金管理办法的规定；资金的拨付严格按照我局资金拨付审批程序进行：由项目负责人提交项目资金申请计划到自治区第十届运动会筹备委员会，经审批后提交到财务专班。项目资金拨付手续齐全；本项目资金合同规定的用途为制度十四运赛事费用，符合项目预算批复及合同规定的用途；项目资金执行过程不存在截留、挤占、挪用、虚列支出等情况。</w:t>
      </w:r>
    </w:p>
    <w:p>
      <w:pPr>
        <w:pStyle w:val="10"/>
        <w:pageBreakBefore w:val="0"/>
        <w:widowControl w:val="0"/>
        <w:kinsoku/>
        <w:wordWrap/>
        <w:overflowPunct/>
        <w:topLinePunct w:val="0"/>
        <w:autoSpaceDE/>
        <w:autoSpaceDN/>
        <w:bidi w:val="0"/>
        <w:adjustRightInd/>
        <w:snapToGrid/>
        <w:spacing w:before="0" w:after="0" w:line="560" w:lineRule="exact"/>
        <w:ind w:firstLine="600" w:firstLineChars="200"/>
        <w:jc w:val="left"/>
        <w:textAlignment w:val="auto"/>
        <w:rPr>
          <w:rFonts w:hint="eastAsia"/>
          <w:color w:val="auto"/>
          <w:highlight w:val="none"/>
          <w:lang w:val="en-US" w:eastAsia="zh-CN"/>
        </w:rPr>
      </w:pPr>
      <w:r>
        <w:rPr>
          <w:rFonts w:hint="eastAsia" w:ascii="Times New Roman" w:hAnsi="Times New Roman" w:eastAsia="仿宋_GB2312" w:cs="Times New Roman"/>
          <w:b w:val="0"/>
          <w:bCs w:val="0"/>
          <w:color w:val="auto"/>
          <w:kern w:val="2"/>
          <w:sz w:val="30"/>
          <w:szCs w:val="24"/>
          <w:highlight w:val="none"/>
          <w:lang w:val="en-US" w:eastAsia="zh-CN" w:bidi="ar-SA"/>
        </w:rPr>
        <w:t>此项权重分4分，得分4分。</w:t>
      </w:r>
    </w:p>
    <w:p>
      <w:pPr>
        <w:pageBreakBefore w:val="0"/>
        <w:widowControl w:val="0"/>
        <w:kinsoku/>
        <w:wordWrap/>
        <w:overflowPunct/>
        <w:topLinePunct w:val="0"/>
        <w:autoSpaceDE/>
        <w:autoSpaceDN/>
        <w:bidi w:val="0"/>
        <w:adjustRightInd/>
        <w:snapToGrid/>
        <w:spacing w:line="560" w:lineRule="exact"/>
        <w:ind w:firstLine="600" w:firstLineChars="200"/>
        <w:jc w:val="left"/>
        <w:textAlignment w:val="auto"/>
        <w:rPr>
          <w:rFonts w:hint="eastAsia"/>
          <w:color w:val="auto"/>
          <w:highlight w:val="none"/>
        </w:rPr>
      </w:pPr>
      <w:r>
        <w:rPr>
          <w:rFonts w:hint="eastAsia"/>
          <w:color w:val="auto"/>
          <w:highlight w:val="none"/>
        </w:rPr>
        <w:t>4</w:t>
      </w:r>
      <w:r>
        <w:rPr>
          <w:rFonts w:hint="eastAsia"/>
          <w:color w:val="auto"/>
          <w:highlight w:val="none"/>
          <w:lang w:val="en-US" w:eastAsia="zh-CN"/>
        </w:rPr>
        <w:t>.</w:t>
      </w:r>
      <w:r>
        <w:rPr>
          <w:rFonts w:hint="eastAsia"/>
          <w:color w:val="auto"/>
          <w:highlight w:val="none"/>
        </w:rPr>
        <w:t>管理制度健全性</w:t>
      </w:r>
    </w:p>
    <w:p>
      <w:pPr>
        <w:pStyle w:val="10"/>
        <w:pageBreakBefore w:val="0"/>
        <w:widowControl w:val="0"/>
        <w:kinsoku/>
        <w:wordWrap/>
        <w:overflowPunct/>
        <w:topLinePunct w:val="0"/>
        <w:autoSpaceDE/>
        <w:autoSpaceDN/>
        <w:bidi w:val="0"/>
        <w:adjustRightInd/>
        <w:snapToGrid/>
        <w:spacing w:before="0" w:after="0" w:line="560" w:lineRule="exact"/>
        <w:ind w:firstLine="640" w:firstLineChars="200"/>
        <w:jc w:val="both"/>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本项目根据自治区第十届运动会筹备委员会制定的项目资金管理办法，对财政资金进行严格管理，做到专款专用；自治区第十四届运动会财务和业务管理制度健全，管理制度符合《中华人民共和国政府采购法》、《中华人民共和国会计法》等相关法律法规，财务和业务管理制度已经过科室审批通过，确保了各项制度的合法合规性及完整性，能够反映和考核财务和业务管理制度对项目顺利实施的保障情况。</w:t>
      </w:r>
    </w:p>
    <w:p>
      <w:pPr>
        <w:pStyle w:val="10"/>
        <w:pageBreakBefore w:val="0"/>
        <w:widowControl w:val="0"/>
        <w:kinsoku/>
        <w:wordWrap/>
        <w:overflowPunct/>
        <w:topLinePunct w:val="0"/>
        <w:autoSpaceDE/>
        <w:autoSpaceDN/>
        <w:bidi w:val="0"/>
        <w:adjustRightInd/>
        <w:snapToGrid/>
        <w:spacing w:before="0" w:after="0" w:line="560" w:lineRule="exact"/>
        <w:ind w:firstLine="600" w:firstLineChars="200"/>
        <w:jc w:val="left"/>
        <w:textAlignment w:val="auto"/>
        <w:rPr>
          <w:rFonts w:hint="eastAsia"/>
          <w:color w:val="auto"/>
          <w:highlight w:val="none"/>
          <w:lang w:val="en-US" w:eastAsia="zh-CN"/>
        </w:rPr>
      </w:pPr>
      <w:r>
        <w:rPr>
          <w:rFonts w:hint="eastAsia" w:ascii="Times New Roman" w:hAnsi="Times New Roman" w:eastAsia="仿宋_GB2312" w:cs="Times New Roman"/>
          <w:b w:val="0"/>
          <w:bCs w:val="0"/>
          <w:color w:val="auto"/>
          <w:kern w:val="2"/>
          <w:sz w:val="30"/>
          <w:szCs w:val="24"/>
          <w:highlight w:val="none"/>
          <w:lang w:val="en-US" w:eastAsia="zh-CN" w:bidi="ar-SA"/>
        </w:rPr>
        <w:t>此项权重分4分，得分4分。</w:t>
      </w:r>
    </w:p>
    <w:p>
      <w:pPr>
        <w:pageBreakBefore w:val="0"/>
        <w:widowControl w:val="0"/>
        <w:kinsoku/>
        <w:wordWrap/>
        <w:overflowPunct/>
        <w:topLinePunct w:val="0"/>
        <w:autoSpaceDE/>
        <w:autoSpaceDN/>
        <w:bidi w:val="0"/>
        <w:adjustRightInd/>
        <w:snapToGrid/>
        <w:spacing w:line="560" w:lineRule="exact"/>
        <w:ind w:firstLine="600" w:firstLineChars="200"/>
        <w:jc w:val="left"/>
        <w:textAlignment w:val="auto"/>
        <w:rPr>
          <w:rFonts w:hint="eastAsia"/>
          <w:color w:val="auto"/>
          <w:highlight w:val="none"/>
        </w:rPr>
      </w:pPr>
      <w:r>
        <w:rPr>
          <w:rFonts w:hint="eastAsia"/>
          <w:color w:val="auto"/>
          <w:highlight w:val="none"/>
        </w:rPr>
        <w:t>5</w:t>
      </w:r>
      <w:r>
        <w:rPr>
          <w:rFonts w:hint="eastAsia"/>
          <w:color w:val="auto"/>
          <w:highlight w:val="none"/>
          <w:lang w:val="en-US" w:eastAsia="zh-CN"/>
        </w:rPr>
        <w:t>.</w:t>
      </w:r>
      <w:r>
        <w:rPr>
          <w:rFonts w:hint="eastAsia"/>
          <w:color w:val="auto"/>
          <w:highlight w:val="none"/>
        </w:rPr>
        <w:t>制度执行有效性</w:t>
      </w:r>
    </w:p>
    <w:p>
      <w:pPr>
        <w:pStyle w:val="10"/>
        <w:pageBreakBefore w:val="0"/>
        <w:widowControl w:val="0"/>
        <w:kinsoku/>
        <w:wordWrap/>
        <w:overflowPunct/>
        <w:topLinePunct w:val="0"/>
        <w:autoSpaceDE/>
        <w:autoSpaceDN/>
        <w:bidi w:val="0"/>
        <w:adjustRightInd/>
        <w:snapToGrid/>
        <w:spacing w:before="0" w:after="0" w:line="560" w:lineRule="exact"/>
        <w:ind w:firstLine="640" w:firstLineChars="200"/>
        <w:jc w:val="left"/>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项目的审批、招标、项目建设、业务开展、验收过程均遵守相关法律法规和相关管理规定；本项目无调整情况；项目合同书、验收报告、技术鉴定等资料齐全并已及时归档；项目实施的人员条件、场地设备、信息支撑等均已落实到位。</w:t>
      </w:r>
    </w:p>
    <w:p>
      <w:pPr>
        <w:pStyle w:val="10"/>
        <w:pageBreakBefore w:val="0"/>
        <w:widowControl w:val="0"/>
        <w:kinsoku/>
        <w:wordWrap/>
        <w:overflowPunct/>
        <w:topLinePunct w:val="0"/>
        <w:autoSpaceDE/>
        <w:autoSpaceDN/>
        <w:bidi w:val="0"/>
        <w:adjustRightInd/>
        <w:snapToGrid/>
        <w:spacing w:before="0" w:after="0" w:line="560" w:lineRule="exact"/>
        <w:ind w:firstLine="600" w:firstLineChars="200"/>
        <w:jc w:val="left"/>
        <w:textAlignment w:val="auto"/>
        <w:rPr>
          <w:color w:val="auto"/>
          <w:highlight w:val="none"/>
        </w:rPr>
      </w:pPr>
      <w:r>
        <w:rPr>
          <w:rFonts w:hint="eastAsia" w:ascii="Times New Roman" w:hAnsi="Times New Roman" w:eastAsia="仿宋_GB2312" w:cs="Times New Roman"/>
          <w:b w:val="0"/>
          <w:bCs w:val="0"/>
          <w:color w:val="auto"/>
          <w:kern w:val="2"/>
          <w:sz w:val="30"/>
          <w:szCs w:val="24"/>
          <w:highlight w:val="none"/>
          <w:lang w:val="en-US" w:eastAsia="zh-CN" w:bidi="ar-SA"/>
        </w:rPr>
        <w:t>此项权重分4分，得分4分。</w:t>
      </w:r>
    </w:p>
    <w:p>
      <w:pPr>
        <w:pStyle w:val="4"/>
        <w:pageBreakBefore w:val="0"/>
        <w:widowControl w:val="0"/>
        <w:kinsoku/>
        <w:wordWrap/>
        <w:overflowPunct/>
        <w:topLinePunct w:val="0"/>
        <w:autoSpaceDE/>
        <w:autoSpaceDN/>
        <w:bidi w:val="0"/>
        <w:adjustRightInd/>
        <w:snapToGrid/>
        <w:spacing w:before="0" w:after="0" w:line="560" w:lineRule="exact"/>
        <w:ind w:firstLine="640" w:firstLineChars="200"/>
        <w:textAlignment w:val="auto"/>
        <w:rPr>
          <w:rFonts w:hint="eastAsia" w:ascii="方正楷体_GBK" w:hAnsi="方正楷体_GBK" w:eastAsia="方正楷体_GBK" w:cs="方正楷体_GBK"/>
          <w:b w:val="0"/>
          <w:bCs w:val="0"/>
          <w:color w:val="auto"/>
          <w:highlight w:val="none"/>
        </w:rPr>
      </w:pPr>
      <w:bookmarkStart w:id="15" w:name="_Toc68703840"/>
      <w:r>
        <w:rPr>
          <w:rFonts w:hint="eastAsia" w:ascii="方正楷体_GBK" w:hAnsi="方正楷体_GBK" w:eastAsia="方正楷体_GBK" w:cs="方正楷体_GBK"/>
          <w:b w:val="0"/>
          <w:bCs w:val="0"/>
          <w:color w:val="auto"/>
          <w:highlight w:val="none"/>
          <w:lang w:val="en-US" w:eastAsia="zh-CN"/>
        </w:rPr>
        <w:t>（三）</w:t>
      </w:r>
      <w:r>
        <w:rPr>
          <w:rFonts w:hint="eastAsia" w:ascii="方正楷体_GBK" w:hAnsi="方正楷体_GBK" w:eastAsia="方正楷体_GBK" w:cs="方正楷体_GBK"/>
          <w:b w:val="0"/>
          <w:bCs w:val="0"/>
          <w:color w:val="auto"/>
          <w:highlight w:val="none"/>
        </w:rPr>
        <w:t>项目产出情况。</w:t>
      </w:r>
      <w:bookmarkEnd w:id="15"/>
    </w:p>
    <w:p>
      <w:pPr>
        <w:pageBreakBefore w:val="0"/>
        <w:widowControl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color w:val="auto"/>
          <w:highlight w:val="none"/>
        </w:rPr>
      </w:pPr>
      <w:r>
        <w:rPr>
          <w:rFonts w:hint="eastAsia"/>
          <w:color w:val="auto"/>
          <w:highlight w:val="none"/>
          <w:lang w:val="en-US" w:eastAsia="zh-CN"/>
        </w:rPr>
        <w:t>1.</w:t>
      </w:r>
      <w:r>
        <w:rPr>
          <w:rFonts w:hint="eastAsia"/>
          <w:color w:val="auto"/>
          <w:highlight w:val="none"/>
        </w:rPr>
        <w:t>数量指标</w:t>
      </w:r>
      <w:r>
        <w:rPr>
          <w:rFonts w:hint="eastAsia"/>
          <w:color w:val="auto"/>
          <w:highlight w:val="none"/>
          <w:lang w:eastAsia="zh-CN"/>
        </w:rPr>
        <w:t>完成情况</w:t>
      </w:r>
      <w:r>
        <w:rPr>
          <w:rFonts w:hint="eastAsia"/>
          <w:color w:val="auto"/>
          <w:highlight w:val="none"/>
        </w:rPr>
        <w:t>：指标1：获奖人次</w:t>
      </w:r>
      <w:r>
        <w:rPr>
          <w:rFonts w:hint="eastAsia"/>
          <w:color w:val="auto"/>
          <w:highlight w:val="none"/>
          <w:lang w:eastAsia="zh-CN"/>
        </w:rPr>
        <w:t>，</w:t>
      </w:r>
      <w:r>
        <w:rPr>
          <w:rFonts w:hint="eastAsia"/>
          <w:color w:val="auto"/>
          <w:highlight w:val="none"/>
        </w:rPr>
        <w:t>指标值：&gt;=730人次</w:t>
      </w:r>
      <w:r>
        <w:rPr>
          <w:rFonts w:hint="eastAsia"/>
          <w:color w:val="auto"/>
          <w:highlight w:val="none"/>
          <w:lang w:eastAsia="zh-CN"/>
        </w:rPr>
        <w:t>，</w:t>
      </w:r>
      <w:r>
        <w:rPr>
          <w:rFonts w:hint="eastAsia"/>
          <w:color w:val="auto"/>
          <w:highlight w:val="none"/>
        </w:rPr>
        <w:t>实际完成值</w:t>
      </w:r>
      <w:r>
        <w:rPr>
          <w:rFonts w:hint="eastAsia"/>
          <w:color w:val="auto"/>
          <w:highlight w:val="none"/>
          <w:lang w:val="en-US" w:eastAsia="zh-CN"/>
        </w:rPr>
        <w:t>785人次</w:t>
      </w:r>
      <w:r>
        <w:rPr>
          <w:rFonts w:hint="eastAsia"/>
          <w:color w:val="auto"/>
          <w:highlight w:val="none"/>
        </w:rPr>
        <w:t>，指标完成率</w:t>
      </w:r>
      <w:r>
        <w:rPr>
          <w:rFonts w:hint="eastAsia"/>
          <w:color w:val="auto"/>
          <w:highlight w:val="none"/>
          <w:lang w:val="en-US" w:eastAsia="zh-CN"/>
        </w:rPr>
        <w:t>107.53%</w:t>
      </w:r>
      <w:r>
        <w:rPr>
          <w:rFonts w:hint="eastAsia"/>
          <w:color w:val="auto"/>
          <w:highlight w:val="none"/>
          <w:lang w:eastAsia="zh-CN"/>
        </w:rPr>
        <w:t>，</w:t>
      </w:r>
      <w:r>
        <w:rPr>
          <w:rFonts w:hint="eastAsia"/>
          <w:color w:val="auto"/>
          <w:highlight w:val="none"/>
          <w:lang w:val="en-US" w:eastAsia="zh-CN"/>
        </w:rPr>
        <w:t>偏差原因</w:t>
      </w:r>
      <w:r>
        <w:rPr>
          <w:rFonts w:hint="eastAsia"/>
          <w:color w:val="auto"/>
          <w:highlight w:val="none"/>
        </w:rPr>
        <w:t>指标</w:t>
      </w:r>
      <w:r>
        <w:rPr>
          <w:rFonts w:hint="eastAsia"/>
          <w:color w:val="auto"/>
          <w:highlight w:val="none"/>
          <w:lang w:eastAsia="zh-CN"/>
        </w:rPr>
        <w:t>：本届运动会参会人数增多，巴州体育健儿奋勇争先，取得较好名次，获奖人数增多；</w:t>
      </w:r>
      <w:r>
        <w:rPr>
          <w:rFonts w:hint="eastAsia"/>
          <w:color w:val="auto"/>
          <w:highlight w:val="none"/>
          <w:lang w:val="en-US" w:eastAsia="zh-CN"/>
        </w:rPr>
        <w:t>指标</w:t>
      </w:r>
      <w:r>
        <w:rPr>
          <w:rFonts w:hint="eastAsia"/>
          <w:color w:val="auto"/>
          <w:highlight w:val="none"/>
        </w:rPr>
        <w:t>2：提升改造场馆数，指标值：&gt;=2个，实际完成值</w:t>
      </w:r>
      <w:r>
        <w:rPr>
          <w:rFonts w:hint="eastAsia"/>
          <w:color w:val="auto"/>
          <w:highlight w:val="none"/>
          <w:lang w:val="en-US" w:eastAsia="zh-CN"/>
        </w:rPr>
        <w:t>2个</w:t>
      </w:r>
      <w:r>
        <w:rPr>
          <w:rFonts w:hint="eastAsia"/>
          <w:color w:val="auto"/>
          <w:highlight w:val="none"/>
        </w:rPr>
        <w:t>，指标完成率</w:t>
      </w:r>
      <w:r>
        <w:rPr>
          <w:rFonts w:hint="eastAsia"/>
          <w:color w:val="auto"/>
          <w:highlight w:val="none"/>
          <w:lang w:val="en-US" w:eastAsia="zh-CN"/>
        </w:rPr>
        <w:t>100</w:t>
      </w:r>
      <w:r>
        <w:rPr>
          <w:rFonts w:hint="eastAsia"/>
          <w:color w:val="auto"/>
          <w:highlight w:val="none"/>
        </w:rPr>
        <w:t>%</w:t>
      </w:r>
      <w:r>
        <w:rPr>
          <w:rFonts w:hint="eastAsia"/>
          <w:color w:val="auto"/>
          <w:highlight w:val="none"/>
          <w:lang w:eastAsia="zh-CN"/>
        </w:rPr>
        <w:t>；</w:t>
      </w:r>
      <w:r>
        <w:rPr>
          <w:rFonts w:hint="eastAsia"/>
          <w:color w:val="auto"/>
          <w:highlight w:val="none"/>
        </w:rPr>
        <w:t>指标</w:t>
      </w:r>
      <w:r>
        <w:rPr>
          <w:rFonts w:hint="eastAsia"/>
          <w:color w:val="auto"/>
          <w:highlight w:val="none"/>
          <w:lang w:val="en-US" w:eastAsia="zh-CN"/>
        </w:rPr>
        <w:t>3</w:t>
      </w:r>
      <w:r>
        <w:rPr>
          <w:rFonts w:hint="eastAsia"/>
          <w:color w:val="auto"/>
          <w:highlight w:val="none"/>
        </w:rPr>
        <w:t>：购置代表团服装，指标值：&gt;=715套，实际完成值</w:t>
      </w:r>
      <w:r>
        <w:rPr>
          <w:rFonts w:hint="eastAsia"/>
          <w:color w:val="auto"/>
          <w:highlight w:val="none"/>
          <w:lang w:val="en-US" w:eastAsia="zh-CN"/>
        </w:rPr>
        <w:t>715套</w:t>
      </w:r>
      <w:r>
        <w:rPr>
          <w:rFonts w:hint="eastAsia"/>
          <w:color w:val="auto"/>
          <w:highlight w:val="none"/>
        </w:rPr>
        <w:t>，指标完成率</w:t>
      </w:r>
      <w:r>
        <w:rPr>
          <w:rFonts w:hint="eastAsia"/>
          <w:color w:val="auto"/>
          <w:highlight w:val="none"/>
          <w:lang w:val="en-US" w:eastAsia="zh-CN"/>
        </w:rPr>
        <w:t>100</w:t>
      </w:r>
      <w:r>
        <w:rPr>
          <w:rFonts w:hint="eastAsia"/>
          <w:color w:val="auto"/>
          <w:highlight w:val="none"/>
        </w:rPr>
        <w:t>%</w:t>
      </w:r>
      <w:r>
        <w:rPr>
          <w:rFonts w:hint="eastAsia"/>
          <w:color w:val="auto"/>
          <w:highlight w:val="none"/>
          <w:lang w:val="en-US" w:eastAsia="zh-CN"/>
        </w:rPr>
        <w:t>.</w:t>
      </w:r>
    </w:p>
    <w:p>
      <w:pPr>
        <w:pStyle w:val="10"/>
        <w:pageBreakBefore w:val="0"/>
        <w:widowControl w:val="0"/>
        <w:kinsoku/>
        <w:wordWrap/>
        <w:overflowPunct/>
        <w:topLinePunct w:val="0"/>
        <w:autoSpaceDE/>
        <w:autoSpaceDN/>
        <w:bidi w:val="0"/>
        <w:adjustRightInd/>
        <w:snapToGrid/>
        <w:spacing w:before="0" w:after="0" w:line="560" w:lineRule="exact"/>
        <w:ind w:firstLine="600" w:firstLineChars="200"/>
        <w:jc w:val="left"/>
        <w:textAlignment w:val="auto"/>
        <w:rPr>
          <w:rFonts w:hint="default" w:ascii="Times New Roman" w:hAnsi="Times New Roman" w:eastAsia="仿宋_GB2312" w:cs="Times New Roman"/>
          <w:b w:val="0"/>
          <w:bCs w:val="0"/>
          <w:color w:val="auto"/>
          <w:kern w:val="2"/>
          <w:sz w:val="30"/>
          <w:szCs w:val="24"/>
          <w:highlight w:val="none"/>
          <w:lang w:val="en-US" w:eastAsia="zh-CN" w:bidi="ar-SA"/>
        </w:rPr>
      </w:pPr>
      <w:r>
        <w:rPr>
          <w:rFonts w:hint="eastAsia" w:ascii="Times New Roman" w:hAnsi="Times New Roman" w:eastAsia="仿宋_GB2312" w:cs="Times New Roman"/>
          <w:b w:val="0"/>
          <w:bCs w:val="0"/>
          <w:color w:val="auto"/>
          <w:kern w:val="2"/>
          <w:sz w:val="30"/>
          <w:szCs w:val="24"/>
          <w:highlight w:val="none"/>
          <w:lang w:val="en-US" w:eastAsia="zh-CN" w:bidi="ar-SA"/>
        </w:rPr>
        <w:t>此项权重分10分，得分10分。</w:t>
      </w:r>
    </w:p>
    <w:p>
      <w:pPr>
        <w:pageBreakBefore w:val="0"/>
        <w:widowControl w:val="0"/>
        <w:numPr>
          <w:ilvl w:val="0"/>
          <w:numId w:val="0"/>
        </w:numPr>
        <w:kinsoku/>
        <w:wordWrap/>
        <w:overflowPunct/>
        <w:topLinePunct w:val="0"/>
        <w:autoSpaceDE/>
        <w:autoSpaceDN/>
        <w:bidi w:val="0"/>
        <w:adjustRightInd/>
        <w:snapToGrid/>
        <w:spacing w:line="560" w:lineRule="exact"/>
        <w:ind w:firstLine="600" w:firstLineChars="200"/>
        <w:textAlignment w:val="auto"/>
        <w:rPr>
          <w:color w:val="auto"/>
          <w:highlight w:val="none"/>
        </w:rPr>
      </w:pPr>
      <w:r>
        <w:rPr>
          <w:rFonts w:hint="eastAsia"/>
          <w:color w:val="auto"/>
          <w:highlight w:val="none"/>
          <w:lang w:val="en-US" w:eastAsia="zh-CN"/>
        </w:rPr>
        <w:t>2.</w:t>
      </w:r>
      <w:r>
        <w:rPr>
          <w:rFonts w:hint="eastAsia"/>
          <w:color w:val="auto"/>
          <w:highlight w:val="none"/>
        </w:rPr>
        <w:t>质量指标</w:t>
      </w:r>
      <w:r>
        <w:rPr>
          <w:rFonts w:hint="eastAsia"/>
          <w:color w:val="auto"/>
          <w:highlight w:val="none"/>
          <w:lang w:eastAsia="zh-CN"/>
        </w:rPr>
        <w:t>完成情况</w:t>
      </w:r>
      <w:r>
        <w:rPr>
          <w:rFonts w:hint="eastAsia"/>
          <w:color w:val="auto"/>
          <w:highlight w:val="none"/>
        </w:rPr>
        <w:t>：指标1：比赛任务完成率，指标值：=100%，实际完成值</w:t>
      </w:r>
      <w:r>
        <w:rPr>
          <w:rFonts w:hint="eastAsia"/>
          <w:color w:val="auto"/>
          <w:highlight w:val="none"/>
          <w:lang w:val="en-US" w:eastAsia="zh-CN"/>
        </w:rPr>
        <w:t>100%</w:t>
      </w:r>
      <w:r>
        <w:rPr>
          <w:rFonts w:hint="eastAsia"/>
          <w:color w:val="auto"/>
          <w:highlight w:val="none"/>
        </w:rPr>
        <w:t>，指标完成率</w:t>
      </w:r>
      <w:r>
        <w:rPr>
          <w:rFonts w:hint="eastAsia"/>
          <w:color w:val="auto"/>
          <w:highlight w:val="none"/>
          <w:lang w:val="en-US" w:eastAsia="zh-CN"/>
        </w:rPr>
        <w:t>100</w:t>
      </w:r>
      <w:r>
        <w:rPr>
          <w:rFonts w:hint="eastAsia"/>
          <w:color w:val="auto"/>
          <w:highlight w:val="none"/>
        </w:rPr>
        <w:t>%；指标2：场馆提升改造竣工验收合格率，指标值：&gt;=95%，实际完成值</w:t>
      </w:r>
      <w:r>
        <w:rPr>
          <w:rFonts w:hint="eastAsia"/>
          <w:color w:val="auto"/>
          <w:highlight w:val="none"/>
          <w:lang w:val="en-US" w:eastAsia="zh-CN"/>
        </w:rPr>
        <w:t>100%</w:t>
      </w:r>
      <w:r>
        <w:rPr>
          <w:rFonts w:hint="eastAsia"/>
          <w:color w:val="auto"/>
          <w:highlight w:val="none"/>
        </w:rPr>
        <w:t>，指标完成率</w:t>
      </w:r>
      <w:r>
        <w:rPr>
          <w:rFonts w:hint="eastAsia"/>
          <w:color w:val="auto"/>
          <w:highlight w:val="none"/>
          <w:lang w:val="en-US" w:eastAsia="zh-CN"/>
        </w:rPr>
        <w:t>105.26</w:t>
      </w:r>
      <w:r>
        <w:rPr>
          <w:rFonts w:hint="eastAsia"/>
          <w:color w:val="auto"/>
          <w:highlight w:val="none"/>
        </w:rPr>
        <w:t>%，偏差原因：经过验收，场地建设验收通过，符合举办赛事要求</w:t>
      </w:r>
      <w:r>
        <w:rPr>
          <w:rFonts w:hint="eastAsia"/>
          <w:color w:val="auto"/>
          <w:highlight w:val="none"/>
          <w:lang w:eastAsia="zh-CN"/>
        </w:rPr>
        <w:t>，</w:t>
      </w:r>
      <w:r>
        <w:rPr>
          <w:rFonts w:hint="eastAsia"/>
          <w:color w:val="auto"/>
          <w:highlight w:val="none"/>
          <w:lang w:val="en-US" w:eastAsia="zh-CN"/>
        </w:rPr>
        <w:t>指标完成值大于预期值</w:t>
      </w:r>
      <w:r>
        <w:rPr>
          <w:rFonts w:hint="eastAsia"/>
          <w:color w:val="auto"/>
          <w:highlight w:val="none"/>
          <w:lang w:eastAsia="zh-CN"/>
        </w:rPr>
        <w:t>；</w:t>
      </w:r>
      <w:r>
        <w:rPr>
          <w:rFonts w:hint="eastAsia"/>
          <w:color w:val="auto"/>
          <w:highlight w:val="none"/>
        </w:rPr>
        <w:t>指标</w:t>
      </w:r>
      <w:r>
        <w:rPr>
          <w:rFonts w:hint="eastAsia"/>
          <w:color w:val="auto"/>
          <w:highlight w:val="none"/>
          <w:lang w:val="en-US" w:eastAsia="zh-CN"/>
        </w:rPr>
        <w:t>3</w:t>
      </w:r>
      <w:r>
        <w:rPr>
          <w:rFonts w:hint="eastAsia"/>
          <w:color w:val="auto"/>
          <w:highlight w:val="none"/>
        </w:rPr>
        <w:t>：代表团服装验收合格率，指标值：=100%，实际完成值</w:t>
      </w:r>
      <w:r>
        <w:rPr>
          <w:rFonts w:hint="eastAsia"/>
          <w:color w:val="auto"/>
          <w:highlight w:val="none"/>
          <w:lang w:val="en-US" w:eastAsia="zh-CN"/>
        </w:rPr>
        <w:t>100%</w:t>
      </w:r>
      <w:r>
        <w:rPr>
          <w:rFonts w:hint="eastAsia"/>
          <w:color w:val="auto"/>
          <w:highlight w:val="none"/>
        </w:rPr>
        <w:t>，指标完成率</w:t>
      </w:r>
      <w:r>
        <w:rPr>
          <w:rFonts w:hint="eastAsia"/>
          <w:color w:val="auto"/>
          <w:highlight w:val="none"/>
          <w:lang w:val="en-US" w:eastAsia="zh-CN"/>
        </w:rPr>
        <w:t>100</w:t>
      </w:r>
      <w:r>
        <w:rPr>
          <w:rFonts w:hint="eastAsia"/>
          <w:color w:val="auto"/>
          <w:highlight w:val="none"/>
        </w:rPr>
        <w:t>%</w:t>
      </w:r>
    </w:p>
    <w:p>
      <w:pPr>
        <w:pStyle w:val="10"/>
        <w:pageBreakBefore w:val="0"/>
        <w:widowControl w:val="0"/>
        <w:kinsoku/>
        <w:wordWrap/>
        <w:overflowPunct/>
        <w:topLinePunct w:val="0"/>
        <w:autoSpaceDE/>
        <w:autoSpaceDN/>
        <w:bidi w:val="0"/>
        <w:adjustRightInd/>
        <w:snapToGrid/>
        <w:spacing w:before="0" w:after="0" w:line="560" w:lineRule="exact"/>
        <w:ind w:firstLine="600" w:firstLineChars="200"/>
        <w:jc w:val="left"/>
        <w:textAlignment w:val="auto"/>
        <w:rPr>
          <w:color w:val="auto"/>
          <w:highlight w:val="none"/>
        </w:rPr>
      </w:pPr>
      <w:r>
        <w:rPr>
          <w:rFonts w:hint="eastAsia" w:ascii="Times New Roman" w:hAnsi="Times New Roman" w:eastAsia="仿宋_GB2312" w:cs="Times New Roman"/>
          <w:b w:val="0"/>
          <w:bCs w:val="0"/>
          <w:color w:val="auto"/>
          <w:kern w:val="2"/>
          <w:sz w:val="30"/>
          <w:szCs w:val="24"/>
          <w:highlight w:val="none"/>
          <w:lang w:val="en-US" w:eastAsia="zh-CN" w:bidi="ar-SA"/>
        </w:rPr>
        <w:t>此项权重分10分，得分10分。</w:t>
      </w:r>
    </w:p>
    <w:p>
      <w:pPr>
        <w:pageBreakBefore w:val="0"/>
        <w:widowControl w:val="0"/>
        <w:numPr>
          <w:ilvl w:val="0"/>
          <w:numId w:val="0"/>
        </w:numPr>
        <w:tabs>
          <w:tab w:val="left" w:pos="312"/>
        </w:tabs>
        <w:kinsoku/>
        <w:wordWrap/>
        <w:overflowPunct/>
        <w:topLinePunct w:val="0"/>
        <w:autoSpaceDE/>
        <w:autoSpaceDN/>
        <w:bidi w:val="0"/>
        <w:adjustRightInd/>
        <w:snapToGrid/>
        <w:spacing w:line="560" w:lineRule="exact"/>
        <w:ind w:firstLine="600" w:firstLineChars="200"/>
        <w:textAlignment w:val="auto"/>
        <w:rPr>
          <w:rFonts w:hint="eastAsia" w:eastAsia="仿宋_GB2312"/>
          <w:color w:val="auto"/>
          <w:highlight w:val="none"/>
          <w:lang w:eastAsia="zh-CN"/>
        </w:rPr>
      </w:pPr>
      <w:r>
        <w:rPr>
          <w:rFonts w:hint="eastAsia"/>
          <w:color w:val="auto"/>
          <w:highlight w:val="none"/>
          <w:lang w:val="en-US" w:eastAsia="zh-CN"/>
        </w:rPr>
        <w:t>3.</w:t>
      </w:r>
      <w:r>
        <w:rPr>
          <w:rFonts w:hint="eastAsia"/>
          <w:color w:val="auto"/>
          <w:highlight w:val="none"/>
        </w:rPr>
        <w:t>时效指标</w:t>
      </w:r>
      <w:r>
        <w:rPr>
          <w:rFonts w:hint="eastAsia"/>
          <w:color w:val="auto"/>
          <w:highlight w:val="none"/>
          <w:lang w:eastAsia="zh-CN"/>
        </w:rPr>
        <w:t>完成情况</w:t>
      </w:r>
      <w:r>
        <w:rPr>
          <w:rFonts w:hint="eastAsia"/>
          <w:color w:val="auto"/>
          <w:highlight w:val="none"/>
        </w:rPr>
        <w:t>：指标1：比赛计划完成及时率，指标值：=100%，实际完成值</w:t>
      </w:r>
      <w:r>
        <w:rPr>
          <w:rFonts w:hint="eastAsia"/>
          <w:color w:val="auto"/>
          <w:highlight w:val="none"/>
          <w:lang w:val="en-US" w:eastAsia="zh-CN"/>
        </w:rPr>
        <w:t>100%</w:t>
      </w:r>
      <w:r>
        <w:rPr>
          <w:rFonts w:hint="eastAsia"/>
          <w:color w:val="auto"/>
          <w:highlight w:val="none"/>
        </w:rPr>
        <w:t>，指标完成率</w:t>
      </w:r>
      <w:r>
        <w:rPr>
          <w:rFonts w:hint="eastAsia"/>
          <w:color w:val="auto"/>
          <w:highlight w:val="none"/>
          <w:lang w:val="en-US" w:eastAsia="zh-CN"/>
        </w:rPr>
        <w:t>100</w:t>
      </w:r>
      <w:r>
        <w:rPr>
          <w:rFonts w:hint="eastAsia"/>
          <w:color w:val="auto"/>
          <w:highlight w:val="none"/>
        </w:rPr>
        <w:t>%；指标2：场馆提升改造按计划完工率，指标值：=100%，实际完成值</w:t>
      </w:r>
      <w:r>
        <w:rPr>
          <w:rFonts w:hint="eastAsia"/>
          <w:color w:val="auto"/>
          <w:highlight w:val="none"/>
          <w:lang w:val="en-US" w:eastAsia="zh-CN"/>
        </w:rPr>
        <w:t>100%</w:t>
      </w:r>
      <w:r>
        <w:rPr>
          <w:rFonts w:hint="eastAsia"/>
          <w:color w:val="auto"/>
          <w:highlight w:val="none"/>
        </w:rPr>
        <w:t>，指标完成率</w:t>
      </w:r>
      <w:r>
        <w:rPr>
          <w:rFonts w:hint="eastAsia"/>
          <w:color w:val="auto"/>
          <w:highlight w:val="none"/>
          <w:lang w:val="en-US" w:eastAsia="zh-CN"/>
        </w:rPr>
        <w:t>100</w:t>
      </w:r>
      <w:r>
        <w:rPr>
          <w:rFonts w:hint="eastAsia"/>
          <w:color w:val="auto"/>
          <w:highlight w:val="none"/>
        </w:rPr>
        <w:t>%</w:t>
      </w:r>
      <w:r>
        <w:rPr>
          <w:rFonts w:hint="eastAsia"/>
          <w:color w:val="auto"/>
          <w:highlight w:val="none"/>
          <w:lang w:eastAsia="zh-CN"/>
        </w:rPr>
        <w:t>；</w:t>
      </w:r>
      <w:r>
        <w:rPr>
          <w:rFonts w:hint="eastAsia"/>
          <w:color w:val="auto"/>
          <w:highlight w:val="none"/>
        </w:rPr>
        <w:t>指标</w:t>
      </w:r>
      <w:r>
        <w:rPr>
          <w:rFonts w:hint="eastAsia"/>
          <w:color w:val="auto"/>
          <w:highlight w:val="none"/>
          <w:lang w:val="en-US" w:eastAsia="zh-CN"/>
        </w:rPr>
        <w:t>3</w:t>
      </w:r>
      <w:r>
        <w:rPr>
          <w:rFonts w:hint="eastAsia"/>
          <w:color w:val="auto"/>
          <w:highlight w:val="none"/>
        </w:rPr>
        <w:t>：场馆提升改造按计划完工率，指标值：=100%，实际完成值</w:t>
      </w:r>
      <w:r>
        <w:rPr>
          <w:rFonts w:hint="eastAsia"/>
          <w:color w:val="auto"/>
          <w:highlight w:val="none"/>
          <w:lang w:val="en-US" w:eastAsia="zh-CN"/>
        </w:rPr>
        <w:t>100%</w:t>
      </w:r>
      <w:r>
        <w:rPr>
          <w:rFonts w:hint="eastAsia"/>
          <w:color w:val="auto"/>
          <w:highlight w:val="none"/>
        </w:rPr>
        <w:t>，指标完成率</w:t>
      </w:r>
      <w:r>
        <w:rPr>
          <w:rFonts w:hint="eastAsia"/>
          <w:color w:val="auto"/>
          <w:highlight w:val="none"/>
          <w:lang w:val="en-US" w:eastAsia="zh-CN"/>
        </w:rPr>
        <w:t>100</w:t>
      </w:r>
      <w:r>
        <w:rPr>
          <w:rFonts w:hint="eastAsia"/>
          <w:color w:val="auto"/>
          <w:highlight w:val="none"/>
        </w:rPr>
        <w:t>%</w:t>
      </w:r>
      <w:r>
        <w:rPr>
          <w:rFonts w:hint="eastAsia"/>
          <w:color w:val="auto"/>
          <w:highlight w:val="none"/>
          <w:lang w:eastAsia="zh-CN"/>
        </w:rPr>
        <w:t>；</w:t>
      </w:r>
    </w:p>
    <w:p>
      <w:pPr>
        <w:pStyle w:val="10"/>
        <w:pageBreakBefore w:val="0"/>
        <w:widowControl w:val="0"/>
        <w:kinsoku/>
        <w:wordWrap/>
        <w:overflowPunct/>
        <w:topLinePunct w:val="0"/>
        <w:autoSpaceDE/>
        <w:autoSpaceDN/>
        <w:bidi w:val="0"/>
        <w:adjustRightInd/>
        <w:snapToGrid/>
        <w:spacing w:before="0" w:after="0" w:line="560" w:lineRule="exact"/>
        <w:ind w:firstLine="600" w:firstLineChars="200"/>
        <w:jc w:val="left"/>
        <w:textAlignment w:val="auto"/>
        <w:rPr>
          <w:rFonts w:hint="default" w:ascii="Times New Roman" w:hAnsi="Times New Roman" w:eastAsia="仿宋_GB2312" w:cs="Times New Roman"/>
          <w:b w:val="0"/>
          <w:bCs w:val="0"/>
          <w:color w:val="auto"/>
          <w:kern w:val="2"/>
          <w:sz w:val="30"/>
          <w:szCs w:val="24"/>
          <w:highlight w:val="none"/>
          <w:lang w:val="en-US" w:eastAsia="zh-CN" w:bidi="ar-SA"/>
        </w:rPr>
      </w:pPr>
      <w:r>
        <w:rPr>
          <w:rFonts w:hint="eastAsia" w:ascii="Times New Roman" w:hAnsi="Times New Roman" w:eastAsia="仿宋_GB2312" w:cs="Times New Roman"/>
          <w:b w:val="0"/>
          <w:bCs w:val="0"/>
          <w:color w:val="auto"/>
          <w:kern w:val="2"/>
          <w:sz w:val="30"/>
          <w:szCs w:val="24"/>
          <w:highlight w:val="none"/>
          <w:lang w:val="en-US" w:eastAsia="zh-CN" w:bidi="ar-SA"/>
        </w:rPr>
        <w:t>此项权重分10分，得分10分。</w:t>
      </w:r>
    </w:p>
    <w:p>
      <w:pPr>
        <w:pageBreakBefore w:val="0"/>
        <w:widowControl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cs="Times New Roman"/>
          <w:b w:val="0"/>
          <w:bCs w:val="0"/>
          <w:color w:val="auto"/>
          <w:kern w:val="2"/>
          <w:sz w:val="30"/>
          <w:szCs w:val="24"/>
          <w:highlight w:val="none"/>
          <w:lang w:val="en-US" w:eastAsia="zh-CN" w:bidi="ar-SA"/>
        </w:rPr>
      </w:pPr>
      <w:r>
        <w:rPr>
          <w:rFonts w:hint="eastAsia"/>
          <w:color w:val="auto"/>
          <w:highlight w:val="none"/>
          <w:lang w:val="en-US" w:eastAsia="zh-CN"/>
        </w:rPr>
        <w:t>4.经济成本指标完成情况</w:t>
      </w:r>
      <w:r>
        <w:rPr>
          <w:rFonts w:hint="eastAsia"/>
          <w:color w:val="auto"/>
          <w:highlight w:val="none"/>
          <w:lang w:eastAsia="zh-CN"/>
        </w:rPr>
        <w:t>：</w:t>
      </w:r>
      <w:r>
        <w:rPr>
          <w:rFonts w:hint="eastAsia"/>
          <w:color w:val="auto"/>
          <w:highlight w:val="none"/>
        </w:rPr>
        <w:t>指标1：场馆提升改造成本，指标值：&lt;=6</w:t>
      </w:r>
      <w:r>
        <w:rPr>
          <w:rFonts w:hint="eastAsia"/>
          <w:color w:val="auto"/>
          <w:highlight w:val="none"/>
          <w:lang w:val="en-US" w:eastAsia="zh-CN"/>
        </w:rPr>
        <w:t>51.74</w:t>
      </w:r>
      <w:r>
        <w:rPr>
          <w:rFonts w:hint="eastAsia"/>
          <w:color w:val="auto"/>
          <w:highlight w:val="none"/>
        </w:rPr>
        <w:t>万元，实际完成值</w:t>
      </w:r>
      <w:r>
        <w:rPr>
          <w:rFonts w:hint="eastAsia"/>
          <w:color w:val="auto"/>
          <w:highlight w:val="none"/>
          <w:lang w:val="en-US" w:eastAsia="zh-CN"/>
        </w:rPr>
        <w:t>651.74</w:t>
      </w:r>
      <w:r>
        <w:rPr>
          <w:rFonts w:hint="eastAsia"/>
          <w:color w:val="auto"/>
          <w:highlight w:val="none"/>
        </w:rPr>
        <w:t>万元，指标完成率</w:t>
      </w:r>
      <w:r>
        <w:rPr>
          <w:rFonts w:hint="eastAsia"/>
          <w:color w:val="auto"/>
          <w:highlight w:val="none"/>
          <w:lang w:val="en-US" w:eastAsia="zh-CN"/>
        </w:rPr>
        <w:t>100</w:t>
      </w:r>
      <w:r>
        <w:rPr>
          <w:rFonts w:hint="eastAsia"/>
          <w:color w:val="auto"/>
          <w:highlight w:val="none"/>
        </w:rPr>
        <w:t>%；指标2：获奖人员奖励金，指标值：&lt;=</w:t>
      </w:r>
      <w:r>
        <w:rPr>
          <w:rFonts w:hint="eastAsia"/>
          <w:color w:val="auto"/>
          <w:highlight w:val="none"/>
          <w:lang w:val="en-US" w:eastAsia="zh-CN"/>
        </w:rPr>
        <w:t>698.27</w:t>
      </w:r>
      <w:r>
        <w:rPr>
          <w:rFonts w:hint="eastAsia"/>
          <w:color w:val="auto"/>
          <w:highlight w:val="none"/>
        </w:rPr>
        <w:t>万元，实际完成值</w:t>
      </w:r>
      <w:r>
        <w:rPr>
          <w:rFonts w:hint="eastAsia"/>
          <w:color w:val="auto"/>
          <w:highlight w:val="none"/>
          <w:lang w:val="en-US" w:eastAsia="zh-CN"/>
        </w:rPr>
        <w:t>698.27</w:t>
      </w:r>
      <w:r>
        <w:rPr>
          <w:rFonts w:hint="eastAsia"/>
          <w:color w:val="auto"/>
          <w:highlight w:val="none"/>
        </w:rPr>
        <w:t>万元，指标完成率</w:t>
      </w:r>
      <w:r>
        <w:rPr>
          <w:rFonts w:hint="eastAsia"/>
          <w:color w:val="auto"/>
          <w:highlight w:val="none"/>
          <w:lang w:val="en-US" w:eastAsia="zh-CN"/>
        </w:rPr>
        <w:t>100</w:t>
      </w:r>
      <w:r>
        <w:rPr>
          <w:rFonts w:hint="eastAsia"/>
          <w:color w:val="auto"/>
          <w:highlight w:val="none"/>
        </w:rPr>
        <w:t>%</w:t>
      </w:r>
      <w:r>
        <w:rPr>
          <w:rFonts w:hint="eastAsia"/>
          <w:color w:val="auto"/>
          <w:highlight w:val="none"/>
          <w:lang w:eastAsia="zh-CN"/>
        </w:rPr>
        <w:t>；</w:t>
      </w:r>
      <w:r>
        <w:rPr>
          <w:rFonts w:hint="eastAsia" w:ascii="Times New Roman" w:hAnsi="Times New Roman" w:eastAsia="仿宋_GB2312" w:cs="Times New Roman"/>
          <w:b w:val="0"/>
          <w:bCs w:val="0"/>
          <w:color w:val="auto"/>
          <w:kern w:val="2"/>
          <w:sz w:val="30"/>
          <w:szCs w:val="24"/>
          <w:highlight w:val="none"/>
          <w:lang w:val="en-US" w:eastAsia="zh-CN" w:bidi="ar-SA"/>
        </w:rPr>
        <w:t>指标3：代表团服装购置成本，指标值：&lt;=</w:t>
      </w:r>
      <w:r>
        <w:rPr>
          <w:rFonts w:hint="eastAsia" w:cs="Times New Roman"/>
          <w:b w:val="0"/>
          <w:bCs w:val="0"/>
          <w:color w:val="auto"/>
          <w:kern w:val="2"/>
          <w:sz w:val="30"/>
          <w:szCs w:val="24"/>
          <w:highlight w:val="none"/>
          <w:lang w:val="en-US" w:eastAsia="zh-CN" w:bidi="ar-SA"/>
        </w:rPr>
        <w:t>49.99</w:t>
      </w:r>
      <w:r>
        <w:rPr>
          <w:rFonts w:hint="eastAsia" w:ascii="Times New Roman" w:hAnsi="Times New Roman" w:eastAsia="仿宋_GB2312" w:cs="Times New Roman"/>
          <w:b w:val="0"/>
          <w:bCs w:val="0"/>
          <w:color w:val="auto"/>
          <w:kern w:val="2"/>
          <w:sz w:val="30"/>
          <w:szCs w:val="24"/>
          <w:highlight w:val="none"/>
          <w:lang w:val="en-US" w:eastAsia="zh-CN" w:bidi="ar-SA"/>
        </w:rPr>
        <w:t>万元，实际完成值</w:t>
      </w:r>
      <w:r>
        <w:rPr>
          <w:rFonts w:hint="eastAsia" w:cs="Times New Roman"/>
          <w:b w:val="0"/>
          <w:bCs w:val="0"/>
          <w:color w:val="auto"/>
          <w:kern w:val="2"/>
          <w:sz w:val="30"/>
          <w:szCs w:val="24"/>
          <w:highlight w:val="none"/>
          <w:lang w:val="en-US" w:eastAsia="zh-CN" w:bidi="ar-SA"/>
        </w:rPr>
        <w:t>49.99万元</w:t>
      </w:r>
      <w:r>
        <w:rPr>
          <w:rFonts w:hint="eastAsia" w:ascii="Times New Roman" w:hAnsi="Times New Roman" w:eastAsia="仿宋_GB2312" w:cs="Times New Roman"/>
          <w:b w:val="0"/>
          <w:bCs w:val="0"/>
          <w:color w:val="auto"/>
          <w:kern w:val="2"/>
          <w:sz w:val="30"/>
          <w:szCs w:val="24"/>
          <w:highlight w:val="none"/>
          <w:lang w:val="en-US" w:eastAsia="zh-CN" w:bidi="ar-SA"/>
        </w:rPr>
        <w:t>，指标完成率</w:t>
      </w:r>
      <w:r>
        <w:rPr>
          <w:rFonts w:hint="eastAsia" w:cs="Times New Roman"/>
          <w:b w:val="0"/>
          <w:bCs w:val="0"/>
          <w:color w:val="auto"/>
          <w:kern w:val="2"/>
          <w:sz w:val="30"/>
          <w:szCs w:val="24"/>
          <w:highlight w:val="none"/>
          <w:lang w:val="en-US" w:eastAsia="zh-CN" w:bidi="ar-SA"/>
        </w:rPr>
        <w:t>100</w:t>
      </w:r>
      <w:r>
        <w:rPr>
          <w:rFonts w:hint="eastAsia" w:ascii="Times New Roman" w:hAnsi="Times New Roman" w:eastAsia="仿宋_GB2312" w:cs="Times New Roman"/>
          <w:b w:val="0"/>
          <w:bCs w:val="0"/>
          <w:color w:val="auto"/>
          <w:kern w:val="2"/>
          <w:sz w:val="30"/>
          <w:szCs w:val="24"/>
          <w:highlight w:val="none"/>
          <w:lang w:val="en-US" w:eastAsia="zh-CN" w:bidi="ar-SA"/>
        </w:rPr>
        <w:t>%。</w:t>
      </w:r>
    </w:p>
    <w:p>
      <w:pPr>
        <w:pStyle w:val="10"/>
        <w:pageBreakBefore w:val="0"/>
        <w:widowControl w:val="0"/>
        <w:kinsoku/>
        <w:wordWrap/>
        <w:overflowPunct/>
        <w:topLinePunct w:val="0"/>
        <w:autoSpaceDE/>
        <w:autoSpaceDN/>
        <w:bidi w:val="0"/>
        <w:adjustRightInd/>
        <w:snapToGrid/>
        <w:spacing w:before="0" w:after="0" w:line="560" w:lineRule="exact"/>
        <w:ind w:firstLine="600" w:firstLineChars="200"/>
        <w:jc w:val="left"/>
        <w:textAlignment w:val="auto"/>
        <w:rPr>
          <w:rFonts w:hint="eastAsia" w:ascii="Times New Roman" w:hAnsi="Times New Roman" w:eastAsia="仿宋_GB2312" w:cs="Times New Roman"/>
          <w:b w:val="0"/>
          <w:bCs w:val="0"/>
          <w:color w:val="auto"/>
          <w:kern w:val="2"/>
          <w:sz w:val="30"/>
          <w:szCs w:val="24"/>
          <w:highlight w:val="none"/>
          <w:lang w:val="en-US" w:eastAsia="zh-CN" w:bidi="ar-SA"/>
        </w:rPr>
      </w:pPr>
      <w:r>
        <w:rPr>
          <w:rFonts w:hint="eastAsia" w:ascii="Times New Roman" w:hAnsi="Times New Roman" w:eastAsia="仿宋_GB2312" w:cs="Times New Roman"/>
          <w:b w:val="0"/>
          <w:bCs w:val="0"/>
          <w:color w:val="auto"/>
          <w:kern w:val="2"/>
          <w:sz w:val="30"/>
          <w:szCs w:val="24"/>
          <w:highlight w:val="none"/>
          <w:lang w:val="en-US" w:eastAsia="zh-CN" w:bidi="ar-SA"/>
        </w:rPr>
        <w:t>此项权重分10分，得分10分。</w:t>
      </w:r>
    </w:p>
    <w:p>
      <w:pPr>
        <w:pageBreakBefore w:val="0"/>
        <w:widowControl w:val="0"/>
        <w:kinsoku/>
        <w:wordWrap/>
        <w:overflowPunct/>
        <w:topLinePunct w:val="0"/>
        <w:autoSpaceDE/>
        <w:autoSpaceDN/>
        <w:bidi w:val="0"/>
        <w:adjustRightInd/>
        <w:snapToGrid/>
        <w:spacing w:line="560" w:lineRule="exact"/>
        <w:ind w:leftChars="0" w:firstLine="600" w:firstLineChars="200"/>
        <w:textAlignment w:val="auto"/>
        <w:rPr>
          <w:rFonts w:hint="eastAsia" w:ascii="方正楷体_GBK" w:hAnsi="方正楷体_GBK" w:eastAsia="方正楷体_GBK" w:cs="方正楷体_GBK"/>
          <w:b w:val="0"/>
          <w:bCs w:val="0"/>
          <w:color w:val="auto"/>
          <w:highlight w:val="none"/>
        </w:rPr>
      </w:pPr>
      <w:bookmarkStart w:id="16" w:name="_Toc68703841"/>
      <w:r>
        <w:rPr>
          <w:rFonts w:hint="eastAsia" w:ascii="方正楷体_GBK" w:hAnsi="方正楷体_GBK" w:eastAsia="方正楷体_GBK" w:cs="方正楷体_GBK"/>
          <w:b w:val="0"/>
          <w:bCs w:val="0"/>
          <w:color w:val="auto"/>
          <w:highlight w:val="none"/>
        </w:rPr>
        <w:t>（</w:t>
      </w:r>
      <w:r>
        <w:rPr>
          <w:rFonts w:hint="eastAsia" w:ascii="方正楷体_GBK" w:hAnsi="方正楷体_GBK" w:eastAsia="方正楷体_GBK" w:cs="方正楷体_GBK"/>
          <w:b w:val="0"/>
          <w:bCs w:val="0"/>
          <w:color w:val="auto"/>
          <w:highlight w:val="none"/>
          <w:lang w:eastAsia="zh-CN"/>
        </w:rPr>
        <w:t>四</w:t>
      </w:r>
      <w:r>
        <w:rPr>
          <w:rFonts w:hint="eastAsia" w:ascii="方正楷体_GBK" w:hAnsi="方正楷体_GBK" w:eastAsia="方正楷体_GBK" w:cs="方正楷体_GBK"/>
          <w:b w:val="0"/>
          <w:bCs w:val="0"/>
          <w:color w:val="auto"/>
          <w:highlight w:val="none"/>
        </w:rPr>
        <w:t>）项目效益情况。</w:t>
      </w:r>
      <w:bookmarkEnd w:id="16"/>
    </w:p>
    <w:p>
      <w:pPr>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color w:val="auto"/>
          <w:highlight w:val="none"/>
          <w:lang w:val="en-US" w:eastAsia="zh-CN"/>
        </w:rPr>
      </w:pPr>
      <w:r>
        <w:rPr>
          <w:rFonts w:hint="eastAsia" w:eastAsia="方正仿宋_GBK" w:cs="Times New Roman"/>
          <w:color w:val="auto"/>
          <w:sz w:val="32"/>
          <w:szCs w:val="32"/>
          <w:highlight w:val="none"/>
          <w:lang w:val="en-US" w:eastAsia="zh-CN"/>
        </w:rPr>
        <w:t>1</w:t>
      </w:r>
      <w:r>
        <w:rPr>
          <w:rFonts w:hint="eastAsia"/>
          <w:color w:val="auto"/>
          <w:highlight w:val="none"/>
          <w:lang w:val="en-US" w:eastAsia="zh-CN"/>
        </w:rPr>
        <w:t>.</w:t>
      </w:r>
      <w:r>
        <w:rPr>
          <w:rFonts w:hint="eastAsia"/>
          <w:color w:val="auto"/>
          <w:highlight w:val="none"/>
        </w:rPr>
        <w:t>社会效益指标</w:t>
      </w:r>
      <w:r>
        <w:rPr>
          <w:rFonts w:hint="eastAsia"/>
          <w:color w:val="auto"/>
          <w:highlight w:val="none"/>
          <w:lang w:eastAsia="zh-CN"/>
        </w:rPr>
        <w:t>完成情况</w:t>
      </w:r>
      <w:r>
        <w:rPr>
          <w:rFonts w:hint="eastAsia"/>
          <w:color w:val="auto"/>
          <w:highlight w:val="none"/>
        </w:rPr>
        <w:t>：</w:t>
      </w:r>
      <w:r>
        <w:rPr>
          <w:rFonts w:hint="eastAsia"/>
          <w:color w:val="auto"/>
          <w:highlight w:val="none"/>
          <w:lang w:val="en-US" w:eastAsia="zh-CN"/>
        </w:rPr>
        <w:t>指标1：改造场馆正常运转率，指标值：&gt;=95%，实际完成值100%，指标完成率105.26%，偏差原因经过验收，场地建设验收通过，符合举办赛事要求，赛会期间所有场馆正常运转；指标2：对体育事业可持续发展的影响程度，指标值：有所提升，实际完成值达成目标，指标完成率100%。</w:t>
      </w:r>
    </w:p>
    <w:p>
      <w:pPr>
        <w:pStyle w:val="10"/>
        <w:keepNext w:val="0"/>
        <w:keepLines w:val="0"/>
        <w:pageBreakBefore w:val="0"/>
        <w:widowControl w:val="0"/>
        <w:kinsoku/>
        <w:wordWrap/>
        <w:overflowPunct/>
        <w:topLinePunct w:val="0"/>
        <w:autoSpaceDE/>
        <w:autoSpaceDN/>
        <w:bidi w:val="0"/>
        <w:adjustRightInd/>
        <w:snapToGrid/>
        <w:spacing w:before="0" w:after="0" w:line="560" w:lineRule="exact"/>
        <w:ind w:firstLine="600" w:firstLineChars="200"/>
        <w:jc w:val="left"/>
        <w:textAlignment w:val="auto"/>
        <w:rPr>
          <w:rFonts w:hint="eastAsia" w:ascii="Times New Roman" w:hAnsi="Times New Roman" w:eastAsia="仿宋_GB2312" w:cs="Times New Roman"/>
          <w:b w:val="0"/>
          <w:bCs w:val="0"/>
          <w:color w:val="auto"/>
          <w:kern w:val="2"/>
          <w:sz w:val="30"/>
          <w:szCs w:val="24"/>
          <w:highlight w:val="none"/>
          <w:lang w:val="en-US" w:eastAsia="zh-CN" w:bidi="ar-SA"/>
        </w:rPr>
      </w:pPr>
      <w:r>
        <w:rPr>
          <w:rFonts w:hint="eastAsia" w:ascii="Times New Roman" w:hAnsi="Times New Roman" w:eastAsia="仿宋_GB2312" w:cs="Times New Roman"/>
          <w:b w:val="0"/>
          <w:bCs w:val="0"/>
          <w:color w:val="auto"/>
          <w:kern w:val="2"/>
          <w:sz w:val="30"/>
          <w:szCs w:val="24"/>
          <w:highlight w:val="none"/>
          <w:lang w:val="en-US" w:eastAsia="zh-CN" w:bidi="ar-SA"/>
        </w:rPr>
        <w:t>此项权重分10分，得分10分。</w:t>
      </w:r>
    </w:p>
    <w:p>
      <w:pPr>
        <w:pageBreakBefore w:val="0"/>
        <w:widowControl w:val="0"/>
        <w:numPr>
          <w:ilvl w:val="0"/>
          <w:numId w:val="0"/>
        </w:numPr>
        <w:kinsoku/>
        <w:wordWrap/>
        <w:overflowPunct/>
        <w:topLinePunct w:val="0"/>
        <w:autoSpaceDE/>
        <w:autoSpaceDN/>
        <w:bidi w:val="0"/>
        <w:adjustRightInd/>
        <w:snapToGrid/>
        <w:spacing w:line="560" w:lineRule="exact"/>
        <w:ind w:firstLine="600" w:firstLineChars="200"/>
        <w:textAlignment w:val="auto"/>
        <w:rPr>
          <w:color w:val="auto"/>
          <w:highlight w:val="none"/>
        </w:rPr>
      </w:pPr>
      <w:r>
        <w:rPr>
          <w:rFonts w:hint="eastAsia"/>
          <w:color w:val="auto"/>
          <w:highlight w:val="none"/>
          <w:lang w:val="en-US" w:eastAsia="zh-CN"/>
        </w:rPr>
        <w:t>2.</w:t>
      </w:r>
      <w:r>
        <w:rPr>
          <w:rFonts w:hint="eastAsia"/>
          <w:color w:val="auto"/>
          <w:highlight w:val="none"/>
        </w:rPr>
        <w:t>满意度指标</w:t>
      </w:r>
      <w:r>
        <w:rPr>
          <w:rFonts w:hint="eastAsia"/>
          <w:color w:val="auto"/>
          <w:highlight w:val="none"/>
          <w:lang w:eastAsia="zh-CN"/>
        </w:rPr>
        <w:t>完成情况分析</w:t>
      </w:r>
      <w:r>
        <w:rPr>
          <w:rFonts w:hint="eastAsia"/>
          <w:color w:val="auto"/>
          <w:highlight w:val="none"/>
        </w:rPr>
        <w:t>：</w:t>
      </w:r>
      <w:r>
        <w:rPr>
          <w:rFonts w:hint="eastAsia"/>
          <w:color w:val="auto"/>
          <w:highlight w:val="none"/>
          <w:lang w:val="en-US" w:eastAsia="zh-CN"/>
        </w:rPr>
        <w:t>指标1：运动员满意度，指标值：&gt;=90%，实际完成值99%，指标完成率110%，偏差原因：经过我州举全州之力，聚全州之智，本届运动会取得圆满成功，大家对本届运动会的举办十分满意。</w:t>
      </w:r>
    </w:p>
    <w:p>
      <w:pPr>
        <w:pStyle w:val="10"/>
        <w:pageBreakBefore w:val="0"/>
        <w:widowControl w:val="0"/>
        <w:kinsoku/>
        <w:wordWrap/>
        <w:overflowPunct/>
        <w:topLinePunct w:val="0"/>
        <w:autoSpaceDE/>
        <w:autoSpaceDN/>
        <w:bidi w:val="0"/>
        <w:adjustRightInd/>
        <w:snapToGrid/>
        <w:spacing w:before="0" w:after="0" w:line="560" w:lineRule="exact"/>
        <w:ind w:firstLine="600" w:firstLineChars="200"/>
        <w:jc w:val="left"/>
        <w:textAlignment w:val="auto"/>
        <w:rPr>
          <w:rFonts w:hint="default" w:ascii="Times New Roman" w:hAnsi="Times New Roman" w:eastAsia="仿宋_GB2312" w:cs="Times New Roman"/>
          <w:b w:val="0"/>
          <w:bCs w:val="0"/>
          <w:color w:val="auto"/>
          <w:kern w:val="2"/>
          <w:sz w:val="30"/>
          <w:szCs w:val="24"/>
          <w:highlight w:val="none"/>
          <w:lang w:val="en-US" w:eastAsia="zh-CN" w:bidi="ar-SA"/>
        </w:rPr>
      </w:pPr>
      <w:r>
        <w:rPr>
          <w:rFonts w:hint="eastAsia" w:ascii="Times New Roman" w:hAnsi="Times New Roman" w:eastAsia="仿宋_GB2312" w:cs="Times New Roman"/>
          <w:b w:val="0"/>
          <w:bCs w:val="0"/>
          <w:color w:val="auto"/>
          <w:kern w:val="2"/>
          <w:sz w:val="30"/>
          <w:szCs w:val="24"/>
          <w:highlight w:val="none"/>
          <w:lang w:val="en-US" w:eastAsia="zh-CN" w:bidi="ar-SA"/>
        </w:rPr>
        <w:t>此项权重分10分，得分10分。</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黑体" w:cs="Times New Roman"/>
          <w:color w:val="auto"/>
          <w:sz w:val="32"/>
          <w:szCs w:val="32"/>
          <w:highlight w:val="none"/>
          <w:lang w:eastAsia="zh-Hans"/>
        </w:rPr>
      </w:pPr>
      <w:r>
        <w:rPr>
          <w:rFonts w:hint="eastAsia" w:ascii="Times New Roman" w:hAnsi="Times New Roman" w:eastAsia="黑体" w:cs="Times New Roman"/>
          <w:color w:val="auto"/>
          <w:sz w:val="32"/>
          <w:szCs w:val="32"/>
          <w:highlight w:val="none"/>
          <w:lang w:eastAsia="zh-Hans"/>
        </w:rPr>
        <w:t>五、预算执行进度与绩效指标总体完成率偏差</w:t>
      </w:r>
    </w:p>
    <w:p>
      <w:pPr>
        <w:pStyle w:val="19"/>
        <w:pageBreakBefore w:val="0"/>
        <w:widowControl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cs="Times New Roman"/>
          <w:color w:val="auto"/>
          <w:kern w:val="2"/>
          <w:sz w:val="30"/>
          <w:szCs w:val="24"/>
          <w:highlight w:val="none"/>
          <w:lang w:val="en-US" w:eastAsia="zh-Hans" w:bidi="ar-SA"/>
        </w:rPr>
      </w:pPr>
      <w:r>
        <w:rPr>
          <w:rFonts w:hint="eastAsia" w:ascii="Times New Roman" w:hAnsi="Times New Roman" w:eastAsia="仿宋_GB2312" w:cs="Times New Roman"/>
          <w:color w:val="auto"/>
          <w:kern w:val="2"/>
          <w:sz w:val="30"/>
          <w:szCs w:val="24"/>
          <w:highlight w:val="none"/>
          <w:lang w:val="en-US" w:eastAsia="zh-CN" w:bidi="ar-SA"/>
        </w:rPr>
        <w:t>自治区第十四届运动会经费项目年初预算1400万元，全年预算1400万元，实际支出1400万元，预算执行率为100%，项目绩效指标总体完成率为101.87%，</w:t>
      </w:r>
      <w:r>
        <w:rPr>
          <w:rFonts w:hint="eastAsia" w:ascii="Times New Roman" w:hAnsi="Times New Roman" w:eastAsia="仿宋_GB2312" w:cs="Times New Roman"/>
          <w:color w:val="auto"/>
          <w:kern w:val="2"/>
          <w:sz w:val="30"/>
          <w:szCs w:val="24"/>
          <w:highlight w:val="none"/>
          <w:lang w:val="en-US" w:eastAsia="zh-Hans" w:bidi="ar-SA"/>
        </w:rPr>
        <w:t>总体</w:t>
      </w:r>
      <w:r>
        <w:rPr>
          <w:rFonts w:hint="eastAsia" w:ascii="Times New Roman" w:hAnsi="Times New Roman" w:eastAsia="仿宋_GB2312" w:cs="Times New Roman"/>
          <w:color w:val="auto"/>
          <w:kern w:val="2"/>
          <w:sz w:val="30"/>
          <w:szCs w:val="24"/>
          <w:highlight w:val="none"/>
          <w:lang w:val="en-US" w:eastAsia="zh-CN" w:bidi="ar-SA"/>
        </w:rPr>
        <w:t>偏差率为1.87%,偏差原因：</w:t>
      </w:r>
      <w:r>
        <w:rPr>
          <w:rFonts w:hint="eastAsia" w:ascii="Times New Roman" w:hAnsi="Times New Roman" w:eastAsia="仿宋_GB2312" w:cs="Times New Roman"/>
          <w:color w:val="auto"/>
          <w:kern w:val="2"/>
          <w:sz w:val="30"/>
          <w:szCs w:val="24"/>
          <w:highlight w:val="none"/>
          <w:lang w:val="en-US" w:eastAsia="zh-Hans" w:bidi="ar-SA"/>
        </w:rPr>
        <w:t>本届运动会经前期多方调研认证，利用2个月的时间实施全方位提升改造工程，运动会竞技体育项目设20个大项687个小项，在巴州举办的10个群众体育项目，全疆7654名运动员、教练员和996名裁判员参加竞技体育比赛。本届运动会是历届自治区运动会中组别设置最全、项目设置最广、参加人数最多的一届赛会赛会的成功举办赢得了参赛各方和各族群众的一致好评，赛事有条不紊的进行，</w:t>
      </w:r>
      <w:r>
        <w:rPr>
          <w:rFonts w:hint="eastAsia" w:ascii="Times New Roman" w:hAnsi="Times New Roman" w:eastAsia="仿宋_GB2312" w:cs="Times New Roman"/>
          <w:color w:val="auto"/>
          <w:kern w:val="2"/>
          <w:sz w:val="30"/>
          <w:szCs w:val="24"/>
          <w:highlight w:val="none"/>
          <w:lang w:val="en-US" w:eastAsia="zh-CN" w:bidi="ar-SA"/>
        </w:rPr>
        <w:t>赛会取得成果</w:t>
      </w:r>
      <w:r>
        <w:rPr>
          <w:rFonts w:hint="eastAsia" w:ascii="Times New Roman" w:hAnsi="Times New Roman" w:eastAsia="仿宋_GB2312" w:cs="Times New Roman"/>
          <w:color w:val="auto"/>
          <w:kern w:val="2"/>
          <w:sz w:val="30"/>
          <w:szCs w:val="24"/>
          <w:highlight w:val="none"/>
          <w:lang w:val="en-US" w:eastAsia="zh-Hans" w:bidi="ar-SA"/>
        </w:rPr>
        <w:t>远超预期。改进措施：我们将认真总结此次承办自治区第十四届运动会的项目经验，确保以后遇到类似项目能准确制定项目绩效目标。</w:t>
      </w:r>
    </w:p>
    <w:p>
      <w:pPr>
        <w:pStyle w:val="19"/>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宋体" w:hAnsi="宋体" w:eastAsia="宋体"/>
          <w:color w:val="auto"/>
          <w:sz w:val="32"/>
          <w:szCs w:val="32"/>
          <w:highlight w:val="none"/>
        </w:rPr>
      </w:pPr>
      <w:r>
        <w:rPr>
          <w:rFonts w:hint="eastAsia" w:ascii="宋体" w:hAnsi="宋体" w:eastAsia="宋体"/>
          <w:color w:val="auto"/>
          <w:sz w:val="32"/>
          <w:szCs w:val="32"/>
          <w:highlight w:val="none"/>
          <w:lang w:val="en-US" w:eastAsia="zh-CN"/>
        </w:rPr>
        <w:t>六</w:t>
      </w:r>
      <w:r>
        <w:rPr>
          <w:rFonts w:hint="eastAsia" w:ascii="宋体" w:hAnsi="宋体" w:eastAsia="宋体"/>
          <w:color w:val="auto"/>
          <w:sz w:val="32"/>
          <w:szCs w:val="32"/>
          <w:highlight w:val="none"/>
        </w:rPr>
        <w:t>、主要经验及做法、存在的问题及原因分析</w:t>
      </w:r>
      <w:bookmarkEnd w:id="11"/>
      <w:bookmarkStart w:id="17" w:name="_Toc68703843"/>
    </w:p>
    <w:p>
      <w:pPr>
        <w:pStyle w:val="19"/>
        <w:pageBreakBefore w:val="0"/>
        <w:widowControl w:val="0"/>
        <w:kinsoku/>
        <w:wordWrap/>
        <w:overflowPunct/>
        <w:topLinePunct w:val="0"/>
        <w:autoSpaceDE/>
        <w:autoSpaceDN/>
        <w:bidi w:val="0"/>
        <w:adjustRightInd/>
        <w:snapToGrid/>
        <w:spacing w:line="560" w:lineRule="exact"/>
        <w:ind w:firstLine="600" w:firstLineChars="200"/>
        <w:textAlignment w:val="auto"/>
        <w:rPr>
          <w:rFonts w:hint="eastAsia" w:ascii="仿宋_GB2312" w:eastAsia="仿宋_GB2312"/>
          <w:b w:val="0"/>
          <w:bCs w:val="0"/>
          <w:color w:val="auto"/>
          <w:highlight w:val="none"/>
        </w:rPr>
      </w:pPr>
      <w:r>
        <w:rPr>
          <w:rFonts w:hint="eastAsia" w:ascii="仿宋_GB2312" w:eastAsia="仿宋_GB2312"/>
          <w:b w:val="0"/>
          <w:bCs w:val="0"/>
          <w:color w:val="auto"/>
          <w:highlight w:val="none"/>
        </w:rPr>
        <w:t>（一）主要经验及做法</w:t>
      </w:r>
      <w:bookmarkEnd w:id="17"/>
    </w:p>
    <w:p>
      <w:pPr>
        <w:pStyle w:val="19"/>
        <w:pageBreakBefore w:val="0"/>
        <w:widowControl w:val="0"/>
        <w:kinsoku/>
        <w:wordWrap/>
        <w:overflowPunct/>
        <w:topLinePunct w:val="0"/>
        <w:autoSpaceDE/>
        <w:autoSpaceDN/>
        <w:bidi w:val="0"/>
        <w:adjustRightInd/>
        <w:snapToGrid/>
        <w:spacing w:line="560" w:lineRule="exact"/>
        <w:ind w:leftChars="0" w:firstLine="640" w:firstLineChars="200"/>
        <w:textAlignment w:val="auto"/>
        <w:rPr>
          <w:rFonts w:hint="eastAsia" w:ascii="Times New Roman" w:hAnsi="Times New Roman" w:eastAsia="仿宋_GB2312" w:cs="Times New Roman"/>
          <w:b w:val="0"/>
          <w:bCs w:val="0"/>
          <w:color w:val="auto"/>
          <w:kern w:val="2"/>
          <w:sz w:val="30"/>
          <w:szCs w:val="24"/>
          <w:highlight w:val="none"/>
          <w:lang w:val="en-US" w:eastAsia="zh-CN" w:bidi="ar-SA"/>
        </w:rPr>
      </w:pPr>
      <w:bookmarkStart w:id="18" w:name="_Toc68703844"/>
      <w:r>
        <w:rPr>
          <w:rFonts w:hint="default" w:ascii="Times New Roman" w:hAnsi="Times New Roman" w:eastAsia="方正仿宋_GBK" w:cs="Times New Roman"/>
          <w:b w:val="0"/>
          <w:bCs w:val="0"/>
          <w:color w:val="auto"/>
          <w:kern w:val="2"/>
          <w:sz w:val="32"/>
          <w:szCs w:val="32"/>
          <w:highlight w:val="none"/>
          <w:lang w:val="en-US" w:eastAsia="zh-CN" w:bidi="ar-SA"/>
        </w:rPr>
        <w:t>1</w:t>
      </w:r>
      <w:r>
        <w:rPr>
          <w:rFonts w:hint="eastAsia" w:ascii="Times New Roman" w:hAnsi="Times New Roman" w:eastAsia="仿宋_GB2312" w:cs="Times New Roman"/>
          <w:b w:val="0"/>
          <w:bCs w:val="0"/>
          <w:color w:val="auto"/>
          <w:kern w:val="2"/>
          <w:sz w:val="30"/>
          <w:szCs w:val="24"/>
          <w:highlight w:val="none"/>
          <w:lang w:val="en-US" w:eastAsia="zh-CN" w:bidi="ar-SA"/>
        </w:rPr>
        <w:t>.强化组织领导。成立巴州文化体育广播和旅游局绩效评价工作领导小组，为绩效评价管理工作的有力推进提供了组织保障。制定绩效评价实施方案，要求全系统强化目标导向，组织高效完成项目绩效评价工作。</w:t>
      </w:r>
    </w:p>
    <w:p>
      <w:pPr>
        <w:pStyle w:val="19"/>
        <w:pageBreakBefore w:val="0"/>
        <w:widowControl w:val="0"/>
        <w:kinsoku/>
        <w:wordWrap/>
        <w:overflowPunct/>
        <w:topLinePunct w:val="0"/>
        <w:autoSpaceDE/>
        <w:autoSpaceDN/>
        <w:bidi w:val="0"/>
        <w:adjustRightInd/>
        <w:snapToGrid/>
        <w:spacing w:line="560" w:lineRule="exact"/>
        <w:ind w:leftChars="0" w:firstLine="640" w:firstLineChars="200"/>
        <w:textAlignment w:val="auto"/>
        <w:rPr>
          <w:rFonts w:hint="eastAsia" w:ascii="Times New Roman" w:hAnsi="Times New Roman" w:eastAsia="仿宋_GB2312" w:cs="Times New Roman"/>
          <w:b w:val="0"/>
          <w:bCs w:val="0"/>
          <w:color w:val="auto"/>
          <w:kern w:val="2"/>
          <w:sz w:val="30"/>
          <w:szCs w:val="24"/>
          <w:highlight w:val="none"/>
          <w:lang w:val="en-US" w:eastAsia="zh-CN" w:bidi="ar-SA"/>
        </w:rPr>
      </w:pPr>
      <w:r>
        <w:rPr>
          <w:rFonts w:hint="default" w:ascii="Times New Roman" w:hAnsi="Times New Roman" w:eastAsia="方正仿宋_GBK" w:cs="Times New Roman"/>
          <w:b w:val="0"/>
          <w:bCs w:val="0"/>
          <w:color w:val="auto"/>
          <w:kern w:val="2"/>
          <w:sz w:val="32"/>
          <w:szCs w:val="32"/>
          <w:highlight w:val="none"/>
          <w:lang w:val="en-US" w:eastAsia="zh-CN" w:bidi="ar-SA"/>
        </w:rPr>
        <w:t>2</w:t>
      </w:r>
      <w:r>
        <w:rPr>
          <w:rFonts w:hint="eastAsia" w:ascii="Times New Roman" w:hAnsi="Times New Roman" w:eastAsia="仿宋_GB2312" w:cs="Times New Roman"/>
          <w:b w:val="0"/>
          <w:bCs w:val="0"/>
          <w:color w:val="auto"/>
          <w:kern w:val="2"/>
          <w:sz w:val="30"/>
          <w:szCs w:val="24"/>
          <w:highlight w:val="none"/>
          <w:lang w:val="en-US" w:eastAsia="zh-CN" w:bidi="ar-SA"/>
        </w:rPr>
        <w:t>.强化评价结果运用。强化绩效评价结果运用，将结果运用于预算资源配置、政策调整、和管理改进，与预算安排挂钩。构建项目承担单位自评+部门整体自评+部门项目自评评价体系，全面提升绩效评价质量。</w:t>
      </w:r>
    </w:p>
    <w:p>
      <w:pPr>
        <w:pStyle w:val="19"/>
        <w:pageBreakBefore w:val="0"/>
        <w:widowControl w:val="0"/>
        <w:kinsoku/>
        <w:wordWrap/>
        <w:overflowPunct/>
        <w:topLinePunct w:val="0"/>
        <w:autoSpaceDE/>
        <w:autoSpaceDN/>
        <w:bidi w:val="0"/>
        <w:adjustRightInd/>
        <w:snapToGrid/>
        <w:spacing w:line="560" w:lineRule="exact"/>
        <w:ind w:leftChars="0" w:firstLine="600" w:firstLineChars="200"/>
        <w:textAlignment w:val="auto"/>
        <w:rPr>
          <w:rFonts w:hint="eastAsia" w:ascii="仿宋_GB2312" w:eastAsia="仿宋_GB2312"/>
          <w:b w:val="0"/>
          <w:bCs w:val="0"/>
          <w:color w:val="auto"/>
          <w:highlight w:val="none"/>
        </w:rPr>
      </w:pPr>
      <w:r>
        <w:rPr>
          <w:rFonts w:hint="eastAsia" w:ascii="仿宋_GB2312" w:eastAsia="仿宋_GB2312"/>
          <w:b w:val="0"/>
          <w:bCs w:val="0"/>
          <w:color w:val="auto"/>
          <w:highlight w:val="none"/>
        </w:rPr>
        <w:t>（二）存在的问题及原因分析</w:t>
      </w:r>
      <w:bookmarkEnd w:id="18"/>
    </w:p>
    <w:p>
      <w:pPr>
        <w:pageBreakBefore w:val="0"/>
        <w:widowControl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cs="Times New Roman"/>
          <w:b w:val="0"/>
          <w:bCs w:val="0"/>
          <w:color w:val="auto"/>
          <w:kern w:val="2"/>
          <w:sz w:val="30"/>
          <w:szCs w:val="24"/>
          <w:highlight w:val="none"/>
          <w:lang w:val="en-US" w:eastAsia="zh-Hans" w:bidi="ar-SA"/>
        </w:rPr>
      </w:pPr>
      <w:r>
        <w:rPr>
          <w:rFonts w:hint="eastAsia" w:ascii="Times New Roman" w:hAnsi="Times New Roman" w:eastAsia="仿宋_GB2312" w:cs="Times New Roman"/>
          <w:b w:val="0"/>
          <w:bCs w:val="0"/>
          <w:color w:val="auto"/>
          <w:kern w:val="2"/>
          <w:sz w:val="30"/>
          <w:szCs w:val="24"/>
          <w:highlight w:val="none"/>
          <w:lang w:val="en-US" w:eastAsia="zh-Hans" w:bidi="ar-SA"/>
        </w:rPr>
        <w:t>数量指标、时效指标、质量指标、满意度指标部分指标实际完成值出现偏差，项目实施前期已根据自治区第十四届运动会内容设置绩效目标，但绩效目标设置过于保守，造成指标完成值大于指标值。</w:t>
      </w:r>
    </w:p>
    <w:p>
      <w:pPr>
        <w:pageBreakBefore w:val="0"/>
        <w:widowControl w:val="0"/>
        <w:shd w:val="clear"/>
        <w:kinsoku/>
        <w:wordWrap/>
        <w:overflowPunct/>
        <w:topLinePunct w:val="0"/>
        <w:autoSpaceDE/>
        <w:autoSpaceDN/>
        <w:bidi w:val="0"/>
        <w:adjustRightInd/>
        <w:snapToGrid/>
        <w:spacing w:line="560" w:lineRule="exact"/>
        <w:ind w:leftChars="0" w:firstLine="640" w:firstLineChars="200"/>
        <w:textAlignment w:val="auto"/>
        <w:outlineLvl w:val="0"/>
        <w:rPr>
          <w:rFonts w:hint="eastAsia" w:ascii="方正黑体_GBK" w:hAnsi="方正黑体_GBK" w:eastAsia="方正黑体_GBK" w:cs="方正黑体_GBK"/>
          <w:color w:val="auto"/>
          <w:sz w:val="32"/>
          <w:szCs w:val="32"/>
          <w:highlight w:val="none"/>
          <w:lang w:val="en-US" w:eastAsia="zh-CN"/>
        </w:rPr>
      </w:pPr>
      <w:bookmarkStart w:id="19" w:name="_Toc68703845"/>
      <w:r>
        <w:rPr>
          <w:rFonts w:hint="eastAsia" w:ascii="方正黑体_GBK" w:hAnsi="方正黑体_GBK" w:eastAsia="方正黑体_GBK" w:cs="方正黑体_GBK"/>
          <w:color w:val="auto"/>
          <w:sz w:val="32"/>
          <w:szCs w:val="32"/>
          <w:highlight w:val="none"/>
          <w:lang w:val="en-US" w:eastAsia="zh-CN"/>
        </w:rPr>
        <w:t>七、有关建议</w:t>
      </w:r>
      <w:bookmarkEnd w:id="19"/>
      <w:bookmarkStart w:id="20" w:name="_Toc68703846"/>
    </w:p>
    <w:p>
      <w:pPr>
        <w:pageBreakBefore w:val="0"/>
        <w:widowControl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cs="Times New Roman"/>
          <w:b w:val="0"/>
          <w:bCs w:val="0"/>
          <w:color w:val="auto"/>
          <w:kern w:val="2"/>
          <w:sz w:val="30"/>
          <w:szCs w:val="24"/>
          <w:highlight w:val="none"/>
          <w:lang w:val="en-US" w:eastAsia="zh-CN" w:bidi="ar-SA"/>
        </w:rPr>
      </w:pPr>
      <w:r>
        <w:rPr>
          <w:rFonts w:hint="eastAsia" w:ascii="Times New Roman" w:hAnsi="Times New Roman" w:eastAsia="仿宋_GB2312" w:cs="Times New Roman"/>
          <w:b w:val="0"/>
          <w:bCs w:val="0"/>
          <w:color w:val="auto"/>
          <w:kern w:val="2"/>
          <w:sz w:val="30"/>
          <w:szCs w:val="24"/>
          <w:highlight w:val="none"/>
          <w:lang w:val="en-US" w:eastAsia="zh-CN" w:bidi="ar-SA"/>
        </w:rPr>
        <w:t>1.多进行有关绩效管理工作方面的培训。积极组织第三方开展绩效管理工作培训，进一步夯实业务基础，提高我单位绩效人员水平。</w:t>
      </w:r>
    </w:p>
    <w:p>
      <w:pPr>
        <w:pageBreakBefore w:val="0"/>
        <w:widowControl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cs="Times New Roman"/>
          <w:b w:val="0"/>
          <w:bCs w:val="0"/>
          <w:color w:val="auto"/>
          <w:kern w:val="2"/>
          <w:sz w:val="30"/>
          <w:szCs w:val="24"/>
          <w:highlight w:val="none"/>
          <w:lang w:val="en-US" w:eastAsia="zh-CN" w:bidi="ar-SA"/>
        </w:rPr>
      </w:pPr>
      <w:r>
        <w:rPr>
          <w:rFonts w:hint="eastAsia" w:ascii="Times New Roman" w:hAnsi="Times New Roman" w:eastAsia="仿宋_GB2312" w:cs="Times New Roman"/>
          <w:b w:val="0"/>
          <w:bCs w:val="0"/>
          <w:color w:val="auto"/>
          <w:kern w:val="2"/>
          <w:sz w:val="30"/>
          <w:szCs w:val="24"/>
          <w:highlight w:val="none"/>
          <w:lang w:val="en-US" w:eastAsia="zh-CN" w:bidi="ar-SA"/>
        </w:rPr>
        <w:t>2.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w:t>
      </w:r>
    </w:p>
    <w:p>
      <w:pPr>
        <w:pageBreakBefore w:val="0"/>
        <w:widowControl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cs="Times New Roman"/>
          <w:b w:val="0"/>
          <w:bCs w:val="0"/>
          <w:color w:val="auto"/>
          <w:kern w:val="2"/>
          <w:sz w:val="30"/>
          <w:szCs w:val="24"/>
          <w:highlight w:val="none"/>
          <w:lang w:val="en-US" w:eastAsia="zh-CN" w:bidi="ar-SA"/>
        </w:rPr>
      </w:pPr>
      <w:r>
        <w:rPr>
          <w:rFonts w:hint="eastAsia" w:ascii="Times New Roman" w:hAnsi="Times New Roman" w:eastAsia="仿宋_GB2312" w:cs="Times New Roman"/>
          <w:b w:val="0"/>
          <w:bCs w:val="0"/>
          <w:color w:val="auto"/>
          <w:kern w:val="2"/>
          <w:sz w:val="30"/>
          <w:szCs w:val="24"/>
          <w:highlight w:val="none"/>
          <w:lang w:val="en-US" w:eastAsia="zh-CN" w:bidi="ar-SA"/>
        </w:rPr>
        <w:t>3.进一步完善项目评价过程中有关数据和资料的收集、整理、审核及分析。项目启动时同步做好档案的归纳与整理，及时整理、收集、汇总，健全档案资料。项目后续管理有待进一步加强和跟踪。</w:t>
      </w:r>
    </w:p>
    <w:p>
      <w:pPr>
        <w:pageBreakBefore w:val="0"/>
        <w:widowControl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cs="Times New Roman"/>
          <w:b w:val="0"/>
          <w:bCs w:val="0"/>
          <w:color w:val="auto"/>
          <w:kern w:val="2"/>
          <w:sz w:val="30"/>
          <w:szCs w:val="24"/>
          <w:highlight w:val="none"/>
          <w:lang w:val="en-US" w:eastAsia="zh-CN" w:bidi="ar-SA"/>
        </w:rPr>
      </w:pPr>
      <w:r>
        <w:rPr>
          <w:rFonts w:hint="eastAsia" w:ascii="Times New Roman" w:hAnsi="Times New Roman" w:eastAsia="仿宋_GB2312" w:cs="Times New Roman"/>
          <w:b w:val="0"/>
          <w:bCs w:val="0"/>
          <w:color w:val="auto"/>
          <w:kern w:val="2"/>
          <w:sz w:val="30"/>
          <w:szCs w:val="24"/>
          <w:highlight w:val="none"/>
          <w:lang w:val="en-US" w:eastAsia="zh-CN" w:bidi="ar-SA"/>
        </w:rPr>
        <w:t>4.进一步加强对绩效管理工作的组织领导，提高对预算绩效管理工作重要性的认识，总结经验查找问题，抓紧研究制定更全面更完善的绩效评价管理办法。结合文化、体育、旅游高质量发展考核建立绩效工作考核制度，加大全局对全面实施预算绩效管理和绩效管理工作的学习力度，让“花钱必问效，无效必问责”的理念深入工作每个环节。</w:t>
      </w:r>
    </w:p>
    <w:p>
      <w:pPr>
        <w:pStyle w:val="3"/>
        <w:pageBreakBefore w:val="0"/>
        <w:widowControl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color w:val="auto"/>
          <w:sz w:val="32"/>
          <w:szCs w:val="32"/>
          <w:highlight w:val="none"/>
        </w:rPr>
      </w:pPr>
      <w:r>
        <w:rPr>
          <w:rFonts w:hint="eastAsia" w:ascii="宋体" w:hAnsi="宋体" w:eastAsia="宋体"/>
          <w:color w:val="auto"/>
          <w:sz w:val="32"/>
          <w:szCs w:val="32"/>
          <w:highlight w:val="none"/>
          <w:lang w:val="en-US" w:eastAsia="zh-CN"/>
        </w:rPr>
        <w:t>八</w:t>
      </w:r>
      <w:r>
        <w:rPr>
          <w:rFonts w:hint="eastAsia" w:ascii="宋体" w:hAnsi="宋体" w:eastAsia="宋体"/>
          <w:color w:val="auto"/>
          <w:sz w:val="32"/>
          <w:szCs w:val="32"/>
          <w:highlight w:val="none"/>
        </w:rPr>
        <w:t>、其他需要说明的问题</w:t>
      </w:r>
      <w:bookmarkEnd w:id="20"/>
    </w:p>
    <w:p>
      <w:pPr>
        <w:pageBreakBefore w:val="0"/>
        <w:widowControl w:val="0"/>
        <w:kinsoku/>
        <w:wordWrap/>
        <w:overflowPunct/>
        <w:topLinePunct w:val="0"/>
        <w:autoSpaceDE/>
        <w:autoSpaceDN/>
        <w:bidi w:val="0"/>
        <w:adjustRightInd/>
        <w:snapToGrid/>
        <w:spacing w:line="560" w:lineRule="exact"/>
        <w:ind w:firstLine="600" w:firstLineChars="200"/>
        <w:textAlignment w:val="auto"/>
        <w:rPr>
          <w:rFonts w:hint="default"/>
          <w:color w:val="auto"/>
          <w:highlight w:val="none"/>
          <w:lang w:val="en-US" w:eastAsia="zh-CN"/>
        </w:rPr>
      </w:pPr>
      <w:r>
        <w:rPr>
          <w:rFonts w:hint="eastAsia"/>
          <w:color w:val="auto"/>
          <w:highlight w:val="none"/>
          <w:lang w:val="en-US" w:eastAsia="zh-CN"/>
        </w:rPr>
        <w:t>无</w:t>
      </w:r>
    </w:p>
    <w:sectPr>
      <w:pgSz w:w="11906" w:h="16838"/>
      <w:pgMar w:top="1984" w:right="1531" w:bottom="1814"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等线 Light">
    <w:altName w:val="宋体"/>
    <w:panose1 w:val="02010600030101010101"/>
    <w:charset w:val="86"/>
    <w:family w:val="auto"/>
    <w:pitch w:val="default"/>
    <w:sig w:usb0="00000000" w:usb1="00000000" w:usb2="00000016" w:usb3="00000000" w:csb0="0004000F" w:csb1="00000000"/>
  </w:font>
  <w:font w:name="Cambria">
    <w:panose1 w:val="02040503050406030204"/>
    <w:charset w:val="00"/>
    <w:family w:val="roman"/>
    <w:pitch w:val="default"/>
    <w:sig w:usb0="E00002FF" w:usb1="400004FF" w:usb2="00000000" w:usb3="00000000" w:csb0="2000019F" w:csb1="00000000"/>
  </w:font>
  <w:font w:name="红豆小标宋简体">
    <w:altName w:val="宋体"/>
    <w:panose1 w:val="02000509000000000000"/>
    <w:charset w:val="86"/>
    <w:family w:val="auto"/>
    <w:pitch w:val="default"/>
    <w:sig w:usb0="00000000" w:usb1="00000000" w:usb2="00000012" w:usb3="00000000" w:csb0="00040001" w:csb1="00000000"/>
  </w:font>
  <w:font w:name="方正仿宋_GBK">
    <w:altName w:val="微软雅黑"/>
    <w:panose1 w:val="03000509000000000000"/>
    <w:charset w:val="86"/>
    <w:family w:val="auto"/>
    <w:pitch w:val="default"/>
    <w:sig w:usb0="00000000" w:usb1="00000000" w:usb2="00000000" w:usb3="00000000" w:csb0="00040000" w:csb1="00000000"/>
  </w:font>
  <w:font w:name="方正楷体_GBK">
    <w:altName w:val="微软雅黑"/>
    <w:panose1 w:val="03000509000000000000"/>
    <w:charset w:val="86"/>
    <w:family w:val="auto"/>
    <w:pitch w:val="default"/>
    <w:sig w:usb0="00000000" w:usb1="00000000" w:usb2="00000000" w:usb3="00000000" w:csb0="00040000" w:csb1="00000000"/>
  </w:font>
  <w:font w:name="方正黑体_GBK">
    <w:altName w:val="微软雅黑"/>
    <w:panose1 w:val="03000509000000000000"/>
    <w:charset w:val="86"/>
    <w:family w:val="auto"/>
    <w:pitch w:val="default"/>
    <w:sig w:usb0="00000000" w:usb1="00000000" w:usb2="00000000" w:usb3="00000000" w:csb0="00040000" w:csb1="0000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YTRkOTIwZjc5YmU2ZTY5MjQ2MTljMmZlZWEzNGY0OTAifQ=="/>
    <w:docVar w:name="KSO_WPS_MARK_KEY" w:val="b3fc2acd-51a9-45ce-8d80-18e6d2738da8"/>
  </w:docVars>
  <w:rsids>
    <w:rsidRoot w:val="007D49C5"/>
    <w:rsid w:val="000D63FA"/>
    <w:rsid w:val="005B64E8"/>
    <w:rsid w:val="00614288"/>
    <w:rsid w:val="00792CFE"/>
    <w:rsid w:val="007D49C5"/>
    <w:rsid w:val="008175E0"/>
    <w:rsid w:val="008C631D"/>
    <w:rsid w:val="00A114ED"/>
    <w:rsid w:val="00B24331"/>
    <w:rsid w:val="00EB3433"/>
    <w:rsid w:val="031A7868"/>
    <w:rsid w:val="05227DA5"/>
    <w:rsid w:val="08D20D13"/>
    <w:rsid w:val="0C4D0F1B"/>
    <w:rsid w:val="0F2A6BF7"/>
    <w:rsid w:val="10A401CB"/>
    <w:rsid w:val="1D723F37"/>
    <w:rsid w:val="1D785367"/>
    <w:rsid w:val="32AE0DEC"/>
    <w:rsid w:val="36B72533"/>
    <w:rsid w:val="3D2837B1"/>
    <w:rsid w:val="4057649F"/>
    <w:rsid w:val="43182414"/>
    <w:rsid w:val="46507BB3"/>
    <w:rsid w:val="4A7C25BE"/>
    <w:rsid w:val="4C22332E"/>
    <w:rsid w:val="4F4A7553"/>
    <w:rsid w:val="506776CB"/>
    <w:rsid w:val="553A2185"/>
    <w:rsid w:val="559E293C"/>
    <w:rsid w:val="56796849"/>
    <w:rsid w:val="5DA95371"/>
    <w:rsid w:val="68F11999"/>
    <w:rsid w:val="6A1F2AFA"/>
    <w:rsid w:val="6B3E71E1"/>
    <w:rsid w:val="6E4E111A"/>
    <w:rsid w:val="74B307AF"/>
    <w:rsid w:val="763A0251"/>
    <w:rsid w:val="7B22226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3">
    <w:name w:val="heading 1"/>
    <w:basedOn w:val="1"/>
    <w:next w:val="1"/>
    <w:link w:val="14"/>
    <w:qFormat/>
    <w:uiPriority w:val="9"/>
    <w:pPr>
      <w:keepNext/>
      <w:keepLines/>
      <w:spacing w:before="340" w:after="330" w:line="578" w:lineRule="auto"/>
      <w:outlineLvl w:val="0"/>
    </w:pPr>
    <w:rPr>
      <w:b/>
      <w:bCs/>
      <w:kern w:val="44"/>
      <w:sz w:val="44"/>
      <w:szCs w:val="44"/>
    </w:rPr>
  </w:style>
  <w:style w:type="paragraph" w:styleId="4">
    <w:name w:val="heading 2"/>
    <w:basedOn w:val="1"/>
    <w:next w:val="1"/>
    <w:link w:val="15"/>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2">
    <w:name w:val="heading 3"/>
    <w:basedOn w:val="1"/>
    <w:next w:val="1"/>
    <w:unhideWhenUsed/>
    <w:qFormat/>
    <w:uiPriority w:val="9"/>
    <w:pPr>
      <w:keepNext/>
      <w:widowControl/>
      <w:spacing w:before="240" w:after="60"/>
      <w:jc w:val="left"/>
      <w:outlineLvl w:val="2"/>
    </w:pPr>
    <w:rPr>
      <w:rFonts w:ascii="Cambria" w:hAnsi="Cambria" w:eastAsia="宋体"/>
      <w:b/>
      <w:bCs/>
      <w:kern w:val="0"/>
      <w:sz w:val="26"/>
      <w:szCs w:val="26"/>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footer"/>
    <w:basedOn w:val="1"/>
    <w:link w:val="18"/>
    <w:semiHidden/>
    <w:unhideWhenUsed/>
    <w:qFormat/>
    <w:uiPriority w:val="99"/>
    <w:pPr>
      <w:tabs>
        <w:tab w:val="center" w:pos="4153"/>
        <w:tab w:val="right" w:pos="8306"/>
      </w:tabs>
      <w:snapToGrid w:val="0"/>
      <w:jc w:val="left"/>
    </w:pPr>
    <w:rPr>
      <w:sz w:val="18"/>
      <w:szCs w:val="18"/>
    </w:rPr>
  </w:style>
  <w:style w:type="paragraph" w:styleId="7">
    <w:name w:val="header"/>
    <w:basedOn w:val="1"/>
    <w:link w:val="17"/>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toc 1"/>
    <w:basedOn w:val="1"/>
    <w:next w:val="1"/>
    <w:unhideWhenUsed/>
    <w:qFormat/>
    <w:uiPriority w:val="39"/>
    <w:pPr>
      <w:widowControl/>
      <w:spacing w:after="100" w:line="259" w:lineRule="auto"/>
      <w:jc w:val="left"/>
    </w:pPr>
    <w:rPr>
      <w:rFonts w:asciiTheme="minorHAnsi" w:hAnsiTheme="minorHAnsi" w:eastAsiaTheme="minorEastAsia"/>
      <w:kern w:val="0"/>
      <w:sz w:val="22"/>
      <w:szCs w:val="22"/>
    </w:rPr>
  </w:style>
  <w:style w:type="paragraph" w:styleId="9">
    <w:name w:val="toc 2"/>
    <w:basedOn w:val="1"/>
    <w:next w:val="1"/>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paragraph" w:styleId="10">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3">
    <w:name w:val="Hyperlink"/>
    <w:basedOn w:val="12"/>
    <w:unhideWhenUsed/>
    <w:qFormat/>
    <w:uiPriority w:val="99"/>
    <w:rPr>
      <w:color w:val="0563C1" w:themeColor="hyperlink"/>
      <w:u w:val="single"/>
    </w:rPr>
  </w:style>
  <w:style w:type="character" w:customStyle="1" w:styleId="14">
    <w:name w:val="标题 1 Char"/>
    <w:basedOn w:val="12"/>
    <w:link w:val="3"/>
    <w:qFormat/>
    <w:uiPriority w:val="9"/>
    <w:rPr>
      <w:rFonts w:ascii="Times New Roman" w:hAnsi="Times New Roman" w:eastAsia="仿宋_GB2312" w:cs="Times New Roman"/>
      <w:b/>
      <w:bCs/>
      <w:kern w:val="44"/>
      <w:sz w:val="44"/>
      <w:szCs w:val="44"/>
    </w:rPr>
  </w:style>
  <w:style w:type="character" w:customStyle="1" w:styleId="15">
    <w:name w:val="标题 2 Char"/>
    <w:basedOn w:val="12"/>
    <w:link w:val="4"/>
    <w:qFormat/>
    <w:uiPriority w:val="9"/>
    <w:rPr>
      <w:rFonts w:asciiTheme="majorHAnsi" w:hAnsiTheme="majorHAnsi" w:eastAsiaTheme="majorEastAsia" w:cstheme="majorBidi"/>
      <w:b/>
      <w:bCs/>
      <w:sz w:val="32"/>
      <w:szCs w:val="32"/>
    </w:rPr>
  </w:style>
  <w:style w:type="paragraph" w:customStyle="1" w:styleId="16">
    <w:name w:val="TOC Heading"/>
    <w:basedOn w:val="3"/>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496" w:themeColor="accent1" w:themeShade="BF"/>
      <w:kern w:val="0"/>
      <w:sz w:val="32"/>
      <w:szCs w:val="32"/>
    </w:rPr>
  </w:style>
  <w:style w:type="character" w:customStyle="1" w:styleId="17">
    <w:name w:val="页眉 Char"/>
    <w:basedOn w:val="12"/>
    <w:link w:val="7"/>
    <w:semiHidden/>
    <w:qFormat/>
    <w:uiPriority w:val="99"/>
    <w:rPr>
      <w:rFonts w:ascii="Times New Roman" w:hAnsi="Times New Roman" w:eastAsia="仿宋_GB2312" w:cs="Times New Roman"/>
      <w:sz w:val="18"/>
      <w:szCs w:val="18"/>
    </w:rPr>
  </w:style>
  <w:style w:type="character" w:customStyle="1" w:styleId="18">
    <w:name w:val="页脚 Char"/>
    <w:basedOn w:val="12"/>
    <w:link w:val="6"/>
    <w:semiHidden/>
    <w:qFormat/>
    <w:uiPriority w:val="99"/>
    <w:rPr>
      <w:rFonts w:ascii="Times New Roman" w:hAnsi="Times New Roman" w:eastAsia="仿宋_GB2312" w:cs="Times New Roman"/>
      <w:sz w:val="18"/>
      <w:szCs w:val="18"/>
    </w:rPr>
  </w:style>
  <w:style w:type="paragraph" w:customStyle="1" w:styleId="19">
    <w:name w:val="闻政-正文段落文字"/>
    <w:basedOn w:val="1"/>
    <w:qFormat/>
    <w:uiPriority w:val="3"/>
    <w:pPr>
      <w:spacing w:line="500" w:lineRule="exact"/>
      <w:ind w:firstLine="200"/>
    </w:pPr>
    <w:rPr>
      <w:kern w:val="0"/>
      <w:szCs w:val="2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黑体"/>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宋体"/>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16</Pages>
  <Words>5042</Words>
  <Characters>5242</Characters>
  <Lines>37</Lines>
  <Paragraphs>10</Paragraphs>
  <TotalTime>3</TotalTime>
  <ScaleCrop>false</ScaleCrop>
  <LinksUpToDate>false</LinksUpToDate>
  <CharactersWithSpaces>5253</CharactersWithSpaces>
  <Application>WPS Office_11.8.2.11500_F1E327BC-269C-435d-A152-05C5408002CA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2021-04-07T08:01:00Z</dcterms:created>
  <dc:creator>翘楚</dc:creator>
  <cp:lastModifiedBy>new</cp:lastModifiedBy>
  <dcterms:modified xsi:type="dcterms:W3CDTF">2024-05-10T10:20:58Z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2052-11.8.2.11500</vt:lpwstr>
  </property>
  <property fmtid="{D5CDD505-2E9C-101B-9397-08002B2CF9AE}" pid="3" name="ICV">
    <vt:lpwstr>DFF0787588C34603A74FA104BC3FC087</vt:lpwstr>
  </property>
</Properties>
</file>