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585C2">
      <w:pPr>
        <w:spacing w:line="560" w:lineRule="exact"/>
        <w:ind w:firstLine="960" w:firstLineChars="200"/>
        <w:jc w:val="center"/>
        <w:rPr>
          <w:rFonts w:ascii="方正仿宋_GBK" w:hAnsi="方正仿宋_GBK" w:eastAsia="方正仿宋_GBK" w:cs="方正仿宋_GBK"/>
          <w:b/>
          <w:bCs/>
          <w:sz w:val="48"/>
          <w:szCs w:val="48"/>
        </w:rPr>
      </w:pPr>
    </w:p>
    <w:p w14:paraId="44461BB0">
      <w:pPr>
        <w:spacing w:line="560" w:lineRule="exact"/>
        <w:ind w:firstLine="960" w:firstLineChars="200"/>
        <w:jc w:val="center"/>
        <w:rPr>
          <w:rFonts w:ascii="方正仿宋_GBK" w:hAnsi="方正仿宋_GBK" w:eastAsia="方正仿宋_GBK" w:cs="方正仿宋_GBK"/>
          <w:b/>
          <w:bCs/>
          <w:sz w:val="48"/>
          <w:szCs w:val="48"/>
        </w:rPr>
      </w:pPr>
    </w:p>
    <w:p w14:paraId="497558D2">
      <w:pPr>
        <w:spacing w:line="560" w:lineRule="exact"/>
        <w:ind w:firstLine="960" w:firstLineChars="200"/>
        <w:jc w:val="center"/>
        <w:rPr>
          <w:rFonts w:ascii="方正仿宋_GBK" w:hAnsi="方正仿宋_GBK" w:eastAsia="方正仿宋_GBK" w:cs="方正仿宋_GBK"/>
          <w:b/>
          <w:bCs/>
          <w:sz w:val="48"/>
          <w:szCs w:val="48"/>
        </w:rPr>
      </w:pPr>
    </w:p>
    <w:p w14:paraId="02F0D517">
      <w:pPr>
        <w:spacing w:line="560" w:lineRule="exact"/>
        <w:ind w:firstLine="1044" w:firstLineChars="200"/>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746056DA">
      <w:pPr>
        <w:spacing w:line="560" w:lineRule="exact"/>
        <w:ind w:firstLine="964" w:firstLineChars="200"/>
        <w:jc w:val="center"/>
        <w:rPr>
          <w:rFonts w:ascii="宋体" w:hAnsi="宋体" w:eastAsia="宋体" w:cs="Arial"/>
          <w:b/>
          <w:bCs/>
          <w:sz w:val="48"/>
          <w:szCs w:val="48"/>
        </w:rPr>
      </w:pPr>
    </w:p>
    <w:p w14:paraId="7A5817BD">
      <w:pPr>
        <w:widowControl/>
        <w:spacing w:line="560" w:lineRule="exact"/>
        <w:ind w:firstLine="720" w:firstLineChars="200"/>
        <w:jc w:val="center"/>
        <w:rPr>
          <w:rFonts w:ascii="红豆小标宋简体" w:hAnsi="红豆小标宋简体" w:eastAsia="红豆小标宋简体" w:cs="红豆小标宋简体"/>
          <w:color w:val="000000"/>
          <w:kern w:val="0"/>
          <w:sz w:val="36"/>
          <w:szCs w:val="36"/>
        </w:rPr>
      </w:pPr>
      <w:r>
        <w:rPr>
          <w:rFonts w:hint="eastAsia" w:ascii="红豆小标宋简体" w:hAnsi="红豆小标宋简体" w:eastAsia="红豆小标宋简体" w:cs="红豆小标宋简体"/>
          <w:color w:val="000000"/>
          <w:kern w:val="0"/>
          <w:sz w:val="36"/>
          <w:szCs w:val="36"/>
        </w:rPr>
        <w:t>（2023年度）</w:t>
      </w:r>
    </w:p>
    <w:p w14:paraId="0301D482">
      <w:pPr>
        <w:spacing w:line="560" w:lineRule="exact"/>
        <w:ind w:firstLine="964" w:firstLineChars="200"/>
        <w:jc w:val="center"/>
        <w:rPr>
          <w:rFonts w:ascii="宋体" w:hAnsi="宋体" w:eastAsia="宋体" w:cs="Arial"/>
          <w:b/>
          <w:bCs/>
          <w:sz w:val="48"/>
          <w:szCs w:val="48"/>
        </w:rPr>
      </w:pPr>
    </w:p>
    <w:p w14:paraId="4A5B22C5">
      <w:pPr>
        <w:spacing w:line="560" w:lineRule="exact"/>
        <w:ind w:firstLine="964" w:firstLineChars="200"/>
        <w:jc w:val="center"/>
        <w:rPr>
          <w:rFonts w:ascii="宋体" w:hAnsi="宋体" w:eastAsia="宋体" w:cs="Arial"/>
          <w:b/>
          <w:bCs/>
          <w:sz w:val="48"/>
          <w:szCs w:val="48"/>
        </w:rPr>
      </w:pPr>
    </w:p>
    <w:p w14:paraId="405C178A">
      <w:pPr>
        <w:spacing w:line="560" w:lineRule="exact"/>
        <w:ind w:firstLine="964" w:firstLineChars="200"/>
        <w:jc w:val="center"/>
        <w:rPr>
          <w:rFonts w:ascii="宋体" w:hAnsi="宋体" w:eastAsia="宋体" w:cs="Arial"/>
          <w:b/>
          <w:bCs/>
          <w:sz w:val="48"/>
          <w:szCs w:val="48"/>
        </w:rPr>
      </w:pPr>
    </w:p>
    <w:p w14:paraId="08CE02E6">
      <w:pPr>
        <w:spacing w:line="560" w:lineRule="exact"/>
        <w:ind w:firstLine="964" w:firstLineChars="200"/>
        <w:jc w:val="center"/>
        <w:rPr>
          <w:rFonts w:ascii="宋体" w:hAnsi="宋体" w:eastAsia="宋体" w:cs="Arial"/>
          <w:b/>
          <w:bCs/>
          <w:sz w:val="48"/>
          <w:szCs w:val="48"/>
        </w:rPr>
      </w:pPr>
    </w:p>
    <w:p w14:paraId="696BCF28">
      <w:pPr>
        <w:spacing w:line="560" w:lineRule="exact"/>
        <w:ind w:firstLine="964" w:firstLineChars="200"/>
        <w:rPr>
          <w:rFonts w:ascii="宋体" w:hAnsi="宋体" w:eastAsia="宋体" w:cs="Arial"/>
          <w:b/>
          <w:bCs/>
          <w:sz w:val="48"/>
          <w:szCs w:val="48"/>
        </w:rPr>
      </w:pPr>
    </w:p>
    <w:p w14:paraId="6CDDE99D">
      <w:pPr>
        <w:spacing w:line="560" w:lineRule="exact"/>
        <w:ind w:firstLine="643" w:firstLineChars="2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项目名称：北校区宿舍食堂建设资金</w:t>
      </w:r>
    </w:p>
    <w:p w14:paraId="4947FC89">
      <w:pPr>
        <w:spacing w:line="560" w:lineRule="exact"/>
        <w:ind w:firstLine="643" w:firstLineChars="2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实施单位（公章）：新疆巴州红旗高级技工学校</w:t>
      </w:r>
    </w:p>
    <w:p w14:paraId="3971E53E">
      <w:pPr>
        <w:spacing w:line="560" w:lineRule="exact"/>
        <w:ind w:firstLine="643" w:firstLineChars="2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主管部门（公章）：新疆巴州红旗高级技工学校</w:t>
      </w:r>
    </w:p>
    <w:p w14:paraId="1AFD2D00">
      <w:pPr>
        <w:spacing w:line="560" w:lineRule="exact"/>
        <w:ind w:firstLine="643" w:firstLineChars="2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项目负责人（签章）：李海军</w:t>
      </w:r>
    </w:p>
    <w:p w14:paraId="0ECBF411">
      <w:pPr>
        <w:spacing w:line="560" w:lineRule="exact"/>
        <w:ind w:firstLine="643" w:firstLineChars="200"/>
        <w:rPr>
          <w:rFonts w:ascii="宋体" w:hAnsi="宋体" w:eastAsia="宋体" w:cs="Arial"/>
          <w:b/>
          <w:bCs/>
          <w:sz w:val="48"/>
          <w:szCs w:val="48"/>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2024年5月14日</w:t>
      </w:r>
    </w:p>
    <w:p w14:paraId="4EFE621A">
      <w:pPr>
        <w:widowControl/>
        <w:spacing w:line="560" w:lineRule="exact"/>
        <w:ind w:firstLine="720" w:firstLineChars="200"/>
        <w:jc w:val="left"/>
        <w:rPr>
          <w:rFonts w:ascii="方正仿宋_GBK" w:hAnsi="方正仿宋_GBK" w:eastAsia="方正仿宋_GBK" w:cs="方正仿宋_GBK"/>
          <w:b/>
          <w:bCs/>
          <w:sz w:val="36"/>
          <w:szCs w:val="36"/>
        </w:rPr>
      </w:pPr>
      <w:r>
        <w:rPr>
          <w:rFonts w:hint="eastAsia" w:ascii="方正仿宋_GBK" w:hAnsi="方正仿宋_GBK" w:eastAsia="方正仿宋_GBK" w:cs="方正仿宋_GBK"/>
          <w:b/>
          <w:bCs/>
          <w:sz w:val="36"/>
          <w:szCs w:val="36"/>
        </w:rPr>
        <w:br w:type="page"/>
      </w:r>
    </w:p>
    <w:p w14:paraId="5F65E7D8">
      <w:pPr>
        <w:spacing w:line="560" w:lineRule="exact"/>
        <w:ind w:firstLine="723" w:firstLineChars="200"/>
        <w:jc w:val="center"/>
        <w:rPr>
          <w:rFonts w:ascii="方正仿宋_GBK" w:hAnsi="方正仿宋_GBK" w:eastAsia="方正仿宋_GBK" w:cs="方正仿宋_GBK"/>
          <w:b/>
          <w:bCs/>
          <w:sz w:val="36"/>
          <w:szCs w:val="36"/>
        </w:rPr>
      </w:pPr>
      <w:r>
        <w:rPr>
          <w:rFonts w:hint="eastAsia" w:ascii="宋体" w:hAnsi="宋体" w:eastAsia="宋体" w:cs="Arial"/>
          <w:b/>
          <w:bCs/>
          <w:sz w:val="36"/>
          <w:szCs w:val="36"/>
        </w:rPr>
        <w:t>项目支出绩效评价报告</w:t>
      </w:r>
    </w:p>
    <w:p w14:paraId="7FAD5122">
      <w:pPr>
        <w:spacing w:line="560" w:lineRule="exact"/>
        <w:ind w:firstLine="600" w:firstLineChars="200"/>
        <w:jc w:val="center"/>
        <w:rPr>
          <w:rFonts w:ascii="仿宋_GB2312"/>
        </w:rPr>
      </w:pPr>
      <w:r>
        <w:rPr>
          <w:rFonts w:hint="eastAsia" w:ascii="仿宋_GB2312"/>
        </w:rPr>
        <w:t>（参考提纲）</w:t>
      </w:r>
    </w:p>
    <w:p w14:paraId="7DAB2468">
      <w:pPr>
        <w:spacing w:line="560" w:lineRule="exact"/>
        <w:ind w:firstLine="600" w:firstLineChars="200"/>
        <w:jc w:val="center"/>
        <w:rPr>
          <w:rFonts w:ascii="方正仿宋_GBK" w:hAnsi="方正仿宋_GBK" w:eastAsia="方正仿宋_GBK" w:cs="方正仿宋_GBK"/>
          <w:szCs w:val="30"/>
        </w:rPr>
      </w:pPr>
    </w:p>
    <w:p w14:paraId="045A9BEF">
      <w:pPr>
        <w:pStyle w:val="2"/>
        <w:spacing w:before="0" w:after="0" w:line="560" w:lineRule="exact"/>
        <w:ind w:firstLine="643" w:firstLineChars="200"/>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100EEEBE">
      <w:pPr>
        <w:pStyle w:val="3"/>
        <w:spacing w:before="0" w:after="0" w:line="560" w:lineRule="exact"/>
        <w:ind w:firstLine="640" w:firstLineChars="200"/>
        <w:rPr>
          <w:rFonts w:ascii="方正仿宋_GBK" w:hAnsi="方正仿宋_GBK" w:eastAsia="方正仿宋_GBK" w:cs="方正仿宋_GBK"/>
          <w:b w:val="0"/>
          <w:bCs w:val="0"/>
        </w:rPr>
      </w:pPr>
      <w:bookmarkStart w:id="1" w:name="_Toc68703828"/>
      <w:r>
        <w:rPr>
          <w:rFonts w:hint="eastAsia" w:ascii="仿宋_GB2312" w:eastAsia="仿宋_GB2312"/>
          <w:b w:val="0"/>
          <w:bCs w:val="0"/>
        </w:rPr>
        <w:t>（一）项目概况。</w:t>
      </w:r>
      <w:bookmarkEnd w:id="1"/>
    </w:p>
    <w:p w14:paraId="7B54E013">
      <w:pPr>
        <w:spacing w:line="560" w:lineRule="exact"/>
        <w:ind w:firstLine="640" w:firstLineChars="200"/>
        <w:rPr>
          <w:rFonts w:ascii="仿宋_GB2312" w:hAnsiTheme="majorHAnsi" w:cstheme="majorBidi"/>
          <w:sz w:val="32"/>
          <w:szCs w:val="32"/>
        </w:rPr>
      </w:pPr>
      <w:r>
        <w:rPr>
          <w:rFonts w:hint="eastAsia" w:ascii="仿宋_GB2312" w:hAnsiTheme="majorHAnsi" w:cstheme="majorBidi"/>
          <w:sz w:val="32"/>
          <w:szCs w:val="32"/>
        </w:rPr>
        <w:t>我校新建学生宿舍1号、2号和食堂2号三栋建筑，项目建成后，改善学生生活条件，项目建成后可满足3000在校学生入住和12000名社会培训的需求。该项目购置基础设施797套其中：门禁系统共4套4、人位连体高低床210套、学生桌椅88套、宿舍楼饮水机20套、窗帘300套、四门衣柜152套、食堂排烟设备1套、天然气接口费50万元、搬迁费8万元。建设工程数量建设绿化硬化6000平方米。项目建成后，改善学生生活条件，项目建成后可满足3000在校学生入住和12000名社会培训的需求。</w:t>
      </w:r>
    </w:p>
    <w:p w14:paraId="33949B54">
      <w:pPr>
        <w:spacing w:line="560" w:lineRule="exact"/>
        <w:ind w:firstLine="600" w:firstLineChars="200"/>
        <w:rPr>
          <w:rFonts w:ascii="仿宋_GB2312"/>
        </w:rPr>
      </w:pPr>
      <w:r>
        <w:rPr>
          <w:rFonts w:hint="eastAsia" w:ascii="仿宋_GB2312"/>
        </w:rPr>
        <w:t>1.项目背景，主要内容及实施情况</w:t>
      </w:r>
    </w:p>
    <w:p w14:paraId="2785AD57">
      <w:pPr>
        <w:spacing w:line="560" w:lineRule="exact"/>
        <w:ind w:firstLine="600" w:firstLineChars="200"/>
        <w:rPr>
          <w:rFonts w:ascii="仿宋_GB2312"/>
        </w:rPr>
      </w:pPr>
      <w:r>
        <w:rPr>
          <w:rFonts w:hint="eastAsia" w:ascii="仿宋_GB2312"/>
        </w:rPr>
        <w:t>（1）项目背景</w:t>
      </w:r>
    </w:p>
    <w:p w14:paraId="36D8ED7E">
      <w:pPr>
        <w:spacing w:line="560" w:lineRule="exact"/>
        <w:ind w:firstLine="900" w:firstLineChars="300"/>
        <w:rPr>
          <w:rFonts w:ascii="仿宋_GB2312"/>
        </w:rPr>
      </w:pPr>
      <w:r>
        <w:rPr>
          <w:rFonts w:hint="eastAsia" w:ascii="仿宋_GB2312"/>
        </w:rPr>
        <w:t>巴州党委强调指出：“科技教育是富民强州的重要基础，必须坚定不移的大力推进‘科技兴州’战略。我校在这关键时期，担负起州级、自治区级职业技能培训的重任，要在全州职业教育战线发挥自身优势，尽快扩大规模和提高教育水平。目前学校在校生有3300人，其中全日制在校生人3000人，弹性学制学生300人。该项目购置基础设施797套其中：门禁系统共4套、4人位连体高低床210套、学生桌椅88套、宿舍楼饮水机20套、窗帘300套、四门衣柜152套、食堂排烟设备1套、天然气接口费50万元、搬迁费8万元。建设工程数量建设绿化硬化6000平方米。项目建成后，改善学生生活条件，项目建成后可满足3000在校学生入住和12000名社会培训的需求。</w:t>
      </w:r>
    </w:p>
    <w:p w14:paraId="2A968946">
      <w:pPr>
        <w:spacing w:line="560" w:lineRule="exact"/>
        <w:ind w:firstLine="600" w:firstLineChars="200"/>
        <w:rPr>
          <w:rFonts w:ascii="仿宋_GB2312"/>
        </w:rPr>
      </w:pPr>
      <w:r>
        <w:rPr>
          <w:rFonts w:hint="eastAsia" w:ascii="仿宋_GB2312"/>
        </w:rPr>
        <w:t>（2）主要内容及实施情况</w:t>
      </w:r>
    </w:p>
    <w:p w14:paraId="7EC5D71D">
      <w:pPr>
        <w:spacing w:line="560" w:lineRule="exact"/>
        <w:ind w:firstLine="600" w:firstLineChars="200"/>
        <w:rPr>
          <w:rFonts w:ascii="仿宋_GB2312"/>
        </w:rPr>
      </w:pPr>
      <w:r>
        <w:rPr>
          <w:rFonts w:hint="eastAsia" w:ascii="仿宋_GB2312"/>
        </w:rPr>
        <w:t>主要内容：为改善学生生活条件，项目建成后可满足3000在校学生入住和12000名社会培训的需求。该项目购置基础设施797套其中：门禁系统共4套、4人位连体高低床210套、学生桌椅88套、宿舍楼饮水机20套、窗帘300套、四门衣柜152套、食堂排烟设备1套、天然气接口费50万元、搬迁费8万元。建设工程数量建设绿化硬化</w:t>
      </w:r>
      <w:r>
        <w:rPr>
          <w:rFonts w:hint="eastAsia"/>
        </w:rPr>
        <w:t>5972.24</w:t>
      </w:r>
      <w:r>
        <w:rPr>
          <w:rFonts w:hint="eastAsia" w:ascii="仿宋_GB2312"/>
        </w:rPr>
        <w:t>平方米。项目建成后，改善学生生活条件，项目建成后可满足3000在校学生入住和12000名社会培训的需求。</w:t>
      </w:r>
    </w:p>
    <w:p w14:paraId="38B9B676">
      <w:pPr>
        <w:spacing w:line="560" w:lineRule="exact"/>
        <w:ind w:firstLine="600" w:firstLineChars="200"/>
        <w:rPr>
          <w:rFonts w:ascii="仿宋_GB2312"/>
        </w:rPr>
      </w:pPr>
      <w:r>
        <w:rPr>
          <w:rFonts w:hint="eastAsia" w:ascii="仿宋_GB2312"/>
        </w:rPr>
        <w:t>实施情况：该项目购置基础设施760套其中：4人位连体高低床210套、学生桌椅88套、窗帘300套、四门衣柜152套、食堂排烟设备10套、建设工程数量建设硬化5972.24平方米。改善学生生活条件，项目建成后实际满足了3000多名在校学生入住和12000多名社会培训的需求。</w:t>
      </w:r>
    </w:p>
    <w:p w14:paraId="7C66CC11">
      <w:pPr>
        <w:spacing w:line="560" w:lineRule="exact"/>
        <w:ind w:firstLine="600" w:firstLineChars="200"/>
        <w:rPr>
          <w:rFonts w:ascii="仿宋_GB2312"/>
        </w:rPr>
      </w:pPr>
      <w:r>
        <w:rPr>
          <w:rFonts w:hint="eastAsia" w:ascii="仿宋_GB2312"/>
        </w:rPr>
        <w:t>2.资金投入和使用情况</w:t>
      </w:r>
    </w:p>
    <w:p w14:paraId="3F241CB7">
      <w:pPr>
        <w:spacing w:line="560" w:lineRule="exact"/>
        <w:ind w:firstLine="600" w:firstLineChars="200"/>
        <w:rPr>
          <w:rFonts w:ascii="仿宋_GB2312"/>
        </w:rPr>
      </w:pPr>
      <w:r>
        <w:rPr>
          <w:rFonts w:hint="eastAsia" w:ascii="仿宋_GB2312"/>
        </w:rPr>
        <w:t>（1）资金投入情况：该项目年初预算数238.14万元，全年预算数238.14万元，实际总投入238.14万元，该项目资金已全部落实到位，资金来源为当年财政拨款。</w:t>
      </w:r>
    </w:p>
    <w:p w14:paraId="3ED6598F">
      <w:pPr>
        <w:spacing w:line="560" w:lineRule="exact"/>
        <w:ind w:firstLine="600" w:firstLineChars="200"/>
        <w:rPr>
          <w:rFonts w:ascii="仿宋_GB2312"/>
        </w:rPr>
      </w:pPr>
      <w:r>
        <w:rPr>
          <w:rFonts w:hint="eastAsia" w:ascii="仿宋_GB2312"/>
        </w:rPr>
        <w:t>（2）资金使用情况：该项目年初预算数238.14万元，全年预算数238.14万元，全年执行数234.62万元，预算执行率为98.52%。该项目购置基础设施760套，其中：4人位连体高低床210套18万元、学生桌椅88套13万元、窗帘300套</w:t>
      </w:r>
      <w:r>
        <w:rPr>
          <w:rFonts w:hint="eastAsia"/>
        </w:rPr>
        <w:t>12万元</w:t>
      </w:r>
      <w:r>
        <w:rPr>
          <w:rFonts w:hint="eastAsia" w:ascii="仿宋_GB2312"/>
        </w:rPr>
        <w:t>、四门衣柜152套11万元、食堂排烟设备10套</w:t>
      </w:r>
      <w:r>
        <w:rPr>
          <w:rFonts w:hint="eastAsia"/>
        </w:rPr>
        <w:t>16万元</w:t>
      </w:r>
      <w:r>
        <w:rPr>
          <w:rFonts w:hint="eastAsia" w:ascii="仿宋_GB2312"/>
        </w:rPr>
        <w:t>、</w:t>
      </w:r>
      <w:r>
        <w:rPr>
          <w:rFonts w:hint="eastAsia"/>
        </w:rPr>
        <w:t>天然气接口费60万元、搬迁费9万元、公开招标完成门禁系统共4套31.62万元、</w:t>
      </w:r>
      <w:r>
        <w:rPr>
          <w:rFonts w:hint="eastAsia" w:ascii="仿宋_GB2312"/>
        </w:rPr>
        <w:t>建设工程数量建设硬化</w:t>
      </w:r>
      <w:r>
        <w:rPr>
          <w:rFonts w:hint="eastAsia"/>
        </w:rPr>
        <w:t>5972.24</w:t>
      </w:r>
      <w:r>
        <w:rPr>
          <w:rFonts w:hint="eastAsia" w:ascii="仿宋_GB2312"/>
        </w:rPr>
        <w:t>平方米60万元。</w:t>
      </w:r>
    </w:p>
    <w:p w14:paraId="30AF0344">
      <w:pPr>
        <w:spacing w:line="560" w:lineRule="exact"/>
        <w:ind w:firstLine="600" w:firstLineChars="200"/>
        <w:rPr>
          <w:rFonts w:ascii="方正仿宋_GBK" w:hAnsi="方正仿宋_GBK" w:eastAsia="方正仿宋_GBK" w:cs="方正仿宋_GBK"/>
        </w:rPr>
      </w:pPr>
      <w:bookmarkStart w:id="2" w:name="_Toc68703829"/>
      <w:r>
        <w:rPr>
          <w:rFonts w:hint="eastAsia" w:ascii="仿宋_GB2312"/>
        </w:rPr>
        <w:t>（二）项目绩效目标</w:t>
      </w:r>
      <w:bookmarkEnd w:id="2"/>
      <w:r>
        <w:rPr>
          <w:rFonts w:hint="eastAsia" w:ascii="仿宋_GB2312"/>
        </w:rPr>
        <w:t>，包括总体目标和阶段性目标。</w:t>
      </w:r>
    </w:p>
    <w:p w14:paraId="66DF97F3">
      <w:pPr>
        <w:spacing w:line="560" w:lineRule="exact"/>
        <w:ind w:firstLine="600" w:firstLineChars="200"/>
      </w:pPr>
      <w:r>
        <w:rPr>
          <w:rFonts w:hint="eastAsia"/>
        </w:rPr>
        <w:t>1.总体目标：项目建成后，改善学生生活条件，项目建成后可满足3000在校学生入住和12000名社会培训的需求。该项目购置基础设施797套其中：门禁系统共4套、4人位连体高低床210套、学生桌椅88套、宿舍楼饮水机20套、窗帘300套、四门衣柜152套、食堂排烟设备1套、天然气接口费50万元、搬迁费8万元。建设工程数量建设绿化硬化</w:t>
      </w:r>
      <w:r>
        <w:rPr>
          <w:rFonts w:hint="eastAsia" w:ascii="仿宋_GB2312"/>
        </w:rPr>
        <w:t>6000</w:t>
      </w:r>
      <w:r>
        <w:rPr>
          <w:rFonts w:hint="eastAsia"/>
        </w:rPr>
        <w:t>平方米。</w:t>
      </w:r>
    </w:p>
    <w:p w14:paraId="2A5DBC12">
      <w:pPr>
        <w:spacing w:line="560" w:lineRule="exact"/>
        <w:ind w:firstLine="600" w:firstLineChars="200"/>
      </w:pPr>
      <w:r>
        <w:rPr>
          <w:rFonts w:hint="eastAsia"/>
        </w:rPr>
        <w:t>2.阶段性目标：2023年3月开始项目采购。2023年3月-10月分别通过在线询价、公开招标完成门禁系统共4套、4人位连体高低床210套、学生桌椅88套、宿舍楼饮水机20套、窗帘300套、四门衣柜152套、食堂排烟设备1套、天然气接口费、搬迁费。建设工程数量建设绿化硬化5972.24平方米。</w:t>
      </w:r>
    </w:p>
    <w:p w14:paraId="7B8BADC3">
      <w:pPr>
        <w:pStyle w:val="2"/>
        <w:spacing w:before="0" w:after="0" w:line="560" w:lineRule="exact"/>
        <w:ind w:firstLine="643" w:firstLineChars="200"/>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38E5B140">
      <w:pPr>
        <w:pStyle w:val="3"/>
        <w:spacing w:before="0" w:after="0" w:line="560" w:lineRule="exact"/>
        <w:ind w:firstLine="640" w:firstLineChars="200"/>
        <w:rPr>
          <w:rFonts w:ascii="方正仿宋_GBK" w:hAnsi="方正仿宋_GBK" w:eastAsia="方正仿宋_GBK" w:cs="方正仿宋_GBK"/>
        </w:rPr>
      </w:pPr>
      <w:bookmarkStart w:id="4" w:name="_Toc68703831"/>
      <w:r>
        <w:rPr>
          <w:rFonts w:hint="eastAsia" w:ascii="仿宋_GB2312" w:eastAsia="仿宋_GB2312"/>
          <w:b w:val="0"/>
          <w:bCs w:val="0"/>
        </w:rPr>
        <w:t>（一）绩效评价目的、对象和范围。</w:t>
      </w:r>
      <w:bookmarkEnd w:id="4"/>
    </w:p>
    <w:p w14:paraId="3E0D6CCC">
      <w:pPr>
        <w:spacing w:line="560" w:lineRule="exact"/>
        <w:ind w:firstLine="600" w:firstLineChars="200"/>
      </w:pPr>
      <w:r>
        <w:rPr>
          <w:rFonts w:hint="eastAsia"/>
        </w:rPr>
        <w:t>1.绩效评价目的：</w:t>
      </w:r>
    </w:p>
    <w:p w14:paraId="20F10997">
      <w:pPr>
        <w:spacing w:line="560" w:lineRule="exact"/>
        <w:ind w:firstLine="600" w:firstLineChars="200"/>
      </w:pPr>
      <w:r>
        <w:rPr>
          <w:rFonts w:hint="eastAsia"/>
        </w:rPr>
        <w:t>绩效评价旨在通过评价改善预算部门的财政支出管理，优化资源配置及提高公共服务水平。运用科学、规范的绩效评价方法，按照财政部《关于印发&lt;项目支出绩效评价管理办法&gt;的通知》，《关于进一步加强自治区全面实施预算绩效管理体系建设的通知》（新财预【2021】77号），对《北校区宿舍食堂建设资金》项目进行科学评价，建设资金项目预算编制合理性、资金使用合规性、项目管理的规范性、项目目标的实现情况、服务对象的满意度等，通过本次绩效评价来总结经验和教训，促进项目成果转化和应用，为今后类似项目的长效管理，提供可行性参考建议。从财政预算资金的角度提出有针对性的建议，提高对《北校区宿舍食堂建设资金》的有效利用，进一步改善我校的基本办学条件，项目预期绩效目标基本实现，基础设施建设完善。</w:t>
      </w:r>
    </w:p>
    <w:p w14:paraId="1261B488">
      <w:pPr>
        <w:spacing w:line="560" w:lineRule="exact"/>
        <w:ind w:firstLine="600" w:firstLineChars="200"/>
      </w:pPr>
      <w:r>
        <w:rPr>
          <w:rFonts w:hint="eastAsia"/>
        </w:rPr>
        <w:t>2.绩效评价对象：</w:t>
      </w:r>
    </w:p>
    <w:p w14:paraId="41AAD660">
      <w:pPr>
        <w:spacing w:line="560" w:lineRule="exact"/>
        <w:ind w:firstLine="600" w:firstLineChars="200"/>
      </w:pPr>
      <w:r>
        <w:rPr>
          <w:rFonts w:hint="eastAsia"/>
        </w:rPr>
        <w:t>北校区宿舍食堂建设资金所包含的全部项目内容。</w:t>
      </w:r>
    </w:p>
    <w:p w14:paraId="4D3C680B">
      <w:pPr>
        <w:spacing w:line="560" w:lineRule="exact"/>
        <w:ind w:firstLine="600" w:firstLineChars="200"/>
      </w:pPr>
      <w:r>
        <w:rPr>
          <w:rFonts w:hint="eastAsia"/>
        </w:rPr>
        <w:t>3.绩效评价范围：</w:t>
      </w:r>
    </w:p>
    <w:p w14:paraId="6CBC7DFC">
      <w:pPr>
        <w:spacing w:line="560" w:lineRule="exact"/>
        <w:ind w:firstLine="600" w:firstLineChars="200"/>
      </w:pPr>
      <w:bookmarkStart w:id="5" w:name="_Toc68703832"/>
      <w:r>
        <w:rPr>
          <w:rFonts w:hint="eastAsia"/>
        </w:rPr>
        <w:t>本次评价从项目决策（包括绩效目标、决策过程）、项目管理（包括项目资金、项目实施）、项目产出（包括项目产出数量、产出质量、产出时效和产出成本）项目效益四个维度进行北校区宿舍食堂建设资金评价，评价核心为专项资金的支出完成情况和效果。</w:t>
      </w:r>
    </w:p>
    <w:p w14:paraId="2D524295">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（二）绩效评价原则、评价指标体系（附表说明）、评价方法、评价标准等。</w:t>
      </w:r>
      <w:bookmarkEnd w:id="5"/>
    </w:p>
    <w:p w14:paraId="6E5D43DF">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1.绩效评价原则</w:t>
      </w:r>
    </w:p>
    <w:p w14:paraId="02B062DD">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本次项目绩效评价遵循以下基本原则：</w:t>
      </w:r>
    </w:p>
    <w:p w14:paraId="09208A9A">
      <w:pPr>
        <w:pStyle w:val="3"/>
        <w:spacing w:before="0" w:after="0" w:line="560" w:lineRule="exact"/>
        <w:ind w:firstLine="640" w:firstLineChars="200"/>
        <w:rPr>
          <w:rFonts w:ascii="方正仿宋_GBK" w:hAnsi="方正仿宋_GBK" w:eastAsia="方正仿宋_GBK" w:cs="方正仿宋_GBK"/>
        </w:rPr>
      </w:pPr>
      <w:r>
        <w:rPr>
          <w:rFonts w:hint="eastAsia" w:ascii="仿宋_GB2312" w:eastAsia="仿宋_GB2312"/>
          <w:b w:val="0"/>
          <w:bCs w:val="0"/>
        </w:rPr>
        <w:t>（一）科学公正。北校区宿舍食堂建设资金支出绩效评价运用科学合理的方法，按照规范的程序，对项目绩效进行客观、公正的反映。</w:t>
      </w:r>
      <w:r>
        <w:rPr>
          <w:rFonts w:hint="eastAsia" w:ascii="仿宋_GB2312" w:eastAsia="仿宋_GB2312"/>
          <w:b w:val="0"/>
          <w:bCs w:val="0"/>
        </w:rPr>
        <w:br w:type="textWrapping"/>
      </w:r>
      <w:r>
        <w:rPr>
          <w:rFonts w:hint="eastAsia" w:ascii="仿宋_GB2312" w:eastAsia="仿宋_GB2312"/>
          <w:b w:val="0"/>
          <w:bCs w:val="0"/>
        </w:rPr>
        <w:t>（二）统筹兼顾。北校区宿舍食堂建设资金支出绩效评价由本单位自主实施，即“谁支出、谁自评”。</w:t>
      </w:r>
      <w:r>
        <w:rPr>
          <w:rFonts w:hint="eastAsia" w:ascii="仿宋_GB2312" w:eastAsia="仿宋_GB2312"/>
          <w:b w:val="0"/>
          <w:bCs w:val="0"/>
        </w:rPr>
        <w:br w:type="textWrapping"/>
      </w:r>
      <w:r>
        <w:rPr>
          <w:rFonts w:hint="eastAsia" w:ascii="仿宋_GB2312" w:eastAsia="仿宋_GB2312"/>
          <w:b w:val="0"/>
          <w:bCs w:val="0"/>
        </w:rPr>
        <w:t>（三）激励约束。北校区宿舍食堂建设资金支出绩效评价结果与预算安排、政策调整、改进管理实质性挂钩，体现奖优罚劣和激励相容导向，有效要安排、低效要压减、无效要问责。</w:t>
      </w:r>
      <w:r>
        <w:rPr>
          <w:rFonts w:hint="eastAsia" w:ascii="仿宋_GB2312" w:eastAsia="仿宋_GB2312"/>
          <w:b w:val="0"/>
          <w:bCs w:val="0"/>
        </w:rPr>
        <w:br w:type="textWrapping"/>
      </w:r>
      <w:r>
        <w:rPr>
          <w:rFonts w:hint="eastAsia" w:ascii="仿宋_GB2312" w:eastAsia="仿宋_GB2312"/>
          <w:b w:val="0"/>
          <w:bCs w:val="0"/>
        </w:rPr>
        <w:t>（四）公开透明。北校区宿舍食堂建设资金支出绩效评价结果已依法依规公开在州人民政府门户网站上，并自觉接受社会监督。</w:t>
      </w:r>
      <w:r>
        <w:rPr>
          <w:rFonts w:hint="eastAsia" w:ascii="仿宋_GB2312" w:eastAsia="仿宋_GB2312"/>
          <w:b w:val="0"/>
          <w:bCs w:val="0"/>
        </w:rPr>
        <w:cr/>
      </w:r>
      <w:r>
        <w:rPr>
          <w:rFonts w:hint="eastAsia" w:ascii="仿宋_GB2312" w:eastAsia="仿宋_GB2312"/>
          <w:b w:val="0"/>
          <w:bCs w:val="0"/>
        </w:rPr>
        <w:t xml:space="preserve">     </w:t>
      </w:r>
      <w:r>
        <w:rPr>
          <w:rFonts w:hint="eastAsia" w:ascii="Times New Roman" w:hAnsi="Times New Roman" w:eastAsia="仿宋_GB2312" w:cs="Times New Roman"/>
          <w:b w:val="0"/>
          <w:bCs w:val="0"/>
          <w:sz w:val="30"/>
          <w:szCs w:val="24"/>
        </w:rPr>
        <w:t>2、评价指标体系（附表说明）</w:t>
      </w:r>
    </w:p>
    <w:p w14:paraId="2DA76DD6">
      <w:pPr>
        <w:spacing w:line="560" w:lineRule="exact"/>
        <w:ind w:firstLine="708" w:firstLineChars="200"/>
        <w:rPr>
          <w:rFonts w:ascii="方正仿宋_GBK" w:hAnsi="方正仿宋_GBK" w:eastAsia="方正仿宋_GBK" w:cs="方正仿宋_GBK"/>
          <w:color w:val="000000"/>
          <w:spacing w:val="17"/>
          <w:sz w:val="32"/>
          <w:szCs w:val="32"/>
        </w:rPr>
      </w:pPr>
      <w:r>
        <w:rPr>
          <w:rFonts w:hint="eastAsia"/>
          <w:color w:val="000000"/>
          <w:spacing w:val="17"/>
          <w:sz w:val="32"/>
          <w:szCs w:val="32"/>
        </w:rPr>
        <w:t>北校区宿舍食堂建设资金绩效评价框架是开展绩效评价的核心。绩效评价框架包括评价准则、关键评价问题、评价指标、数据来源、数据收集方法等。指标体系建立过程如下：</w:t>
      </w:r>
    </w:p>
    <w:p w14:paraId="5ACF8145">
      <w:pPr>
        <w:spacing w:line="560" w:lineRule="exact"/>
        <w:ind w:firstLine="708" w:firstLineChars="200"/>
        <w:rPr>
          <w:color w:val="000000"/>
          <w:spacing w:val="17"/>
          <w:sz w:val="32"/>
          <w:szCs w:val="32"/>
        </w:rPr>
      </w:pPr>
      <w:r>
        <w:rPr>
          <w:rFonts w:hint="eastAsia"/>
          <w:color w:val="000000"/>
          <w:spacing w:val="17"/>
          <w:sz w:val="32"/>
          <w:szCs w:val="32"/>
        </w:rPr>
        <w:t>（1）确定评价指标</w:t>
      </w:r>
    </w:p>
    <w:p w14:paraId="7ED262B1">
      <w:pPr>
        <w:spacing w:line="560" w:lineRule="exact"/>
        <w:ind w:firstLine="708" w:firstLineChars="200"/>
        <w:rPr>
          <w:color w:val="000000"/>
          <w:spacing w:val="17"/>
          <w:sz w:val="32"/>
          <w:szCs w:val="32"/>
        </w:rPr>
      </w:pPr>
      <w:r>
        <w:rPr>
          <w:rFonts w:hint="eastAsia"/>
          <w:color w:val="000000"/>
          <w:spacing w:val="17"/>
          <w:sz w:val="32"/>
          <w:szCs w:val="32"/>
        </w:rPr>
        <w:t>北校区宿舍食堂建设资金采用层次分析法，建立评价指标体系。绩效评价将指标分为项目决策指标、项目过程指标、项目产出指标、项目效益指标四个维度，最终形成一个由多个相互联系的指标组成的多层次指标体系。</w:t>
      </w:r>
    </w:p>
    <w:p w14:paraId="47E87119">
      <w:pPr>
        <w:spacing w:line="560" w:lineRule="exact"/>
        <w:ind w:firstLine="708" w:firstLineChars="200"/>
        <w:rPr>
          <w:color w:val="000000"/>
          <w:spacing w:val="17"/>
          <w:sz w:val="32"/>
          <w:szCs w:val="32"/>
        </w:rPr>
      </w:pPr>
      <w:r>
        <w:rPr>
          <w:rFonts w:hint="eastAsia"/>
          <w:color w:val="000000"/>
          <w:spacing w:val="17"/>
          <w:sz w:val="32"/>
          <w:szCs w:val="32"/>
        </w:rPr>
        <w:t>（2）确定权重</w:t>
      </w:r>
    </w:p>
    <w:p w14:paraId="6890F70C">
      <w:pPr>
        <w:spacing w:line="560" w:lineRule="exact"/>
        <w:ind w:firstLine="708" w:firstLineChars="200"/>
        <w:rPr>
          <w:color w:val="0000FF"/>
          <w:spacing w:val="17"/>
          <w:sz w:val="32"/>
          <w:szCs w:val="32"/>
        </w:rPr>
      </w:pPr>
      <w:r>
        <w:rPr>
          <w:rFonts w:hint="eastAsia"/>
          <w:color w:val="000000"/>
          <w:spacing w:val="17"/>
          <w:sz w:val="32"/>
          <w:szCs w:val="32"/>
        </w:rPr>
        <w:t>北校区宿舍食堂建设资金确定各个指标相对于项目总体绩效的权重分值。</w:t>
      </w:r>
      <w:r>
        <w:rPr>
          <w:color w:val="000000"/>
          <w:spacing w:val="17"/>
          <w:sz w:val="32"/>
          <w:szCs w:val="32"/>
        </w:rPr>
        <w:t>在绩效评价指标体系中，</w:t>
      </w:r>
      <w:r>
        <w:rPr>
          <w:spacing w:val="17"/>
          <w:sz w:val="32"/>
          <w:szCs w:val="32"/>
        </w:rPr>
        <w:t>项目决策权重为20分，项目过程权重为20分，项目产出权重为40分，项目效益权重为20分。</w:t>
      </w:r>
    </w:p>
    <w:p w14:paraId="0A9EC6F4">
      <w:pPr>
        <w:spacing w:line="560" w:lineRule="exact"/>
        <w:ind w:firstLine="708" w:firstLineChars="200"/>
        <w:rPr>
          <w:color w:val="000000"/>
          <w:spacing w:val="17"/>
          <w:sz w:val="32"/>
          <w:szCs w:val="32"/>
        </w:rPr>
      </w:pPr>
      <w:r>
        <w:rPr>
          <w:color w:val="000000"/>
          <w:spacing w:val="17"/>
          <w:sz w:val="32"/>
          <w:szCs w:val="32"/>
        </w:rPr>
        <w:t>（3）确定指标标准值</w:t>
      </w:r>
    </w:p>
    <w:p w14:paraId="4EC1539B">
      <w:pPr>
        <w:spacing w:line="560" w:lineRule="exact"/>
        <w:ind w:firstLine="708" w:firstLineChars="200"/>
        <w:rPr>
          <w:color w:val="000000"/>
          <w:spacing w:val="17"/>
          <w:sz w:val="32"/>
          <w:szCs w:val="32"/>
        </w:rPr>
      </w:pPr>
      <w:r>
        <w:rPr>
          <w:rFonts w:hint="eastAsia"/>
          <w:color w:val="000000"/>
          <w:spacing w:val="17"/>
          <w:sz w:val="32"/>
          <w:szCs w:val="32"/>
        </w:rPr>
        <w:t>北校区宿舍食堂建设资金</w:t>
      </w:r>
      <w:r>
        <w:rPr>
          <w:color w:val="000000"/>
          <w:spacing w:val="17"/>
          <w:sz w:val="32"/>
          <w:szCs w:val="32"/>
        </w:rPr>
        <w:t>指标标准值是绩效评价指标的尺度，既要反映同类项目的先进水平，又要符合项目的实际绩效水平。具体采用计划标准等确定此次绩效评价指标标准值。</w:t>
      </w:r>
    </w:p>
    <w:p w14:paraId="02072CE3">
      <w:pPr>
        <w:pStyle w:val="12"/>
        <w:spacing w:before="0" w:after="0" w:line="560" w:lineRule="exact"/>
        <w:ind w:firstLine="708" w:firstLineChars="200"/>
        <w:jc w:val="both"/>
        <w:rPr>
          <w:rFonts w:ascii="Times New Roman" w:hAnsi="Times New Roman" w:eastAsia="仿宋_GB2312"/>
          <w:b w:val="0"/>
          <w:bCs w:val="0"/>
          <w:color w:val="000000"/>
          <w:spacing w:val="17"/>
          <w:kern w:val="2"/>
        </w:rPr>
      </w:pPr>
      <w:r>
        <w:rPr>
          <w:rFonts w:hint="eastAsia" w:ascii="Times New Roman" w:hAnsi="Times New Roman" w:eastAsia="仿宋_GB2312"/>
          <w:b w:val="0"/>
          <w:bCs w:val="0"/>
          <w:color w:val="000000"/>
          <w:spacing w:val="17"/>
          <w:kern w:val="2"/>
        </w:rPr>
        <w:t>北校区宿舍食堂建设资金</w:t>
      </w: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1A5CBAAB">
      <w:pPr>
        <w:spacing w:line="560" w:lineRule="exact"/>
        <w:ind w:firstLine="600" w:firstLineChars="200"/>
        <w:jc w:val="left"/>
        <w:rPr>
          <w:rFonts w:ascii="方正仿宋_GBK" w:hAnsi="方正仿宋_GBK" w:eastAsia="方正仿宋_GBK" w:cs="方正仿宋_GBK"/>
        </w:rPr>
      </w:pPr>
      <w:r>
        <w:rPr>
          <w:rFonts w:hint="eastAsia"/>
        </w:rPr>
        <w:t>具体评价指标体系详情见附件1。</w:t>
      </w:r>
    </w:p>
    <w:p w14:paraId="53B78C82">
      <w:pPr>
        <w:spacing w:line="560" w:lineRule="exact"/>
        <w:ind w:firstLine="600" w:firstLineChars="200"/>
        <w:jc w:val="left"/>
      </w:pPr>
      <w:r>
        <w:rPr>
          <w:rFonts w:hint="eastAsia"/>
        </w:rPr>
        <w:t>3、评价方法</w:t>
      </w:r>
    </w:p>
    <w:p w14:paraId="1DF9F662">
      <w:pPr>
        <w:spacing w:line="560" w:lineRule="exact"/>
        <w:ind w:firstLine="708" w:firstLineChars="200"/>
        <w:jc w:val="left"/>
        <w:rPr>
          <w:color w:val="000000"/>
          <w:spacing w:val="17"/>
          <w:sz w:val="32"/>
          <w:szCs w:val="32"/>
        </w:rPr>
      </w:pPr>
      <w:r>
        <w:rPr>
          <w:rFonts w:hint="eastAsia"/>
          <w:color w:val="000000"/>
          <w:spacing w:val="17"/>
          <w:sz w:val="32"/>
          <w:szCs w:val="32"/>
        </w:rPr>
        <w:t>北校区宿舍食堂建设资金绩效评价从项目决策、项目过程、项目产出、项目效益四个维度进行评价。评价对象为项目目标实施情况，评价核心为资金的支出完成情况和项目的产出效益。</w:t>
      </w:r>
    </w:p>
    <w:p w14:paraId="46AD0BEF">
      <w:pPr>
        <w:spacing w:line="560" w:lineRule="exact"/>
        <w:ind w:firstLine="708" w:firstLineChars="200"/>
        <w:jc w:val="left"/>
        <w:rPr>
          <w:color w:val="000000"/>
          <w:spacing w:val="17"/>
          <w:sz w:val="32"/>
          <w:szCs w:val="32"/>
        </w:rPr>
      </w:pPr>
      <w:r>
        <w:rPr>
          <w:rFonts w:hint="eastAsia"/>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7C028F41">
      <w:pPr>
        <w:spacing w:line="560" w:lineRule="exact"/>
        <w:ind w:firstLine="708" w:firstLineChars="200"/>
        <w:jc w:val="left"/>
        <w:rPr>
          <w:color w:val="000000"/>
          <w:spacing w:val="17"/>
          <w:sz w:val="32"/>
          <w:szCs w:val="32"/>
        </w:rPr>
      </w:pPr>
      <w:r>
        <w:rPr>
          <w:rFonts w:hint="eastAsia"/>
          <w:color w:val="000000"/>
          <w:spacing w:val="17"/>
          <w:sz w:val="32"/>
          <w:szCs w:val="32"/>
        </w:rPr>
        <w:t>本项目绩效评价方法主要采用了比较法和因素分析法。主要原因是：北校区宿舍食堂建设资金与当年的实施效果进行比较分析，综合分析绩效目标的实现程度。对项目最终验收情况与年度绩效目标对比、预算资金执行情况等相关因素进行比较，分析得出绩效执行结果。通过综合分析影响绩效目标实现、实施效果的内部管理和外部等因素，评价绩效目标实现程度。通过对项目的开展情况、项目产出数量、成本控制、资金拨付文件及自评报告等相关资料的收集和审核，综合分析各因素对绩效目标实现的影响。</w:t>
      </w:r>
    </w:p>
    <w:p w14:paraId="684B2C06">
      <w:pPr>
        <w:spacing w:line="560" w:lineRule="exact"/>
        <w:ind w:firstLine="600" w:firstLineChars="200"/>
        <w:jc w:val="left"/>
      </w:pPr>
      <w:r>
        <w:rPr>
          <w:rFonts w:hint="eastAsia"/>
        </w:rPr>
        <w:t>4.评价标准</w:t>
      </w:r>
    </w:p>
    <w:p w14:paraId="76015A54">
      <w:pPr>
        <w:pStyle w:val="3"/>
        <w:spacing w:before="0" w:after="0" w:line="560" w:lineRule="exact"/>
        <w:ind w:firstLine="708" w:firstLineChars="200"/>
        <w:rPr>
          <w:rFonts w:ascii="Times New Roman" w:hAnsi="Times New Roman" w:eastAsia="仿宋_GB2312" w:cs="Times New Roman"/>
          <w:b w:val="0"/>
          <w:bCs w:val="0"/>
          <w:color w:val="000000"/>
          <w:spacing w:val="17"/>
        </w:rPr>
      </w:pPr>
      <w:bookmarkStart w:id="6" w:name="_Toc68703833"/>
      <w:r>
        <w:rPr>
          <w:rFonts w:hint="eastAsia" w:ascii="Times New Roman" w:hAnsi="Times New Roman" w:eastAsia="仿宋_GB2312" w:cs="Times New Roman"/>
          <w:b w:val="0"/>
          <w:bCs w:val="0"/>
          <w:color w:val="000000"/>
          <w:spacing w:val="17"/>
        </w:rPr>
        <w:t>绩效评价标准通常包括计划标准、行业标准、历史标准等，用于对绩效指标完成情况进行比较、分析、评价。本次评价主要采用了计划标准。原因是：学校根据年初预算，按预先制定的目标、计划、预算、等作为评价标准，结合上级主管部门下达的预算绩效目标计划进行评价。</w:t>
      </w:r>
    </w:p>
    <w:p w14:paraId="0431BD56">
      <w:pPr>
        <w:pStyle w:val="3"/>
        <w:spacing w:before="0" w:after="0" w:line="560" w:lineRule="exact"/>
        <w:ind w:firstLine="600" w:firstLineChars="200"/>
        <w:rPr>
          <w:rFonts w:ascii="方正仿宋_GBK" w:hAnsi="方正仿宋_GBK" w:eastAsia="方正仿宋_GBK" w:cs="方正仿宋_GBK"/>
          <w:b w:val="0"/>
          <w:bCs w:val="0"/>
        </w:rPr>
      </w:pPr>
      <w:r>
        <w:rPr>
          <w:rFonts w:hint="eastAsia" w:ascii="仿宋_GB2312" w:hAnsi="Times New Roman" w:eastAsia="仿宋_GB2312" w:cs="Times New Roman"/>
          <w:b w:val="0"/>
          <w:bCs w:val="0"/>
          <w:sz w:val="30"/>
          <w:szCs w:val="24"/>
        </w:rPr>
        <w:t>（三）绩效评价工作过程。</w:t>
      </w:r>
      <w:bookmarkEnd w:id="6"/>
    </w:p>
    <w:p w14:paraId="5E279D13">
      <w:pPr>
        <w:spacing w:line="560" w:lineRule="exact"/>
        <w:ind w:firstLine="708" w:firstLineChars="200"/>
        <w:rPr>
          <w:color w:val="000000"/>
          <w:spacing w:val="17"/>
          <w:sz w:val="32"/>
          <w:szCs w:val="32"/>
        </w:rPr>
      </w:pPr>
      <w:bookmarkStart w:id="7" w:name="_Toc68703834"/>
      <w:r>
        <w:rPr>
          <w:rFonts w:hint="eastAsia"/>
          <w:color w:val="000000"/>
          <w:spacing w:val="17"/>
          <w:sz w:val="32"/>
          <w:szCs w:val="32"/>
        </w:rPr>
        <w:t>1.前期准备。年初开始前期准备工作，成立评价小组，评价小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14:paraId="7FEAE42C">
      <w:pPr>
        <w:spacing w:line="560" w:lineRule="exact"/>
        <w:ind w:firstLine="708" w:firstLineChars="200"/>
        <w:rPr>
          <w:color w:val="000000"/>
          <w:spacing w:val="17"/>
          <w:sz w:val="32"/>
          <w:szCs w:val="32"/>
        </w:rPr>
      </w:pPr>
      <w:r>
        <w:rPr>
          <w:rFonts w:hint="eastAsia"/>
          <w:color w:val="000000"/>
          <w:spacing w:val="17"/>
          <w:sz w:val="32"/>
          <w:szCs w:val="32"/>
        </w:rPr>
        <w:t>2.组织实施。一季度制定绩效评价工作方案，具体包括项目概况、评价思路、方法手段、组织实施、进度安排等。评价工作进入实施阶段，评价组收集绩效评价相关数据资料，进行专题讨论；并与项目实施负责人沟通，了解项目的进度、管理机制等情况，分析形成初步结论。</w:t>
      </w:r>
    </w:p>
    <w:p w14:paraId="3A7D345A">
      <w:pPr>
        <w:spacing w:line="560" w:lineRule="exact"/>
        <w:ind w:firstLine="708" w:firstLineChars="200"/>
        <w:rPr>
          <w:color w:val="000000"/>
          <w:spacing w:val="17"/>
          <w:sz w:val="32"/>
          <w:szCs w:val="32"/>
        </w:rPr>
      </w:pPr>
      <w:r>
        <w:rPr>
          <w:rFonts w:hint="eastAsia"/>
          <w:color w:val="000000"/>
          <w:spacing w:val="17"/>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2A9D094D">
      <w:pPr>
        <w:spacing w:line="560" w:lineRule="exact"/>
        <w:ind w:firstLine="640" w:firstLineChars="200"/>
        <w:rPr>
          <w:rFonts w:ascii="宋体" w:hAnsi="宋体" w:eastAsia="宋体"/>
          <w:sz w:val="32"/>
          <w:szCs w:val="32"/>
        </w:rPr>
      </w:pPr>
      <w:r>
        <w:rPr>
          <w:rFonts w:hint="eastAsia" w:ascii="宋体" w:hAnsi="宋体" w:eastAsia="宋体"/>
          <w:sz w:val="32"/>
          <w:szCs w:val="32"/>
        </w:rPr>
        <w:t>三、综合评价情况及评价结论</w:t>
      </w:r>
      <w:bookmarkEnd w:id="7"/>
    </w:p>
    <w:p w14:paraId="183D8645">
      <w:pPr>
        <w:pStyle w:val="3"/>
        <w:spacing w:before="0" w:after="0" w:line="560" w:lineRule="exact"/>
        <w:ind w:firstLine="600" w:firstLineChars="200"/>
        <w:rPr>
          <w:rFonts w:ascii="仿宋_GB2312" w:hAnsi="Times New Roman" w:eastAsia="仿宋_GB2312" w:cs="Times New Roman"/>
          <w:b w:val="0"/>
          <w:bCs w:val="0"/>
          <w:sz w:val="30"/>
          <w:szCs w:val="24"/>
        </w:rPr>
      </w:pPr>
      <w:bookmarkStart w:id="8" w:name="_Toc68703835"/>
      <w:r>
        <w:rPr>
          <w:rFonts w:hint="eastAsia" w:ascii="仿宋_GB2312" w:hAnsi="Times New Roman" w:eastAsia="仿宋_GB2312" w:cs="Times New Roman"/>
          <w:b w:val="0"/>
          <w:bCs w:val="0"/>
          <w:sz w:val="30"/>
          <w:szCs w:val="24"/>
        </w:rPr>
        <w:t>（一）综合评价情况</w:t>
      </w:r>
      <w:bookmarkEnd w:id="8"/>
      <w:r>
        <w:rPr>
          <w:rFonts w:hint="eastAsia" w:ascii="仿宋_GB2312" w:hAnsi="Times New Roman" w:eastAsia="仿宋_GB2312" w:cs="Times New Roman"/>
          <w:b w:val="0"/>
          <w:bCs w:val="0"/>
          <w:sz w:val="30"/>
          <w:szCs w:val="24"/>
        </w:rPr>
        <w:t>及评价结论</w:t>
      </w:r>
    </w:p>
    <w:p w14:paraId="6B934FC6">
      <w:pPr>
        <w:spacing w:line="560" w:lineRule="exact"/>
        <w:ind w:firstLine="600" w:firstLineChars="200"/>
        <w:rPr>
          <w:color w:val="000000"/>
          <w:spacing w:val="17"/>
          <w:sz w:val="32"/>
          <w:szCs w:val="32"/>
        </w:rPr>
      </w:pPr>
      <w:r>
        <w:rPr>
          <w:rFonts w:hint="eastAsia" w:ascii="仿宋_GB2312"/>
        </w:rPr>
        <w:t>1.综合评价情况：</w:t>
      </w:r>
      <w:r>
        <w:rPr>
          <w:rFonts w:hint="eastAsia"/>
          <w:color w:val="000000"/>
          <w:spacing w:val="17"/>
          <w:sz w:val="32"/>
          <w:szCs w:val="32"/>
        </w:rPr>
        <w:t>北校区宿舍食堂建设资金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EC5CD4D">
      <w:pPr>
        <w:pStyle w:val="3"/>
        <w:spacing w:before="0" w:after="0" w:line="560" w:lineRule="exact"/>
        <w:ind w:firstLine="640" w:firstLineChars="200"/>
        <w:rPr>
          <w:rFonts w:ascii="仿宋_GB2312" w:eastAsia="仿宋_GB2312"/>
          <w:b w:val="0"/>
          <w:bCs w:val="0"/>
        </w:rPr>
      </w:pPr>
      <w:bookmarkStart w:id="9" w:name="_Toc68703836"/>
      <w:r>
        <w:rPr>
          <w:rFonts w:hint="eastAsia" w:ascii="仿宋_GB2312" w:eastAsia="仿宋_GB2312"/>
          <w:b w:val="0"/>
          <w:bCs w:val="0"/>
        </w:rPr>
        <w:t>2.评价结论</w:t>
      </w:r>
      <w:bookmarkEnd w:id="9"/>
    </w:p>
    <w:p w14:paraId="5DC4AC2D">
      <w:pPr>
        <w:spacing w:line="560" w:lineRule="exact"/>
        <w:ind w:firstLine="600" w:firstLineChars="200"/>
      </w:pPr>
      <w:r>
        <w:rPr>
          <w:rFonts w:hint="eastAsia"/>
        </w:rPr>
        <w:t>运用绩效评价组制定的评价指标体系以及财政部《项目支出绩效评价管理办法》（财预〔2020〕10号）文件的评分标准，通过数据采集、问卷调查及访谈等方式，对本项目进行客观评价，最终评分结果：总得分为93.8分，属于“优”。其中，项目决策类指标重为20分，得分为20分，得分率为100%。项目过程类指标权重为20分，得分为19.8分，得分率为99%。项目产出类指标权重为40分，得分为34分，得分率为 95%。项目效益类指标权重为20分，得分为20分，得分率为100%。</w:t>
      </w:r>
    </w:p>
    <w:p w14:paraId="48157D33">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14:paraId="03E880AB">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具体打分情况详见：附件1综合评分表。</w:t>
      </w:r>
    </w:p>
    <w:p w14:paraId="70463A30">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北校区宿舍食堂建设资金项目评价得分情况</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3F8BFBB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FA89E22">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2B5B114">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FD4E5A3">
            <w:pPr>
              <w:spacing w:line="560" w:lineRule="exact"/>
              <w:ind w:firstLine="442" w:firstLineChars="200"/>
              <w:jc w:val="center"/>
              <w:rPr>
                <w:b/>
                <w:bCs/>
                <w:color w:val="000000"/>
                <w:sz w:val="22"/>
              </w:rPr>
            </w:pPr>
            <w:r>
              <w:rPr>
                <w:rFonts w:hint="eastAsia"/>
                <w:b/>
                <w:bCs/>
                <w:color w:val="000000"/>
                <w:sz w:val="22"/>
              </w:rPr>
              <w:t>得分</w:t>
            </w:r>
          </w:p>
        </w:tc>
      </w:tr>
      <w:tr w14:paraId="79044B0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830BAF">
            <w:pPr>
              <w:spacing w:line="560" w:lineRule="exact"/>
              <w:ind w:firstLine="440" w:firstLineChars="20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15A5C8D">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7DE1858B">
            <w:pPr>
              <w:spacing w:line="560" w:lineRule="exact"/>
              <w:ind w:firstLine="440" w:firstLineChars="200"/>
              <w:jc w:val="center"/>
              <w:rPr>
                <w:color w:val="000000"/>
                <w:sz w:val="22"/>
              </w:rPr>
            </w:pPr>
            <w:r>
              <w:rPr>
                <w:rFonts w:hint="eastAsia"/>
                <w:color w:val="000000"/>
                <w:sz w:val="22"/>
              </w:rPr>
              <w:t>20</w:t>
            </w:r>
          </w:p>
        </w:tc>
      </w:tr>
      <w:tr w14:paraId="476155B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0F762B5">
            <w:pPr>
              <w:spacing w:line="560" w:lineRule="exact"/>
              <w:ind w:firstLine="440" w:firstLineChars="20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F7AF06E">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49991F0F">
            <w:pPr>
              <w:spacing w:line="560" w:lineRule="exact"/>
              <w:ind w:firstLine="440" w:firstLineChars="200"/>
              <w:jc w:val="center"/>
              <w:rPr>
                <w:color w:val="000000"/>
                <w:sz w:val="22"/>
              </w:rPr>
            </w:pPr>
            <w:r>
              <w:rPr>
                <w:rFonts w:hint="eastAsia"/>
                <w:color w:val="000000"/>
                <w:sz w:val="22"/>
              </w:rPr>
              <w:t>19.8</w:t>
            </w:r>
          </w:p>
        </w:tc>
      </w:tr>
      <w:tr w14:paraId="6449C80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65DC28">
            <w:pPr>
              <w:spacing w:line="560" w:lineRule="exact"/>
              <w:ind w:firstLine="440" w:firstLineChars="20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6B70B27">
            <w:pPr>
              <w:spacing w:line="560" w:lineRule="exact"/>
              <w:ind w:firstLine="440" w:firstLineChars="20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7A202167">
            <w:pPr>
              <w:spacing w:line="560" w:lineRule="exact"/>
              <w:ind w:firstLine="440" w:firstLineChars="200"/>
              <w:jc w:val="center"/>
              <w:rPr>
                <w:color w:val="000000"/>
                <w:sz w:val="22"/>
              </w:rPr>
            </w:pPr>
            <w:r>
              <w:rPr>
                <w:rFonts w:hint="eastAsia"/>
                <w:color w:val="000000"/>
                <w:sz w:val="22"/>
              </w:rPr>
              <w:t>34</w:t>
            </w:r>
          </w:p>
        </w:tc>
      </w:tr>
      <w:tr w14:paraId="28265FD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FD5D1B1">
            <w:pPr>
              <w:spacing w:line="560" w:lineRule="exact"/>
              <w:ind w:firstLine="440" w:firstLineChars="20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B896A57">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810BE4F">
            <w:pPr>
              <w:spacing w:line="560" w:lineRule="exact"/>
              <w:ind w:firstLine="440" w:firstLineChars="200"/>
              <w:jc w:val="center"/>
              <w:rPr>
                <w:color w:val="000000"/>
                <w:sz w:val="22"/>
              </w:rPr>
            </w:pPr>
            <w:r>
              <w:rPr>
                <w:rFonts w:hint="eastAsia"/>
                <w:color w:val="000000"/>
                <w:sz w:val="22"/>
              </w:rPr>
              <w:t>20</w:t>
            </w:r>
          </w:p>
        </w:tc>
      </w:tr>
      <w:tr w14:paraId="3C306B1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C727534">
            <w:pPr>
              <w:spacing w:line="560" w:lineRule="exact"/>
              <w:ind w:firstLine="442" w:firstLineChars="200"/>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09FD2088">
            <w:pPr>
              <w:spacing w:line="560" w:lineRule="exact"/>
              <w:ind w:firstLine="442" w:firstLineChars="200"/>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5A443C85">
            <w:pPr>
              <w:spacing w:line="560" w:lineRule="exact"/>
              <w:ind w:firstLine="442" w:firstLineChars="200"/>
              <w:jc w:val="center"/>
              <w:rPr>
                <w:b/>
                <w:bCs/>
                <w:color w:val="000000"/>
                <w:sz w:val="22"/>
              </w:rPr>
            </w:pPr>
            <w:r>
              <w:rPr>
                <w:rFonts w:hint="eastAsia"/>
                <w:b/>
                <w:bCs/>
                <w:color w:val="000000"/>
                <w:sz w:val="22"/>
              </w:rPr>
              <w:t>93.8</w:t>
            </w:r>
          </w:p>
        </w:tc>
      </w:tr>
    </w:tbl>
    <w:p w14:paraId="077291DC">
      <w:pPr>
        <w:pStyle w:val="12"/>
        <w:spacing w:before="0" w:after="0" w:line="560" w:lineRule="exact"/>
        <w:jc w:val="both"/>
        <w:rPr>
          <w:rFonts w:ascii="方正仿宋_GBK" w:hAnsi="方正仿宋_GBK" w:eastAsia="方正仿宋_GBK" w:cs="方正仿宋_GBK"/>
        </w:rPr>
      </w:pPr>
    </w:p>
    <w:p w14:paraId="6A9BD7B8">
      <w:pPr>
        <w:pStyle w:val="2"/>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6A571B0F">
      <w:pPr>
        <w:pStyle w:val="3"/>
        <w:spacing w:before="0" w:after="0" w:line="560" w:lineRule="exact"/>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66AD95F1">
      <w:pPr>
        <w:spacing w:line="560" w:lineRule="exact"/>
        <w:ind w:firstLine="600" w:firstLineChars="200"/>
        <w:jc w:val="left"/>
      </w:pPr>
      <w:r>
        <w:rPr>
          <w:rFonts w:hint="eastAsia"/>
        </w:rPr>
        <w:t>1.立项依据充分性</w:t>
      </w:r>
    </w:p>
    <w:p w14:paraId="23B0EBBE">
      <w:pPr>
        <w:spacing w:line="560" w:lineRule="exact"/>
        <w:ind w:firstLine="600" w:firstLineChars="200"/>
        <w:jc w:val="left"/>
      </w:pPr>
      <w:r>
        <w:rPr>
          <w:rFonts w:hint="eastAsia"/>
        </w:rPr>
        <w:t>项目立项依据《教育部等七部门关于进一步较强职业教育工作的若干意见》（新职成【2004】12号）、自治区教育厅《关于做好自治区“十三五”院校设置有关工作的通知》（新教传〔2017〕76号）、《巴音郭楞蒙古自治州教育事业发展“十三五”规划》符合国家法律法规、国民经济发展规划和相关政策；符合行业发展规划和政策要求与部门职责范围相符，属于部门履职所需也属于公共财政支持范围，同时符合中央、地方事权支出责任划分原则。该项目用于完善基础设施和购置设备一批计797套，共使用资金170.62万元，绿化硬化面积共5972.24平方米共使用资金64万元。</w:t>
      </w:r>
    </w:p>
    <w:p w14:paraId="2BD5095B">
      <w:pPr>
        <w:spacing w:line="560" w:lineRule="exact"/>
        <w:ind w:firstLine="600" w:firstLineChars="200"/>
        <w:jc w:val="left"/>
        <w:rPr>
          <w:color w:val="auto"/>
        </w:rPr>
      </w:pPr>
      <w:r>
        <w:rPr>
          <w:rFonts w:hint="eastAsia"/>
          <w:color w:val="auto"/>
        </w:rPr>
        <w:t>此项权重分3分，得分3分。</w:t>
      </w:r>
    </w:p>
    <w:p w14:paraId="2409E97C">
      <w:pPr>
        <w:spacing w:line="560" w:lineRule="exact"/>
        <w:ind w:firstLine="600" w:firstLineChars="200"/>
        <w:jc w:val="left"/>
      </w:pPr>
      <w:r>
        <w:rPr>
          <w:rFonts w:hint="eastAsia"/>
        </w:rPr>
        <w:t>2.立项程序规范性</w:t>
      </w:r>
    </w:p>
    <w:p w14:paraId="54AE1762">
      <w:pPr>
        <w:spacing w:line="560" w:lineRule="exact"/>
        <w:ind w:firstLine="600" w:firstLineChars="200"/>
        <w:jc w:val="left"/>
      </w:pPr>
      <w:r>
        <w:rPr>
          <w:rFonts w:hint="eastAsia"/>
        </w:rPr>
        <w:t>北校区宿舍食堂建设资金按照规定的程序申请设立，审批文件、材料符合相关要求，事前已经过必要的可行性研究、专家论证、风险评估、绩效评估、集体决策。</w:t>
      </w:r>
    </w:p>
    <w:p w14:paraId="3521904B">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此项权重分3分，得分3分。</w:t>
      </w:r>
    </w:p>
    <w:p w14:paraId="7D5F9FB4">
      <w:pPr>
        <w:spacing w:line="560" w:lineRule="exact"/>
        <w:ind w:firstLine="600" w:firstLineChars="200"/>
        <w:jc w:val="left"/>
      </w:pPr>
      <w:r>
        <w:rPr>
          <w:rFonts w:hint="eastAsia"/>
        </w:rPr>
        <w:t>3.绩效目标合理性</w:t>
      </w:r>
    </w:p>
    <w:p w14:paraId="0141E76A">
      <w:pPr>
        <w:spacing w:line="560" w:lineRule="exact"/>
        <w:ind w:firstLine="600" w:firstLineChars="200"/>
        <w:jc w:val="left"/>
      </w:pPr>
      <w:r>
        <w:rPr>
          <w:rFonts w:hint="eastAsia"/>
        </w:rPr>
        <w:t>北校区宿舍食堂建设资金设立了项目绩效目标，与建设学生宿舍1#楼、学生宿舍2#楼、学生食堂2#楼具有相关性，项目的预期产出效益和效果也均能符合正常的业绩水平，并且与预算确定的项目资金量相匹配。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F410886">
      <w:pPr>
        <w:pStyle w:val="12"/>
        <w:ind w:firstLine="600" w:firstLineChars="200"/>
        <w:jc w:val="left"/>
      </w:pPr>
      <w:r>
        <w:rPr>
          <w:rFonts w:hint="eastAsia" w:ascii="Times New Roman" w:hAnsi="Times New Roman" w:eastAsia="仿宋_GB2312"/>
          <w:b w:val="0"/>
          <w:bCs w:val="0"/>
          <w:kern w:val="2"/>
          <w:sz w:val="30"/>
          <w:szCs w:val="24"/>
        </w:rPr>
        <w:t>此项权重分3分，得分3分。</w:t>
      </w:r>
    </w:p>
    <w:p w14:paraId="0C997B79">
      <w:pPr>
        <w:spacing w:line="560" w:lineRule="exact"/>
        <w:ind w:firstLine="600" w:firstLineChars="200"/>
        <w:jc w:val="left"/>
      </w:pPr>
      <w:r>
        <w:rPr>
          <w:rFonts w:hint="eastAsia"/>
        </w:rPr>
        <w:t>4.绩效指标明确性</w:t>
      </w:r>
    </w:p>
    <w:p w14:paraId="2E8994A7">
      <w:pPr>
        <w:spacing w:line="560" w:lineRule="exact"/>
        <w:ind w:firstLine="600" w:firstLineChars="200"/>
        <w:jc w:val="left"/>
      </w:pPr>
      <w:r>
        <w:rPr>
          <w:rFonts w:hint="eastAsia"/>
        </w:rPr>
        <w:t>北校区宿舍食堂建设资金将项目绩效目标细化分解为具体的绩效指标，一级指标共4条，二级指标共7条，三级指标共19条，其中量化指标条数共18条，所有绩效指标均通过清晰、可衡量的指标值予以体现，并且做到了与项目目标任务数或计划数相对应。</w:t>
      </w:r>
    </w:p>
    <w:p w14:paraId="01061C3E">
      <w:pPr>
        <w:pStyle w:val="12"/>
        <w:ind w:firstLine="600" w:firstLineChars="200"/>
        <w:jc w:val="left"/>
      </w:pPr>
      <w:r>
        <w:rPr>
          <w:rFonts w:hint="eastAsia" w:ascii="Times New Roman" w:hAnsi="Times New Roman" w:eastAsia="仿宋_GB2312"/>
          <w:b w:val="0"/>
          <w:bCs w:val="0"/>
          <w:kern w:val="2"/>
          <w:sz w:val="30"/>
          <w:szCs w:val="24"/>
        </w:rPr>
        <w:t>此项权重分3分，得分3分。</w:t>
      </w:r>
    </w:p>
    <w:p w14:paraId="10BC3C4D">
      <w:pPr>
        <w:spacing w:line="560" w:lineRule="exact"/>
        <w:ind w:firstLine="600" w:firstLineChars="200"/>
        <w:jc w:val="left"/>
      </w:pPr>
      <w:r>
        <w:rPr>
          <w:rFonts w:hint="eastAsia"/>
        </w:rPr>
        <w:t>5.预算编制科学性</w:t>
      </w:r>
    </w:p>
    <w:p w14:paraId="27B9F880">
      <w:pPr>
        <w:spacing w:line="560" w:lineRule="exact"/>
        <w:ind w:firstLine="600" w:firstLineChars="200"/>
        <w:jc w:val="left"/>
      </w:pPr>
      <w:r>
        <w:rPr>
          <w:rFonts w:hint="eastAsia"/>
        </w:rPr>
        <w:t>预算编制经过科学论证，内容与项目内容相匹配，预算额度测算依据充分，按照标准编制；预算确定的项目投资额或资金量与工作任务相匹配。</w:t>
      </w:r>
    </w:p>
    <w:p w14:paraId="32055CF6">
      <w:pPr>
        <w:spacing w:line="560" w:lineRule="exact"/>
        <w:ind w:firstLine="600" w:firstLineChars="200"/>
        <w:jc w:val="left"/>
      </w:pPr>
      <w:r>
        <w:rPr>
          <w:rFonts w:hint="eastAsia"/>
        </w:rPr>
        <w:t>此项权重分4分，得分4分。</w:t>
      </w:r>
    </w:p>
    <w:p w14:paraId="55A9EC75">
      <w:pPr>
        <w:spacing w:line="560" w:lineRule="exact"/>
        <w:ind w:firstLine="600" w:firstLineChars="200"/>
        <w:jc w:val="left"/>
      </w:pPr>
      <w:r>
        <w:rPr>
          <w:rFonts w:hint="eastAsia"/>
        </w:rPr>
        <w:t>6.资金分配合理性</w:t>
      </w:r>
    </w:p>
    <w:p w14:paraId="1F93474F">
      <w:pPr>
        <w:spacing w:line="560" w:lineRule="exact"/>
        <w:ind w:firstLine="600" w:firstLineChars="200"/>
        <w:jc w:val="left"/>
        <w:rPr>
          <w:color w:val="auto"/>
        </w:rPr>
      </w:pPr>
      <w:r>
        <w:rPr>
          <w:rFonts w:hint="eastAsia"/>
        </w:rPr>
        <w:t>预算资金分配依据充分，资金额度合理分配，与项目实际相适</w:t>
      </w:r>
      <w:r>
        <w:rPr>
          <w:rFonts w:hint="eastAsia"/>
          <w:color w:val="auto"/>
        </w:rPr>
        <w:t>应。</w:t>
      </w:r>
    </w:p>
    <w:p w14:paraId="31396E84">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571DFCE6">
      <w:pPr>
        <w:pStyle w:val="3"/>
        <w:spacing w:before="0" w:after="0" w:line="560" w:lineRule="exact"/>
        <w:ind w:firstLine="640" w:firstLineChars="200"/>
        <w:rPr>
          <w:rFonts w:ascii="仿宋_GB2312" w:eastAsia="仿宋_GB2312"/>
          <w:b w:val="0"/>
          <w:bCs w:val="0"/>
          <w:color w:val="auto"/>
        </w:rPr>
      </w:pPr>
      <w:bookmarkStart w:id="12" w:name="_Toc68703839"/>
      <w:r>
        <w:rPr>
          <w:rFonts w:hint="eastAsia" w:ascii="仿宋_GB2312" w:eastAsia="仿宋_GB2312"/>
          <w:b w:val="0"/>
          <w:bCs w:val="0"/>
          <w:color w:val="auto"/>
        </w:rPr>
        <w:t>（二）项目过程情况。</w:t>
      </w:r>
      <w:bookmarkEnd w:id="12"/>
    </w:p>
    <w:p w14:paraId="6440B2C1">
      <w:pPr>
        <w:spacing w:line="560" w:lineRule="exact"/>
        <w:ind w:firstLine="600" w:firstLineChars="200"/>
        <w:jc w:val="left"/>
        <w:rPr>
          <w:color w:val="auto"/>
        </w:rPr>
      </w:pPr>
      <w:r>
        <w:rPr>
          <w:rFonts w:hint="eastAsia"/>
          <w:color w:val="auto"/>
        </w:rPr>
        <w:t>1.资金到位率：</w:t>
      </w:r>
    </w:p>
    <w:p w14:paraId="067BE850">
      <w:pPr>
        <w:spacing w:line="560" w:lineRule="exact"/>
        <w:ind w:firstLine="600" w:firstLineChars="200"/>
        <w:jc w:val="left"/>
        <w:rPr>
          <w:color w:val="auto"/>
        </w:rPr>
      </w:pPr>
      <w:r>
        <w:rPr>
          <w:rFonts w:hint="eastAsia"/>
          <w:color w:val="auto"/>
        </w:rPr>
        <w:t>预算资金238.14万元，实际到位资金238.14万元，资金到位率100%。</w:t>
      </w:r>
    </w:p>
    <w:p w14:paraId="0EC9BD13">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6D45770A">
      <w:pPr>
        <w:spacing w:line="560" w:lineRule="exact"/>
        <w:ind w:firstLine="600" w:firstLineChars="200"/>
        <w:jc w:val="left"/>
        <w:rPr>
          <w:color w:val="auto"/>
        </w:rPr>
      </w:pPr>
      <w:r>
        <w:rPr>
          <w:rFonts w:hint="eastAsia"/>
          <w:color w:val="auto"/>
        </w:rPr>
        <w:t>2.预算执行率</w:t>
      </w:r>
    </w:p>
    <w:p w14:paraId="62DBEE7C">
      <w:pPr>
        <w:spacing w:line="560" w:lineRule="exact"/>
        <w:ind w:firstLine="600" w:firstLineChars="200"/>
        <w:jc w:val="left"/>
        <w:rPr>
          <w:color w:val="auto"/>
        </w:rPr>
      </w:pPr>
      <w:r>
        <w:rPr>
          <w:rFonts w:hint="eastAsia"/>
          <w:color w:val="auto"/>
        </w:rPr>
        <w:t>年初预算数238.14万元，全年预算数238.14万元，全年执行数234.62万元，预算执行率为98.52%</w:t>
      </w:r>
    </w:p>
    <w:p w14:paraId="239DB812">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此项权重分4分，得分3.8分。</w:t>
      </w:r>
    </w:p>
    <w:p w14:paraId="6555B7B7">
      <w:pPr>
        <w:spacing w:line="560" w:lineRule="exact"/>
        <w:ind w:firstLine="600" w:firstLineChars="200"/>
        <w:jc w:val="left"/>
        <w:rPr>
          <w:color w:val="auto"/>
        </w:rPr>
      </w:pPr>
      <w:r>
        <w:rPr>
          <w:rFonts w:hint="eastAsia"/>
          <w:color w:val="auto"/>
        </w:rPr>
        <w:t>3.资金使用合规性</w:t>
      </w:r>
    </w:p>
    <w:p w14:paraId="0D7B6662">
      <w:pPr>
        <w:pStyle w:val="12"/>
        <w:spacing w:before="0" w:after="0" w:line="560" w:lineRule="exact"/>
        <w:ind w:firstLine="600" w:firstLineChars="200"/>
        <w:jc w:val="both"/>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kern w:val="2"/>
          <w:sz w:val="30"/>
          <w:szCs w:val="24"/>
        </w:rPr>
        <w:t>北校区宿舍食堂建设资金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w:t>
      </w:r>
      <w:r>
        <w:rPr>
          <w:rFonts w:hint="eastAsia" w:ascii="Times New Roman" w:hAnsi="Times New Roman" w:eastAsia="仿宋_GB2312"/>
          <w:b w:val="0"/>
          <w:bCs w:val="0"/>
          <w:color w:val="auto"/>
          <w:kern w:val="2"/>
          <w:sz w:val="30"/>
          <w:szCs w:val="24"/>
        </w:rPr>
        <w:t>虚列支出等情况。</w:t>
      </w:r>
    </w:p>
    <w:p w14:paraId="6ACAFCFB">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03ED1CC7">
      <w:pPr>
        <w:spacing w:line="560" w:lineRule="exact"/>
        <w:ind w:firstLine="600" w:firstLineChars="200"/>
        <w:jc w:val="left"/>
        <w:rPr>
          <w:color w:val="auto"/>
        </w:rPr>
      </w:pPr>
      <w:r>
        <w:rPr>
          <w:rFonts w:hint="eastAsia"/>
          <w:color w:val="auto"/>
        </w:rPr>
        <w:t>4.管理制度健全性</w:t>
      </w:r>
    </w:p>
    <w:p w14:paraId="70C383A6">
      <w:pPr>
        <w:spacing w:line="560" w:lineRule="exact"/>
        <w:ind w:firstLine="600" w:firstLineChars="200"/>
        <w:jc w:val="left"/>
        <w:rPr>
          <w:color w:val="auto"/>
        </w:rPr>
      </w:pPr>
      <w:r>
        <w:rPr>
          <w:rFonts w:hint="eastAsia"/>
          <w:color w:val="auto"/>
        </w:rPr>
        <w:t>北校区宿舍食堂建设资金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4FD6345">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2C00FF7E">
      <w:pPr>
        <w:spacing w:line="560" w:lineRule="exact"/>
        <w:ind w:firstLine="600" w:firstLineChars="200"/>
        <w:jc w:val="left"/>
        <w:rPr>
          <w:color w:val="auto"/>
        </w:rPr>
      </w:pPr>
      <w:r>
        <w:rPr>
          <w:rFonts w:hint="eastAsia"/>
          <w:color w:val="auto"/>
        </w:rPr>
        <w:t>5.制度执行有效性</w:t>
      </w:r>
    </w:p>
    <w:p w14:paraId="64C09A7F">
      <w:pPr>
        <w:spacing w:line="560" w:lineRule="exact"/>
        <w:ind w:firstLine="600" w:firstLineChars="200"/>
        <w:jc w:val="left"/>
        <w:rPr>
          <w:color w:val="auto"/>
        </w:rPr>
      </w:pPr>
      <w:r>
        <w:rPr>
          <w:rFonts w:hint="eastAsia"/>
          <w:color w:val="auto"/>
        </w:rPr>
        <w:t>北校区宿舍食堂建设资金遵守相关法律法规和相关管理规定，项目调整及支出调整手续完备，项目合同书、验收报告、技术鉴定等资料齐全并及时归档；项目实施的人员条件、场地设备、信息支撑等落实到位。</w:t>
      </w:r>
    </w:p>
    <w:p w14:paraId="25FC7A26">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43C6AABB">
      <w:pPr>
        <w:spacing w:line="560" w:lineRule="exact"/>
        <w:ind w:firstLine="600" w:firstLineChars="200"/>
        <w:rPr>
          <w:rFonts w:ascii="仿宋_GB2312"/>
        </w:rPr>
      </w:pPr>
      <w:bookmarkStart w:id="13" w:name="_Toc68703840"/>
      <w:r>
        <w:rPr>
          <w:rFonts w:hint="eastAsia" w:ascii="仿宋_GB2312"/>
        </w:rPr>
        <w:t>（三）项目产出情况。</w:t>
      </w:r>
      <w:bookmarkEnd w:id="13"/>
    </w:p>
    <w:p w14:paraId="5EBA787F">
      <w:pPr>
        <w:spacing w:line="560" w:lineRule="exact"/>
        <w:ind w:firstLine="600" w:firstLineChars="200"/>
      </w:pPr>
      <w:r>
        <w:rPr>
          <w:rFonts w:hint="eastAsia"/>
        </w:rPr>
        <w:t>1.数量指标完成情况：指标1：购置基础设施，指标值：=797套，实际完成值760套，指标完成率95.36%。偏差原因：因受财力影响，导致未完成目标。整改措施：积极对接财政拨付资金争取完成购置基础设施。指标2：绿化硬化工程量，指标值：&gt;=6000平方米，实际完成值5972.24平方米，指标完成率99.54%，偏差原因：2023年我单位通过实施该项目，最后硬化工程与年初预算面积存在误差，该工程未出现设计变更。整改措施：在项目实施过程中综合考量影响项目实施的原因，及时做出调整。指标3：绿化硬化工程数量，指标值：&gt;=1个，实际完成值1个，指标完成率100%。</w:t>
      </w:r>
    </w:p>
    <w:p w14:paraId="277570FE">
      <w:pPr>
        <w:spacing w:line="560" w:lineRule="exact"/>
        <w:ind w:firstLine="600" w:firstLineChars="200"/>
      </w:pPr>
      <w:r>
        <w:rPr>
          <w:rFonts w:hint="eastAsia"/>
        </w:rPr>
        <w:t>此项权重分10分，得分8分。</w:t>
      </w:r>
    </w:p>
    <w:p w14:paraId="09EEFCAB">
      <w:pPr>
        <w:numPr>
          <w:ilvl w:val="0"/>
          <w:numId w:val="1"/>
        </w:numPr>
        <w:spacing w:line="560" w:lineRule="exact"/>
        <w:ind w:firstLine="600" w:firstLineChars="200"/>
      </w:pPr>
      <w:r>
        <w:rPr>
          <w:rFonts w:hint="eastAsia"/>
        </w:rPr>
        <w:t>质量指标完成情况：指标1：购置设施设备质量合格率，指标值&gt;=90%，实际完成值100%，完成率100%。指标2：基础设备验收合格率指标值&gt;=90%，实际完成值100%，完成率111.11%。指标3；项目设计变更率，指标值&lt;=5%，实际完成值100%，完成率100%。指标4；竣工验收合格率，指标值&gt;=95%，实际完成值100%，完成率105.26%。指标5；政府采购率指标，指标值&gt;=95%，实际完成值100%，完成率105.26%。</w:t>
      </w:r>
    </w:p>
    <w:p w14:paraId="7BDED59A">
      <w:pPr>
        <w:spacing w:line="560" w:lineRule="exact"/>
        <w:ind w:firstLine="600" w:firstLineChars="200"/>
      </w:pPr>
      <w:r>
        <w:rPr>
          <w:rFonts w:hint="eastAsia"/>
        </w:rPr>
        <w:t>此项权重分10分，得分10分。</w:t>
      </w:r>
      <w:r>
        <w:rPr>
          <w:rFonts w:hint="eastAsia"/>
        </w:rPr>
        <w:br w:type="textWrapping"/>
      </w:r>
      <w:r>
        <w:rPr>
          <w:rFonts w:hint="eastAsia"/>
        </w:rPr>
        <w:t xml:space="preserve">    3.时效指标完成情况：指标1：基础设施购置及时率指标，指标值&gt;=95%，实际完成值95%，完成率100%。指标2：项目按计划开工率指标，指标值&gt;=95%，实际完成值95%，完成率100%。指标3：项目按计划完工率，指标值&gt;=95%，实际完成值95%，完成率100%。</w:t>
      </w:r>
    </w:p>
    <w:p w14:paraId="0A83FF65">
      <w:pPr>
        <w:spacing w:line="560" w:lineRule="exact"/>
        <w:ind w:firstLine="600" w:firstLineChars="200"/>
      </w:pPr>
      <w:r>
        <w:rPr>
          <w:rFonts w:hint="eastAsia"/>
        </w:rPr>
        <w:t>此项权重分10分，得分10分。</w:t>
      </w:r>
    </w:p>
    <w:p w14:paraId="12FDB54C">
      <w:pPr>
        <w:spacing w:line="560" w:lineRule="exact"/>
        <w:ind w:firstLine="600" w:firstLineChars="200"/>
      </w:pPr>
      <w:r>
        <w:rPr>
          <w:rFonts w:hint="eastAsia"/>
        </w:rPr>
        <w:t>4.经济成本指标完成情况：指标1：购置设备成本，指标值&lt;=178.14万元，实际完成值170.26万元，完成率95.58%，偏差原因：设备采用政府采购程序执行，在3家供货商家中挑选出价格最低的商家。节约了资金，年底财政收回。指标2：硬化绿化成本，指标值&lt;=60万元，实际完成值64.36万元，完成率0%，整改措施：在项目实施过程中综合考量影响项目实施的原因，及时做出调整成本。</w:t>
      </w:r>
    </w:p>
    <w:p w14:paraId="2354843F">
      <w:pPr>
        <w:spacing w:line="560" w:lineRule="exact"/>
        <w:ind w:firstLine="600" w:firstLineChars="200"/>
      </w:pPr>
      <w:r>
        <w:rPr>
          <w:rFonts w:hint="eastAsia"/>
        </w:rPr>
        <w:t>此项权重分10分，得分6分。</w:t>
      </w:r>
    </w:p>
    <w:p w14:paraId="089B5306">
      <w:pPr>
        <w:pStyle w:val="13"/>
        <w:numPr>
          <w:ilvl w:val="0"/>
          <w:numId w:val="2"/>
        </w:numPr>
      </w:pPr>
      <w:r>
        <w:rPr>
          <w:rFonts w:hint="eastAsia"/>
        </w:rPr>
        <w:t>项目效益情况</w:t>
      </w:r>
    </w:p>
    <w:p w14:paraId="1F6A4C43">
      <w:pPr>
        <w:pStyle w:val="5"/>
        <w:numPr>
          <w:ilvl w:val="0"/>
          <w:numId w:val="3"/>
        </w:numPr>
        <w:spacing w:line="360" w:lineRule="auto"/>
        <w:rPr>
          <w:rFonts w:ascii="Times New Roman" w:hAnsi="Times New Roman" w:eastAsia="仿宋_GB2312" w:cs="Times New Roman"/>
        </w:rPr>
      </w:pPr>
      <w:r>
        <w:rPr>
          <w:rFonts w:hint="eastAsia" w:ascii="Times New Roman" w:hAnsi="Times New Roman" w:eastAsia="仿宋_GB2312" w:cs="Times New Roman"/>
        </w:rPr>
        <w:t>社会效益指标完成情况：指标1：办学条件，指标值：有所改善，实际完成值：达成目标，指标完成率100%。指标2：正常运转率，指标值：=100%，实际完成值： 100%，指标完成率100%。指标3：项目受益人数，指标值：&gt;=15000人，实际完成值： 15000人，指标完成率100%。</w:t>
      </w:r>
    </w:p>
    <w:p w14:paraId="01073A36">
      <w:pPr>
        <w:spacing w:line="600" w:lineRule="exact"/>
        <w:ind w:firstLine="640" w:firstLineChars="200"/>
        <w:outlineLvl w:val="0"/>
        <w:rPr>
          <w:rFonts w:eastAsia="宋体"/>
          <w:sz w:val="21"/>
        </w:rPr>
      </w:pPr>
      <w:r>
        <w:rPr>
          <w:rFonts w:hint="eastAsia" w:ascii="仿宋_GB2312" w:hAnsi="仿宋_GB2312" w:cs="仿宋_GB2312"/>
          <w:sz w:val="32"/>
          <w:szCs w:val="32"/>
        </w:rPr>
        <w:t>此</w:t>
      </w:r>
      <w:r>
        <w:rPr>
          <w:rFonts w:hint="eastAsia"/>
        </w:rPr>
        <w:t>项权重分10分，得分1</w:t>
      </w:r>
      <w:r>
        <w:rPr>
          <w:rFonts w:hint="eastAsia" w:ascii="仿宋_GB2312" w:hAnsi="仿宋_GB2312" w:cs="仿宋_GB2312"/>
          <w:sz w:val="32"/>
          <w:szCs w:val="32"/>
        </w:rPr>
        <w:t>0分。</w:t>
      </w:r>
    </w:p>
    <w:p w14:paraId="0344D0D1">
      <w:pPr>
        <w:pStyle w:val="12"/>
        <w:spacing w:before="0" w:after="0" w:line="560" w:lineRule="exact"/>
        <w:ind w:firstLine="600" w:firstLineChars="200"/>
        <w:jc w:val="both"/>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2.满意度指标标完成情况：指标1：学生满意度，指标值&gt;=95%，实际完成值95%，完成率100%。2：教师的满意度，指标值&gt;=95%，实际完成值95%，完成率100%。</w:t>
      </w:r>
    </w:p>
    <w:p w14:paraId="7E2418B1">
      <w:pPr>
        <w:spacing w:line="560" w:lineRule="exact"/>
        <w:ind w:firstLine="600" w:firstLineChars="200"/>
      </w:pPr>
      <w:r>
        <w:rPr>
          <w:rFonts w:hint="eastAsia"/>
        </w:rPr>
        <w:t>此项权重分10分，得分10分。</w:t>
      </w:r>
    </w:p>
    <w:p w14:paraId="0626B2FC">
      <w:pPr>
        <w:spacing w:line="560" w:lineRule="exact"/>
        <w:ind w:firstLine="602" w:firstLineChars="200"/>
        <w:rPr>
          <w:lang w:eastAsia="zh-Hans"/>
        </w:rPr>
      </w:pPr>
      <w:bookmarkStart w:id="14" w:name="_Toc68703842"/>
      <w:r>
        <w:rPr>
          <w:rFonts w:hint="eastAsia"/>
          <w:b/>
          <w:bCs/>
          <w:lang w:eastAsia="zh-Hans"/>
        </w:rPr>
        <w:t>五、预算执行进度与绩效指标总体完成率偏差</w:t>
      </w:r>
    </w:p>
    <w:p w14:paraId="1388194D">
      <w:pPr>
        <w:pStyle w:val="24"/>
        <w:spacing w:line="560" w:lineRule="exact"/>
        <w:ind w:firstLine="600" w:firstLineChars="200"/>
        <w:rPr>
          <w:kern w:val="2"/>
          <w:szCs w:val="24"/>
        </w:rPr>
      </w:pPr>
      <w:r>
        <w:rPr>
          <w:rFonts w:hint="eastAsia"/>
        </w:rPr>
        <w:t>北校区宿舍食堂建设资金</w:t>
      </w:r>
      <w:r>
        <w:rPr>
          <w:rFonts w:hint="eastAsia"/>
          <w:kern w:val="2"/>
          <w:szCs w:val="24"/>
        </w:rPr>
        <w:t>项目年初预算238.14万元，全年预算238.14万元，实际支出234.62万元，预算执行率为98.52%，项目绩效指标总体完成率为95.96%，</w:t>
      </w:r>
      <w:r>
        <w:rPr>
          <w:rFonts w:hint="eastAsia"/>
          <w:kern w:val="2"/>
          <w:szCs w:val="24"/>
          <w:lang w:eastAsia="zh-Hans"/>
        </w:rPr>
        <w:t>总体</w:t>
      </w:r>
      <w:r>
        <w:rPr>
          <w:rFonts w:hint="eastAsia"/>
          <w:kern w:val="2"/>
          <w:szCs w:val="24"/>
        </w:rPr>
        <w:t>偏差率为2.56%。偏差原因：设备采用政府采购程序执行，在3家供货商家中挑选出价格最低的商家。节约了资金，年底财政收回。改进措施：1、在项目实施过程中综合考量影响项目实施的原因，及时做出调整成本；2、在项目实施过程中综合考量影响项目实施的原因，及时做出调整。</w:t>
      </w:r>
    </w:p>
    <w:p w14:paraId="55755DF0">
      <w:pPr>
        <w:numPr>
          <w:ilvl w:val="0"/>
          <w:numId w:val="4"/>
        </w:numPr>
        <w:spacing w:line="540" w:lineRule="exact"/>
        <w:ind w:firstLine="567"/>
        <w:rPr>
          <w:rFonts w:ascii="宋体" w:hAnsi="宋体" w:eastAsia="宋体"/>
          <w:b/>
          <w:bCs/>
          <w:sz w:val="32"/>
          <w:szCs w:val="32"/>
        </w:rPr>
      </w:pPr>
      <w:r>
        <w:rPr>
          <w:rFonts w:hint="eastAsia" w:ascii="宋体" w:hAnsi="宋体" w:eastAsia="宋体"/>
          <w:b/>
          <w:bCs/>
          <w:sz w:val="32"/>
          <w:szCs w:val="32"/>
        </w:rPr>
        <w:t>主要经验及做法、存在的问题及原因分析</w:t>
      </w:r>
      <w:bookmarkEnd w:id="14"/>
      <w:bookmarkStart w:id="15" w:name="_Toc68703843"/>
    </w:p>
    <w:p w14:paraId="14CC4B43">
      <w:pPr>
        <w:spacing w:line="540" w:lineRule="exact"/>
        <w:ind w:left="600" w:leftChars="200"/>
        <w:rPr>
          <w:rFonts w:ascii="仿宋_GB2312"/>
        </w:rPr>
      </w:pPr>
      <w:r>
        <w:rPr>
          <w:rFonts w:hint="eastAsia" w:ascii="仿宋_GB2312"/>
        </w:rPr>
        <w:t>（一）主要经验及做法</w:t>
      </w:r>
      <w:r>
        <w:rPr>
          <w:rFonts w:hint="eastAsia" w:ascii="仿宋_GB2312"/>
        </w:rPr>
        <w:br w:type="textWrapping"/>
      </w:r>
      <w:r>
        <w:rPr>
          <w:rFonts w:hint="eastAsia" w:ascii="仿宋_GB2312"/>
        </w:rPr>
        <w:t>做好设备采购和工程招标工作。实行公开招标，选择资质等级高、社会信誉好，同时投标技术方案成熟、施工组织设计完善、工程报价合理的施工、监理企业参与本项目的工程建设。从源头堵住由于施工企业能力不足可能造成的风险因素。在施工过程中，按照预期制定的总进度计划，实施阶段落实。要求施工企业建立质量保证和进度控制体系，要求施工现场实现标准化、规范化、制度化，对工程进度、质量、安全实行全过程控制。</w:t>
      </w:r>
      <w:r>
        <w:rPr>
          <w:rFonts w:hint="eastAsia" w:ascii="仿宋_GB2312"/>
        </w:rPr>
        <w:br w:type="textWrapping"/>
      </w:r>
      <w:r>
        <w:rPr>
          <w:rFonts w:hint="eastAsia" w:ascii="仿宋_GB2312"/>
        </w:rPr>
        <w:t xml:space="preserve">  （二）存在的问题及原因分析</w:t>
      </w:r>
      <w:r>
        <w:rPr>
          <w:rFonts w:hint="eastAsia" w:ascii="仿宋_GB2312"/>
        </w:rPr>
        <w:br w:type="textWrapping"/>
      </w:r>
      <w:r>
        <w:rPr>
          <w:rFonts w:hint="eastAsia" w:ascii="仿宋_GB2312"/>
        </w:rPr>
        <w:t xml:space="preserve">   存在的问题：项目前期工作不全面，没有深入细致科学规划地做好各项前期工作。原因分析：主要是未安排专职项目管理人员，对项目方面的工作不熟悉。</w:t>
      </w:r>
    </w:p>
    <w:bookmarkEnd w:id="15"/>
    <w:p w14:paraId="154C7058">
      <w:pPr>
        <w:spacing w:line="560" w:lineRule="exact"/>
        <w:ind w:firstLine="640" w:firstLineChars="200"/>
        <w:outlineLvl w:val="0"/>
        <w:rPr>
          <w:rFonts w:ascii="仿宋_GB2312" w:hAnsi="仿宋_GB2312" w:cs="仿宋_GB2312"/>
          <w:color w:val="auto"/>
          <w:sz w:val="32"/>
          <w:szCs w:val="32"/>
        </w:rPr>
      </w:pPr>
      <w:bookmarkStart w:id="16" w:name="_Toc68703845"/>
      <w:r>
        <w:rPr>
          <w:rFonts w:hint="eastAsia" w:ascii="宋体" w:hAnsi="宋体" w:eastAsia="宋体"/>
          <w:sz w:val="32"/>
          <w:szCs w:val="32"/>
        </w:rPr>
        <w:t>七、有关建议</w:t>
      </w:r>
      <w:bookmarkEnd w:id="16"/>
      <w:r>
        <w:rPr>
          <w:rFonts w:hint="eastAsia" w:ascii="宋体" w:hAnsi="宋体" w:eastAsia="宋体"/>
          <w:sz w:val="32"/>
          <w:szCs w:val="32"/>
        </w:rPr>
        <w:br w:type="textWrapping"/>
      </w:r>
      <w:r>
        <w:rPr>
          <w:rFonts w:hint="eastAsia" w:ascii="仿宋_GB2312" w:hAnsi="仿宋_GB2312" w:cs="仿宋_GB2312"/>
          <w:color w:val="0000FF"/>
          <w:sz w:val="32"/>
          <w:szCs w:val="32"/>
        </w:rPr>
        <w:t xml:space="preserve">   </w:t>
      </w:r>
      <w:r>
        <w:rPr>
          <w:rFonts w:hint="eastAsia" w:ascii="仿宋_GB2312" w:hAnsi="仿宋_GB2312" w:cs="仿宋_GB2312"/>
          <w:color w:val="auto"/>
          <w:sz w:val="32"/>
          <w:szCs w:val="32"/>
        </w:rPr>
        <w:t xml:space="preserve"> 1.进行有关政府采购管理工作方面的培训。进一步夯实业务基础，提高我单位采购人员水平。</w:t>
      </w:r>
    </w:p>
    <w:p w14:paraId="140BE518">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2.专门设定对政府采购工作人员定职、定岗、定责等相关制度措施，进一步提升我单位采购管理工作业务水平，扎实做好政府采购管理工作。</w:t>
      </w:r>
    </w:p>
    <w:p w14:paraId="3782763A">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3.进一步规范项目建设的程序。项目前期做好可行性研究报</w:t>
      </w:r>
      <w:bookmarkStart w:id="18" w:name="_GoBack"/>
      <w:r>
        <w:rPr>
          <w:rFonts w:hint="eastAsia" w:ascii="仿宋_GB2312" w:hAnsi="仿宋_GB2312" w:cs="仿宋_GB2312"/>
          <w:color w:val="auto"/>
          <w:sz w:val="32"/>
          <w:szCs w:val="32"/>
        </w:rPr>
        <w:t>告，更加细化实施方案，严格执行资金管理办法和财政资金管理制度，严格按照项目实施方案、招投标管理办法等稳步推进工作，各部门单位根据自己项目的特点进行总结。</w:t>
      </w:r>
    </w:p>
    <w:p w14:paraId="1EF16BDD">
      <w:pPr>
        <w:spacing w:line="560" w:lineRule="exact"/>
        <w:ind w:firstLine="640" w:firstLineChars="200"/>
        <w:outlineLvl w:val="0"/>
        <w:rPr>
          <w:color w:val="auto"/>
          <w:sz w:val="22"/>
          <w:szCs w:val="28"/>
        </w:rPr>
      </w:pPr>
      <w:r>
        <w:rPr>
          <w:rFonts w:hint="eastAsia" w:ascii="仿宋_GB2312" w:hAnsi="仿宋_GB2312" w:cs="仿宋_GB2312"/>
          <w:color w:val="auto"/>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cs="仿宋_GB2312"/>
          <w:color w:val="auto"/>
          <w:sz w:val="36"/>
          <w:szCs w:val="32"/>
        </w:rPr>
        <w:t>。</w:t>
      </w:r>
    </w:p>
    <w:p w14:paraId="488EB18B">
      <w:pPr>
        <w:spacing w:line="560" w:lineRule="exact"/>
        <w:ind w:firstLine="640" w:firstLineChars="200"/>
        <w:outlineLvl w:val="0"/>
        <w:rPr>
          <w:rFonts w:ascii="方正仿宋_GBK" w:hAnsi="方正仿宋_GBK" w:eastAsia="方正仿宋_GBK" w:cs="方正仿宋_GBK"/>
          <w:color w:val="auto"/>
          <w:sz w:val="32"/>
          <w:szCs w:val="32"/>
        </w:rPr>
      </w:pPr>
      <w:r>
        <w:rPr>
          <w:rFonts w:hint="eastAsia" w:ascii="仿宋_GB2312" w:hAnsi="仿宋_GB2312" w:cs="仿宋_GB2312"/>
          <w:color w:val="auto"/>
          <w:sz w:val="32"/>
          <w:szCs w:val="32"/>
        </w:rPr>
        <w:t>5.进一步加强对采购管理工作的组织领导，提高对预算绩效管理工作重要性的认识，总结经验查找问题，抓紧研究制定更全面更完善的采购评价管理办法。</w:t>
      </w:r>
    </w:p>
    <w:bookmarkEnd w:id="18"/>
    <w:p w14:paraId="78B09824">
      <w:pPr>
        <w:pStyle w:val="2"/>
        <w:spacing w:before="0" w:after="0" w:line="560" w:lineRule="exact"/>
        <w:ind w:firstLine="640" w:firstLineChars="200"/>
        <w:rPr>
          <w:rFonts w:ascii="宋体" w:hAnsi="宋体" w:eastAsia="宋体"/>
          <w:b w:val="0"/>
          <w:bCs w:val="0"/>
          <w:sz w:val="32"/>
          <w:szCs w:val="32"/>
        </w:rPr>
      </w:pPr>
      <w:bookmarkStart w:id="17" w:name="_Toc68703846"/>
      <w:r>
        <w:rPr>
          <w:rFonts w:hint="eastAsia" w:ascii="宋体" w:hAnsi="宋体" w:eastAsia="宋体"/>
          <w:b w:val="0"/>
          <w:bCs w:val="0"/>
          <w:sz w:val="32"/>
          <w:szCs w:val="32"/>
        </w:rPr>
        <w:t>八、其他需要说明的问题</w:t>
      </w:r>
      <w:bookmarkEnd w:id="17"/>
    </w:p>
    <w:p w14:paraId="0B5AC931">
      <w:pPr>
        <w:pStyle w:val="2"/>
        <w:spacing w:before="0" w:after="0" w:line="560" w:lineRule="exact"/>
        <w:ind w:firstLine="640" w:firstLineChars="200"/>
        <w:rPr>
          <w:rFonts w:ascii="宋体" w:hAnsi="宋体" w:eastAsia="宋体"/>
          <w:b w:val="0"/>
          <w:bCs w:val="0"/>
          <w:sz w:val="32"/>
          <w:szCs w:val="32"/>
        </w:rPr>
      </w:pPr>
      <w:r>
        <w:rPr>
          <w:rFonts w:hint="eastAsia" w:ascii="宋体" w:hAnsi="宋体" w:eastAsia="宋体"/>
          <w:b w:val="0"/>
          <w:bCs w:val="0"/>
          <w:sz w:val="32"/>
          <w:szCs w:val="32"/>
        </w:rPr>
        <w:t>无</w:t>
      </w:r>
    </w:p>
    <w:p w14:paraId="363DDE94">
      <w:pPr>
        <w:spacing w:line="560" w:lineRule="exact"/>
        <w:ind w:firstLine="600" w:firstLineChars="200"/>
        <w:rPr>
          <w:rFonts w:ascii="方正仿宋_GBK" w:hAnsi="方正仿宋_GBK" w:eastAsia="方正仿宋_GBK" w:cs="方正仿宋_GBK"/>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红豆小标宋简体">
    <w:altName w:val="宋体"/>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6B2CB7"/>
    <w:multiLevelType w:val="singleLevel"/>
    <w:tmpl w:val="896B2CB7"/>
    <w:lvl w:ilvl="0" w:tentative="0">
      <w:start w:val="4"/>
      <w:numFmt w:val="chineseCounting"/>
      <w:suff w:val="nothing"/>
      <w:lvlText w:val="（%1）"/>
      <w:lvlJc w:val="left"/>
      <w:rPr>
        <w:rFonts w:hint="eastAsia"/>
      </w:rPr>
    </w:lvl>
  </w:abstractNum>
  <w:abstractNum w:abstractNumId="1">
    <w:nsid w:val="C24F5205"/>
    <w:multiLevelType w:val="singleLevel"/>
    <w:tmpl w:val="C24F5205"/>
    <w:lvl w:ilvl="0" w:tentative="0">
      <w:start w:val="2"/>
      <w:numFmt w:val="decimal"/>
      <w:lvlText w:val="%1."/>
      <w:lvlJc w:val="left"/>
      <w:pPr>
        <w:tabs>
          <w:tab w:val="left" w:pos="312"/>
        </w:tabs>
      </w:pPr>
    </w:lvl>
  </w:abstractNum>
  <w:abstractNum w:abstractNumId="2">
    <w:nsid w:val="FE5481C5"/>
    <w:multiLevelType w:val="singleLevel"/>
    <w:tmpl w:val="FE5481C5"/>
    <w:lvl w:ilvl="0" w:tentative="0">
      <w:start w:val="1"/>
      <w:numFmt w:val="decimal"/>
      <w:lvlText w:val="%1."/>
      <w:lvlJc w:val="left"/>
      <w:pPr>
        <w:tabs>
          <w:tab w:val="left" w:pos="312"/>
        </w:tabs>
      </w:pPr>
    </w:lvl>
  </w:abstractNum>
  <w:abstractNum w:abstractNumId="3">
    <w:nsid w:val="4C38272A"/>
    <w:multiLevelType w:val="singleLevel"/>
    <w:tmpl w:val="4C38272A"/>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B252A"/>
    <w:rsid w:val="000D63FA"/>
    <w:rsid w:val="000F07FA"/>
    <w:rsid w:val="00175D06"/>
    <w:rsid w:val="001C0926"/>
    <w:rsid w:val="001D6800"/>
    <w:rsid w:val="00216F13"/>
    <w:rsid w:val="002337F9"/>
    <w:rsid w:val="003B1211"/>
    <w:rsid w:val="00535463"/>
    <w:rsid w:val="005B64E8"/>
    <w:rsid w:val="00614288"/>
    <w:rsid w:val="006658C0"/>
    <w:rsid w:val="006F6CFE"/>
    <w:rsid w:val="00792139"/>
    <w:rsid w:val="00792CFE"/>
    <w:rsid w:val="007B21E7"/>
    <w:rsid w:val="007D49C5"/>
    <w:rsid w:val="008175E0"/>
    <w:rsid w:val="0085193F"/>
    <w:rsid w:val="008C631D"/>
    <w:rsid w:val="009403F9"/>
    <w:rsid w:val="00A114ED"/>
    <w:rsid w:val="00AC6A67"/>
    <w:rsid w:val="00B24331"/>
    <w:rsid w:val="00D75B3C"/>
    <w:rsid w:val="00DB202C"/>
    <w:rsid w:val="00E65B6F"/>
    <w:rsid w:val="00EB3433"/>
    <w:rsid w:val="00EE25CE"/>
    <w:rsid w:val="031A7868"/>
    <w:rsid w:val="047872E5"/>
    <w:rsid w:val="05227DA5"/>
    <w:rsid w:val="08276E83"/>
    <w:rsid w:val="08D20D13"/>
    <w:rsid w:val="0A7B0B6A"/>
    <w:rsid w:val="0C4D0F1B"/>
    <w:rsid w:val="0D101455"/>
    <w:rsid w:val="0D8326F0"/>
    <w:rsid w:val="0EB25B9A"/>
    <w:rsid w:val="0F2A6BF7"/>
    <w:rsid w:val="0FB106D0"/>
    <w:rsid w:val="0FCB1956"/>
    <w:rsid w:val="12C70D3C"/>
    <w:rsid w:val="14684676"/>
    <w:rsid w:val="14FE7D0A"/>
    <w:rsid w:val="1550476A"/>
    <w:rsid w:val="17D915DA"/>
    <w:rsid w:val="189E4EEF"/>
    <w:rsid w:val="1A3C2A52"/>
    <w:rsid w:val="1A5A3C35"/>
    <w:rsid w:val="1C1661DF"/>
    <w:rsid w:val="1C8A58EB"/>
    <w:rsid w:val="1CDA6BEA"/>
    <w:rsid w:val="1D723F37"/>
    <w:rsid w:val="1D785367"/>
    <w:rsid w:val="1F59095F"/>
    <w:rsid w:val="1FC94CCC"/>
    <w:rsid w:val="22C96D6A"/>
    <w:rsid w:val="234C07DB"/>
    <w:rsid w:val="251D30A0"/>
    <w:rsid w:val="2AB52686"/>
    <w:rsid w:val="2B8D408C"/>
    <w:rsid w:val="2D7E77E3"/>
    <w:rsid w:val="2EB43FA8"/>
    <w:rsid w:val="32543208"/>
    <w:rsid w:val="32AE0DEC"/>
    <w:rsid w:val="35403946"/>
    <w:rsid w:val="36B72533"/>
    <w:rsid w:val="389E0C60"/>
    <w:rsid w:val="3BCC1976"/>
    <w:rsid w:val="3E52593B"/>
    <w:rsid w:val="3EAD435E"/>
    <w:rsid w:val="3FE50633"/>
    <w:rsid w:val="3FE93D39"/>
    <w:rsid w:val="40067DD0"/>
    <w:rsid w:val="4057649F"/>
    <w:rsid w:val="42A756B0"/>
    <w:rsid w:val="43182414"/>
    <w:rsid w:val="441A6FDC"/>
    <w:rsid w:val="44A27E03"/>
    <w:rsid w:val="453B307A"/>
    <w:rsid w:val="46507BB3"/>
    <w:rsid w:val="46A73A7B"/>
    <w:rsid w:val="46FB5655"/>
    <w:rsid w:val="47586397"/>
    <w:rsid w:val="4A7C25BE"/>
    <w:rsid w:val="4C1A1A9D"/>
    <w:rsid w:val="4C22332E"/>
    <w:rsid w:val="4C965C25"/>
    <w:rsid w:val="4DD202D7"/>
    <w:rsid w:val="4E9F00E8"/>
    <w:rsid w:val="4ED91263"/>
    <w:rsid w:val="51880306"/>
    <w:rsid w:val="541C1D46"/>
    <w:rsid w:val="56796849"/>
    <w:rsid w:val="58DD4A37"/>
    <w:rsid w:val="58F85DEC"/>
    <w:rsid w:val="5A232DBE"/>
    <w:rsid w:val="5B0722E6"/>
    <w:rsid w:val="5DA95371"/>
    <w:rsid w:val="5E965A08"/>
    <w:rsid w:val="66497F98"/>
    <w:rsid w:val="67760F4F"/>
    <w:rsid w:val="68F11999"/>
    <w:rsid w:val="6BC0512C"/>
    <w:rsid w:val="6BD779E9"/>
    <w:rsid w:val="6C5F1239"/>
    <w:rsid w:val="74746816"/>
    <w:rsid w:val="763A0251"/>
    <w:rsid w:val="76882997"/>
    <w:rsid w:val="785E65F1"/>
    <w:rsid w:val="78764DC8"/>
    <w:rsid w:val="78B8013E"/>
    <w:rsid w:val="79450781"/>
    <w:rsid w:val="7E7D05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iPriority="99" w:semiHidden="0"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9"/>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index 6"/>
    <w:basedOn w:val="1"/>
    <w:next w:val="1"/>
    <w:unhideWhenUsed/>
    <w:qFormat/>
    <w:uiPriority w:val="99"/>
    <w:pPr>
      <w:ind w:firstLine="840"/>
    </w:pPr>
    <w:rPr>
      <w:rFonts w:ascii="Calibri" w:hAnsi="Calibri" w:eastAsia="宋体" w:cs="Arial"/>
    </w:rPr>
  </w:style>
  <w:style w:type="paragraph" w:styleId="6">
    <w:name w:val="Body Text"/>
    <w:basedOn w:val="1"/>
    <w:qFormat/>
    <w:uiPriority w:val="1"/>
    <w:pPr>
      <w:ind w:left="160"/>
    </w:pPr>
    <w:rPr>
      <w:rFonts w:ascii="仿宋" w:hAnsi="仿宋" w:eastAsia="仿宋" w:cs="仿宋"/>
      <w:sz w:val="32"/>
      <w:szCs w:val="32"/>
      <w:lang w:val="zh-CN" w:bidi="zh-CN"/>
    </w:rPr>
  </w:style>
  <w:style w:type="paragraph" w:styleId="7">
    <w:name w:val="Balloon Text"/>
    <w:basedOn w:val="1"/>
    <w:link w:val="25"/>
    <w:semiHidden/>
    <w:unhideWhenUsed/>
    <w:uiPriority w:val="99"/>
    <w:rPr>
      <w:sz w:val="18"/>
      <w:szCs w:val="18"/>
    </w:rPr>
  </w:style>
  <w:style w:type="paragraph" w:styleId="8">
    <w:name w:val="footer"/>
    <w:basedOn w:val="1"/>
    <w:link w:val="23"/>
    <w:autoRedefine/>
    <w:semiHidden/>
    <w:unhideWhenUsed/>
    <w:qFormat/>
    <w:uiPriority w:val="99"/>
    <w:pPr>
      <w:tabs>
        <w:tab w:val="center" w:pos="4153"/>
        <w:tab w:val="right" w:pos="8306"/>
      </w:tabs>
      <w:snapToGrid w:val="0"/>
      <w:jc w:val="left"/>
    </w:pPr>
    <w:rPr>
      <w:sz w:val="18"/>
      <w:szCs w:val="18"/>
    </w:rPr>
  </w:style>
  <w:style w:type="paragraph" w:styleId="9">
    <w:name w:val="header"/>
    <w:basedOn w:val="1"/>
    <w:link w:val="22"/>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w:basedOn w:val="6"/>
    <w:next w:val="5"/>
    <w:unhideWhenUsed/>
    <w:qFormat/>
    <w:uiPriority w:val="99"/>
    <w:pPr>
      <w:spacing w:line="560" w:lineRule="exact"/>
      <w:ind w:left="643"/>
    </w:pPr>
    <w:rPr>
      <w:rFonts w:eastAsia="楷体_GB2312"/>
      <w:bCs/>
    </w:rPr>
  </w:style>
  <w:style w:type="character" w:styleId="16">
    <w:name w:val="Strong"/>
    <w:basedOn w:val="15"/>
    <w:autoRedefine/>
    <w:qFormat/>
    <w:uiPriority w:val="0"/>
    <w:rPr>
      <w:b/>
      <w:bCs/>
    </w:rPr>
  </w:style>
  <w:style w:type="character" w:styleId="17">
    <w:name w:val="Hyperlink"/>
    <w:basedOn w:val="15"/>
    <w:autoRedefine/>
    <w:unhideWhenUsed/>
    <w:qFormat/>
    <w:uiPriority w:val="99"/>
    <w:rPr>
      <w:color w:val="0563C1" w:themeColor="hyperlink"/>
      <w:u w:val="single"/>
    </w:rPr>
  </w:style>
  <w:style w:type="character" w:styleId="18">
    <w:name w:val="annotation reference"/>
    <w:basedOn w:val="15"/>
    <w:semiHidden/>
    <w:unhideWhenUsed/>
    <w:qFormat/>
    <w:uiPriority w:val="99"/>
    <w:rPr>
      <w:sz w:val="21"/>
      <w:szCs w:val="21"/>
    </w:rPr>
  </w:style>
  <w:style w:type="character" w:customStyle="1" w:styleId="19">
    <w:name w:val="标题 1 Char"/>
    <w:basedOn w:val="15"/>
    <w:link w:val="2"/>
    <w:autoRedefine/>
    <w:qFormat/>
    <w:uiPriority w:val="9"/>
    <w:rPr>
      <w:rFonts w:ascii="Times New Roman" w:hAnsi="Times New Roman" w:eastAsia="仿宋_GB2312" w:cs="Times New Roman"/>
      <w:b/>
      <w:bCs/>
      <w:kern w:val="44"/>
      <w:sz w:val="44"/>
      <w:szCs w:val="44"/>
    </w:rPr>
  </w:style>
  <w:style w:type="character" w:customStyle="1" w:styleId="20">
    <w:name w:val="标题 2 Char"/>
    <w:basedOn w:val="15"/>
    <w:link w:val="3"/>
    <w:autoRedefine/>
    <w:qFormat/>
    <w:uiPriority w:val="9"/>
    <w:rPr>
      <w:rFonts w:asciiTheme="majorHAnsi" w:hAnsiTheme="majorHAnsi" w:eastAsiaTheme="majorEastAsia" w:cstheme="majorBidi"/>
      <w:b/>
      <w:bCs/>
      <w:sz w:val="32"/>
      <w:szCs w:val="32"/>
    </w:rPr>
  </w:style>
  <w:style w:type="paragraph" w:customStyle="1" w:styleId="21">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2">
    <w:name w:val="页眉 Char"/>
    <w:basedOn w:val="15"/>
    <w:link w:val="9"/>
    <w:autoRedefine/>
    <w:semiHidden/>
    <w:qFormat/>
    <w:uiPriority w:val="99"/>
    <w:rPr>
      <w:rFonts w:ascii="Times New Roman" w:hAnsi="Times New Roman" w:eastAsia="仿宋_GB2312" w:cs="Times New Roman"/>
      <w:sz w:val="18"/>
      <w:szCs w:val="18"/>
    </w:rPr>
  </w:style>
  <w:style w:type="character" w:customStyle="1" w:styleId="23">
    <w:name w:val="页脚 Char"/>
    <w:basedOn w:val="15"/>
    <w:link w:val="8"/>
    <w:autoRedefine/>
    <w:semiHidden/>
    <w:qFormat/>
    <w:uiPriority w:val="99"/>
    <w:rPr>
      <w:rFonts w:ascii="Times New Roman" w:hAnsi="Times New Roman" w:eastAsia="仿宋_GB2312" w:cs="Times New Roman"/>
      <w:sz w:val="18"/>
      <w:szCs w:val="18"/>
    </w:rPr>
  </w:style>
  <w:style w:type="paragraph" w:customStyle="1" w:styleId="24">
    <w:name w:val="闻政-正文段落文字"/>
    <w:basedOn w:val="1"/>
    <w:autoRedefine/>
    <w:qFormat/>
    <w:uiPriority w:val="3"/>
    <w:pPr>
      <w:spacing w:line="500" w:lineRule="exact"/>
      <w:ind w:firstLine="200"/>
    </w:pPr>
    <w:rPr>
      <w:kern w:val="0"/>
      <w:szCs w:val="28"/>
    </w:rPr>
  </w:style>
  <w:style w:type="character" w:customStyle="1" w:styleId="25">
    <w:name w:val="批注框文本 Char"/>
    <w:basedOn w:val="15"/>
    <w:link w:val="7"/>
    <w:semiHidden/>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222DB-1EDB-4733-AF76-A8ED8090E19D}">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17</Pages>
  <Words>7450</Words>
  <Characters>8064</Characters>
  <Lines>58</Lines>
  <Paragraphs>16</Paragraphs>
  <TotalTime>95</TotalTime>
  <ScaleCrop>false</ScaleCrop>
  <LinksUpToDate>false</LinksUpToDate>
  <CharactersWithSpaces>8085</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2024-09-30T09:23:10Z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