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项目名称：学生奖助学金资助</w:t>
      </w:r>
    </w:p>
    <w:p>
      <w:pPr>
        <w:spacing w:line="700" w:lineRule="exact"/>
        <w:ind w:firstLine="643" w:firstLineChars="200"/>
        <w:jc w:val="left"/>
        <w:rPr>
          <w:rFonts w:hint="eastAsia"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巴音郭楞职业技术学院</w:t>
      </w:r>
    </w:p>
    <w:p>
      <w:pPr>
        <w:spacing w:line="700" w:lineRule="exact"/>
        <w:ind w:firstLine="643" w:firstLineChars="200"/>
        <w:jc w:val="left"/>
        <w:rPr>
          <w:rFonts w:hint="eastAsia"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巴州教育局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徐灵</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填报时间：202</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年</w:t>
      </w:r>
      <w:r>
        <w:rPr>
          <w:rFonts w:hint="eastAsia" w:ascii="宋体" w:hAnsi="宋体" w:eastAsia="宋体" w:cs="仿宋_GB2312"/>
          <w:b/>
          <w:bCs/>
          <w:color w:val="000000"/>
          <w:kern w:val="0"/>
          <w:sz w:val="32"/>
          <w:szCs w:val="32"/>
          <w:lang w:val="en-US" w:eastAsia="zh-CN"/>
        </w:rPr>
        <w:t>5</w:t>
      </w:r>
      <w:r>
        <w:rPr>
          <w:rFonts w:hint="eastAsia" w:ascii="宋体" w:hAnsi="宋体" w:eastAsia="宋体" w:cs="仿宋_GB2312"/>
          <w:b/>
          <w:bCs/>
          <w:color w:val="000000"/>
          <w:kern w:val="0"/>
          <w:sz w:val="32"/>
          <w:szCs w:val="32"/>
        </w:rPr>
        <w:t>月</w:t>
      </w:r>
      <w:r>
        <w:rPr>
          <w:rFonts w:hint="eastAsia" w:ascii="宋体" w:hAnsi="宋体" w:eastAsia="宋体" w:cs="仿宋_GB2312"/>
          <w:b/>
          <w:bCs/>
          <w:color w:val="000000"/>
          <w:kern w:val="0"/>
          <w:sz w:val="32"/>
          <w:szCs w:val="32"/>
          <w:lang w:val="en-US" w:eastAsia="zh-CN"/>
        </w:rPr>
        <w:t>20</w:t>
      </w:r>
      <w:r>
        <w:rPr>
          <w:rFonts w:hint="eastAsia" w:ascii="宋体" w:hAnsi="宋体" w:eastAsia="宋体" w:cs="仿宋_GB2312"/>
          <w:b/>
          <w:bCs/>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仿宋_GB2312"/>
          <w:szCs w:val="30"/>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color w:val="FF000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highlight w:val="none"/>
          <w:lang w:val="en-US" w:eastAsia="zh-CN"/>
        </w:rPr>
      </w:pPr>
      <w:r>
        <w:rPr>
          <w:rFonts w:hint="eastAsia" w:ascii="仿宋_GB2312"/>
          <w:highlight w:val="none"/>
          <w:lang w:val="en-US" w:eastAsia="zh-CN"/>
        </w:rPr>
        <w:t xml:space="preserve"> 落实国家学费补助政策，学生就学需求，提升职业教育办学影响力。落实国家奖助学金及补助发放政策，减轻家庭经济困难学生负担。实现精准资助，确保将各类奖助学金发到需要的学生手中，实现“不让一名学生因家庭经济困难而失学”的目标。</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FF0000"/>
          <w:highlight w:val="none"/>
        </w:rPr>
      </w:pPr>
      <w:r>
        <w:rPr>
          <w:rFonts w:hint="eastAsia" w:ascii="仿宋_GB2312"/>
          <w:highlight w:val="none"/>
        </w:rPr>
        <w:t>主要内容：国家助学金生均标准，人均3300元，发放人数3457人；国家奖学金生均标准8000元，发放人数15人。国家励志奖学金生均标准5000元，发放人数440人。落实国家学费补助政策，学生就学需求，提升职业教育办学影响力。有效减轻家庭经济困难学生的家庭负担，帮助学生顺利毕业。实现精准资助，确保将各类奖助学金发到需要的学生手中，实现“不让一名学生因家庭经济困难而失学”的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实施情况：国家助学金生均标准，人均3300元，发放人数3457人；国家奖学金生均标准8000元，发放人数15人。国家励志奖学金生均标准5000元，发放人数440人。落实国家学费补助政策，实现建档立卡学生全覆盖，精准资助每一个应受助学生，有效减轻家庭经济困难学生的家庭负担。</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cs="Times New Roman"/>
          <w:highlight w:val="none"/>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_GB2312" w:hAnsi="Times New Roman" w:cs="Times New Roman"/>
          <w:highlight w:val="none"/>
        </w:rPr>
        <w:t>该项目年初预算数</w:t>
      </w:r>
      <w:r>
        <w:rPr>
          <w:rFonts w:hint="eastAsia" w:ascii="仿宋_GB2312" w:hAnsi="Times New Roman" w:cs="Times New Roman"/>
          <w:highlight w:val="none"/>
          <w:lang w:val="en-US" w:eastAsia="zh-CN"/>
        </w:rPr>
        <w:t>1373</w:t>
      </w:r>
      <w:r>
        <w:rPr>
          <w:rFonts w:hint="eastAsia" w:ascii="仿宋_GB2312" w:hAnsi="Times New Roman" w:cs="Times New Roman"/>
          <w:highlight w:val="none"/>
        </w:rPr>
        <w:t>万元，全年预算数</w:t>
      </w:r>
      <w:r>
        <w:rPr>
          <w:rFonts w:hint="eastAsia" w:ascii="仿宋_GB2312" w:hAnsi="Times New Roman" w:cs="Times New Roman"/>
          <w:highlight w:val="none"/>
          <w:lang w:val="en-US" w:eastAsia="zh-CN"/>
        </w:rPr>
        <w:t>1373</w:t>
      </w:r>
      <w:r>
        <w:rPr>
          <w:rFonts w:hint="eastAsia" w:ascii="仿宋_GB2312" w:hAnsi="Times New Roman" w:cs="Times New Roman"/>
          <w:highlight w:val="none"/>
        </w:rPr>
        <w:t>万元，实际总投入</w:t>
      </w:r>
      <w:r>
        <w:rPr>
          <w:rFonts w:hint="eastAsia" w:ascii="仿宋_GB2312" w:hAnsi="Times New Roman" w:cs="Times New Roman"/>
          <w:highlight w:val="none"/>
          <w:lang w:val="en-US" w:eastAsia="zh-CN"/>
        </w:rPr>
        <w:t>1373</w:t>
      </w:r>
      <w:r>
        <w:rPr>
          <w:rFonts w:hint="eastAsia" w:ascii="仿宋_GB2312" w:hAnsi="Times New Roman" w:cs="Times New Roman"/>
          <w:highlight w:val="none"/>
        </w:rPr>
        <w:t>万元，该项目资金已全部落实到位，资金来源为</w:t>
      </w:r>
      <w:r>
        <w:rPr>
          <w:rFonts w:hint="eastAsia" w:ascii="仿宋_GB2312" w:hAnsi="Times New Roman" w:cs="Times New Roman"/>
          <w:highlight w:val="none"/>
          <w:lang w:val="en-US" w:eastAsia="zh-CN"/>
        </w:rPr>
        <w:t>中央拨款</w:t>
      </w:r>
      <w:r>
        <w:rPr>
          <w:rFonts w:hint="eastAsia" w:ascii="仿宋_GB2312" w:hAnsi="Times New Roman" w:cs="Times New Roman"/>
          <w:highlight w:val="none"/>
        </w:rPr>
        <w:t>。</w:t>
      </w:r>
    </w:p>
    <w:p>
      <w:pPr>
        <w:pageBreakBefore w:val="0"/>
        <w:kinsoku/>
        <w:wordWrap/>
        <w:overflowPunct/>
        <w:topLinePunct w:val="0"/>
        <w:autoSpaceDE/>
        <w:autoSpaceDN/>
        <w:bidi w:val="0"/>
        <w:adjustRightInd/>
        <w:snapToGrid/>
        <w:spacing w:line="560" w:lineRule="exact"/>
        <w:ind w:firstLine="600" w:firstLineChars="200"/>
        <w:textAlignment w:val="auto"/>
        <w:rPr>
          <w:color w:val="FF0000"/>
        </w:rPr>
      </w:pPr>
      <w:r>
        <w:rPr>
          <w:rFonts w:hint="eastAsia"/>
          <w:lang w:eastAsia="zh-CN"/>
        </w:rPr>
        <w:t>（</w:t>
      </w:r>
      <w:r>
        <w:rPr>
          <w:rFonts w:hint="eastAsia"/>
          <w:lang w:val="en-US" w:eastAsia="zh-CN"/>
        </w:rPr>
        <w:t>2</w:t>
      </w:r>
      <w:r>
        <w:rPr>
          <w:rFonts w:hint="eastAsia"/>
          <w:lang w:eastAsia="zh-CN"/>
        </w:rPr>
        <w:t>）</w:t>
      </w:r>
      <w:r>
        <w:rPr>
          <w:rFonts w:hint="eastAsia"/>
        </w:rPr>
        <w:t>资金使用情况：</w:t>
      </w:r>
      <w:r>
        <w:rPr>
          <w:rFonts w:hint="eastAsia" w:ascii="仿宋_GB2312" w:hAnsi="Times New Roman" w:cs="Times New Roman"/>
          <w:highlight w:val="none"/>
        </w:rPr>
        <w:t>该项目年初预算数</w:t>
      </w:r>
      <w:r>
        <w:rPr>
          <w:rFonts w:hint="eastAsia" w:ascii="仿宋_GB2312" w:hAnsi="Times New Roman" w:cs="Times New Roman"/>
          <w:highlight w:val="none"/>
          <w:lang w:val="en-US" w:eastAsia="zh-CN"/>
        </w:rPr>
        <w:t>1373</w:t>
      </w:r>
      <w:r>
        <w:rPr>
          <w:rFonts w:hint="eastAsia" w:ascii="仿宋_GB2312" w:hAnsi="Times New Roman" w:cs="Times New Roman"/>
          <w:highlight w:val="none"/>
        </w:rPr>
        <w:t>万元，全年预算数</w:t>
      </w:r>
      <w:r>
        <w:rPr>
          <w:rFonts w:hint="eastAsia" w:ascii="仿宋_GB2312" w:hAnsi="Times New Roman" w:cs="Times New Roman"/>
          <w:highlight w:val="none"/>
          <w:lang w:val="en-US" w:eastAsia="zh-CN"/>
        </w:rPr>
        <w:t>1373</w:t>
      </w:r>
      <w:r>
        <w:rPr>
          <w:rFonts w:hint="eastAsia" w:ascii="仿宋_GB2312" w:hAnsi="Times New Roman" w:cs="Times New Roman"/>
          <w:highlight w:val="none"/>
        </w:rPr>
        <w:t>万元，全年执行数</w:t>
      </w:r>
      <w:r>
        <w:rPr>
          <w:rFonts w:hint="eastAsia" w:ascii="仿宋_GB2312" w:hAnsi="Times New Roman" w:cs="Times New Roman"/>
          <w:highlight w:val="none"/>
          <w:lang w:val="en-US" w:eastAsia="zh-CN"/>
        </w:rPr>
        <w:t>1373</w:t>
      </w:r>
      <w:r>
        <w:rPr>
          <w:rFonts w:hint="eastAsia" w:ascii="仿宋_GB2312" w:hAnsi="Times New Roman" w:cs="Times New Roman"/>
          <w:highlight w:val="none"/>
        </w:rPr>
        <w:t>万元，预算执行率为</w:t>
      </w:r>
      <w:r>
        <w:rPr>
          <w:rFonts w:hint="eastAsia" w:ascii="仿宋_GB2312" w:hAnsi="Times New Roman" w:cs="Times New Roman"/>
          <w:highlight w:val="none"/>
          <w:lang w:val="en-US" w:eastAsia="zh-CN"/>
        </w:rPr>
        <w:t>100</w:t>
      </w:r>
      <w:r>
        <w:rPr>
          <w:rFonts w:hint="eastAsia" w:ascii="仿宋_GB2312" w:hAnsi="Times New Roman" w:cs="Times New Roman"/>
          <w:highlight w:val="none"/>
        </w:rPr>
        <w:t>%</w:t>
      </w:r>
      <w:r>
        <w:rPr>
          <w:rFonts w:hint="eastAsia" w:ascii="仿宋_GB2312" w:cs="Times New Roman"/>
          <w:highlight w:val="none"/>
          <w:lang w:eastAsia="zh-CN"/>
        </w:rPr>
        <w:t>，</w:t>
      </w:r>
      <w:r>
        <w:rPr>
          <w:rFonts w:hint="eastAsia" w:ascii="仿宋_GB2312" w:hAnsi="Times New Roman" w:cs="Times New Roman"/>
          <w:highlight w:val="none"/>
        </w:rPr>
        <w:t>预算执，用于：国家助学金生均标准，人均3300元，发放人数3457人；国家奖学金生均标准8000元，发放人数15人。国家励志奖学金生均标准5000元，发放人数440人。</w:t>
      </w:r>
      <w:r>
        <w:rPr>
          <w:rFonts w:hint="eastAsia" w:ascii="仿宋_GB2312" w:hAnsi="Times New Roman" w:cs="Times New Roman"/>
          <w:highlight w:val="none"/>
          <w:lang w:val="en-US" w:eastAsia="zh-CN"/>
        </w:rPr>
        <w:t>合计1373</w:t>
      </w:r>
      <w:r>
        <w:rPr>
          <w:rFonts w:hint="eastAsia" w:ascii="仿宋_GB2312" w:hAnsi="Times New Roman" w:cs="Times New Roman"/>
          <w:highlight w:val="none"/>
        </w:rPr>
        <w:t>万元。</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cs="Times New Roman"/>
          <w:highlight w:val="none"/>
          <w:lang w:val="en-US" w:eastAsia="zh-CN"/>
        </w:rPr>
      </w:pPr>
      <w:r>
        <w:rPr>
          <w:rFonts w:hint="eastAsia"/>
        </w:rPr>
        <w:t>1</w:t>
      </w:r>
      <w:r>
        <w:rPr>
          <w:rFonts w:hint="eastAsia"/>
          <w:lang w:val="en-US" w:eastAsia="zh-CN"/>
        </w:rPr>
        <w:t>.</w:t>
      </w:r>
      <w:r>
        <w:rPr>
          <w:rFonts w:hint="eastAsia"/>
        </w:rPr>
        <w:t>总体目标：</w:t>
      </w:r>
      <w:r>
        <w:rPr>
          <w:rFonts w:hint="eastAsia" w:ascii="仿宋_GB2312" w:hAnsi="Times New Roman" w:cs="Times New Roman"/>
          <w:highlight w:val="none"/>
          <w:lang w:val="en-US" w:eastAsia="zh-CN"/>
        </w:rPr>
        <w:t>国家助学金生均标准，人均3300元，发放人数3457人；国家奖学金生均标准8000元，发放人数15人。国家励志奖学金生均标准5000元，发放人数440人。落实国家学费补助政策，实现建档立卡学生全覆盖，精准资助每一个应受助学生，有效减轻家庭经济困难学生的家庭负担。</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cs="Times New Roman"/>
          <w:highlight w:val="none"/>
          <w:lang w:val="en-US" w:eastAsia="zh-CN"/>
        </w:rPr>
      </w:pPr>
      <w:r>
        <w:t>2</w:t>
      </w:r>
      <w:r>
        <w:rPr>
          <w:rFonts w:hint="eastAsia"/>
          <w:lang w:val="en-US" w:eastAsia="zh-CN"/>
        </w:rPr>
        <w:t>.</w:t>
      </w:r>
      <w:r>
        <w:rPr>
          <w:rFonts w:hint="eastAsia"/>
        </w:rPr>
        <w:t>阶段性目标：</w:t>
      </w:r>
      <w:r>
        <w:rPr>
          <w:rFonts w:hint="eastAsia"/>
          <w:lang w:val="en-US" w:eastAsia="zh-CN"/>
        </w:rPr>
        <w:t>2023年春季学期发放国家助学金570.405万元；2023年秋季学期发放国家助学金570.405万元；</w:t>
      </w:r>
      <w:r>
        <w:rPr>
          <w:rFonts w:hint="eastAsia" w:ascii="仿宋_GB2312" w:hAnsi="Times New Roman" w:cs="Times New Roman"/>
          <w:highlight w:val="none"/>
          <w:lang w:val="en-US" w:eastAsia="zh-CN"/>
        </w:rPr>
        <w:t>2023年12月20日之前发放国家奖学金12万元和国家励志奖学金220万元</w:t>
      </w:r>
      <w:r>
        <w:rPr>
          <w:rFonts w:hint="eastAsia" w:ascii="仿宋_GB2312" w:cs="Times New Roman"/>
          <w:highlight w:val="none"/>
          <w:lang w:val="en-US" w:eastAsia="zh-CN"/>
        </w:rPr>
        <w:t>。</w:t>
      </w:r>
      <w:bookmarkStart w:id="23" w:name="_GoBack"/>
      <w:bookmarkEnd w:id="23"/>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1"/>
        </w:num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项目在实施前向项目负责人提供财政支出绩效方面的资金管理信息，促进项目支出严格按照资金管理规定进行。</w:t>
      </w:r>
    </w:p>
    <w:p>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（2）项目绩效管理财政支出运行提供及时、有效的信息。</w:t>
      </w:r>
    </w:p>
    <w:p>
      <w:pPr>
        <w:pStyle w:val="21"/>
        <w:spacing w:line="560" w:lineRule="exact"/>
        <w:ind w:firstLine="640" w:firstLineChars="200"/>
        <w:rPr>
          <w:rFonts w:eastAsia="方正仿宋_GBK" w:cs="方正仿宋_GBK"/>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综合来看，通过开展有效的财政支出绩效评价管理，</w:t>
      </w:r>
      <w:r>
        <w:rPr>
          <w:rFonts w:hint="eastAsia" w:eastAsia="仿宋_GB2312"/>
          <w:color w:val="000000" w:themeColor="text1"/>
          <w:sz w:val="32"/>
          <w:szCs w:val="32"/>
          <w:highlight w:val="none"/>
          <w14:textFill>
            <w14:solidFill>
              <w14:schemeClr w14:val="tx1"/>
            </w14:solidFill>
          </w14:textFill>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32"/>
          <w:szCs w:val="32"/>
          <w:highlight w:val="none"/>
          <w:lang w:val="en-US" w:eastAsia="zh-CN" w:bidi="ar-SA"/>
          <w14:textFill>
            <w14:solidFill>
              <w14:schemeClr w14:val="tx1"/>
            </w14:solidFill>
          </w14:textFill>
        </w:rPr>
        <w:t>巴财教〔2022〕33号关于提前下达2023年学生资助补助经费预算[中央直达资金]-中央学生资助（奖助学金）</w:t>
      </w:r>
      <w:r>
        <w:rPr>
          <w:rFonts w:hint="eastAsia" w:ascii="Times New Roman" w:hAnsi="Times New Roman" w:cs="Times New Roman"/>
          <w:color w:val="000000" w:themeColor="text1"/>
          <w:kern w:val="0"/>
          <w:sz w:val="32"/>
          <w:szCs w:val="32"/>
          <w:highlight w:val="none"/>
          <w:lang w:val="en-US" w:eastAsia="zh-CN" w:bidi="ar-SA"/>
          <w14:textFill>
            <w14:solidFill>
              <w14:schemeClr w14:val="tx1"/>
            </w14:solidFill>
          </w14:textFill>
        </w:rPr>
        <w:t>全部资助项目</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本次评价从项目决策（包括绩效目标、决策过程）、项目管理（包括项目资金、项目实施）、项目产出（包括项目产出数量、产出质量、产出时效和产出成本）项目效益四个维度对</w:t>
      </w:r>
      <w:r>
        <w:rPr>
          <w:rFonts w:hint="eastAsia" w:eastAsia="仿宋_GB2312" w:cs="Times New Roman"/>
          <w:b w:val="0"/>
          <w:bCs w:val="0"/>
          <w:color w:val="000000" w:themeColor="text1"/>
          <w:kern w:val="0"/>
          <w:sz w:val="32"/>
          <w:szCs w:val="32"/>
          <w:highlight w:val="none"/>
          <w:lang w:val="en-US" w:eastAsia="zh-CN" w:bidi="ar-SA"/>
          <w14:textFill>
            <w14:solidFill>
              <w14:schemeClr w14:val="tx1"/>
            </w14:solidFill>
          </w14:textFill>
        </w:rPr>
        <w:t>学院债务归还项目</w:t>
      </w:r>
      <w:r>
        <w:rPr>
          <w:rFonts w:hint="eastAsia" w:ascii="仿宋_GB2312" w:hAnsi="仿宋_GB2312" w:eastAsia="仿宋_GB2312" w:cs="仿宋_GB2312"/>
          <w:sz w:val="32"/>
          <w:szCs w:val="32"/>
          <w:highlight w:val="none"/>
        </w:rPr>
        <w:t>进行评价，评价核心为专项资金的支出完成情况和效果。</w:t>
      </w:r>
      <w:bookmarkStart w:id="5" w:name="_Toc68703832"/>
    </w:p>
    <w:p>
      <w:pPr>
        <w:spacing w:line="560" w:lineRule="exact"/>
        <w:ind w:firstLine="600" w:firstLineChars="200"/>
        <w:rPr>
          <w:rFonts w:hint="eastAsia" w:ascii="仿宋_GB2312" w:eastAsia="仿宋_GB2312"/>
          <w:b w:val="0"/>
          <w:bCs w:val="0"/>
        </w:rPr>
      </w:pPr>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（1）科学公正。本项目在绩效评价应当运用科学合理的方法，按照规范的程序，对项目绩效进行客观、公正的反映。</w:t>
      </w:r>
    </w:p>
    <w:p>
      <w:pPr>
        <w:pStyle w:val="11"/>
        <w:spacing w:before="0" w:after="0" w:line="560" w:lineRule="exact"/>
        <w:ind w:firstLine="640" w:firstLineChars="200"/>
        <w:jc w:val="both"/>
        <w:outlineLvl w:val="9"/>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（2）统筹兼顾。</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学院国家助学金、国家奖学金、国家励志奖学金严格按照相关评选要求执行，由学生资助管理中心按照评选要去遵守公开、公平、公正要求的工作要求进行，</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严格按照项目支出绩效目标内容，全覆盖进行自评工作。在自评中积极配合绩效管理部门进行评价，做到相互衔接，突出结果导向。</w:t>
      </w:r>
    </w:p>
    <w:p>
      <w:pPr>
        <w:pStyle w:val="11"/>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（3）激励约束。</w:t>
      </w:r>
      <w:r>
        <w:rPr>
          <w:rFonts w:hint="eastAsia" w:eastAsia="仿宋_GB2312" w:cs="Times New Roman"/>
          <w:b w:val="0"/>
          <w:bCs w:val="0"/>
          <w:color w:val="000000" w:themeColor="text1"/>
          <w:kern w:val="28"/>
          <w:sz w:val="32"/>
          <w:szCs w:val="32"/>
          <w:highlight w:val="none"/>
          <w:lang w:val="en-US" w:eastAsia="zh-CN" w:bidi="ar-SA"/>
          <w14:textFill>
            <w14:solidFill>
              <w14:schemeClr w14:val="tx1"/>
            </w14:solidFill>
          </w14:textFill>
        </w:rPr>
        <w:t>根据《</w:t>
      </w: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巴音郭楞职业技术学院</w:t>
      </w:r>
      <w:r>
        <w:rPr>
          <w:rFonts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预算绩管理暂行办法</w:t>
      </w:r>
      <w:r>
        <w:rPr>
          <w:rFonts w:hint="eastAsia" w:eastAsia="仿宋_GB2312" w:cs="Times New Roman"/>
          <w:b w:val="0"/>
          <w:bCs w:val="0"/>
          <w:color w:val="000000" w:themeColor="text1"/>
          <w:kern w:val="28"/>
          <w:sz w:val="32"/>
          <w:szCs w:val="32"/>
          <w:highlight w:val="none"/>
          <w:lang w:val="en-US" w:eastAsia="zh-CN" w:bidi="ar-SA"/>
          <w14:textFill>
            <w14:solidFill>
              <w14:schemeClr w14:val="tx1"/>
            </w14:solidFill>
          </w14:textFill>
        </w:rPr>
        <w:t>》，定期开展绩效评价结果反馈和结果应用管理工作。按照学院管理考核办法，将绩效内容执行情况纳入各职能部门、二级学院工作目标考核范畴，并作为重要的二级单位考核依据。对因主观原因导致当年预算绩效管理工作不力，绩效执行及评价结果较差的主要责任人进行问责。</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（4）公开透明。</w:t>
      </w:r>
      <w:r>
        <w:rPr>
          <w:rFonts w:hint="eastAsia" w:eastAsia="仿宋_GB2312" w:cs="Times New Roman"/>
          <w:b w:val="0"/>
          <w:bCs w:val="0"/>
          <w:color w:val="000000" w:themeColor="text1"/>
          <w:kern w:val="28"/>
          <w:sz w:val="32"/>
          <w:szCs w:val="32"/>
          <w:highlight w:val="none"/>
          <w:lang w:val="en-US" w:eastAsia="zh-CN" w:bidi="ar-SA"/>
          <w14:textFill>
            <w14:solidFill>
              <w14:schemeClr w14:val="tx1"/>
            </w14:solidFill>
          </w14:textFill>
        </w:rPr>
        <w:t>学院</w:t>
      </w:r>
      <w:r>
        <w:rPr>
          <w:rFonts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建立</w:t>
      </w:r>
      <w:r>
        <w:rPr>
          <w:rFonts w:hint="eastAsia" w:eastAsia="仿宋_GB2312" w:cs="Times New Roman"/>
          <w:b w:val="0"/>
          <w:bCs w:val="0"/>
          <w:color w:val="000000" w:themeColor="text1"/>
          <w:kern w:val="28"/>
          <w:sz w:val="32"/>
          <w:szCs w:val="32"/>
          <w:highlight w:val="none"/>
          <w:lang w:val="en-US" w:eastAsia="zh-CN" w:bidi="ar-SA"/>
          <w14:textFill>
            <w14:solidFill>
              <w14:schemeClr w14:val="tx1"/>
            </w14:solidFill>
          </w14:textFill>
        </w:rPr>
        <w:t>了</w:t>
      </w:r>
      <w:r>
        <w:rPr>
          <w:rFonts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信息公开机制</w:t>
      </w:r>
      <w:r>
        <w:rPr>
          <w:rFonts w:hint="eastAsia" w:eastAsia="仿宋_GB2312" w:cs="Times New Roman"/>
          <w:b w:val="0"/>
          <w:bCs w:val="0"/>
          <w:color w:val="000000" w:themeColor="text1"/>
          <w:kern w:val="28"/>
          <w:sz w:val="32"/>
          <w:szCs w:val="32"/>
          <w:highlight w:val="none"/>
          <w:lang w:val="en-US" w:eastAsia="zh-CN" w:bidi="ar-SA"/>
          <w14:textFill>
            <w14:solidFill>
              <w14:schemeClr w14:val="tx1"/>
            </w14:solidFill>
          </w14:textFill>
        </w:rPr>
        <w:t>，本次项目</w:t>
      </w:r>
      <w:r>
        <w:rPr>
          <w:rFonts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绩效评价结果</w:t>
      </w:r>
      <w:r>
        <w:rPr>
          <w:rFonts w:hint="eastAsia" w:eastAsia="仿宋_GB2312" w:cs="Times New Roman"/>
          <w:b w:val="0"/>
          <w:bCs w:val="0"/>
          <w:color w:val="000000" w:themeColor="text1"/>
          <w:kern w:val="28"/>
          <w:sz w:val="32"/>
          <w:szCs w:val="32"/>
          <w:highlight w:val="none"/>
          <w:lang w:val="en-US" w:eastAsia="zh-CN" w:bidi="ar-SA"/>
          <w14:textFill>
            <w14:solidFill>
              <w14:schemeClr w14:val="tx1"/>
            </w14:solidFill>
          </w14:textFill>
        </w:rPr>
        <w:t>面向巴音郭楞职业技术学院、教育主管部门、财政部门及</w:t>
      </w:r>
      <w:r>
        <w:rPr>
          <w:rFonts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社会</w:t>
      </w:r>
      <w:r>
        <w:rPr>
          <w:rFonts w:hint="eastAsia" w:eastAsia="仿宋_GB2312" w:cs="Times New Roman"/>
          <w:b w:val="0"/>
          <w:bCs w:val="0"/>
          <w:color w:val="000000" w:themeColor="text1"/>
          <w:kern w:val="28"/>
          <w:sz w:val="32"/>
          <w:szCs w:val="32"/>
          <w:highlight w:val="none"/>
          <w:lang w:val="en-US" w:eastAsia="zh-CN" w:bidi="ar-SA"/>
          <w14:textFill>
            <w14:solidFill>
              <w14:schemeClr w14:val="tx1"/>
            </w14:solidFill>
          </w14:textFill>
        </w:rPr>
        <w:t>公众</w:t>
      </w:r>
      <w:r>
        <w:rPr>
          <w:rFonts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公开</w:t>
      </w:r>
      <w:r>
        <w:rPr>
          <w:rFonts w:hint="eastAsia" w:eastAsia="仿宋_GB2312" w:cs="Times New Roman"/>
          <w:b w:val="0"/>
          <w:bCs w:val="0"/>
          <w:color w:val="000000" w:themeColor="text1"/>
          <w:kern w:val="28"/>
          <w:sz w:val="32"/>
          <w:szCs w:val="32"/>
          <w:highlight w:val="none"/>
          <w:lang w:val="en-US" w:eastAsia="zh-CN" w:bidi="ar-SA"/>
          <w14:textFill>
            <w14:solidFill>
              <w14:schemeClr w14:val="tx1"/>
            </w14:solidFill>
          </w14:textFill>
        </w:rPr>
        <w:t>，</w:t>
      </w:r>
      <w:r>
        <w:rPr>
          <w:rFonts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接受</w:t>
      </w:r>
      <w:r>
        <w:rPr>
          <w:rFonts w:hint="eastAsia" w:eastAsia="仿宋_GB2312" w:cs="Times New Roman"/>
          <w:b w:val="0"/>
          <w:bCs w:val="0"/>
          <w:color w:val="000000" w:themeColor="text1"/>
          <w:kern w:val="28"/>
          <w:sz w:val="32"/>
          <w:szCs w:val="32"/>
          <w:highlight w:val="none"/>
          <w:lang w:val="en-US" w:eastAsia="zh-CN" w:bidi="ar-SA"/>
          <w14:textFill>
            <w14:solidFill>
              <w14:schemeClr w14:val="tx1"/>
            </w14:solidFill>
          </w14:textFill>
        </w:rPr>
        <w:t>相关职能部门及社会公众</w:t>
      </w:r>
      <w:r>
        <w:rPr>
          <w:rFonts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监督</w:t>
      </w:r>
      <w:r>
        <w:rPr>
          <w:rFonts w:hint="eastAsia" w:eastAsia="仿宋_GB2312" w:cs="Times New Roman"/>
          <w:b w:val="0"/>
          <w:bCs w:val="0"/>
          <w:color w:val="000000" w:themeColor="text1"/>
          <w:kern w:val="28"/>
          <w:sz w:val="32"/>
          <w:szCs w:val="32"/>
          <w:highlight w:val="none"/>
          <w:lang w:val="en-US" w:eastAsia="zh-CN" w:bidi="ar-SA"/>
          <w14:textFill>
            <w14:solidFill>
              <w14:schemeClr w14:val="tx1"/>
            </w14:solidFill>
          </w14:textFill>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color w:val="000000"/>
          <w:spacing w:val="17"/>
          <w:sz w:val="32"/>
          <w:szCs w:val="32"/>
          <w:lang w:eastAsia="zh-CN"/>
        </w:rPr>
      </w:pPr>
      <w:r>
        <w:rPr>
          <w:rFonts w:eastAsia="仿宋_GB2312"/>
          <w:color w:val="000000"/>
          <w:spacing w:val="17"/>
          <w:sz w:val="32"/>
          <w:szCs w:val="32"/>
        </w:rPr>
        <w:t>确定各个指标相对于项目总体绩效的权重分值。在绩效评价指标体系中，</w:t>
      </w:r>
      <w:r>
        <w:rPr>
          <w:rFonts w:ascii="Times New Roman" w:hAnsi="Times New Roman" w:eastAsia="仿宋_GB2312" w:cs="Times New Roman"/>
          <w:color w:val="000000"/>
          <w:spacing w:val="17"/>
          <w:sz w:val="32"/>
          <w:szCs w:val="32"/>
        </w:rPr>
        <w:t>项目决策权重为20分，项目过程权重为20分，项目产出权重为40分，项目效益权重为20分。</w:t>
      </w:r>
      <w:r>
        <w:rPr>
          <w:rFonts w:hint="eastAsia" w:ascii="Times New Roman" w:hAnsi="Times New Roman" w:eastAsia="仿宋_GB2312"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lang w:val="en-US" w:eastAsia="zh-CN"/>
        </w:rPr>
        <w:t>与表的权重保持一致</w:t>
      </w:r>
      <w:r>
        <w:rPr>
          <w:rFonts w:hint="eastAsia" w:ascii="Times New Roman" w:hAnsi="Times New Roman" w:eastAsia="仿宋_GB2312" w:cs="Times New Roman"/>
          <w:color w:val="000000"/>
          <w:spacing w:val="17"/>
          <w:sz w:val="32"/>
          <w:szCs w:val="32"/>
          <w:lang w:eastAsia="zh-CN"/>
        </w:rPr>
        <w:t>）</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1"/>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绩效评价从项目决策、项目过程、项目产出、项目效益四个维度进行评价。评价对象为项目目标实施情况，评价核心为资金的支出完成情况和项目的产出效益。</w:t>
      </w:r>
    </w:p>
    <w:p>
      <w:pPr>
        <w:spacing w:line="560" w:lineRule="exact"/>
        <w:ind w:firstLine="640" w:firstLineChars="200"/>
        <w:rPr>
          <w:rFonts w:eastAsia="仿宋_GB2312"/>
          <w:color w:val="000000"/>
          <w:spacing w:val="17"/>
          <w:sz w:val="32"/>
          <w:szCs w:val="32"/>
          <w:highlight w:val="none"/>
        </w:rPr>
      </w:pPr>
      <w:r>
        <w:rPr>
          <w:rFonts w:hint="eastAsia" w:ascii="仿宋_GB2312" w:hAnsi="仿宋_GB2312" w:eastAsia="仿宋_GB2312" w:cs="仿宋_GB2312"/>
          <w:sz w:val="32"/>
          <w:szCs w:val="32"/>
          <w:highlight w:val="none"/>
        </w:rPr>
        <w:t>本次评价指标中，既有定性指标又有定量指标，各类指标因考核内容不同和客观标准不同存在较大差异，因此核定具体指标时采用了不同方法，具体评价方法如</w:t>
      </w:r>
      <w:r>
        <w:rPr>
          <w:rFonts w:eastAsia="仿宋_GB2312"/>
          <w:color w:val="000000"/>
          <w:spacing w:val="17"/>
          <w:sz w:val="32"/>
          <w:szCs w:val="32"/>
          <w:highlight w:val="none"/>
        </w:rPr>
        <w:t>下：</w:t>
      </w:r>
    </w:p>
    <w:p>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（1）比较法</w:t>
      </w:r>
    </w:p>
    <w:p>
      <w:pPr>
        <w:spacing w:line="560" w:lineRule="exact"/>
        <w:ind w:firstLine="640" w:firstLineChars="20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cs="仿宋_GB2312"/>
          <w:color w:val="000000" w:themeColor="text1"/>
          <w:sz w:val="32"/>
          <w:szCs w:val="32"/>
          <w:highlight w:val="none"/>
          <w:lang w:val="en-US" w:eastAsia="zh-CN"/>
          <w14:textFill>
            <w14:solidFill>
              <w14:schemeClr w14:val="tx1"/>
            </w14:solidFill>
          </w14:textFill>
        </w:rPr>
        <w:t>学生奖助学金</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项目选用了比较法，主要通过</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2022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年该项目的实施</w:t>
      </w:r>
      <w:r>
        <w:rPr>
          <w:rFonts w:hint="eastAsia" w:ascii="仿宋_GB2312" w:hAnsi="仿宋_GB2312" w:eastAsia="仿宋_GB2312" w:cs="仿宋_GB2312"/>
          <w:color w:val="000000" w:themeColor="text1"/>
          <w:sz w:val="32"/>
          <w:szCs w:val="32"/>
          <w:highlight w:val="none"/>
          <w14:textFill>
            <w14:solidFill>
              <w14:schemeClr w14:val="tx1"/>
            </w14:solidFill>
          </w14:textFill>
        </w:rPr>
        <w:t>与</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年当年项目</w:t>
      </w:r>
      <w:r>
        <w:rPr>
          <w:rFonts w:hint="eastAsia" w:ascii="仿宋_GB2312" w:hAnsi="仿宋_GB2312" w:eastAsia="仿宋_GB2312" w:cs="仿宋_GB2312"/>
          <w:color w:val="000000" w:themeColor="text1"/>
          <w:sz w:val="32"/>
          <w:szCs w:val="32"/>
          <w:highlight w:val="none"/>
          <w14:textFill>
            <w14:solidFill>
              <w14:schemeClr w14:val="tx1"/>
            </w14:solidFill>
          </w14:textFill>
        </w:rPr>
        <w:t>情况</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进行对比</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比较分析当年项目执行效果同往年项目执行效果进行对比，</w:t>
      </w:r>
      <w:r>
        <w:rPr>
          <w:rFonts w:hint="eastAsia" w:ascii="仿宋_GB2312" w:hAnsi="仿宋_GB2312" w:eastAsia="仿宋_GB2312" w:cs="仿宋_GB2312"/>
          <w:color w:val="000000" w:themeColor="text1"/>
          <w:sz w:val="32"/>
          <w:szCs w:val="32"/>
          <w:highlight w:val="none"/>
          <w14:textFill>
            <w14:solidFill>
              <w14:schemeClr w14:val="tx1"/>
            </w14:solidFill>
          </w14:textFill>
        </w:rPr>
        <w:t>综合分析绩效目标实现程度。</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通过比较分析的形式，就</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当年项目的</w:t>
      </w:r>
      <w:r>
        <w:rPr>
          <w:rFonts w:hint="eastAsia" w:ascii="仿宋_GB2312" w:hAnsi="仿宋_GB2312" w:eastAsia="仿宋_GB2312" w:cs="仿宋_GB2312"/>
          <w:color w:val="000000" w:themeColor="text1"/>
          <w:sz w:val="32"/>
          <w:szCs w:val="32"/>
          <w:highlight w:val="none"/>
          <w14:textFill>
            <w14:solidFill>
              <w14:schemeClr w14:val="tx1"/>
            </w14:solidFill>
          </w14:textFill>
        </w:rPr>
        <w:t>绩效目标</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和</w:t>
      </w:r>
      <w:r>
        <w:rPr>
          <w:rFonts w:hint="eastAsia" w:ascii="仿宋_GB2312" w:hAnsi="仿宋_GB2312" w:eastAsia="仿宋_GB2312" w:cs="仿宋_GB2312"/>
          <w:color w:val="000000" w:themeColor="text1"/>
          <w:sz w:val="32"/>
          <w:szCs w:val="32"/>
          <w:highlight w:val="none"/>
          <w14:textFill>
            <w14:solidFill>
              <w14:schemeClr w14:val="tx1"/>
            </w14:solidFill>
          </w14:textFill>
        </w:rPr>
        <w:t>预算资金执行情况等相关因素进行比较</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通过比较法</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科学</w:t>
      </w:r>
      <w:r>
        <w:rPr>
          <w:rFonts w:hint="eastAsia" w:ascii="仿宋_GB2312" w:hAnsi="仿宋_GB2312" w:eastAsia="仿宋_GB2312" w:cs="仿宋_GB2312"/>
          <w:color w:val="000000" w:themeColor="text1"/>
          <w:sz w:val="32"/>
          <w:szCs w:val="32"/>
          <w:highlight w:val="none"/>
          <w14:textFill>
            <w14:solidFill>
              <w14:schemeClr w14:val="tx1"/>
            </w14:solidFill>
          </w14:textFill>
        </w:rPr>
        <w:t>充分</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地</w:t>
      </w:r>
      <w:r>
        <w:rPr>
          <w:rFonts w:hint="eastAsia" w:ascii="仿宋_GB2312" w:hAnsi="仿宋_GB2312" w:eastAsia="仿宋_GB2312" w:cs="仿宋_GB2312"/>
          <w:color w:val="000000" w:themeColor="text1"/>
          <w:sz w:val="32"/>
          <w:szCs w:val="32"/>
          <w:highlight w:val="none"/>
          <w14:textFill>
            <w14:solidFill>
              <w14:schemeClr w14:val="tx1"/>
            </w14:solidFill>
          </w14:textFill>
        </w:rPr>
        <w:t>体现</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出</w:t>
      </w:r>
      <w:r>
        <w:rPr>
          <w:rFonts w:hint="eastAsia" w:ascii="仿宋_GB2312" w:hAnsi="仿宋_GB2312" w:eastAsia="仿宋_GB2312" w:cs="仿宋_GB2312"/>
          <w:color w:val="000000" w:themeColor="text1"/>
          <w:sz w:val="32"/>
          <w:szCs w:val="32"/>
          <w:highlight w:val="none"/>
          <w14:textFill>
            <w14:solidFill>
              <w14:schemeClr w14:val="tx1"/>
            </w14:solidFill>
          </w14:textFill>
        </w:rPr>
        <w:t>项目执行的效益</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spacing w:line="580" w:lineRule="exact"/>
        <w:ind w:firstLine="708" w:firstLineChars="200"/>
        <w:rPr>
          <w:rFonts w:ascii="Times New Roman" w:hAnsi="Times New Roman" w:eastAsia="仿宋_GB2312" w:cs="Times New Roman"/>
          <w:color w:val="000000" w:themeColor="text1"/>
          <w:spacing w:val="17"/>
          <w:sz w:val="32"/>
          <w:szCs w:val="32"/>
          <w:highlight w:val="none"/>
          <w14:textFill>
            <w14:solidFill>
              <w14:schemeClr w14:val="tx1"/>
            </w14:solidFill>
          </w14:textFill>
        </w:rPr>
      </w:pPr>
      <w:r>
        <w:rPr>
          <w:rFonts w:ascii="Times New Roman" w:hAnsi="Times New Roman" w:eastAsia="仿宋_GB2312" w:cs="Times New Roman"/>
          <w:color w:val="000000" w:themeColor="text1"/>
          <w:spacing w:val="17"/>
          <w:sz w:val="32"/>
          <w:szCs w:val="32"/>
          <w:highlight w:val="none"/>
          <w14:textFill>
            <w14:solidFill>
              <w14:schemeClr w14:val="tx1"/>
            </w14:solidFill>
          </w14:textFill>
        </w:rPr>
        <w:t>（2）因素分析法</w:t>
      </w:r>
    </w:p>
    <w:p>
      <w:pPr>
        <w:spacing w:line="560" w:lineRule="exact"/>
        <w:ind w:firstLine="640"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本次绩效自评内容设置了</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各个具体资助项目的受助人数</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，充分体现数量指标因素。</w:t>
      </w:r>
      <w:r>
        <w:rPr>
          <w:rFonts w:hint="eastAsia" w:ascii="仿宋_GB2312" w:hAnsi="仿宋_GB2312" w:eastAsia="仿宋_GB2312" w:cs="仿宋_GB2312"/>
          <w:color w:val="000000" w:themeColor="text1"/>
          <w:sz w:val="32"/>
          <w:szCs w:val="32"/>
          <w:highlight w:val="none"/>
          <w14:textFill>
            <w14:solidFill>
              <w14:schemeClr w14:val="tx1"/>
            </w14:solidFill>
          </w14:textFill>
        </w:rPr>
        <w:t>通过综合分析</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学院</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资助项目资助人数、资助金额、资助时间</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等</w:t>
      </w:r>
      <w:r>
        <w:rPr>
          <w:rFonts w:hint="eastAsia" w:ascii="仿宋_GB2312" w:hAnsi="仿宋_GB2312" w:eastAsia="仿宋_GB2312" w:cs="仿宋_GB2312"/>
          <w:color w:val="000000" w:themeColor="text1"/>
          <w:sz w:val="32"/>
          <w:szCs w:val="32"/>
          <w:highlight w:val="none"/>
          <w14:textFill>
            <w14:solidFill>
              <w14:schemeClr w14:val="tx1"/>
            </w14:solidFill>
          </w14:textFill>
        </w:rPr>
        <w:t>产出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指标等</w:t>
      </w:r>
      <w:r>
        <w:rPr>
          <w:rFonts w:hint="eastAsia" w:ascii="仿宋_GB2312" w:hAnsi="仿宋_GB2312" w:eastAsia="仿宋_GB2312" w:cs="仿宋_GB2312"/>
          <w:color w:val="000000" w:themeColor="text1"/>
          <w:sz w:val="32"/>
          <w:szCs w:val="32"/>
          <w:highlight w:val="none"/>
          <w14:textFill>
            <w14:solidFill>
              <w14:schemeClr w14:val="tx1"/>
            </w14:solidFill>
          </w14:textFill>
        </w:rPr>
        <w:t>影响绩效目标实现、实施效果的内外因素，评价绩效目标实现程度。</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结合</w:t>
      </w:r>
      <w:r>
        <w:rPr>
          <w:rFonts w:hint="eastAsia" w:ascii="仿宋_GB2312" w:hAnsi="仿宋_GB2312" w:eastAsia="仿宋_GB2312" w:cs="仿宋_GB2312"/>
          <w:color w:val="000000" w:themeColor="text1"/>
          <w:sz w:val="32"/>
          <w:szCs w:val="32"/>
          <w:highlight w:val="none"/>
          <w14:textFill>
            <w14:solidFill>
              <w14:schemeClr w14:val="tx1"/>
            </w14:solidFill>
          </w14:textFill>
        </w:rPr>
        <w:t>对项目的开展情况、自评报告等相关资料的收集和审核，综合分析各因素对绩效目标实现的影响。</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eastAsia="仿宋_GB2312"/>
          <w:bCs/>
          <w:sz w:val="32"/>
          <w:szCs w:val="32"/>
          <w:lang w:val="en-US" w:eastAsia="zh-CN"/>
        </w:rPr>
      </w:pPr>
      <w:r>
        <w:rPr>
          <w:rFonts w:hint="eastAsia" w:eastAsia="仿宋_GB2312"/>
          <w:color w:val="000000"/>
          <w:spacing w:val="17"/>
          <w:sz w:val="32"/>
          <w:szCs w:val="32"/>
        </w:rPr>
        <w:t>绩效评价标准通常包括计划标准准等，用于对绩效指标完成情况进行比较、分析、评价。本次评价主要采用了</w:t>
      </w:r>
      <w:r>
        <w:rPr>
          <w:rFonts w:hint="eastAsia"/>
          <w:color w:val="000000"/>
          <w:spacing w:val="17"/>
          <w:sz w:val="32"/>
          <w:szCs w:val="32"/>
          <w:lang w:val="en-US" w:eastAsia="zh-CN"/>
        </w:rPr>
        <w:t>计划标准。原因在于国家和自治区相关文件已规定了奖助学金的享受标准，不得做多余更改。</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bCs/>
          <w:color w:val="000000" w:themeColor="text1"/>
          <w:sz w:val="32"/>
          <w:szCs w:val="32"/>
          <w:highlight w:val="none"/>
          <w:lang w:eastAsia="zh-CN"/>
          <w14:textFill>
            <w14:solidFill>
              <w14:schemeClr w14:val="tx1"/>
            </w14:solidFill>
          </w14:textFill>
        </w:rPr>
      </w:pPr>
      <w:bookmarkStart w:id="7" w:name="_Toc68703834"/>
      <w:r>
        <w:rPr>
          <w:rFonts w:hint="eastAsia" w:eastAsia="仿宋_GB2312"/>
          <w:bCs/>
          <w:color w:val="000000" w:themeColor="text1"/>
          <w:sz w:val="32"/>
          <w:szCs w:val="32"/>
          <w:highlight w:val="none"/>
          <w:lang w:val="en-US" w:eastAsia="zh-CN"/>
          <w14:textFill>
            <w14:solidFill>
              <w14:schemeClr w14:val="tx1"/>
            </w14:solidFill>
          </w14:textFill>
        </w:rPr>
        <w:t>1.</w:t>
      </w:r>
      <w:r>
        <w:rPr>
          <w:rFonts w:hint="eastAsia" w:eastAsia="仿宋_GB2312"/>
          <w:bCs/>
          <w:color w:val="000000" w:themeColor="text1"/>
          <w:sz w:val="32"/>
          <w:szCs w:val="32"/>
          <w:highlight w:val="none"/>
          <w14:textFill>
            <w14:solidFill>
              <w14:schemeClr w14:val="tx1"/>
            </w14:solidFill>
          </w14:textFill>
        </w:rPr>
        <w:t>前期准备。首先</w:t>
      </w:r>
      <w:r>
        <w:rPr>
          <w:rFonts w:hint="eastAsia"/>
          <w:bCs/>
          <w:color w:val="000000" w:themeColor="text1"/>
          <w:sz w:val="32"/>
          <w:szCs w:val="32"/>
          <w:highlight w:val="none"/>
          <w:lang w:val="en-US" w:eastAsia="zh-CN"/>
          <w14:textFill>
            <w14:solidFill>
              <w14:schemeClr w14:val="tx1"/>
            </w14:solidFill>
          </w14:textFill>
        </w:rPr>
        <w:t>做好学生困难认定</w:t>
      </w:r>
      <w:r>
        <w:rPr>
          <w:rFonts w:hint="eastAsia" w:eastAsia="仿宋_GB2312"/>
          <w:bCs/>
          <w:color w:val="000000" w:themeColor="text1"/>
          <w:sz w:val="32"/>
          <w:szCs w:val="32"/>
          <w:highlight w:val="none"/>
          <w:lang w:eastAsia="zh-CN"/>
          <w14:textFill>
            <w14:solidFill>
              <w14:schemeClr w14:val="tx1"/>
            </w14:solidFill>
          </w14:textFill>
        </w:rPr>
        <w:t>，</w:t>
      </w:r>
      <w:r>
        <w:rPr>
          <w:rFonts w:hint="eastAsia"/>
          <w:bCs/>
          <w:color w:val="000000" w:themeColor="text1"/>
          <w:sz w:val="32"/>
          <w:szCs w:val="32"/>
          <w:highlight w:val="none"/>
          <w:lang w:val="en-US" w:eastAsia="zh-CN"/>
          <w14:textFill>
            <w14:solidFill>
              <w14:schemeClr w14:val="tx1"/>
            </w14:solidFill>
          </w14:textFill>
        </w:rPr>
        <w:t>将全部学生按照困难等级进行划分，划分清楚后进行相关评选；</w:t>
      </w:r>
      <w:r>
        <w:rPr>
          <w:rFonts w:hint="eastAsia" w:eastAsia="仿宋_GB2312"/>
          <w:bCs/>
          <w:color w:val="000000" w:themeColor="text1"/>
          <w:sz w:val="32"/>
          <w:szCs w:val="32"/>
          <w:highlight w:val="none"/>
          <w14:textFill>
            <w14:solidFill>
              <w14:schemeClr w14:val="tx1"/>
            </w14:solidFill>
          </w14:textFill>
        </w:rPr>
        <w:t>其次明确项目绩效目标，设计绩效评价指标体系并确定绩效评价方法</w:t>
      </w:r>
      <w:r>
        <w:rPr>
          <w:rFonts w:hint="eastAsia" w:eastAsia="仿宋_GB2312"/>
          <w:bCs/>
          <w:color w:val="000000" w:themeColor="text1"/>
          <w:sz w:val="32"/>
          <w:szCs w:val="32"/>
          <w:highlight w:val="none"/>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Times New Roman"/>
          <w:bCs/>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2.</w:t>
      </w:r>
      <w:r>
        <w:rPr>
          <w:rFonts w:hint="eastAsia" w:eastAsia="仿宋_GB2312"/>
          <w:bCs/>
          <w:color w:val="000000" w:themeColor="text1"/>
          <w:sz w:val="32"/>
          <w:szCs w:val="32"/>
          <w:highlight w:val="none"/>
          <w14:textFill>
            <w14:solidFill>
              <w14:schemeClr w14:val="tx1"/>
            </w14:solidFill>
          </w14:textFill>
        </w:rPr>
        <w:t>组织实施。制定绩效评价工作方案，具体包括项目概况、评价思路、方法手段、组织实施、进度安排等。收集项目相关会议纪要、资金分配方案、支付管理情况等相关评价资料</w:t>
      </w:r>
      <w:r>
        <w:rPr>
          <w:rFonts w:hint="eastAsia" w:ascii="Times New Roman" w:hAnsi="Times New Roman" w:eastAsia="仿宋_GB2312" w:cs="Times New Roman"/>
          <w:bCs/>
          <w:color w:val="000000" w:themeColor="text1"/>
          <w:sz w:val="32"/>
          <w:szCs w:val="32"/>
          <w:highlight w:val="none"/>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Times New Roman"/>
          <w:bCs/>
          <w:color w:val="000000" w:themeColor="text1"/>
          <w:sz w:val="32"/>
          <w:szCs w:val="32"/>
          <w:highlight w:val="none"/>
          <w14:textFill>
            <w14:solidFill>
              <w14:schemeClr w14:val="tx1"/>
            </w14:solidFill>
          </w14:textFill>
        </w:rPr>
      </w:pPr>
      <w:r>
        <w:rPr>
          <w:rFonts w:hint="eastAsia" w:ascii="Times New Roman" w:hAnsi="Times New Roman" w:eastAsia="仿宋_GB2312" w:cs="Times New Roman"/>
          <w:bCs/>
          <w:color w:val="000000" w:themeColor="text1"/>
          <w:sz w:val="32"/>
          <w:szCs w:val="32"/>
          <w:highlight w:val="none"/>
          <w:lang w:val="en-US" w:eastAsia="zh-CN"/>
          <w14:textFill>
            <w14:solidFill>
              <w14:schemeClr w14:val="tx1"/>
            </w14:solidFill>
          </w14:textFill>
        </w:rPr>
        <w:t>3.</w:t>
      </w:r>
      <w:r>
        <w:rPr>
          <w:rFonts w:hint="eastAsia" w:ascii="Times New Roman" w:hAnsi="Times New Roman" w:eastAsia="仿宋_GB2312" w:cs="Times New Roman"/>
          <w:bCs/>
          <w:color w:val="000000" w:themeColor="text1"/>
          <w:sz w:val="32"/>
          <w:szCs w:val="32"/>
          <w:highlight w:val="none"/>
          <w14:textFill>
            <w14:solidFill>
              <w14:schemeClr w14:val="tx1"/>
            </w14:solidFill>
          </w14:textFill>
        </w:rPr>
        <w:t>分析评价。根据</w:t>
      </w:r>
      <w:r>
        <w:rPr>
          <w:rFonts w:hint="eastAsia" w:ascii="Times New Roman" w:hAnsi="Times New Roman" w:cs="Times New Roman"/>
          <w:bCs/>
          <w:color w:val="000000" w:themeColor="text1"/>
          <w:sz w:val="32"/>
          <w:szCs w:val="32"/>
          <w:highlight w:val="none"/>
          <w:lang w:val="en-US" w:eastAsia="zh-CN"/>
          <w14:textFill>
            <w14:solidFill>
              <w14:schemeClr w14:val="tx1"/>
            </w14:solidFill>
          </w14:textFill>
        </w:rPr>
        <w:t>评选项目</w:t>
      </w:r>
      <w:r>
        <w:rPr>
          <w:rFonts w:hint="eastAsia" w:ascii="Times New Roman" w:hAnsi="Times New Roman" w:eastAsia="仿宋_GB2312" w:cs="Times New Roman"/>
          <w:bCs/>
          <w:color w:val="000000" w:themeColor="text1"/>
          <w:sz w:val="32"/>
          <w:szCs w:val="32"/>
          <w:highlight w:val="none"/>
          <w:lang w:eastAsia="zh-CN"/>
          <w14:textFill>
            <w14:solidFill>
              <w14:schemeClr w14:val="tx1"/>
            </w14:solidFill>
          </w14:textFill>
        </w:rPr>
        <w:t>，落实资金来源，明确绩效目标</w:t>
      </w:r>
      <w:r>
        <w:rPr>
          <w:rFonts w:hint="eastAsia" w:ascii="Times New Roman" w:hAnsi="Times New Roman" w:eastAsia="仿宋_GB2312" w:cs="Times New Roman"/>
          <w:bCs/>
          <w:color w:val="000000" w:themeColor="text1"/>
          <w:sz w:val="32"/>
          <w:szCs w:val="32"/>
          <w:highlight w:val="none"/>
          <w14:textFill>
            <w14:solidFill>
              <w14:schemeClr w14:val="tx1"/>
            </w14:solidFill>
          </w14:textFill>
        </w:rPr>
        <w:t>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b w:val="0"/>
          <w:bCs w:val="0"/>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仿宋_GB2312" w:hAnsi="Times New Roman" w:eastAsia="仿宋_GB2312" w:cs="Times New Roman"/>
          <w:b w:val="0"/>
          <w:bCs w:val="0"/>
        </w:rPr>
        <w:t>本项目严格按照科学公正、统筹兼顾、激励约束、公开透明的绩效评价原则，采用</w:t>
      </w:r>
      <w:r>
        <w:rPr>
          <w:rFonts w:hint="eastAsia" w:ascii="仿宋_GB2312" w:hAnsi="Times New Roman" w:cs="Times New Roman"/>
          <w:b w:val="0"/>
          <w:bCs w:val="0"/>
          <w:lang w:val="en-US" w:eastAsia="zh-CN"/>
        </w:rPr>
        <w:t>因素分析法</w:t>
      </w:r>
      <w:r>
        <w:rPr>
          <w:rFonts w:hint="eastAsia" w:ascii="仿宋_GB2312" w:cs="Times New Roman"/>
          <w:b w:val="0"/>
          <w:bCs w:val="0"/>
          <w:lang w:val="en-US" w:eastAsia="zh-CN"/>
        </w:rPr>
        <w:t>和比较法</w:t>
      </w:r>
      <w:r>
        <w:rPr>
          <w:rFonts w:hint="eastAsia" w:ascii="仿宋_GB2312" w:hAnsi="Times New Roman" w:eastAsia="仿宋_GB2312" w:cs="Times New Roman"/>
          <w:b w:val="0"/>
          <w:bCs w:val="0"/>
        </w:rPr>
        <w:t>，坚持</w:t>
      </w:r>
      <w:r>
        <w:rPr>
          <w:rFonts w:hint="eastAsia" w:ascii="仿宋_GB2312" w:hAnsi="Times New Roman" w:cs="Times New Roman"/>
          <w:b w:val="0"/>
          <w:bCs w:val="0"/>
          <w:lang w:val="en-US" w:eastAsia="zh-CN"/>
        </w:rPr>
        <w:t>计划标准</w:t>
      </w:r>
      <w:r>
        <w:rPr>
          <w:rFonts w:hint="eastAsia" w:ascii="仿宋_GB2312" w:hAnsi="Times New Roman" w:eastAsia="仿宋_GB2312" w:cs="Times New Roman"/>
          <w:b w:val="0"/>
          <w:bCs w:val="0"/>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0000FF"/>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000000" w:themeColor="text1"/>
          <w:highlight w:val="none"/>
          <w14:textFill>
            <w14:solidFill>
              <w14:schemeClr w14:val="tx1"/>
            </w14:solidFill>
          </w14:textFill>
        </w:rPr>
        <w:t>总得分为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分，属于“</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优</w:t>
      </w:r>
      <w:r>
        <w:rPr>
          <w:rFonts w:hint="eastAsia" w:ascii="Times New Roman" w:hAnsi="Times New Roman" w:eastAsia="仿宋_GB2312"/>
          <w:b w:val="0"/>
          <w:bCs w:val="0"/>
          <w:color w:val="000000" w:themeColor="text1"/>
          <w:highlight w:val="none"/>
          <w14:textFill>
            <w14:solidFill>
              <w14:schemeClr w14:val="tx1"/>
            </w14:solidFill>
          </w14:textFill>
        </w:rPr>
        <w:t>”。其中，项目决策类指标权重为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w:t>
      </w:r>
      <w:r>
        <w:rPr>
          <w:rFonts w:hint="eastAsia" w:ascii="Times New Roman" w:hAnsi="Times New Roman" w:eastAsia="仿宋_GB2312"/>
          <w:b w:val="0"/>
          <w:bCs w:val="0"/>
          <w:color w:val="000000" w:themeColor="text1"/>
          <w:highlight w:val="none"/>
          <w14:textFill>
            <w14:solidFill>
              <w14:schemeClr w14:val="tx1"/>
            </w14:solidFill>
          </w14:textFill>
        </w:rPr>
        <w:t>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%。项目过程类指标权重为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%。项目产出类指标权重为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40</w:t>
      </w:r>
      <w:r>
        <w:rPr>
          <w:rFonts w:hint="eastAsia" w:ascii="Times New Roman" w:hAnsi="Times New Roman" w:eastAsia="仿宋_GB2312"/>
          <w:b w:val="0"/>
          <w:bCs w:val="0"/>
          <w:color w:val="000000" w:themeColor="text1"/>
          <w:highlight w:val="none"/>
          <w14:textFill>
            <w14:solidFill>
              <w14:schemeClr w14:val="tx1"/>
            </w14:solidFill>
          </w14:textFill>
        </w:rPr>
        <w:t>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40</w:t>
      </w:r>
      <w:r>
        <w:rPr>
          <w:rFonts w:hint="eastAsia" w:ascii="Times New Roman" w:hAnsi="Times New Roman" w:eastAsia="仿宋_GB2312"/>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%。项目效益类指标权重为20分，得分为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w:t>
      </w: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lang w:val="en-US" w:eastAsia="zh-CN"/>
        </w:rPr>
        <w:t>奖助资金</w:t>
      </w:r>
      <w:r>
        <w:rPr>
          <w:rFonts w:hint="eastAsia"/>
          <w:color w:val="auto"/>
        </w:rPr>
        <w:t>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r>
    </w:tbl>
    <w:p>
      <w:pPr>
        <w:pStyle w:val="11"/>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_GB2312" w:eastAsia="仿宋_GB2312" w:cs="仿宋_GB2312"/>
          <w:b w:val="0"/>
          <w:bCs w:val="0"/>
          <w:kern w:val="2"/>
          <w:sz w:val="32"/>
          <w:szCs w:val="32"/>
          <w:highlight w:val="none"/>
          <w:lang w:val="en-US" w:eastAsia="zh-CN" w:bidi="ar-SA"/>
        </w:rPr>
      </w:pPr>
      <w:bookmarkStart w:id="11" w:name="_Toc68703838"/>
      <w:r>
        <w:rPr>
          <w:rFonts w:hint="eastAsia" w:ascii="仿宋_GB2312" w:hAnsi="仿宋_GB2312" w:eastAsia="仿宋_GB2312" w:cs="仿宋_GB2312"/>
          <w:b w:val="0"/>
          <w:bCs w:val="0"/>
          <w:kern w:val="2"/>
          <w:sz w:val="32"/>
          <w:szCs w:val="32"/>
          <w:highlight w:val="none"/>
          <w:lang w:val="en-US" w:eastAsia="zh-CN" w:bidi="ar-SA"/>
        </w:rPr>
        <w:t>（一）项目决策情况。</w:t>
      </w:r>
      <w:bookmarkEnd w:id="11"/>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项目决策类指标包括项目立项、绩效目标和资金投入三方面的内容，由6个三级指标构成，权重分值为20分，实际得分20分，得分率为100%。</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1.立项依据充分性</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根据财政部、教育部、人力资源社会保障部 退役军人部、中央军委国防动员部关于印发《学生资助资金管理办法》的通知（财教〔2021〕310号）和财政厅 教育厅 人力资源和社会保障厅 退役军人厅 新疆军区参谋部关于印发《关于印发《新疆维吾尔自治区学生资助资金管理办法》的通知新财规【2021】13号文件精神，该项目符合国家相关法律法规及发展政策，符合行业规划要求，围绕本年度工作重点和工作计划制定经费预算，属于公共财政支持范围。本项目与部门内部其他相关项目不重复。部门发展规划及职能文件等归档完整。</w:t>
      </w:r>
    </w:p>
    <w:p>
      <w:pPr>
        <w:pStyle w:val="11"/>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项目申请、设立过程符合相关要求，</w:t>
      </w:r>
      <w:r>
        <w:rPr>
          <w:rFonts w:hint="eastAsia" w:ascii="Times New Roman" w:hAnsi="Times New Roman" w:eastAsia="仿宋_GB2312" w:cs="Times New Roman"/>
          <w:b w:val="0"/>
          <w:bCs w:val="0"/>
          <w:kern w:val="2"/>
          <w:sz w:val="30"/>
          <w:szCs w:val="24"/>
          <w:lang w:val="en-US" w:eastAsia="zh-Hans" w:bidi="ar-SA"/>
        </w:rPr>
        <w:t>严格按照审批流程准备符合要求的文件、材料；</w:t>
      </w:r>
      <w:r>
        <w:rPr>
          <w:rFonts w:hint="eastAsia" w:ascii="Times New Roman" w:hAnsi="Times New Roman" w:eastAsia="仿宋_GB2312" w:cs="Times New Roman"/>
          <w:b w:val="0"/>
          <w:bCs w:val="0"/>
          <w:kern w:val="2"/>
          <w:sz w:val="30"/>
          <w:szCs w:val="24"/>
          <w:lang w:val="en-US" w:eastAsia="zh-CN" w:bidi="ar-SA"/>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学生奖助学金项目设立了项目绩效目标，与学生资助工作具有相关性，项目的预期产出效益和效果也均能符合正常的业绩水平，并且与预算确定的项目投资额或资金量相匹配。</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bookmarkStart w:id="12" w:name="_Hlk68699917"/>
      <w:r>
        <w:rPr>
          <w:rFonts w:hint="eastAsia" w:ascii="Times New Roman" w:hAnsi="Times New Roman" w:eastAsia="仿宋_GB2312" w:cs="Times New Roman"/>
          <w:b w:val="0"/>
          <w:bCs w:val="0"/>
          <w:kern w:val="2"/>
          <w:sz w:val="30"/>
          <w:szCs w:val="24"/>
          <w:lang w:val="en-US" w:eastAsia="zh-CN" w:bidi="ar-SA"/>
        </w:rPr>
        <w:t>学生奖助学金项目将项目绩效目标细化分解为具体的绩效指标，一级指标共4条，二级指标共6条，三级指标共11条，其中量化指标条数共10条，所有绩效指标均通过清晰、可衡量的指标值予以体现，并且做到了与项目目标任务数或计划数相对应。</w:t>
      </w:r>
      <w:bookmarkEnd w:id="12"/>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预算内容与项目内容匹配；预算额度测算依据充分，严格按照标准编制；预算确定的项目投资额或资金量与工作任务相匹配。</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预算资金分配依据是否充分；资金分配额度是否合理，与项目单位或地方实际相适应。</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rPr>
        <w:t>项目过程类指标包括资金管理和组织实施两方面的内容，由5个三级指标构成，权重分值为20分，实际得分20分，得分率为100%。</w:t>
      </w:r>
      <w:r>
        <w:rPr>
          <w:rFonts w:hint="eastAsia"/>
          <w:lang w:val="en-US" w:eastAsia="zh-CN"/>
        </w:rPr>
        <w:t xml:space="preserve">   </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预算资金</w:t>
      </w:r>
      <w:r>
        <w:rPr>
          <w:rFonts w:hint="eastAsia"/>
          <w:color w:val="auto"/>
          <w:lang w:val="en-US" w:eastAsia="zh-CN"/>
        </w:rPr>
        <w:t>1373</w:t>
      </w:r>
      <w:r>
        <w:rPr>
          <w:rFonts w:hint="eastAsia"/>
          <w:color w:val="auto"/>
        </w:rPr>
        <w:t>万元，实际到位资金</w:t>
      </w:r>
      <w:r>
        <w:rPr>
          <w:rFonts w:hint="eastAsia"/>
          <w:color w:val="auto"/>
          <w:lang w:val="en-US" w:eastAsia="zh-CN"/>
        </w:rPr>
        <w:t>1373</w:t>
      </w:r>
      <w:r>
        <w:rPr>
          <w:rFonts w:hint="eastAsia"/>
          <w:color w:val="auto"/>
        </w:rPr>
        <w:t>万元，资金到位率</w:t>
      </w:r>
      <w:r>
        <w:rPr>
          <w:rFonts w:hint="eastAsia"/>
          <w:color w:val="auto"/>
          <w:lang w:val="en-US" w:eastAsia="zh-CN"/>
        </w:rPr>
        <w:t>100</w:t>
      </w:r>
      <w:r>
        <w:rPr>
          <w:rFonts w:hint="eastAsia"/>
          <w:color w:val="auto"/>
        </w:rPr>
        <w:t>%。</w:t>
      </w:r>
    </w:p>
    <w:p>
      <w:pPr>
        <w:pStyle w:val="11"/>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FF0000"/>
        </w:rPr>
      </w:pPr>
      <w:r>
        <w:rPr>
          <w:rFonts w:hint="eastAsia"/>
          <w:color w:val="auto"/>
        </w:rPr>
        <w:t>年初预算数</w:t>
      </w:r>
      <w:r>
        <w:rPr>
          <w:rFonts w:hint="eastAsia"/>
          <w:color w:val="auto"/>
          <w:lang w:val="en-US" w:eastAsia="zh-CN"/>
        </w:rPr>
        <w:t>1373</w:t>
      </w:r>
      <w:r>
        <w:rPr>
          <w:rFonts w:hint="eastAsia"/>
          <w:color w:val="auto"/>
        </w:rPr>
        <w:t>万元，全年预算数</w:t>
      </w:r>
      <w:r>
        <w:rPr>
          <w:rFonts w:hint="eastAsia"/>
          <w:color w:val="auto"/>
          <w:lang w:val="en-US" w:eastAsia="zh-CN"/>
        </w:rPr>
        <w:t>1373</w:t>
      </w:r>
      <w:r>
        <w:rPr>
          <w:rFonts w:hint="eastAsia"/>
          <w:color w:val="auto"/>
        </w:rPr>
        <w:t>万元，全年执行数</w:t>
      </w:r>
      <w:r>
        <w:rPr>
          <w:rFonts w:hint="eastAsia"/>
          <w:color w:val="auto"/>
          <w:lang w:val="en-US" w:eastAsia="zh-CN"/>
        </w:rPr>
        <w:t>1373</w:t>
      </w:r>
      <w:r>
        <w:rPr>
          <w:rFonts w:hint="eastAsia"/>
          <w:color w:val="auto"/>
        </w:rPr>
        <w:t>万元，预算执行率为</w:t>
      </w:r>
      <w:r>
        <w:rPr>
          <w:rFonts w:hint="eastAsia"/>
          <w:color w:val="auto"/>
          <w:lang w:val="en-US" w:eastAsia="zh-CN"/>
        </w:rPr>
        <w:t>100</w:t>
      </w:r>
      <w:r>
        <w:rPr>
          <w:rFonts w:hint="eastAsia"/>
          <w:color w:val="auto"/>
        </w:rPr>
        <w:t>%</w:t>
      </w:r>
    </w:p>
    <w:p>
      <w:pPr>
        <w:pStyle w:val="11"/>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Style w:val="11"/>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1"/>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pStyle w:val="11"/>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11"/>
        <w:ind w:firstLine="600" w:firstLineChars="200"/>
        <w:jc w:val="left"/>
        <w:rPr>
          <w:rFonts w:hint="eastAsia"/>
          <w:lang w:val="en-US" w:eastAsia="zh-CN"/>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val="en-US" w:eastAsia="zh-CN"/>
        </w:rPr>
        <w:t>严格</w:t>
      </w:r>
      <w:r>
        <w:rPr>
          <w:rFonts w:hint="eastAsia"/>
          <w:color w:val="auto"/>
        </w:rPr>
        <w:t>遵守相关法律法规和相关管理规定；项目实施的人员条件、场地设备、信息支撑等落实到位</w:t>
      </w:r>
    </w:p>
    <w:p>
      <w:pPr>
        <w:pStyle w:val="11"/>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numPr>
          <w:ilvl w:val="0"/>
          <w:numId w:val="2"/>
        </w:numPr>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bookmarkStart w:id="14" w:name="_Toc68703840"/>
      <w:r>
        <w:rPr>
          <w:rFonts w:hint="eastAsia" w:ascii="仿宋_GB2312" w:eastAsia="仿宋_GB2312"/>
          <w:b w:val="0"/>
          <w:bCs w:val="0"/>
          <w:highlight w:val="none"/>
        </w:rPr>
        <w:t>项目产出情况。</w:t>
      </w:r>
      <w:bookmarkEnd w:id="14"/>
    </w:p>
    <w:p>
      <w:pPr>
        <w:shd w:val="clear"/>
        <w:spacing w:line="600" w:lineRule="exact"/>
        <w:ind w:firstLine="640" w:firstLineChars="200"/>
        <w:outlineLvl w:val="0"/>
        <w:rPr>
          <w:rFonts w:hint="eastAsia"/>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项目产出类指标包括产出数量、产出质量、产出时效、产出成本四方面的内容，由</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9</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个三级指标构成，权重分为40分，实际得分40分，得分率为100%。具体产出指标完成情况如下：</w:t>
      </w:r>
    </w:p>
    <w:p>
      <w:pPr>
        <w:pStyle w:val="11"/>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1.数量指标完成情况：</w:t>
      </w:r>
    </w:p>
    <w:p>
      <w:pPr>
        <w:pStyle w:val="11"/>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指标1：国家助学金享受人数，指标值：&gt;=3457人，实际完成值=3457人，指标完成率100%；偏差原因：无。</w:t>
      </w:r>
    </w:p>
    <w:p>
      <w:pPr>
        <w:pStyle w:val="11"/>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指标2：发放次数，指标值：&gt;=2次，实际完成值=2次，指标完成率100%；偏差原因：无。</w:t>
      </w:r>
    </w:p>
    <w:p>
      <w:pPr>
        <w:pStyle w:val="11"/>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指标3：国家奖学金获得人数，指标值：=15人，实际完成值=15人，指标完成率100%；偏差原因：无。</w:t>
      </w:r>
    </w:p>
    <w:p>
      <w:pPr>
        <w:pStyle w:val="11"/>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指标4：国家励志奖学金获得人数，指标值：=440人，实际完成值=440人，指标完成率100%；偏差原因：无。</w:t>
      </w:r>
    </w:p>
    <w:p>
      <w:pPr>
        <w:pStyle w:val="11"/>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此项权重分10分，得分10分。</w:t>
      </w:r>
    </w:p>
    <w:p>
      <w:pPr>
        <w:pStyle w:val="11"/>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2.质量指标完成情况：指标1：受助学生中建档立卡学生覆盖率，指标值：=100%，实际完成值=100%，指标完成率100%。偏差原因：无。</w:t>
      </w:r>
    </w:p>
    <w:p>
      <w:pPr>
        <w:pStyle w:val="11"/>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此项权重分10分，得分10分。</w:t>
      </w:r>
    </w:p>
    <w:p>
      <w:pPr>
        <w:pageBreakBefore w:val="0"/>
        <w:numPr>
          <w:ilvl w:val="0"/>
          <w:numId w:val="3"/>
        </w:numPr>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rPr>
        <w:t>时效指标</w:t>
      </w:r>
      <w:r>
        <w:rPr>
          <w:rFonts w:hint="eastAsia"/>
          <w:color w:val="auto"/>
          <w:lang w:eastAsia="zh-CN"/>
        </w:rPr>
        <w:t>完成情况</w:t>
      </w:r>
      <w:r>
        <w:rPr>
          <w:rFonts w:hint="eastAsia"/>
          <w:color w:val="auto"/>
        </w:rPr>
        <w:t>：</w:t>
      </w:r>
      <w:r>
        <w:rPr>
          <w:rFonts w:hint="eastAsia" w:ascii="仿宋_GB2312" w:hAnsi="仿宋_GB2312" w:eastAsia="仿宋_GB2312" w:cs="仿宋_GB2312"/>
          <w:b w:val="0"/>
          <w:bCs w:val="0"/>
          <w:color w:val="auto"/>
          <w:sz w:val="32"/>
          <w:szCs w:val="32"/>
          <w:lang w:val="en-US" w:eastAsia="zh-CN"/>
        </w:rPr>
        <w:t>指标</w:t>
      </w:r>
      <w:r>
        <w:rPr>
          <w:rFonts w:hint="eastAsia" w:ascii="仿宋_GB2312" w:hAnsi="仿宋_GB2312" w:cs="仿宋_GB2312"/>
          <w:b w:val="0"/>
          <w:bCs w:val="0"/>
          <w:color w:val="auto"/>
          <w:sz w:val="32"/>
          <w:szCs w:val="32"/>
          <w:lang w:val="en-US" w:eastAsia="zh-CN"/>
        </w:rPr>
        <w:t>1</w:t>
      </w:r>
      <w:r>
        <w:rPr>
          <w:rFonts w:hint="eastAsia" w:ascii="仿宋_GB2312" w:hAnsi="仿宋_GB2312" w:eastAsia="仿宋_GB2312" w:cs="仿宋_GB2312"/>
          <w:b w:val="0"/>
          <w:bCs w:val="0"/>
          <w:color w:val="auto"/>
          <w:sz w:val="32"/>
          <w:szCs w:val="32"/>
          <w:lang w:val="en-US" w:eastAsia="zh-CN"/>
        </w:rPr>
        <w:t>：奖助学金按规定及时发放率，指标值：=100%，实际完成值=100%，指标完成率100%。</w:t>
      </w:r>
      <w:r>
        <w:rPr>
          <w:rFonts w:hint="eastAsia" w:ascii="仿宋_GB2312" w:hAnsi="仿宋_GB2312" w:eastAsia="仿宋_GB2312" w:cs="仿宋_GB2312"/>
          <w:sz w:val="32"/>
          <w:szCs w:val="32"/>
          <w:highlight w:val="none"/>
          <w:lang w:val="en-US" w:eastAsia="zh-CN"/>
        </w:rPr>
        <w:t>偏差原因：无</w:t>
      </w:r>
      <w:r>
        <w:rPr>
          <w:rFonts w:hint="eastAsia" w:ascii="仿宋_GB2312" w:hAnsi="仿宋_GB2312" w:eastAsia="仿宋_GB2312" w:cs="仿宋_GB2312"/>
          <w:sz w:val="32"/>
          <w:szCs w:val="32"/>
          <w:highlight w:val="none"/>
          <w:lang w:eastAsia="zh-CN"/>
        </w:rPr>
        <w:t>。</w:t>
      </w:r>
    </w:p>
    <w:p>
      <w:pPr>
        <w:pStyle w:val="11"/>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lang w:eastAsia="zh-CN"/>
        </w:rPr>
      </w:pPr>
      <w:r>
        <w:rPr>
          <w:rFonts w:hint="eastAsia" w:ascii="仿宋_GB2312" w:hAnsi="仿宋_GB2312" w:eastAsia="仿宋_GB2312" w:cs="仿宋_GB2312"/>
          <w:b w:val="0"/>
          <w:bCs w:val="0"/>
          <w:color w:val="auto"/>
          <w:sz w:val="32"/>
          <w:szCs w:val="32"/>
          <w:lang w:val="en-US" w:eastAsia="zh-CN"/>
        </w:rPr>
        <w:t>此项权重分10分，得分10分。</w:t>
      </w:r>
    </w:p>
    <w:p>
      <w:pPr>
        <w:pageBreakBefore w:val="0"/>
        <w:numPr>
          <w:ilvl w:val="0"/>
          <w:numId w:val="3"/>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highlight w:val="none"/>
          <w:lang w:eastAsia="zh-CN"/>
        </w:rPr>
      </w:pPr>
      <w:r>
        <w:rPr>
          <w:rFonts w:hint="eastAsia"/>
          <w:color w:val="auto"/>
          <w:highlight w:val="none"/>
          <w:lang w:val="en-US" w:eastAsia="zh-CN"/>
        </w:rPr>
        <w:t>经济成本指标完成情况</w:t>
      </w:r>
      <w:r>
        <w:rPr>
          <w:rFonts w:hint="eastAsia"/>
          <w:color w:val="auto"/>
          <w:highlight w:val="none"/>
          <w:lang w:eastAsia="zh-CN"/>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指标</w:t>
      </w:r>
      <w:r>
        <w:rPr>
          <w:rFonts w:hint="eastAsia" w:ascii="仿宋_GB2312" w:hAnsi="仿宋_GB2312" w:cs="仿宋_GB2312"/>
          <w:b w:val="0"/>
          <w:bCs w:val="0"/>
          <w:color w:val="auto"/>
          <w:sz w:val="32"/>
          <w:szCs w:val="32"/>
          <w:lang w:val="en-US" w:eastAsia="zh-CN"/>
        </w:rPr>
        <w:t>1</w:t>
      </w:r>
      <w:r>
        <w:rPr>
          <w:rFonts w:hint="eastAsia" w:ascii="仿宋_GB2312" w:hAnsi="仿宋_GB2312" w:eastAsia="仿宋_GB2312" w:cs="仿宋_GB2312"/>
          <w:b w:val="0"/>
          <w:bCs w:val="0"/>
          <w:color w:val="auto"/>
          <w:sz w:val="32"/>
          <w:szCs w:val="32"/>
          <w:lang w:val="en-US" w:eastAsia="zh-CN"/>
        </w:rPr>
        <w:t>：国家助学金生均标准，指标值：=3300元，实际完成值&lt;=3300元，指标完成率100%。</w:t>
      </w:r>
      <w:r>
        <w:rPr>
          <w:rFonts w:hint="eastAsia" w:ascii="仿宋_GB2312" w:hAnsi="仿宋_GB2312" w:eastAsia="仿宋_GB2312" w:cs="仿宋_GB2312"/>
          <w:sz w:val="32"/>
          <w:szCs w:val="32"/>
          <w:highlight w:val="none"/>
          <w:lang w:val="en-US" w:eastAsia="zh-CN"/>
        </w:rPr>
        <w:t>偏差原因：无</w:t>
      </w:r>
      <w:r>
        <w:rPr>
          <w:rFonts w:hint="eastAsia" w:ascii="仿宋_GB2312" w:hAnsi="仿宋_GB2312" w:eastAsia="仿宋_GB2312" w:cs="仿宋_GB2312"/>
          <w:sz w:val="32"/>
          <w:szCs w:val="32"/>
          <w:highlight w:val="none"/>
          <w:lang w:eastAsia="zh-CN"/>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指标2：</w:t>
      </w:r>
      <w:r>
        <w:rPr>
          <w:rFonts w:hint="eastAsia" w:ascii="仿宋_GB2312" w:hAnsi="仿宋_GB2312" w:cs="仿宋_GB2312"/>
          <w:b w:val="0"/>
          <w:bCs w:val="0"/>
          <w:color w:val="auto"/>
          <w:sz w:val="32"/>
          <w:szCs w:val="32"/>
          <w:lang w:val="en-US" w:eastAsia="zh-CN"/>
        </w:rPr>
        <w:t>国</w:t>
      </w:r>
      <w:r>
        <w:rPr>
          <w:rFonts w:hint="eastAsia" w:ascii="仿宋_GB2312" w:hAnsi="仿宋_GB2312" w:eastAsia="仿宋_GB2312" w:cs="仿宋_GB2312"/>
          <w:b w:val="0"/>
          <w:bCs w:val="0"/>
          <w:color w:val="auto"/>
          <w:sz w:val="32"/>
          <w:szCs w:val="32"/>
          <w:lang w:val="en-US" w:eastAsia="zh-CN"/>
        </w:rPr>
        <w:t>家奖学金生均标准，指标值：=</w:t>
      </w:r>
      <w:r>
        <w:rPr>
          <w:rFonts w:hint="eastAsia" w:ascii="仿宋_GB2312" w:hAnsi="仿宋_GB2312" w:cs="仿宋_GB2312"/>
          <w:b w:val="0"/>
          <w:bCs w:val="0"/>
          <w:color w:val="auto"/>
          <w:sz w:val="32"/>
          <w:szCs w:val="32"/>
          <w:lang w:val="en-US" w:eastAsia="zh-CN"/>
        </w:rPr>
        <w:t>80</w:t>
      </w:r>
      <w:r>
        <w:rPr>
          <w:rFonts w:hint="eastAsia" w:ascii="仿宋_GB2312" w:hAnsi="仿宋_GB2312" w:eastAsia="仿宋_GB2312" w:cs="仿宋_GB2312"/>
          <w:b w:val="0"/>
          <w:bCs w:val="0"/>
          <w:color w:val="auto"/>
          <w:sz w:val="32"/>
          <w:szCs w:val="32"/>
          <w:lang w:val="en-US" w:eastAsia="zh-CN"/>
        </w:rPr>
        <w:t>00元，实际完成值=</w:t>
      </w:r>
      <w:r>
        <w:rPr>
          <w:rFonts w:hint="eastAsia" w:ascii="仿宋_GB2312" w:hAnsi="仿宋_GB2312" w:cs="仿宋_GB2312"/>
          <w:b w:val="0"/>
          <w:bCs w:val="0"/>
          <w:color w:val="auto"/>
          <w:sz w:val="32"/>
          <w:szCs w:val="32"/>
          <w:lang w:val="en-US" w:eastAsia="zh-CN"/>
        </w:rPr>
        <w:t>80</w:t>
      </w:r>
      <w:r>
        <w:rPr>
          <w:rFonts w:hint="eastAsia" w:ascii="仿宋_GB2312" w:hAnsi="仿宋_GB2312" w:eastAsia="仿宋_GB2312" w:cs="仿宋_GB2312"/>
          <w:b w:val="0"/>
          <w:bCs w:val="0"/>
          <w:color w:val="auto"/>
          <w:sz w:val="32"/>
          <w:szCs w:val="32"/>
          <w:lang w:val="en-US" w:eastAsia="zh-CN"/>
        </w:rPr>
        <w:t>00元，指标完成率100%。</w:t>
      </w:r>
      <w:r>
        <w:rPr>
          <w:rFonts w:hint="eastAsia" w:ascii="仿宋_GB2312" w:hAnsi="仿宋_GB2312" w:eastAsia="仿宋_GB2312" w:cs="仿宋_GB2312"/>
          <w:sz w:val="32"/>
          <w:szCs w:val="32"/>
          <w:highlight w:val="none"/>
          <w:lang w:val="en-US" w:eastAsia="zh-CN"/>
        </w:rPr>
        <w:t>偏差原因：无</w:t>
      </w:r>
      <w:r>
        <w:rPr>
          <w:rFonts w:hint="eastAsia" w:ascii="仿宋_GB2312" w:hAnsi="仿宋_GB2312" w:eastAsia="仿宋_GB2312" w:cs="仿宋_GB2312"/>
          <w:sz w:val="32"/>
          <w:szCs w:val="32"/>
          <w:highlight w:val="none"/>
          <w:lang w:eastAsia="zh-CN"/>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_GB2312" w:eastAsia="仿宋_GB2312" w:cs="仿宋_GB2312"/>
          <w:b w:val="0"/>
          <w:bCs w:val="0"/>
          <w:color w:val="auto"/>
          <w:sz w:val="32"/>
          <w:szCs w:val="32"/>
          <w:lang w:val="en-US" w:eastAsia="zh-CN"/>
        </w:rPr>
        <w:t>指标</w:t>
      </w:r>
      <w:r>
        <w:rPr>
          <w:rFonts w:hint="eastAsia" w:ascii="仿宋_GB2312" w:hAnsi="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cs="仿宋_GB2312"/>
          <w:b w:val="0"/>
          <w:bCs w:val="0"/>
          <w:color w:val="auto"/>
          <w:sz w:val="32"/>
          <w:szCs w:val="32"/>
          <w:lang w:val="en-US" w:eastAsia="zh-CN"/>
        </w:rPr>
        <w:t>国家励志</w:t>
      </w:r>
      <w:r>
        <w:rPr>
          <w:rFonts w:hint="eastAsia" w:ascii="仿宋_GB2312" w:hAnsi="仿宋_GB2312" w:eastAsia="仿宋_GB2312" w:cs="仿宋_GB2312"/>
          <w:b w:val="0"/>
          <w:bCs w:val="0"/>
          <w:color w:val="auto"/>
          <w:sz w:val="32"/>
          <w:szCs w:val="32"/>
          <w:lang w:val="en-US" w:eastAsia="zh-CN"/>
        </w:rPr>
        <w:t>奖学金生均标准，指标值：=</w:t>
      </w:r>
      <w:r>
        <w:rPr>
          <w:rFonts w:hint="eastAsia" w:ascii="仿宋_GB2312" w:hAnsi="仿宋_GB2312" w:cs="仿宋_GB2312"/>
          <w:b w:val="0"/>
          <w:bCs w:val="0"/>
          <w:color w:val="auto"/>
          <w:sz w:val="32"/>
          <w:szCs w:val="32"/>
          <w:lang w:val="en-US" w:eastAsia="zh-CN"/>
        </w:rPr>
        <w:t>50</w:t>
      </w:r>
      <w:r>
        <w:rPr>
          <w:rFonts w:hint="eastAsia" w:ascii="仿宋_GB2312" w:hAnsi="仿宋_GB2312" w:eastAsia="仿宋_GB2312" w:cs="仿宋_GB2312"/>
          <w:b w:val="0"/>
          <w:bCs w:val="0"/>
          <w:color w:val="auto"/>
          <w:sz w:val="32"/>
          <w:szCs w:val="32"/>
          <w:lang w:val="en-US" w:eastAsia="zh-CN"/>
        </w:rPr>
        <w:t>00元，实际完成值=</w:t>
      </w:r>
      <w:r>
        <w:rPr>
          <w:rFonts w:hint="eastAsia" w:ascii="仿宋_GB2312" w:hAnsi="仿宋_GB2312" w:cs="仿宋_GB2312"/>
          <w:b w:val="0"/>
          <w:bCs w:val="0"/>
          <w:color w:val="auto"/>
          <w:sz w:val="32"/>
          <w:szCs w:val="32"/>
          <w:lang w:val="en-US" w:eastAsia="zh-CN"/>
        </w:rPr>
        <w:t>50</w:t>
      </w:r>
      <w:r>
        <w:rPr>
          <w:rFonts w:hint="eastAsia" w:ascii="仿宋_GB2312" w:hAnsi="仿宋_GB2312" w:eastAsia="仿宋_GB2312" w:cs="仿宋_GB2312"/>
          <w:b w:val="0"/>
          <w:bCs w:val="0"/>
          <w:color w:val="auto"/>
          <w:sz w:val="32"/>
          <w:szCs w:val="32"/>
          <w:lang w:val="en-US" w:eastAsia="zh-CN"/>
        </w:rPr>
        <w:t>00元，指标完成率100%。</w:t>
      </w:r>
      <w:r>
        <w:rPr>
          <w:rFonts w:hint="eastAsia" w:ascii="仿宋_GB2312" w:hAnsi="仿宋_GB2312" w:eastAsia="仿宋_GB2312" w:cs="仿宋_GB2312"/>
          <w:sz w:val="32"/>
          <w:szCs w:val="32"/>
          <w:highlight w:val="none"/>
          <w:lang w:val="en-US" w:eastAsia="zh-CN"/>
        </w:rPr>
        <w:t>偏差原因：无</w:t>
      </w:r>
      <w:r>
        <w:rPr>
          <w:rFonts w:hint="eastAsia" w:ascii="仿宋_GB2312" w:hAnsi="仿宋_GB2312" w:eastAsia="仿宋_GB2312" w:cs="仿宋_GB2312"/>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ascii="仿宋_GB2312" w:hAnsi="仿宋_GB2312" w:eastAsia="仿宋_GB2312" w:cs="仿宋_GB2312"/>
          <w:b w:val="0"/>
          <w:bCs w:val="0"/>
          <w:color w:val="auto"/>
          <w:sz w:val="32"/>
          <w:szCs w:val="32"/>
          <w:lang w:val="en-US" w:eastAsia="zh-CN"/>
        </w:rPr>
        <w:t>此项权重分</w:t>
      </w:r>
      <w:r>
        <w:rPr>
          <w:rFonts w:hint="eastAsia" w:ascii="仿宋_GB2312" w:hAnsi="仿宋_GB2312" w:cs="仿宋_GB2312"/>
          <w:b w:val="0"/>
          <w:bCs w:val="0"/>
          <w:color w:val="auto"/>
          <w:sz w:val="32"/>
          <w:szCs w:val="32"/>
          <w:lang w:val="en-US" w:eastAsia="zh-CN"/>
        </w:rPr>
        <w:t>10</w:t>
      </w:r>
      <w:r>
        <w:rPr>
          <w:rFonts w:hint="eastAsia" w:ascii="仿宋_GB2312" w:hAnsi="仿宋_GB2312" w:eastAsia="仿宋_GB2312" w:cs="仿宋_GB2312"/>
          <w:b w:val="0"/>
          <w:bCs w:val="0"/>
          <w:color w:val="auto"/>
          <w:sz w:val="32"/>
          <w:szCs w:val="32"/>
          <w:lang w:val="en-US" w:eastAsia="zh-CN"/>
        </w:rPr>
        <w:t>分，得分</w:t>
      </w:r>
      <w:r>
        <w:rPr>
          <w:rFonts w:hint="eastAsia" w:ascii="仿宋_GB2312" w:hAnsi="仿宋_GB2312" w:cs="仿宋_GB2312"/>
          <w:b w:val="0"/>
          <w:bCs w:val="0"/>
          <w:color w:val="auto"/>
          <w:sz w:val="32"/>
          <w:szCs w:val="32"/>
          <w:lang w:val="en-US" w:eastAsia="zh-CN"/>
        </w:rPr>
        <w:t>10</w:t>
      </w:r>
      <w:r>
        <w:rPr>
          <w:rFonts w:hint="eastAsia" w:ascii="仿宋_GB2312" w:hAnsi="仿宋_GB2312" w:eastAsia="仿宋_GB2312" w:cs="仿宋_GB2312"/>
          <w:b w:val="0"/>
          <w:bCs w:val="0"/>
          <w:color w:val="auto"/>
          <w:sz w:val="32"/>
          <w:szCs w:val="32"/>
          <w:lang w:val="en-US" w:eastAsia="zh-CN"/>
        </w:rPr>
        <w:t>分。</w:t>
      </w:r>
    </w:p>
    <w:p>
      <w:pPr>
        <w:pStyle w:val="4"/>
        <w:pageBreakBefore w:val="0"/>
        <w:numPr>
          <w:ilvl w:val="0"/>
          <w:numId w:val="2"/>
        </w:numPr>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项目效益情况。</w:t>
      </w:r>
      <w:bookmarkEnd w:id="15"/>
    </w:p>
    <w:p>
      <w:pPr>
        <w:shd w:val="clear"/>
        <w:spacing w:line="600" w:lineRule="exact"/>
        <w:ind w:firstLine="640" w:firstLineChars="200"/>
        <w:outlineLvl w:val="0"/>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项目效益类指标包括项目实施效益和满意度两方面的内容，由2个三级指标构成，权重分为20分，实际得分20分，得分率为100%。具体效益指标及满意度指标完成情况如下：</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社会效益指标：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家庭经济困难学生的生活负担，指标值</w:t>
      </w:r>
      <w:r>
        <w:rPr>
          <w:rFonts w:hint="eastAsia" w:ascii="仿宋_GB2312" w:hAnsi="仿宋_GB2312" w:eastAsia="仿宋_GB2312" w:cs="仿宋_GB2312"/>
          <w:sz w:val="32"/>
          <w:szCs w:val="32"/>
          <w:highlight w:val="none"/>
        </w:rPr>
        <w:t>：</w:t>
      </w:r>
      <w:r>
        <w:rPr>
          <w:rFonts w:hint="eastAsia" w:ascii="仿宋_GB2312" w:hAnsi="仿宋_GB2312" w:cs="仿宋_GB2312"/>
          <w:sz w:val="32"/>
          <w:szCs w:val="32"/>
          <w:highlight w:val="none"/>
          <w:lang w:val="en-US" w:eastAsia="zh-CN"/>
        </w:rPr>
        <w:t>有效减轻</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达成目标</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偏差原因：无</w:t>
      </w:r>
      <w:r>
        <w:rPr>
          <w:rFonts w:hint="eastAsia" w:ascii="仿宋_GB2312" w:hAnsi="仿宋_GB2312" w:eastAsia="仿宋_GB2312" w:cs="仿宋_GB2312"/>
          <w:sz w:val="32"/>
          <w:szCs w:val="32"/>
          <w:highlight w:val="none"/>
          <w:lang w:eastAsia="zh-CN"/>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lang w:eastAsia="zh-CN"/>
        </w:rPr>
      </w:pPr>
      <w:r>
        <w:rPr>
          <w:rFonts w:hint="eastAsia" w:ascii="仿宋_GB2312" w:hAnsi="仿宋_GB2312" w:eastAsia="仿宋_GB2312" w:cs="仿宋_GB2312"/>
          <w:b w:val="0"/>
          <w:bCs w:val="0"/>
          <w:color w:val="auto"/>
          <w:sz w:val="32"/>
          <w:szCs w:val="32"/>
          <w:lang w:val="en-US" w:eastAsia="zh-CN"/>
        </w:rPr>
        <w:t>此项权重分</w:t>
      </w:r>
      <w:r>
        <w:rPr>
          <w:rFonts w:hint="eastAsia" w:ascii="仿宋_GB2312" w:hAnsi="仿宋_GB2312" w:cs="仿宋_GB2312"/>
          <w:b w:val="0"/>
          <w:bCs w:val="0"/>
          <w:color w:val="auto"/>
          <w:sz w:val="32"/>
          <w:szCs w:val="32"/>
          <w:lang w:val="en-US" w:eastAsia="zh-CN"/>
        </w:rPr>
        <w:t>10</w:t>
      </w:r>
      <w:r>
        <w:rPr>
          <w:rFonts w:hint="eastAsia" w:ascii="仿宋_GB2312" w:hAnsi="仿宋_GB2312" w:eastAsia="仿宋_GB2312" w:cs="仿宋_GB2312"/>
          <w:b w:val="0"/>
          <w:bCs w:val="0"/>
          <w:color w:val="auto"/>
          <w:sz w:val="32"/>
          <w:szCs w:val="32"/>
          <w:lang w:val="en-US" w:eastAsia="zh-CN"/>
        </w:rPr>
        <w:t>分，得分</w:t>
      </w:r>
      <w:r>
        <w:rPr>
          <w:rFonts w:hint="eastAsia" w:ascii="仿宋_GB2312" w:hAnsi="仿宋_GB2312" w:cs="仿宋_GB2312"/>
          <w:b w:val="0"/>
          <w:bCs w:val="0"/>
          <w:color w:val="auto"/>
          <w:sz w:val="32"/>
          <w:szCs w:val="32"/>
          <w:lang w:val="en-US" w:eastAsia="zh-CN"/>
        </w:rPr>
        <w:t>10</w:t>
      </w:r>
      <w:r>
        <w:rPr>
          <w:rFonts w:hint="eastAsia" w:ascii="仿宋_GB2312" w:hAnsi="仿宋_GB2312" w:eastAsia="仿宋_GB2312" w:cs="仿宋_GB2312"/>
          <w:b w:val="0"/>
          <w:bCs w:val="0"/>
          <w:color w:val="auto"/>
          <w:sz w:val="32"/>
          <w:szCs w:val="32"/>
          <w:lang w:val="en-US" w:eastAsia="zh-CN"/>
        </w:rPr>
        <w:t>分。</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2.满意度指标：</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指标1：学生满意度</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≥90%</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9</w:t>
      </w:r>
      <w:r>
        <w:rPr>
          <w:rFonts w:hint="eastAsia" w:ascii="仿宋_GB2312" w:hAnsi="仿宋_GB2312" w:cs="仿宋_GB2312"/>
          <w:sz w:val="32"/>
          <w:szCs w:val="32"/>
          <w:highlight w:val="none"/>
          <w:lang w:val="en-US" w:eastAsia="zh-CN"/>
        </w:rPr>
        <w:t>1.62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w:t>
      </w:r>
      <w:r>
        <w:rPr>
          <w:rFonts w:hint="eastAsia" w:ascii="仿宋_GB2312" w:hAnsi="仿宋_GB2312" w:cs="仿宋_GB2312"/>
          <w:sz w:val="32"/>
          <w:szCs w:val="32"/>
          <w:highlight w:val="none"/>
          <w:lang w:val="en-US" w:eastAsia="zh-CN"/>
        </w:rPr>
        <w:t>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偏差原因：无。</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lang w:eastAsia="zh-CN"/>
        </w:rPr>
      </w:pPr>
      <w:r>
        <w:rPr>
          <w:rFonts w:hint="eastAsia" w:ascii="仿宋_GB2312" w:hAnsi="仿宋_GB2312" w:eastAsia="仿宋_GB2312" w:cs="仿宋_GB2312"/>
          <w:b w:val="0"/>
          <w:bCs w:val="0"/>
          <w:color w:val="auto"/>
          <w:sz w:val="32"/>
          <w:szCs w:val="32"/>
          <w:lang w:val="en-US" w:eastAsia="zh-CN"/>
        </w:rPr>
        <w:t>此项权重分</w:t>
      </w:r>
      <w:r>
        <w:rPr>
          <w:rFonts w:hint="eastAsia" w:ascii="仿宋_GB2312" w:hAnsi="仿宋_GB2312" w:cs="仿宋_GB2312"/>
          <w:b w:val="0"/>
          <w:bCs w:val="0"/>
          <w:color w:val="auto"/>
          <w:sz w:val="32"/>
          <w:szCs w:val="32"/>
          <w:lang w:val="en-US" w:eastAsia="zh-CN"/>
        </w:rPr>
        <w:t>10</w:t>
      </w:r>
      <w:r>
        <w:rPr>
          <w:rFonts w:hint="eastAsia" w:ascii="仿宋_GB2312" w:hAnsi="仿宋_GB2312" w:eastAsia="仿宋_GB2312" w:cs="仿宋_GB2312"/>
          <w:b w:val="0"/>
          <w:bCs w:val="0"/>
          <w:color w:val="auto"/>
          <w:sz w:val="32"/>
          <w:szCs w:val="32"/>
          <w:lang w:val="en-US" w:eastAsia="zh-CN"/>
        </w:rPr>
        <w:t>分，得分</w:t>
      </w:r>
      <w:r>
        <w:rPr>
          <w:rFonts w:hint="eastAsia" w:ascii="仿宋_GB2312" w:hAnsi="仿宋_GB2312" w:cs="仿宋_GB2312"/>
          <w:b w:val="0"/>
          <w:bCs w:val="0"/>
          <w:color w:val="auto"/>
          <w:sz w:val="32"/>
          <w:szCs w:val="32"/>
          <w:lang w:val="en-US" w:eastAsia="zh-CN"/>
        </w:rPr>
        <w:t>10</w:t>
      </w:r>
      <w:r>
        <w:rPr>
          <w:rFonts w:hint="eastAsia" w:ascii="仿宋_GB2312" w:hAnsi="仿宋_GB2312" w:eastAsia="仿宋_GB2312" w:cs="仿宋_GB2312"/>
          <w:b w:val="0"/>
          <w:bCs w:val="0"/>
          <w:color w:val="auto"/>
          <w:sz w:val="32"/>
          <w:szCs w:val="32"/>
          <w:lang w:val="en-US" w:eastAsia="zh-CN"/>
        </w:rPr>
        <w:t>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pPr>
        <w:pStyle w:val="21"/>
        <w:pageBreakBefore w:val="0"/>
        <w:kinsoku/>
        <w:wordWrap/>
        <w:overflowPunct/>
        <w:topLinePunct w:val="0"/>
        <w:autoSpaceDE/>
        <w:autoSpaceDN/>
        <w:bidi w:val="0"/>
        <w:adjustRightInd/>
        <w:snapToGrid/>
        <w:spacing w:line="560" w:lineRule="exact"/>
        <w:ind w:firstLine="640" w:firstLineChars="200"/>
        <w:textAlignment w:val="auto"/>
        <w:rPr>
          <w:rFonts w:eastAsia="方正仿宋_GBK" w:cs="方正仿宋_GBK"/>
          <w:sz w:val="32"/>
          <w:szCs w:val="32"/>
          <w:highlight w:val="yellow"/>
        </w:rPr>
      </w:pPr>
      <w:r>
        <w:rPr>
          <w:rFonts w:hint="eastAsia" w:ascii="仿宋_GB2312" w:hAnsi="仿宋_GB2312" w:eastAsia="仿宋_GB2312" w:cs="仿宋_GB2312"/>
          <w:sz w:val="32"/>
          <w:szCs w:val="32"/>
          <w:highlight w:val="none"/>
          <w:lang w:val="en-US" w:eastAsia="zh-CN"/>
        </w:rPr>
        <w:t>学生奖助学金项目年初预算1373万元，全年预算1373万元，实际支出1373万元，预算执行率为100%，项目绩效指标总体完成率为100</w:t>
      </w:r>
      <w:r>
        <w:rPr>
          <w:rFonts w:hint="eastAsia" w:ascii="仿宋_GB2312" w:hAnsi="仿宋_GB2312" w:cs="仿宋_GB2312"/>
          <w:sz w:val="32"/>
          <w:szCs w:val="32"/>
          <w:highlight w:val="none"/>
          <w:lang w:val="en-US" w:eastAsia="zh-CN"/>
        </w:rPr>
        <w:t>.9</w:t>
      </w:r>
      <w:r>
        <w:rPr>
          <w:rFonts w:hint="eastAsia" w:ascii="仿宋_GB2312" w:hAnsi="仿宋_GB2312" w:eastAsia="仿宋_GB2312" w:cs="仿宋_GB2312"/>
          <w:sz w:val="32"/>
          <w:szCs w:val="32"/>
          <w:highlight w:val="none"/>
          <w:lang w:val="en-US" w:eastAsia="zh-CN"/>
        </w:rPr>
        <w:t>%，偏差原因：无</w:t>
      </w:r>
      <w:r>
        <w:rPr>
          <w:rFonts w:hint="eastAsia" w:ascii="仿宋_GB2312" w:hAnsi="仿宋_GB2312" w:cs="仿宋_GB2312"/>
          <w:sz w:val="32"/>
          <w:szCs w:val="32"/>
          <w:highlight w:val="none"/>
          <w:lang w:val="en-US" w:eastAsia="zh-CN"/>
        </w:rPr>
        <w:t>。</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ascii="Times New Roman" w:hAnsi="Times New Roman" w:eastAsia="仿宋_GB2312" w:cs="Times New Roman"/>
          <w:b w:val="0"/>
          <w:bCs w:val="0"/>
          <w:color w:val="000000" w:themeColor="text1"/>
          <w:kern w:val="2"/>
          <w:highlight w:val="none"/>
          <w14:textFill>
            <w14:solidFill>
              <w14:schemeClr w14:val="tx1"/>
            </w14:solidFill>
          </w14:textFill>
        </w:rPr>
      </w:pPr>
      <w:bookmarkStart w:id="18" w:name="_Toc68703844"/>
      <w:r>
        <w:rPr>
          <w:rFonts w:ascii="Times New Roman" w:hAnsi="Times New Roman" w:eastAsia="仿宋_GB2312" w:cs="Times New Roman"/>
          <w:b w:val="0"/>
          <w:bCs w:val="0"/>
          <w:color w:val="000000" w:themeColor="text1"/>
          <w:kern w:val="2"/>
          <w:highlight w:val="none"/>
          <w14:textFill>
            <w14:solidFill>
              <w14:schemeClr w14:val="tx1"/>
            </w14:solidFill>
          </w14:textFill>
        </w:rPr>
        <w:t>一是</w:t>
      </w:r>
      <w:r>
        <w:rPr>
          <w:rFonts w:hint="eastAsia" w:ascii="Times New Roman" w:hAnsi="Times New Roman" w:eastAsia="仿宋_GB2312" w:cs="Times New Roman"/>
          <w:b w:val="0"/>
          <w:bCs w:val="0"/>
          <w:color w:val="000000" w:themeColor="text1"/>
          <w:kern w:val="2"/>
          <w:highlight w:val="none"/>
          <w14:textFill>
            <w14:solidFill>
              <w14:schemeClr w14:val="tx1"/>
            </w14:solidFill>
          </w14:textFill>
        </w:rPr>
        <w:t>高度重视绩效评价工作，</w:t>
      </w:r>
      <w:r>
        <w:rPr>
          <w:rFonts w:ascii="Times New Roman" w:hAnsi="Times New Roman" w:eastAsia="仿宋_GB2312" w:cs="Times New Roman"/>
          <w:b w:val="0"/>
          <w:bCs w:val="0"/>
          <w:color w:val="000000" w:themeColor="text1"/>
          <w:kern w:val="2"/>
          <w:highlight w:val="none"/>
          <w14:textFill>
            <w14:solidFill>
              <w14:schemeClr w14:val="tx1"/>
            </w14:solidFill>
          </w14:textFill>
        </w:rPr>
        <w:t>我院高度重视此项工作，明确各职能部门的工作职责，由专人负责该项工作的实施与推进。二是部门协调，齐抓共管。各部门充分发挥职能作用，</w:t>
      </w:r>
      <w:r>
        <w:rPr>
          <w:rFonts w:hint="eastAsia" w:ascii="Times New Roman" w:hAnsi="Times New Roman" w:eastAsia="仿宋_GB2312" w:cs="Times New Roman"/>
          <w:b w:val="0"/>
          <w:bCs w:val="0"/>
          <w:color w:val="000000" w:themeColor="text1"/>
          <w:kern w:val="2"/>
          <w:highlight w:val="none"/>
          <w14:textFill>
            <w14:solidFill>
              <w14:schemeClr w14:val="tx1"/>
            </w14:solidFill>
          </w14:textFill>
        </w:rPr>
        <w:t>在绩效评价过程中，各部门认真提供相关数据，确保绩效评价内容科学、合理</w:t>
      </w:r>
      <w:r>
        <w:rPr>
          <w:rFonts w:ascii="Times New Roman" w:hAnsi="Times New Roman" w:eastAsia="仿宋_GB2312" w:cs="Times New Roman"/>
          <w:b w:val="0"/>
          <w:bCs w:val="0"/>
          <w:color w:val="000000" w:themeColor="text1"/>
          <w:kern w:val="2"/>
          <w:highlight w:val="none"/>
          <w14:textFill>
            <w14:solidFill>
              <w14:schemeClr w14:val="tx1"/>
            </w14:solidFill>
          </w14:textFill>
        </w:rPr>
        <w:t>。三是</w:t>
      </w:r>
      <w:r>
        <w:rPr>
          <w:rFonts w:hint="eastAsia" w:ascii="Times New Roman" w:hAnsi="Times New Roman" w:eastAsia="仿宋_GB2312" w:cs="Times New Roman"/>
          <w:b w:val="0"/>
          <w:bCs w:val="0"/>
          <w:color w:val="000000" w:themeColor="text1"/>
          <w:kern w:val="2"/>
          <w:highlight w:val="none"/>
          <w14:textFill>
            <w14:solidFill>
              <w14:schemeClr w14:val="tx1"/>
            </w14:solidFill>
          </w14:textFill>
        </w:rPr>
        <w:t>及时跟进绩效评价中存在问题，积极沟通，修订和完善绩效评价内容，确保自评报告的质量</w:t>
      </w:r>
      <w:r>
        <w:rPr>
          <w:rFonts w:ascii="Times New Roman" w:hAnsi="Times New Roman" w:eastAsia="仿宋_GB2312" w:cs="Times New Roman"/>
          <w:b w:val="0"/>
          <w:bCs w:val="0"/>
          <w:color w:val="000000" w:themeColor="text1"/>
          <w:kern w:val="2"/>
          <w:highlight w:val="none"/>
          <w14:textFill>
            <w14:solidFill>
              <w14:schemeClr w14:val="tx1"/>
            </w14:solidFill>
          </w14:textFill>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pPr>
        <w:shd w:val="clear"/>
        <w:spacing w:line="600" w:lineRule="exact"/>
        <w:ind w:firstLine="640" w:firstLineChars="200"/>
        <w:outlineLvl w:val="0"/>
        <w:rPr>
          <w:color w:val="FF0000"/>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一是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二是因轮岗、调动、等因素使我单位绩效工作人员流动频繁，造成了工作衔接不到位的情况。</w:t>
      </w:r>
    </w:p>
    <w:p>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FF"/>
          <w:sz w:val="32"/>
          <w:szCs w:val="32"/>
        </w:rPr>
      </w:pPr>
      <w:bookmarkStart w:id="19" w:name="_Toc68703845"/>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9"/>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bookmarkStart w:id="20" w:name="_Toc68703846"/>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3.进一步规范债务偿还的工作程序。确定当年贷款本息偿还金额和其他债务偿还的相关数据，细化实施方案，严格执行资金管理办法和财政资金管理制度，严格按照审定的偿还计划稳步推进工作。</w:t>
      </w:r>
    </w:p>
    <w:p>
      <w:pPr>
        <w:shd w:val="clear"/>
        <w:spacing w:line="600" w:lineRule="exact"/>
        <w:ind w:firstLine="640" w:firstLineChars="200"/>
        <w:outlineLvl w:val="0"/>
        <w:rPr>
          <w:color w:val="000000" w:themeColor="text1"/>
          <w:sz w:val="22"/>
          <w:szCs w:val="28"/>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000000" w:themeColor="text1"/>
          <w:sz w:val="36"/>
          <w:szCs w:val="32"/>
          <w:highlight w:val="none"/>
          <w14:textFill>
            <w14:solidFill>
              <w14:schemeClr w14:val="tx1"/>
            </w14:solidFill>
          </w14:textFill>
        </w:rPr>
        <w:t>。</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5.进一步加强对绩效管理工作的组织领导，提高对预算绩效管理工作重要性的认识，总结经验查找问题，抓紧研究制定更全面更完善的绩效评价管理办法。</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pStyle w:val="12"/>
        <w:spacing w:after="0" w:line="560" w:lineRule="exact"/>
        <w:ind w:left="0" w:leftChars="0" w:firstLine="640"/>
        <w:rPr>
          <w:rFonts w:hint="eastAsia" w:ascii="仿宋_GB2312" w:hAnsi="仿宋_GB2312" w:eastAsia="仿宋_GB2312" w:cs="仿宋_GB2312"/>
          <w:sz w:val="32"/>
          <w:szCs w:val="32"/>
          <w:highlight w:val="none"/>
          <w:lang w:eastAsia="zh-Hans"/>
        </w:rPr>
      </w:pPr>
      <w:r>
        <w:rPr>
          <w:rFonts w:hint="eastAsia" w:ascii="仿宋_GB2312" w:hAnsi="仿宋_GB2312" w:eastAsia="仿宋_GB2312" w:cs="仿宋_GB2312"/>
          <w:sz w:val="32"/>
          <w:szCs w:val="32"/>
          <w:highlight w:val="none"/>
          <w:lang w:eastAsia="zh-Hans"/>
        </w:rPr>
        <w:t>本项目无其他需说明的问题。</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p>
    <w:p>
      <w:pPr>
        <w:pageBreakBefore w:val="0"/>
        <w:kinsoku/>
        <w:wordWrap/>
        <w:overflowPunct/>
        <w:topLinePunct w:val="0"/>
        <w:autoSpaceDE/>
        <w:autoSpaceDN/>
        <w:bidi w:val="0"/>
        <w:adjustRightInd/>
        <w:snapToGrid/>
        <w:spacing w:line="560" w:lineRule="exact"/>
        <w:ind w:firstLine="600" w:firstLineChars="200"/>
        <w:textAlignment w:val="auto"/>
      </w:pPr>
    </w:p>
    <w:p>
      <w:pPr>
        <w:pageBreakBefore w:val="0"/>
        <w:kinsoku/>
        <w:wordWrap/>
        <w:overflowPunct/>
        <w:topLinePunct w:val="0"/>
        <w:autoSpaceDE/>
        <w:autoSpaceDN/>
        <w:bidi w:val="0"/>
        <w:adjustRightInd/>
        <w:snapToGrid/>
        <w:spacing w:line="560" w:lineRule="exact"/>
        <w:ind w:firstLine="600" w:firstLineChars="200"/>
        <w:textAlignment w:val="auto"/>
      </w:pPr>
    </w:p>
    <w:p>
      <w:pPr>
        <w:pStyle w:val="2"/>
      </w:pPr>
    </w:p>
    <w:p>
      <w:pPr>
        <w:pStyle w:val="2"/>
      </w:pPr>
    </w:p>
    <w:p>
      <w:pPr>
        <w:pStyle w:val="2"/>
      </w:pPr>
    </w:p>
    <w:p>
      <w:pPr>
        <w:pStyle w:val="2"/>
      </w:pPr>
    </w:p>
    <w:p>
      <w:pPr>
        <w:pStyle w:val="2"/>
      </w:pPr>
    </w:p>
    <w:p>
      <w:pPr>
        <w:pStyle w:val="2"/>
      </w:pPr>
    </w:p>
    <w:p>
      <w:pPr>
        <w:pStyle w:val="2"/>
      </w:pPr>
    </w:p>
    <w:p>
      <w:pPr>
        <w:pStyle w:val="2"/>
      </w:pPr>
    </w:p>
    <w:p>
      <w:pPr>
        <w:pStyle w:val="2"/>
        <w:sectPr>
          <w:pgSz w:w="11906" w:h="16838"/>
          <w:pgMar w:top="1928" w:right="1531" w:bottom="1701" w:left="1531" w:header="737" w:footer="851" w:gutter="0"/>
          <w:cols w:space="720" w:num="1"/>
          <w:docGrid w:type="lines" w:linePitch="408" w:charSpace="0"/>
        </w:sectPr>
      </w:pPr>
    </w:p>
    <w:p>
      <w:pPr>
        <w:pStyle w:val="2"/>
      </w:pPr>
    </w:p>
    <w:p>
      <w:pPr>
        <w:pStyle w:val="2"/>
      </w:pPr>
    </w:p>
    <w:p>
      <w:pPr>
        <w:pStyle w:val="2"/>
      </w:pPr>
    </w:p>
    <w:p>
      <w:pPr>
        <w:spacing w:line="600" w:lineRule="exact"/>
        <w:rPr>
          <w:rFonts w:hint="eastAsia" w:ascii="黑体" w:hAnsi="黑体" w:eastAsia="黑体" w:cs="黑体"/>
          <w:highlight w:val="none"/>
        </w:rPr>
      </w:pPr>
      <w:r>
        <w:rPr>
          <w:rFonts w:hint="eastAsia" w:ascii="黑体" w:hAnsi="黑体" w:eastAsia="黑体" w:cs="黑体"/>
          <w:bCs/>
          <w:sz w:val="32"/>
          <w:szCs w:val="32"/>
          <w:highlight w:val="none"/>
        </w:rPr>
        <w:t>附件1</w:t>
      </w:r>
    </w:p>
    <w:p>
      <w:pPr>
        <w:spacing w:line="700" w:lineRule="exact"/>
        <w:ind w:firstLine="3373" w:firstLineChars="1200"/>
        <w:jc w:val="both"/>
        <w:rPr>
          <w:sz w:val="28"/>
          <w:szCs w:val="40"/>
          <w:highlight w:val="none"/>
        </w:rPr>
      </w:pPr>
      <w:bookmarkStart w:id="21" w:name="_Toc26499_WPSOffice_Level2"/>
      <w:bookmarkStart w:id="22" w:name="_Toc30064_WPSOffice_Level1"/>
      <w:r>
        <w:rPr>
          <w:rFonts w:hint="eastAsia"/>
          <w:b/>
          <w:bCs/>
          <w:sz w:val="28"/>
          <w:szCs w:val="40"/>
          <w:highlight w:val="none"/>
          <w:lang w:val="en-US" w:eastAsia="zh-CN"/>
        </w:rPr>
        <w:t>2022年学院债务归还项</w:t>
      </w:r>
      <w:r>
        <w:rPr>
          <w:rFonts w:hint="eastAsia"/>
          <w:b/>
          <w:bCs/>
          <w:sz w:val="28"/>
          <w:szCs w:val="40"/>
          <w:highlight w:val="none"/>
        </w:rPr>
        <w:t>目绩效评价指标体系及综合评分表</w:t>
      </w:r>
      <w:bookmarkEnd w:id="21"/>
      <w:bookmarkEnd w:id="22"/>
    </w:p>
    <w:tbl>
      <w:tblPr>
        <w:tblStyle w:val="13"/>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0"/>
        <w:gridCol w:w="764"/>
        <w:gridCol w:w="875"/>
        <w:gridCol w:w="2352"/>
        <w:gridCol w:w="5200"/>
        <w:gridCol w:w="1299"/>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0"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一级指标</w:t>
            </w:r>
          </w:p>
        </w:tc>
        <w:tc>
          <w:tcPr>
            <w:tcW w:w="764"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二级指标</w:t>
            </w:r>
          </w:p>
        </w:tc>
        <w:tc>
          <w:tcPr>
            <w:tcW w:w="875"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三级指标</w:t>
            </w:r>
          </w:p>
        </w:tc>
        <w:tc>
          <w:tcPr>
            <w:tcW w:w="2352"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指标解释</w:t>
            </w:r>
          </w:p>
        </w:tc>
        <w:tc>
          <w:tcPr>
            <w:tcW w:w="5200"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指标说明</w:t>
            </w:r>
          </w:p>
        </w:tc>
        <w:tc>
          <w:tcPr>
            <w:tcW w:w="1299"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权重</w:t>
            </w:r>
          </w:p>
        </w:tc>
        <w:tc>
          <w:tcPr>
            <w:tcW w:w="1363"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0" w:type="dxa"/>
            <w:vMerge w:val="restart"/>
            <w:shd w:val="clear" w:color="auto" w:fill="FFFFFF"/>
            <w:vAlign w:val="center"/>
          </w:tcPr>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r>
              <w:rPr>
                <w:color w:val="000000"/>
                <w:kern w:val="0"/>
                <w:sz w:val="22"/>
                <w:szCs w:val="22"/>
                <w:highlight w:val="none"/>
              </w:rPr>
              <w:t>决策　</w:t>
            </w:r>
          </w:p>
        </w:tc>
        <w:tc>
          <w:tcPr>
            <w:tcW w:w="76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项目立项　</w:t>
            </w:r>
          </w:p>
        </w:tc>
        <w:tc>
          <w:tcPr>
            <w:tcW w:w="875"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立项依据</w:t>
            </w:r>
          </w:p>
          <w:p>
            <w:pPr>
              <w:widowControl/>
              <w:spacing w:line="0" w:lineRule="atLeast"/>
              <w:jc w:val="center"/>
              <w:rPr>
                <w:color w:val="000000"/>
                <w:kern w:val="0"/>
                <w:sz w:val="22"/>
                <w:szCs w:val="22"/>
                <w:highlight w:val="none"/>
              </w:rPr>
            </w:pPr>
            <w:r>
              <w:rPr>
                <w:color w:val="000000"/>
                <w:kern w:val="0"/>
                <w:sz w:val="22"/>
                <w:szCs w:val="22"/>
                <w:highlight w:val="none"/>
              </w:rPr>
              <w:t>充分性</w:t>
            </w:r>
          </w:p>
        </w:tc>
        <w:tc>
          <w:tcPr>
            <w:tcW w:w="2352"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项目立项是否符合法律法规、相关政策、发展规划以及部门职责，用以反映和考核项目立项依据情况。</w:t>
            </w:r>
          </w:p>
        </w:tc>
        <w:tc>
          <w:tcPr>
            <w:tcW w:w="5200" w:type="dxa"/>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①项目立项是否符合国家法律法规、国民经济发展规划和相关政策；</w:t>
            </w:r>
            <w:r>
              <w:rPr>
                <w:color w:val="000000"/>
                <w:kern w:val="0"/>
                <w:sz w:val="22"/>
                <w:szCs w:val="22"/>
                <w:highlight w:val="none"/>
              </w:rPr>
              <w:br w:type="textWrapping"/>
            </w:r>
            <w:r>
              <w:rPr>
                <w:color w:val="000000"/>
                <w:kern w:val="0"/>
                <w:sz w:val="22"/>
                <w:szCs w:val="22"/>
                <w:highlight w:val="none"/>
              </w:rPr>
              <w:t>②项目立项是否符合行业发展规划和政策要求；</w:t>
            </w:r>
            <w:r>
              <w:rPr>
                <w:color w:val="000000"/>
                <w:kern w:val="0"/>
                <w:sz w:val="22"/>
                <w:szCs w:val="22"/>
                <w:highlight w:val="none"/>
              </w:rPr>
              <w:br w:type="textWrapping"/>
            </w:r>
            <w:r>
              <w:rPr>
                <w:color w:val="000000"/>
                <w:kern w:val="0"/>
                <w:sz w:val="22"/>
                <w:szCs w:val="22"/>
                <w:highlight w:val="none"/>
              </w:rPr>
              <w:t>③项目立项是否与部门职责范围相符，属于部门履职所需；</w:t>
            </w:r>
            <w:r>
              <w:rPr>
                <w:color w:val="000000"/>
                <w:kern w:val="0"/>
                <w:sz w:val="22"/>
                <w:szCs w:val="22"/>
                <w:highlight w:val="none"/>
              </w:rPr>
              <w:br w:type="textWrapping"/>
            </w:r>
            <w:r>
              <w:rPr>
                <w:color w:val="000000"/>
                <w:kern w:val="0"/>
                <w:sz w:val="22"/>
                <w:szCs w:val="22"/>
                <w:highlight w:val="none"/>
              </w:rPr>
              <w:t>④项目是否属于公共财政支持范围，是否符合中央、地方事权支出责任划分原则；</w:t>
            </w:r>
            <w:r>
              <w:rPr>
                <w:color w:val="000000"/>
                <w:kern w:val="0"/>
                <w:sz w:val="22"/>
                <w:szCs w:val="22"/>
                <w:highlight w:val="none"/>
              </w:rPr>
              <w:br w:type="textWrapping"/>
            </w:r>
            <w:r>
              <w:rPr>
                <w:color w:val="000000"/>
                <w:kern w:val="0"/>
                <w:sz w:val="22"/>
                <w:szCs w:val="22"/>
                <w:highlight w:val="none"/>
              </w:rPr>
              <w:t>⑤项目是否与相关部门同类项目或部门内部相关项目重复。</w:t>
            </w:r>
          </w:p>
        </w:tc>
        <w:tc>
          <w:tcPr>
            <w:tcW w:w="1299"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0" w:type="dxa"/>
            <w:vMerge w:val="continue"/>
            <w:shd w:val="clear" w:color="auto" w:fill="FFFFFF"/>
            <w:vAlign w:val="center"/>
          </w:tcPr>
          <w:p>
            <w:pPr>
              <w:spacing w:line="0" w:lineRule="atLeast"/>
              <w:jc w:val="center"/>
              <w:rPr>
                <w:color w:val="000000"/>
                <w:kern w:val="0"/>
                <w:sz w:val="22"/>
                <w:szCs w:val="22"/>
                <w:highlight w:val="none"/>
              </w:rPr>
            </w:pPr>
          </w:p>
        </w:tc>
        <w:tc>
          <w:tcPr>
            <w:tcW w:w="764" w:type="dxa"/>
            <w:vMerge w:val="continue"/>
            <w:shd w:val="clear" w:color="auto" w:fill="FFFFFF"/>
            <w:vAlign w:val="center"/>
          </w:tcPr>
          <w:p>
            <w:pPr>
              <w:widowControl/>
              <w:spacing w:line="0" w:lineRule="atLeast"/>
              <w:jc w:val="center"/>
              <w:rPr>
                <w:color w:val="000000"/>
                <w:kern w:val="0"/>
                <w:sz w:val="22"/>
                <w:szCs w:val="22"/>
                <w:highlight w:val="none"/>
              </w:rPr>
            </w:pPr>
          </w:p>
        </w:tc>
        <w:tc>
          <w:tcPr>
            <w:tcW w:w="875"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立项程序</w:t>
            </w:r>
          </w:p>
          <w:p>
            <w:pPr>
              <w:widowControl/>
              <w:spacing w:line="0" w:lineRule="atLeast"/>
              <w:jc w:val="center"/>
              <w:rPr>
                <w:color w:val="000000"/>
                <w:kern w:val="0"/>
                <w:sz w:val="22"/>
                <w:szCs w:val="22"/>
                <w:highlight w:val="none"/>
              </w:rPr>
            </w:pPr>
            <w:r>
              <w:rPr>
                <w:color w:val="000000"/>
                <w:kern w:val="0"/>
                <w:sz w:val="22"/>
                <w:szCs w:val="22"/>
                <w:highlight w:val="none"/>
              </w:rPr>
              <w:t>规范性</w:t>
            </w:r>
          </w:p>
        </w:tc>
        <w:tc>
          <w:tcPr>
            <w:tcW w:w="2352"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项目申请、设立过程是否符合相关要求，用以反映和考核项目立项的规范情况。</w:t>
            </w:r>
          </w:p>
        </w:tc>
        <w:tc>
          <w:tcPr>
            <w:tcW w:w="5200" w:type="dxa"/>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①项目是否按照规定的程序申请设立；</w:t>
            </w:r>
            <w:r>
              <w:rPr>
                <w:color w:val="000000"/>
                <w:kern w:val="0"/>
                <w:sz w:val="22"/>
                <w:szCs w:val="22"/>
                <w:highlight w:val="none"/>
              </w:rPr>
              <w:br w:type="textWrapping"/>
            </w:r>
            <w:r>
              <w:rPr>
                <w:color w:val="000000"/>
                <w:kern w:val="0"/>
                <w:sz w:val="22"/>
                <w:szCs w:val="22"/>
                <w:highlight w:val="none"/>
              </w:rPr>
              <w:t>②审批文件、材料是否符合相关要求；</w:t>
            </w:r>
            <w:r>
              <w:rPr>
                <w:color w:val="000000"/>
                <w:kern w:val="0"/>
                <w:sz w:val="22"/>
                <w:szCs w:val="22"/>
                <w:highlight w:val="none"/>
              </w:rPr>
              <w:br w:type="textWrapping"/>
            </w:r>
            <w:r>
              <w:rPr>
                <w:color w:val="000000"/>
                <w:kern w:val="0"/>
                <w:sz w:val="22"/>
                <w:szCs w:val="22"/>
                <w:highlight w:val="none"/>
              </w:rPr>
              <w:t>③事前是否已经过必要的可行性研究、专家论证、风险评估、绩效评估、集体决策。</w:t>
            </w:r>
          </w:p>
        </w:tc>
        <w:tc>
          <w:tcPr>
            <w:tcW w:w="1299"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0" w:type="dxa"/>
            <w:vMerge w:val="continue"/>
            <w:shd w:val="clear" w:color="auto" w:fill="FFFFFF"/>
            <w:vAlign w:val="center"/>
          </w:tcPr>
          <w:p>
            <w:pPr>
              <w:spacing w:line="0" w:lineRule="atLeast"/>
              <w:jc w:val="center"/>
              <w:rPr>
                <w:color w:val="000000"/>
                <w:kern w:val="0"/>
                <w:sz w:val="22"/>
                <w:szCs w:val="22"/>
                <w:highlight w:val="none"/>
              </w:rPr>
            </w:pPr>
          </w:p>
        </w:tc>
        <w:tc>
          <w:tcPr>
            <w:tcW w:w="76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　</w:t>
            </w:r>
          </w:p>
        </w:tc>
        <w:tc>
          <w:tcPr>
            <w:tcW w:w="875"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2352"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项目所设定的绩效目标是否依据充分，是否符合客观实际，用以反映和考核项目绩效目标与项目实施的相符情况。</w:t>
            </w:r>
          </w:p>
        </w:tc>
        <w:tc>
          <w:tcPr>
            <w:tcW w:w="5200" w:type="dxa"/>
            <w:shd w:val="clear" w:color="000000"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（如未设定预算绩效目标，也可考核其他工作任务目标）</w:t>
            </w:r>
            <w:r>
              <w:rPr>
                <w:color w:val="000000"/>
                <w:kern w:val="0"/>
                <w:sz w:val="22"/>
                <w:szCs w:val="22"/>
                <w:highlight w:val="none"/>
              </w:rPr>
              <w:br w:type="textWrapping"/>
            </w:r>
            <w:r>
              <w:rPr>
                <w:color w:val="000000"/>
                <w:kern w:val="0"/>
                <w:sz w:val="22"/>
                <w:szCs w:val="22"/>
                <w:highlight w:val="none"/>
              </w:rPr>
              <w:t>①项目是否有绩效目标；</w:t>
            </w:r>
            <w:r>
              <w:rPr>
                <w:color w:val="000000"/>
                <w:kern w:val="0"/>
                <w:sz w:val="22"/>
                <w:szCs w:val="22"/>
                <w:highlight w:val="none"/>
              </w:rPr>
              <w:br w:type="textWrapping"/>
            </w:r>
            <w:r>
              <w:rPr>
                <w:color w:val="000000"/>
                <w:kern w:val="0"/>
                <w:sz w:val="22"/>
                <w:szCs w:val="22"/>
                <w:highlight w:val="none"/>
              </w:rPr>
              <w:t>②项目绩效目标与实际工作内容是否具有相关性；</w:t>
            </w:r>
            <w:r>
              <w:rPr>
                <w:color w:val="000000"/>
                <w:kern w:val="0"/>
                <w:sz w:val="22"/>
                <w:szCs w:val="22"/>
                <w:highlight w:val="none"/>
              </w:rPr>
              <w:br w:type="textWrapping"/>
            </w:r>
            <w:r>
              <w:rPr>
                <w:color w:val="000000"/>
                <w:kern w:val="0"/>
                <w:sz w:val="22"/>
                <w:szCs w:val="22"/>
                <w:highlight w:val="none"/>
              </w:rPr>
              <w:t>③项目预期产出效益和效果是否符合正常的业绩水平；</w:t>
            </w:r>
          </w:p>
          <w:p>
            <w:pPr>
              <w:widowControl/>
              <w:spacing w:line="0" w:lineRule="atLeast"/>
              <w:jc w:val="left"/>
              <w:rPr>
                <w:color w:val="000000"/>
                <w:kern w:val="0"/>
                <w:sz w:val="22"/>
                <w:szCs w:val="22"/>
                <w:highlight w:val="none"/>
              </w:rPr>
            </w:pPr>
            <w:r>
              <w:rPr>
                <w:color w:val="000000"/>
                <w:kern w:val="0"/>
                <w:sz w:val="22"/>
                <w:szCs w:val="22"/>
                <w:highlight w:val="none"/>
              </w:rPr>
              <w:t>④是否与预算确定的项目投资额或资金量相匹配。</w:t>
            </w:r>
          </w:p>
        </w:tc>
        <w:tc>
          <w:tcPr>
            <w:tcW w:w="1299"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0" w:type="dxa"/>
            <w:vMerge w:val="continue"/>
            <w:shd w:val="clear" w:color="auto" w:fill="FFFFFF"/>
            <w:vAlign w:val="center"/>
          </w:tcPr>
          <w:p>
            <w:pPr>
              <w:widowControl/>
              <w:spacing w:line="0" w:lineRule="atLeast"/>
              <w:jc w:val="center"/>
              <w:rPr>
                <w:color w:val="000000"/>
                <w:kern w:val="0"/>
                <w:sz w:val="22"/>
                <w:szCs w:val="22"/>
                <w:highlight w:val="none"/>
              </w:rPr>
            </w:pPr>
          </w:p>
        </w:tc>
        <w:tc>
          <w:tcPr>
            <w:tcW w:w="764" w:type="dxa"/>
            <w:vMerge w:val="continue"/>
            <w:shd w:val="clear" w:color="auto" w:fill="FFFFFF"/>
            <w:vAlign w:val="center"/>
          </w:tcPr>
          <w:p>
            <w:pPr>
              <w:widowControl/>
              <w:spacing w:line="0" w:lineRule="atLeast"/>
              <w:jc w:val="center"/>
              <w:rPr>
                <w:color w:val="000000"/>
                <w:kern w:val="0"/>
                <w:sz w:val="22"/>
                <w:szCs w:val="22"/>
                <w:highlight w:val="none"/>
              </w:rPr>
            </w:pPr>
          </w:p>
        </w:tc>
        <w:tc>
          <w:tcPr>
            <w:tcW w:w="875"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绩效指标</w:t>
            </w:r>
          </w:p>
          <w:p>
            <w:pPr>
              <w:widowControl/>
              <w:spacing w:line="0" w:lineRule="atLeast"/>
              <w:jc w:val="center"/>
              <w:rPr>
                <w:color w:val="000000"/>
                <w:kern w:val="0"/>
                <w:sz w:val="22"/>
                <w:szCs w:val="22"/>
                <w:highlight w:val="none"/>
              </w:rPr>
            </w:pPr>
            <w:r>
              <w:rPr>
                <w:color w:val="000000"/>
                <w:kern w:val="0"/>
                <w:sz w:val="22"/>
                <w:szCs w:val="22"/>
                <w:highlight w:val="none"/>
              </w:rPr>
              <w:t>明确性</w:t>
            </w:r>
          </w:p>
        </w:tc>
        <w:tc>
          <w:tcPr>
            <w:tcW w:w="2352"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依据绩效目标设定的绩效指标是否清晰、细化、可衡量等，用以反映和考核项目绩效目标的明细化情况。</w:t>
            </w:r>
          </w:p>
        </w:tc>
        <w:tc>
          <w:tcPr>
            <w:tcW w:w="5200"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①是否将项目绩效目标细化分解为具体的绩效指标；</w:t>
            </w:r>
            <w:r>
              <w:rPr>
                <w:color w:val="000000"/>
                <w:kern w:val="0"/>
                <w:sz w:val="22"/>
                <w:szCs w:val="22"/>
                <w:highlight w:val="none"/>
              </w:rPr>
              <w:br w:type="textWrapping"/>
            </w:r>
            <w:r>
              <w:rPr>
                <w:color w:val="000000"/>
                <w:kern w:val="0"/>
                <w:sz w:val="22"/>
                <w:szCs w:val="22"/>
                <w:highlight w:val="none"/>
              </w:rPr>
              <w:t>②是否通过清晰、可衡量的指标值予以体现；</w:t>
            </w:r>
            <w:r>
              <w:rPr>
                <w:color w:val="000000"/>
                <w:kern w:val="0"/>
                <w:sz w:val="22"/>
                <w:szCs w:val="22"/>
                <w:highlight w:val="none"/>
              </w:rPr>
              <w:br w:type="textWrapping"/>
            </w:r>
            <w:r>
              <w:rPr>
                <w:color w:val="000000"/>
                <w:kern w:val="0"/>
                <w:sz w:val="22"/>
                <w:szCs w:val="22"/>
                <w:highlight w:val="none"/>
              </w:rPr>
              <w:t>③是否与项目目标任务数或计划数相对应。</w:t>
            </w:r>
            <w:r>
              <w:rPr>
                <w:color w:val="000000"/>
                <w:kern w:val="0"/>
                <w:sz w:val="22"/>
                <w:szCs w:val="22"/>
                <w:highlight w:val="none"/>
              </w:rPr>
              <w:br w:type="textWrapping"/>
            </w:r>
          </w:p>
        </w:tc>
        <w:tc>
          <w:tcPr>
            <w:tcW w:w="1299"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0" w:type="dxa"/>
            <w:vMerge w:val="continue"/>
            <w:shd w:val="clear" w:color="auto" w:fill="FFFFFF"/>
            <w:vAlign w:val="center"/>
          </w:tcPr>
          <w:p>
            <w:pPr>
              <w:spacing w:line="0" w:lineRule="atLeast"/>
              <w:jc w:val="center"/>
              <w:rPr>
                <w:color w:val="000000"/>
                <w:kern w:val="0"/>
                <w:sz w:val="22"/>
                <w:szCs w:val="22"/>
                <w:highlight w:val="none"/>
              </w:rPr>
            </w:pPr>
          </w:p>
        </w:tc>
        <w:tc>
          <w:tcPr>
            <w:tcW w:w="76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资金投入</w:t>
            </w:r>
          </w:p>
          <w:p>
            <w:pPr>
              <w:spacing w:line="0" w:lineRule="atLeast"/>
              <w:jc w:val="center"/>
              <w:rPr>
                <w:color w:val="000000"/>
                <w:kern w:val="0"/>
                <w:sz w:val="22"/>
                <w:szCs w:val="22"/>
                <w:highlight w:val="none"/>
              </w:rPr>
            </w:pPr>
            <w:r>
              <w:rPr>
                <w:color w:val="000000"/>
                <w:kern w:val="0"/>
                <w:sz w:val="22"/>
                <w:szCs w:val="22"/>
                <w:highlight w:val="none"/>
              </w:rPr>
              <w:t>　</w:t>
            </w:r>
          </w:p>
        </w:tc>
        <w:tc>
          <w:tcPr>
            <w:tcW w:w="875"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预算编制</w:t>
            </w:r>
          </w:p>
          <w:p>
            <w:pPr>
              <w:widowControl/>
              <w:spacing w:line="0" w:lineRule="atLeast"/>
              <w:jc w:val="center"/>
              <w:rPr>
                <w:color w:val="000000"/>
                <w:kern w:val="0"/>
                <w:sz w:val="22"/>
                <w:szCs w:val="22"/>
                <w:highlight w:val="none"/>
              </w:rPr>
            </w:pPr>
            <w:r>
              <w:rPr>
                <w:color w:val="000000"/>
                <w:kern w:val="0"/>
                <w:sz w:val="22"/>
                <w:szCs w:val="22"/>
                <w:highlight w:val="none"/>
              </w:rPr>
              <w:t>科学性</w:t>
            </w:r>
          </w:p>
        </w:tc>
        <w:tc>
          <w:tcPr>
            <w:tcW w:w="2352"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项目预算编制是否经过科学论证、有明确标准，资金额度与年度目标是否相适应，用以反映和考核项目预算编制的科学性、合理性情况。</w:t>
            </w:r>
          </w:p>
        </w:tc>
        <w:tc>
          <w:tcPr>
            <w:tcW w:w="5200"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①预算编制是否经过科学论证；</w:t>
            </w:r>
            <w:r>
              <w:rPr>
                <w:color w:val="000000"/>
                <w:kern w:val="0"/>
                <w:sz w:val="22"/>
                <w:szCs w:val="22"/>
                <w:highlight w:val="none"/>
              </w:rPr>
              <w:br w:type="textWrapping"/>
            </w:r>
            <w:r>
              <w:rPr>
                <w:color w:val="000000"/>
                <w:kern w:val="0"/>
                <w:sz w:val="22"/>
                <w:szCs w:val="22"/>
                <w:highlight w:val="none"/>
              </w:rPr>
              <w:t>②预算内容与项目内容是否匹配；</w:t>
            </w:r>
            <w:r>
              <w:rPr>
                <w:color w:val="000000"/>
                <w:kern w:val="0"/>
                <w:sz w:val="22"/>
                <w:szCs w:val="22"/>
                <w:highlight w:val="none"/>
              </w:rPr>
              <w:br w:type="textWrapping"/>
            </w:r>
            <w:r>
              <w:rPr>
                <w:color w:val="000000"/>
                <w:kern w:val="0"/>
                <w:sz w:val="22"/>
                <w:szCs w:val="22"/>
                <w:highlight w:val="none"/>
              </w:rPr>
              <w:t>③预算额度测算依据是否充分，是否按照标准编制；</w:t>
            </w:r>
            <w:r>
              <w:rPr>
                <w:color w:val="000000"/>
                <w:kern w:val="0"/>
                <w:sz w:val="22"/>
                <w:szCs w:val="22"/>
                <w:highlight w:val="none"/>
              </w:rPr>
              <w:br w:type="textWrapping"/>
            </w:r>
            <w:r>
              <w:rPr>
                <w:color w:val="000000"/>
                <w:kern w:val="0"/>
                <w:sz w:val="22"/>
                <w:szCs w:val="22"/>
                <w:highlight w:val="none"/>
              </w:rPr>
              <w:t>④预算确定的项目投资额或资金量是否与工作任务相匹配。</w:t>
            </w:r>
          </w:p>
        </w:tc>
        <w:tc>
          <w:tcPr>
            <w:tcW w:w="1299"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0" w:type="dxa"/>
            <w:vMerge w:val="continue"/>
            <w:shd w:val="clear" w:color="auto" w:fill="FFFFFF"/>
            <w:vAlign w:val="center"/>
          </w:tcPr>
          <w:p>
            <w:pPr>
              <w:widowControl/>
              <w:spacing w:line="0" w:lineRule="atLeast"/>
              <w:jc w:val="center"/>
              <w:rPr>
                <w:color w:val="000000"/>
                <w:kern w:val="0"/>
                <w:sz w:val="22"/>
                <w:szCs w:val="22"/>
                <w:highlight w:val="none"/>
              </w:rPr>
            </w:pPr>
          </w:p>
        </w:tc>
        <w:tc>
          <w:tcPr>
            <w:tcW w:w="764" w:type="dxa"/>
            <w:vMerge w:val="continue"/>
            <w:shd w:val="clear" w:color="auto" w:fill="FFFFFF"/>
            <w:vAlign w:val="center"/>
          </w:tcPr>
          <w:p>
            <w:pPr>
              <w:widowControl/>
              <w:spacing w:line="0" w:lineRule="atLeast"/>
              <w:jc w:val="center"/>
              <w:rPr>
                <w:color w:val="000000"/>
                <w:kern w:val="0"/>
                <w:sz w:val="22"/>
                <w:szCs w:val="22"/>
                <w:highlight w:val="none"/>
              </w:rPr>
            </w:pPr>
          </w:p>
        </w:tc>
        <w:tc>
          <w:tcPr>
            <w:tcW w:w="875"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资金分配</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2352"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项目预算资金分配是否有测算依据，与补助单位或地方实际是否相适应，用以反映和考核项目预算资金分配的科学性、合理性情况。</w:t>
            </w:r>
          </w:p>
        </w:tc>
        <w:tc>
          <w:tcPr>
            <w:tcW w:w="5200"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①预算资金分配依据是否充分；</w:t>
            </w:r>
            <w:r>
              <w:rPr>
                <w:color w:val="000000"/>
                <w:kern w:val="0"/>
                <w:sz w:val="22"/>
                <w:szCs w:val="22"/>
                <w:highlight w:val="none"/>
              </w:rPr>
              <w:br w:type="textWrapping"/>
            </w:r>
            <w:r>
              <w:rPr>
                <w:color w:val="000000"/>
                <w:kern w:val="0"/>
                <w:sz w:val="22"/>
                <w:szCs w:val="22"/>
                <w:highlight w:val="none"/>
              </w:rPr>
              <w:t>②资金分配额度是否合理，与项目单位或地方实际是否相适应。</w:t>
            </w:r>
          </w:p>
        </w:tc>
        <w:tc>
          <w:tcPr>
            <w:tcW w:w="1299"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0" w:type="dxa"/>
            <w:vMerge w:val="restart"/>
            <w:shd w:val="clear" w:color="auto" w:fill="FFFFFF"/>
            <w:vAlign w:val="center"/>
          </w:tcPr>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r>
              <w:rPr>
                <w:color w:val="000000"/>
                <w:kern w:val="0"/>
                <w:sz w:val="22"/>
                <w:szCs w:val="22"/>
                <w:highlight w:val="none"/>
              </w:rPr>
              <w:t>过程</w:t>
            </w:r>
          </w:p>
          <w:p>
            <w:pPr>
              <w:widowControl/>
              <w:spacing w:line="0" w:lineRule="atLeast"/>
              <w:jc w:val="center"/>
              <w:rPr>
                <w:color w:val="000000"/>
                <w:kern w:val="0"/>
                <w:sz w:val="22"/>
                <w:szCs w:val="22"/>
                <w:highlight w:val="none"/>
              </w:rPr>
            </w:pPr>
            <w:r>
              <w:rPr>
                <w:color w:val="000000"/>
                <w:kern w:val="0"/>
                <w:sz w:val="22"/>
                <w:szCs w:val="22"/>
                <w:highlight w:val="none"/>
              </w:rPr>
              <w:t>　　</w:t>
            </w:r>
          </w:p>
        </w:tc>
        <w:tc>
          <w:tcPr>
            <w:tcW w:w="76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875"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资金到位率</w:t>
            </w:r>
          </w:p>
        </w:tc>
        <w:tc>
          <w:tcPr>
            <w:tcW w:w="2352"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实际到位资金与预算资金的比率，用以反映和考核资金落实情况对项目实施的总体保障程度。</w:t>
            </w:r>
          </w:p>
        </w:tc>
        <w:tc>
          <w:tcPr>
            <w:tcW w:w="5200"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资金到位率=（实际到位资金/预算资金）×100%。</w:t>
            </w:r>
          </w:p>
          <w:p>
            <w:pPr>
              <w:widowControl/>
              <w:spacing w:line="0" w:lineRule="atLeast"/>
              <w:rPr>
                <w:color w:val="000000"/>
                <w:kern w:val="0"/>
                <w:sz w:val="22"/>
                <w:szCs w:val="22"/>
                <w:highlight w:val="none"/>
              </w:rPr>
            </w:pPr>
            <w:r>
              <w:rPr>
                <w:color w:val="000000"/>
                <w:kern w:val="0"/>
                <w:sz w:val="22"/>
                <w:szCs w:val="22"/>
                <w:highlight w:val="none"/>
              </w:rPr>
              <w:t>实际到位资金：一定时期（本年度或项目期）内落实到具体项目的资金。</w:t>
            </w:r>
          </w:p>
          <w:p>
            <w:pPr>
              <w:widowControl/>
              <w:spacing w:line="0" w:lineRule="atLeast"/>
              <w:rPr>
                <w:color w:val="000000"/>
                <w:kern w:val="0"/>
                <w:sz w:val="22"/>
                <w:szCs w:val="22"/>
                <w:highlight w:val="none"/>
              </w:rPr>
            </w:pPr>
            <w:r>
              <w:rPr>
                <w:color w:val="000000"/>
                <w:kern w:val="0"/>
                <w:sz w:val="22"/>
                <w:szCs w:val="22"/>
                <w:highlight w:val="none"/>
              </w:rPr>
              <w:t>预算资金：一定时期（本年度或项目期）内预算安排到具体项目的资金。</w:t>
            </w:r>
          </w:p>
        </w:tc>
        <w:tc>
          <w:tcPr>
            <w:tcW w:w="1299"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0" w:type="dxa"/>
            <w:vMerge w:val="continue"/>
            <w:shd w:val="clear" w:color="auto" w:fill="FFFFFF"/>
            <w:vAlign w:val="center"/>
          </w:tcPr>
          <w:p>
            <w:pPr>
              <w:spacing w:line="0" w:lineRule="atLeast"/>
              <w:jc w:val="center"/>
              <w:rPr>
                <w:color w:val="000000"/>
                <w:kern w:val="0"/>
                <w:sz w:val="22"/>
                <w:szCs w:val="22"/>
                <w:highlight w:val="none"/>
              </w:rPr>
            </w:pPr>
          </w:p>
        </w:tc>
        <w:tc>
          <w:tcPr>
            <w:tcW w:w="764" w:type="dxa"/>
            <w:vMerge w:val="continue"/>
            <w:shd w:val="clear" w:color="auto" w:fill="FFFFFF"/>
            <w:vAlign w:val="center"/>
          </w:tcPr>
          <w:p>
            <w:pPr>
              <w:spacing w:line="0" w:lineRule="atLeast"/>
              <w:jc w:val="center"/>
              <w:rPr>
                <w:color w:val="000000"/>
                <w:kern w:val="0"/>
                <w:sz w:val="22"/>
                <w:szCs w:val="22"/>
                <w:highlight w:val="none"/>
              </w:rPr>
            </w:pPr>
          </w:p>
        </w:tc>
        <w:tc>
          <w:tcPr>
            <w:tcW w:w="875"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预算执行率</w:t>
            </w:r>
          </w:p>
        </w:tc>
        <w:tc>
          <w:tcPr>
            <w:tcW w:w="2352"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项目预算资金是否按照计划执行，用以反映或考核项目预算执行情况。</w:t>
            </w:r>
          </w:p>
        </w:tc>
        <w:tc>
          <w:tcPr>
            <w:tcW w:w="5200"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预算执行率=（实际支出资金/实际到位资金）×100%。</w:t>
            </w:r>
            <w:r>
              <w:rPr>
                <w:color w:val="000000"/>
                <w:kern w:val="0"/>
                <w:sz w:val="22"/>
                <w:szCs w:val="22"/>
                <w:highlight w:val="none"/>
              </w:rPr>
              <w:br w:type="textWrapping"/>
            </w:r>
            <w:r>
              <w:rPr>
                <w:color w:val="000000"/>
                <w:kern w:val="0"/>
                <w:sz w:val="22"/>
                <w:szCs w:val="22"/>
                <w:highlight w:val="none"/>
              </w:rPr>
              <w:t>实际支出资金：一定时期（本年度或项目期）内项目实际拨付的资金。</w:t>
            </w:r>
          </w:p>
        </w:tc>
        <w:tc>
          <w:tcPr>
            <w:tcW w:w="1299"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0" w:type="dxa"/>
            <w:vMerge w:val="continue"/>
            <w:shd w:val="clear" w:color="auto" w:fill="FFFFFF"/>
            <w:vAlign w:val="center"/>
          </w:tcPr>
          <w:p>
            <w:pPr>
              <w:spacing w:line="0" w:lineRule="atLeast"/>
              <w:jc w:val="center"/>
              <w:rPr>
                <w:color w:val="000000"/>
                <w:kern w:val="0"/>
                <w:sz w:val="22"/>
                <w:szCs w:val="22"/>
                <w:highlight w:val="none"/>
              </w:rPr>
            </w:pPr>
          </w:p>
        </w:tc>
        <w:tc>
          <w:tcPr>
            <w:tcW w:w="76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875"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资金使用</w:t>
            </w:r>
          </w:p>
          <w:p>
            <w:pPr>
              <w:widowControl/>
              <w:spacing w:line="0" w:lineRule="atLeast"/>
              <w:jc w:val="center"/>
              <w:rPr>
                <w:color w:val="000000"/>
                <w:kern w:val="0"/>
                <w:sz w:val="22"/>
                <w:szCs w:val="22"/>
                <w:highlight w:val="none"/>
              </w:rPr>
            </w:pPr>
            <w:r>
              <w:rPr>
                <w:color w:val="000000"/>
                <w:kern w:val="0"/>
                <w:sz w:val="22"/>
                <w:szCs w:val="22"/>
                <w:highlight w:val="none"/>
              </w:rPr>
              <w:t>合规性</w:t>
            </w:r>
          </w:p>
        </w:tc>
        <w:tc>
          <w:tcPr>
            <w:tcW w:w="2352"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项目资金使用是否符合相关的财务管理制度规定，用以反映和考核项目资金的规范运行情况。</w:t>
            </w:r>
          </w:p>
        </w:tc>
        <w:tc>
          <w:tcPr>
            <w:tcW w:w="5200"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①是否符合国家财经法规和财务管理制度以及有关专项资金管理办法的规定；</w:t>
            </w:r>
            <w:r>
              <w:rPr>
                <w:color w:val="000000"/>
                <w:kern w:val="0"/>
                <w:sz w:val="22"/>
                <w:szCs w:val="22"/>
                <w:highlight w:val="none"/>
              </w:rPr>
              <w:br w:type="textWrapping"/>
            </w:r>
            <w:r>
              <w:rPr>
                <w:color w:val="000000"/>
                <w:kern w:val="0"/>
                <w:sz w:val="22"/>
                <w:szCs w:val="22"/>
                <w:highlight w:val="none"/>
              </w:rPr>
              <w:t>②资金的拨付是否有完整的审批程序和手续；</w:t>
            </w:r>
            <w:r>
              <w:rPr>
                <w:color w:val="000000"/>
                <w:kern w:val="0"/>
                <w:sz w:val="22"/>
                <w:szCs w:val="22"/>
                <w:highlight w:val="none"/>
              </w:rPr>
              <w:br w:type="textWrapping"/>
            </w:r>
            <w:r>
              <w:rPr>
                <w:color w:val="000000"/>
                <w:kern w:val="0"/>
                <w:sz w:val="22"/>
                <w:szCs w:val="22"/>
                <w:highlight w:val="none"/>
              </w:rPr>
              <w:t>③是否符合项目预算批复或合同规定的用途；</w:t>
            </w:r>
            <w:r>
              <w:rPr>
                <w:color w:val="000000"/>
                <w:kern w:val="0"/>
                <w:sz w:val="22"/>
                <w:szCs w:val="22"/>
                <w:highlight w:val="none"/>
              </w:rPr>
              <w:br w:type="textWrapping"/>
            </w:r>
            <w:r>
              <w:rPr>
                <w:color w:val="000000"/>
                <w:kern w:val="0"/>
                <w:sz w:val="22"/>
                <w:szCs w:val="22"/>
                <w:highlight w:val="none"/>
              </w:rPr>
              <w:t>④是否存在截留、挤占、挪用、虚列支出等情况。</w:t>
            </w:r>
          </w:p>
        </w:tc>
        <w:tc>
          <w:tcPr>
            <w:tcW w:w="1299"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0" w:type="dxa"/>
            <w:vMerge w:val="continue"/>
            <w:shd w:val="clear" w:color="auto" w:fill="FFFFFF"/>
            <w:vAlign w:val="center"/>
          </w:tcPr>
          <w:p>
            <w:pPr>
              <w:spacing w:line="0" w:lineRule="atLeast"/>
              <w:jc w:val="center"/>
              <w:rPr>
                <w:color w:val="000000"/>
                <w:kern w:val="0"/>
                <w:sz w:val="22"/>
                <w:szCs w:val="22"/>
                <w:highlight w:val="none"/>
              </w:rPr>
            </w:pPr>
          </w:p>
        </w:tc>
        <w:tc>
          <w:tcPr>
            <w:tcW w:w="76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组织实施</w:t>
            </w:r>
          </w:p>
          <w:p>
            <w:pPr>
              <w:spacing w:line="0" w:lineRule="atLeast"/>
              <w:jc w:val="center"/>
              <w:rPr>
                <w:color w:val="000000"/>
                <w:kern w:val="0"/>
                <w:sz w:val="22"/>
                <w:szCs w:val="22"/>
                <w:highlight w:val="none"/>
              </w:rPr>
            </w:pPr>
            <w:r>
              <w:rPr>
                <w:color w:val="000000"/>
                <w:kern w:val="0"/>
                <w:sz w:val="22"/>
                <w:szCs w:val="22"/>
                <w:highlight w:val="none"/>
              </w:rPr>
              <w:t>　</w:t>
            </w:r>
          </w:p>
        </w:tc>
        <w:tc>
          <w:tcPr>
            <w:tcW w:w="875"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管理制度</w:t>
            </w:r>
          </w:p>
          <w:p>
            <w:pPr>
              <w:widowControl/>
              <w:spacing w:line="0" w:lineRule="atLeast"/>
              <w:jc w:val="center"/>
              <w:rPr>
                <w:color w:val="000000"/>
                <w:kern w:val="0"/>
                <w:sz w:val="22"/>
                <w:szCs w:val="22"/>
                <w:highlight w:val="none"/>
              </w:rPr>
            </w:pPr>
            <w:r>
              <w:rPr>
                <w:color w:val="000000"/>
                <w:kern w:val="0"/>
                <w:sz w:val="22"/>
                <w:szCs w:val="22"/>
                <w:highlight w:val="none"/>
              </w:rPr>
              <w:t>健全性</w:t>
            </w:r>
          </w:p>
        </w:tc>
        <w:tc>
          <w:tcPr>
            <w:tcW w:w="2352"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项目实施单位的财务和业务管理制度是否健全，用以反映和考核财务和业务管理制度对项目顺利实施的保障情况。</w:t>
            </w:r>
          </w:p>
        </w:tc>
        <w:tc>
          <w:tcPr>
            <w:tcW w:w="5200"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①是否已制定或具有相应的财务和业务管理制度；</w:t>
            </w:r>
            <w:r>
              <w:rPr>
                <w:color w:val="000000"/>
                <w:kern w:val="0"/>
                <w:sz w:val="22"/>
                <w:szCs w:val="22"/>
                <w:highlight w:val="none"/>
              </w:rPr>
              <w:br w:type="textWrapping"/>
            </w:r>
            <w:r>
              <w:rPr>
                <w:color w:val="000000"/>
                <w:kern w:val="0"/>
                <w:sz w:val="22"/>
                <w:szCs w:val="22"/>
                <w:highlight w:val="none"/>
              </w:rPr>
              <w:t>②财务和业务管理制度是否合法、合规、完整。</w:t>
            </w:r>
          </w:p>
        </w:tc>
        <w:tc>
          <w:tcPr>
            <w:tcW w:w="1299"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0" w:type="dxa"/>
            <w:vMerge w:val="continue"/>
            <w:shd w:val="clear" w:color="auto" w:fill="FFFFFF"/>
            <w:vAlign w:val="center"/>
          </w:tcPr>
          <w:p>
            <w:pPr>
              <w:widowControl/>
              <w:spacing w:line="0" w:lineRule="atLeast"/>
              <w:jc w:val="center"/>
              <w:rPr>
                <w:color w:val="000000"/>
                <w:kern w:val="0"/>
                <w:sz w:val="22"/>
                <w:szCs w:val="22"/>
                <w:highlight w:val="none"/>
              </w:rPr>
            </w:pPr>
          </w:p>
        </w:tc>
        <w:tc>
          <w:tcPr>
            <w:tcW w:w="764" w:type="dxa"/>
            <w:vMerge w:val="continue"/>
            <w:shd w:val="clear" w:color="auto" w:fill="FFFFFF"/>
            <w:vAlign w:val="center"/>
          </w:tcPr>
          <w:p>
            <w:pPr>
              <w:widowControl/>
              <w:spacing w:line="0" w:lineRule="atLeast"/>
              <w:jc w:val="center"/>
              <w:rPr>
                <w:color w:val="000000"/>
                <w:kern w:val="0"/>
                <w:sz w:val="22"/>
                <w:szCs w:val="22"/>
                <w:highlight w:val="none"/>
              </w:rPr>
            </w:pPr>
          </w:p>
        </w:tc>
        <w:tc>
          <w:tcPr>
            <w:tcW w:w="875"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制度执行</w:t>
            </w:r>
          </w:p>
          <w:p>
            <w:pPr>
              <w:widowControl/>
              <w:spacing w:line="0" w:lineRule="atLeast"/>
              <w:jc w:val="center"/>
              <w:rPr>
                <w:color w:val="000000"/>
                <w:kern w:val="0"/>
                <w:sz w:val="22"/>
                <w:szCs w:val="22"/>
                <w:highlight w:val="none"/>
              </w:rPr>
            </w:pPr>
            <w:r>
              <w:rPr>
                <w:color w:val="000000"/>
                <w:kern w:val="0"/>
                <w:sz w:val="22"/>
                <w:szCs w:val="22"/>
                <w:highlight w:val="none"/>
              </w:rPr>
              <w:t>有效性</w:t>
            </w:r>
          </w:p>
        </w:tc>
        <w:tc>
          <w:tcPr>
            <w:tcW w:w="2352"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项目实施是否符合相关管理规定，用以反映和考核相关管理制度的有效执行情况。</w:t>
            </w:r>
          </w:p>
        </w:tc>
        <w:tc>
          <w:tcPr>
            <w:tcW w:w="5200"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①是否遵守相关法律法规和相关管理规定；</w:t>
            </w:r>
            <w:r>
              <w:rPr>
                <w:color w:val="000000"/>
                <w:kern w:val="0"/>
                <w:sz w:val="22"/>
                <w:szCs w:val="22"/>
                <w:highlight w:val="none"/>
              </w:rPr>
              <w:br w:type="textWrapping"/>
            </w:r>
            <w:r>
              <w:rPr>
                <w:color w:val="000000"/>
                <w:kern w:val="0"/>
                <w:sz w:val="22"/>
                <w:szCs w:val="22"/>
                <w:highlight w:val="none"/>
              </w:rPr>
              <w:t>②项目调整及支出调整手续是否完备；</w:t>
            </w:r>
            <w:r>
              <w:rPr>
                <w:color w:val="000000"/>
                <w:kern w:val="0"/>
                <w:sz w:val="22"/>
                <w:szCs w:val="22"/>
                <w:highlight w:val="none"/>
              </w:rPr>
              <w:br w:type="textWrapping"/>
            </w:r>
            <w:r>
              <w:rPr>
                <w:color w:val="000000"/>
                <w:kern w:val="0"/>
                <w:sz w:val="22"/>
                <w:szCs w:val="22"/>
                <w:highlight w:val="none"/>
              </w:rPr>
              <w:t>③项目合同书、验收报告、技术鉴定等资料是否齐全并及时归档；</w:t>
            </w:r>
            <w:r>
              <w:rPr>
                <w:color w:val="000000"/>
                <w:kern w:val="0"/>
                <w:sz w:val="22"/>
                <w:szCs w:val="22"/>
                <w:highlight w:val="none"/>
              </w:rPr>
              <w:br w:type="textWrapping"/>
            </w:r>
            <w:r>
              <w:rPr>
                <w:color w:val="000000"/>
                <w:kern w:val="0"/>
                <w:sz w:val="22"/>
                <w:szCs w:val="22"/>
                <w:highlight w:val="none"/>
              </w:rPr>
              <w:t>④项目实施的人员条件、场地设备、信息支撑等是否落实到位。</w:t>
            </w:r>
          </w:p>
        </w:tc>
        <w:tc>
          <w:tcPr>
            <w:tcW w:w="1299"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0"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76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产出数量</w:t>
            </w:r>
          </w:p>
        </w:tc>
        <w:tc>
          <w:tcPr>
            <w:tcW w:w="875"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实际完成率</w:t>
            </w:r>
          </w:p>
        </w:tc>
        <w:tc>
          <w:tcPr>
            <w:tcW w:w="2352"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项目实施的实际产出数与计划产出数的比率，用以反映和考核项目产出数量目标的实现程度。</w:t>
            </w:r>
          </w:p>
        </w:tc>
        <w:tc>
          <w:tcPr>
            <w:tcW w:w="5200"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实际完成率=（实际产出数/计划产出数）×100%。</w:t>
            </w:r>
            <w:r>
              <w:rPr>
                <w:color w:val="000000"/>
                <w:kern w:val="0"/>
                <w:sz w:val="22"/>
                <w:szCs w:val="22"/>
                <w:highlight w:val="none"/>
              </w:rPr>
              <w:br w:type="textWrapping"/>
            </w:r>
            <w:r>
              <w:rPr>
                <w:color w:val="000000"/>
                <w:kern w:val="0"/>
                <w:sz w:val="22"/>
                <w:szCs w:val="22"/>
                <w:highlight w:val="none"/>
              </w:rPr>
              <w:t>实际产出数：一定时期（本年度或项目期）内项目实际产出的产品或提供的服务数量。</w:t>
            </w:r>
            <w:r>
              <w:rPr>
                <w:color w:val="000000"/>
                <w:kern w:val="0"/>
                <w:sz w:val="22"/>
                <w:szCs w:val="22"/>
                <w:highlight w:val="none"/>
              </w:rPr>
              <w:br w:type="textWrapping"/>
            </w:r>
            <w:r>
              <w:rPr>
                <w:color w:val="000000"/>
                <w:kern w:val="0"/>
                <w:sz w:val="22"/>
                <w:szCs w:val="22"/>
                <w:highlight w:val="none"/>
              </w:rPr>
              <w:t>计划产出数：项目绩效目标确定的在一定时期（本年度或项目期）内计划产出的产品或提供的服务数量。</w:t>
            </w:r>
          </w:p>
        </w:tc>
        <w:tc>
          <w:tcPr>
            <w:tcW w:w="1299"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0" w:type="dxa"/>
            <w:vMerge w:val="continue"/>
            <w:shd w:val="clear" w:color="auto" w:fill="FFFFFF"/>
            <w:vAlign w:val="center"/>
          </w:tcPr>
          <w:p>
            <w:pPr>
              <w:widowControl/>
              <w:spacing w:line="0" w:lineRule="atLeast"/>
              <w:jc w:val="center"/>
              <w:rPr>
                <w:color w:val="000000"/>
                <w:kern w:val="0"/>
                <w:sz w:val="22"/>
                <w:szCs w:val="22"/>
                <w:highlight w:val="none"/>
              </w:rPr>
            </w:pPr>
          </w:p>
        </w:tc>
        <w:tc>
          <w:tcPr>
            <w:tcW w:w="76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产出质量</w:t>
            </w:r>
          </w:p>
        </w:tc>
        <w:tc>
          <w:tcPr>
            <w:tcW w:w="875"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质量达标率</w:t>
            </w:r>
          </w:p>
        </w:tc>
        <w:tc>
          <w:tcPr>
            <w:tcW w:w="2352"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项目完成的质量达标产出数与实际产出数的比率，用以反映和考核项目产出质量目标的实现程度。</w:t>
            </w:r>
          </w:p>
        </w:tc>
        <w:tc>
          <w:tcPr>
            <w:tcW w:w="5200"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质量达标率=（质量达标产出数/实际产出数）×100%。</w:t>
            </w:r>
          </w:p>
          <w:p>
            <w:pPr>
              <w:widowControl/>
              <w:spacing w:line="0" w:lineRule="atLeast"/>
              <w:rPr>
                <w:color w:val="000000"/>
                <w:kern w:val="0"/>
                <w:sz w:val="22"/>
                <w:szCs w:val="22"/>
                <w:highlight w:val="none"/>
              </w:rPr>
            </w:pPr>
            <w:r>
              <w:rPr>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299"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0" w:type="dxa"/>
            <w:vMerge w:val="continue"/>
            <w:shd w:val="clear" w:color="auto" w:fill="FFFFFF"/>
            <w:vAlign w:val="center"/>
          </w:tcPr>
          <w:p>
            <w:pPr>
              <w:spacing w:line="0" w:lineRule="atLeast"/>
              <w:jc w:val="center"/>
              <w:rPr>
                <w:color w:val="000000"/>
                <w:kern w:val="0"/>
                <w:sz w:val="22"/>
                <w:szCs w:val="22"/>
                <w:highlight w:val="none"/>
              </w:rPr>
            </w:pPr>
          </w:p>
        </w:tc>
        <w:tc>
          <w:tcPr>
            <w:tcW w:w="764" w:type="dxa"/>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产出时效</w:t>
            </w:r>
          </w:p>
        </w:tc>
        <w:tc>
          <w:tcPr>
            <w:tcW w:w="875"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完成及时性</w:t>
            </w:r>
          </w:p>
        </w:tc>
        <w:tc>
          <w:tcPr>
            <w:tcW w:w="2352"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项目实际完成时间与计划完成时间的比较，用以反映和考核项目产出时效目标的实现程度。</w:t>
            </w:r>
          </w:p>
        </w:tc>
        <w:tc>
          <w:tcPr>
            <w:tcW w:w="5200"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实际完成时间：项目实施单位完成该项目实际所耗用的时间。</w:t>
            </w:r>
            <w:r>
              <w:rPr>
                <w:color w:val="000000"/>
                <w:kern w:val="0"/>
                <w:sz w:val="22"/>
                <w:szCs w:val="22"/>
                <w:highlight w:val="none"/>
              </w:rPr>
              <w:br w:type="textWrapping"/>
            </w:r>
            <w:r>
              <w:rPr>
                <w:color w:val="000000"/>
                <w:kern w:val="0"/>
                <w:sz w:val="22"/>
                <w:szCs w:val="22"/>
                <w:highlight w:val="none"/>
              </w:rPr>
              <w:t>计划完成时间：按照项目实施计划或相关规定完成该项目所需的时间。</w:t>
            </w:r>
          </w:p>
        </w:tc>
        <w:tc>
          <w:tcPr>
            <w:tcW w:w="1299"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0" w:type="dxa"/>
            <w:vMerge w:val="continue"/>
            <w:shd w:val="clear" w:color="auto" w:fill="FFFFFF"/>
            <w:vAlign w:val="center"/>
          </w:tcPr>
          <w:p>
            <w:pPr>
              <w:widowControl/>
              <w:spacing w:line="0" w:lineRule="atLeast"/>
              <w:jc w:val="center"/>
              <w:rPr>
                <w:color w:val="000000"/>
                <w:kern w:val="0"/>
                <w:sz w:val="22"/>
                <w:szCs w:val="22"/>
                <w:highlight w:val="none"/>
              </w:rPr>
            </w:pPr>
          </w:p>
        </w:tc>
        <w:tc>
          <w:tcPr>
            <w:tcW w:w="76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产出成本</w:t>
            </w:r>
          </w:p>
        </w:tc>
        <w:tc>
          <w:tcPr>
            <w:tcW w:w="875"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成本节约率</w:t>
            </w:r>
          </w:p>
        </w:tc>
        <w:tc>
          <w:tcPr>
            <w:tcW w:w="2352"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完成项目计划工作目标的实际节约成本与计划成本的比率，用以反映和考核项目的成本节约程度。</w:t>
            </w:r>
          </w:p>
        </w:tc>
        <w:tc>
          <w:tcPr>
            <w:tcW w:w="5200"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br w:type="textWrapping"/>
            </w:r>
            <w:r>
              <w:rPr>
                <w:color w:val="000000"/>
                <w:kern w:val="0"/>
                <w:sz w:val="22"/>
                <w:szCs w:val="22"/>
                <w:highlight w:val="none"/>
              </w:rPr>
              <w:t>成本节约率=[（计划成本-实际成本）/计划成本]×100%。</w:t>
            </w:r>
            <w:r>
              <w:rPr>
                <w:color w:val="000000"/>
                <w:kern w:val="0"/>
                <w:sz w:val="22"/>
                <w:szCs w:val="22"/>
                <w:highlight w:val="none"/>
              </w:rPr>
              <w:br w:type="textWrapping"/>
            </w:r>
            <w:r>
              <w:rPr>
                <w:color w:val="000000"/>
                <w:kern w:val="0"/>
                <w:sz w:val="22"/>
                <w:szCs w:val="22"/>
                <w:highlight w:val="none"/>
              </w:rPr>
              <w:t>实际成本：项目实施单位如期、保质、保量完成既定工作目标实际所耗费的支出。</w:t>
            </w:r>
            <w:r>
              <w:rPr>
                <w:color w:val="000000"/>
                <w:kern w:val="0"/>
                <w:sz w:val="22"/>
                <w:szCs w:val="22"/>
                <w:highlight w:val="none"/>
              </w:rPr>
              <w:br w:type="textWrapping"/>
            </w:r>
            <w:r>
              <w:rPr>
                <w:color w:val="000000"/>
                <w:kern w:val="0"/>
                <w:sz w:val="22"/>
                <w:szCs w:val="22"/>
                <w:highlight w:val="none"/>
              </w:rPr>
              <w:t>计划成本：项目实施单位为完成工作目标计划安排的支出，一般以项目预算为参考。</w:t>
            </w:r>
          </w:p>
        </w:tc>
        <w:tc>
          <w:tcPr>
            <w:tcW w:w="1299"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0"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效益　</w:t>
            </w:r>
          </w:p>
        </w:tc>
        <w:tc>
          <w:tcPr>
            <w:tcW w:w="76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项目效益　</w:t>
            </w:r>
          </w:p>
        </w:tc>
        <w:tc>
          <w:tcPr>
            <w:tcW w:w="875"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实施效益</w:t>
            </w:r>
          </w:p>
        </w:tc>
        <w:tc>
          <w:tcPr>
            <w:tcW w:w="2352" w:type="dxa"/>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项目实施所产生的效益。</w:t>
            </w:r>
          </w:p>
        </w:tc>
        <w:tc>
          <w:tcPr>
            <w:tcW w:w="5200"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项目实施所产生的社会效益、经济效益、生态效益、可持续影响等。可根据项目实际情况有选择地设置和细化。</w:t>
            </w:r>
          </w:p>
        </w:tc>
        <w:tc>
          <w:tcPr>
            <w:tcW w:w="1299"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0" w:type="dxa"/>
            <w:vMerge w:val="continue"/>
            <w:shd w:val="clear" w:color="auto" w:fill="FFFFFF"/>
            <w:vAlign w:val="center"/>
          </w:tcPr>
          <w:p>
            <w:pPr>
              <w:widowControl/>
              <w:spacing w:line="0" w:lineRule="atLeast"/>
              <w:jc w:val="center"/>
              <w:rPr>
                <w:color w:val="000000"/>
                <w:kern w:val="0"/>
                <w:sz w:val="22"/>
                <w:szCs w:val="22"/>
                <w:highlight w:val="none"/>
              </w:rPr>
            </w:pPr>
          </w:p>
        </w:tc>
        <w:tc>
          <w:tcPr>
            <w:tcW w:w="764" w:type="dxa"/>
            <w:vMerge w:val="continue"/>
            <w:shd w:val="clear" w:color="auto" w:fill="FFFFFF"/>
            <w:vAlign w:val="center"/>
          </w:tcPr>
          <w:p>
            <w:pPr>
              <w:widowControl/>
              <w:spacing w:line="0" w:lineRule="atLeast"/>
              <w:jc w:val="center"/>
              <w:rPr>
                <w:color w:val="000000"/>
                <w:kern w:val="0"/>
                <w:sz w:val="22"/>
                <w:szCs w:val="22"/>
                <w:highlight w:val="none"/>
              </w:rPr>
            </w:pPr>
          </w:p>
        </w:tc>
        <w:tc>
          <w:tcPr>
            <w:tcW w:w="875"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满意度</w:t>
            </w:r>
          </w:p>
        </w:tc>
        <w:tc>
          <w:tcPr>
            <w:tcW w:w="2352"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社会公众或服务对象对项目实施效果的满意程度。</w:t>
            </w:r>
          </w:p>
        </w:tc>
        <w:tc>
          <w:tcPr>
            <w:tcW w:w="5200"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社会公众或服务对象是指因该项目实施而受到影响的部门（单位）、群体或个人。一般采取社会调查的方式。</w:t>
            </w:r>
          </w:p>
        </w:tc>
        <w:tc>
          <w:tcPr>
            <w:tcW w:w="1299"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bl>
    <w:p>
      <w:pPr>
        <w:rPr>
          <w:highlight w:val="none"/>
        </w:rPr>
      </w:pPr>
    </w:p>
    <w:p>
      <w:pPr>
        <w:pStyle w:val="2"/>
      </w:pPr>
    </w:p>
    <w:sectPr>
      <w:pgSz w:w="16838" w:h="11906" w:orient="landscape"/>
      <w:pgMar w:top="1531" w:right="1928" w:bottom="1531" w:left="17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0087CB"/>
    <w:multiLevelType w:val="singleLevel"/>
    <w:tmpl w:val="BF0087CB"/>
    <w:lvl w:ilvl="0" w:tentative="0">
      <w:start w:val="3"/>
      <w:numFmt w:val="decimal"/>
      <w:lvlText w:val="%1."/>
      <w:lvlJc w:val="left"/>
      <w:pPr>
        <w:tabs>
          <w:tab w:val="left" w:pos="312"/>
        </w:tabs>
      </w:p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3499BA51"/>
    <w:multiLevelType w:val="singleLevel"/>
    <w:tmpl w:val="3499BA51"/>
    <w:lvl w:ilvl="0" w:tentative="0">
      <w:start w:val="3"/>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mNzQwMjhkNzdiNzJkZDg3ZjMwZjU5M2RjMWY5MWU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8D20D13"/>
    <w:rsid w:val="0C4D0F1B"/>
    <w:rsid w:val="0F2A6BF7"/>
    <w:rsid w:val="1D723F37"/>
    <w:rsid w:val="1D785367"/>
    <w:rsid w:val="1DED3C81"/>
    <w:rsid w:val="20502C65"/>
    <w:rsid w:val="20DC4489"/>
    <w:rsid w:val="217D43FD"/>
    <w:rsid w:val="243F47A5"/>
    <w:rsid w:val="246D7FE2"/>
    <w:rsid w:val="32AE0DEC"/>
    <w:rsid w:val="36B72533"/>
    <w:rsid w:val="3CC75B9D"/>
    <w:rsid w:val="4057649F"/>
    <w:rsid w:val="43182414"/>
    <w:rsid w:val="43BC2D2F"/>
    <w:rsid w:val="444C156B"/>
    <w:rsid w:val="46507BB3"/>
    <w:rsid w:val="4A7C25BE"/>
    <w:rsid w:val="4B63496B"/>
    <w:rsid w:val="4C22332E"/>
    <w:rsid w:val="4DA150FB"/>
    <w:rsid w:val="4E995663"/>
    <w:rsid w:val="527823D7"/>
    <w:rsid w:val="56796849"/>
    <w:rsid w:val="57FB706F"/>
    <w:rsid w:val="5DA95371"/>
    <w:rsid w:val="68F11999"/>
    <w:rsid w:val="763A02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rPr>
      <w:rFonts w:ascii="Times New Roman" w:hAnsi="Times New Roman" w:eastAsia="宋体" w:cs="Times New Roman"/>
    </w:rPr>
  </w:style>
  <w:style w:type="paragraph" w:styleId="5">
    <w:name w:val="annotation text"/>
    <w:basedOn w:val="1"/>
    <w:qFormat/>
    <w:uiPriority w:val="0"/>
    <w:pPr>
      <w:jc w:val="left"/>
    </w:pPr>
  </w:style>
  <w:style w:type="paragraph" w:styleId="6">
    <w:name w:val="Body Text Indent"/>
    <w:basedOn w:val="1"/>
    <w:qFormat/>
    <w:uiPriority w:val="0"/>
    <w:pPr>
      <w:spacing w:after="120"/>
      <w:ind w:left="420" w:leftChars="200"/>
    </w:pPr>
    <w:rPr>
      <w:rFonts w:ascii="Calibri" w:hAnsi="Calibri"/>
    </w:rPr>
  </w:style>
  <w:style w:type="paragraph" w:styleId="7">
    <w:name w:val="footer"/>
    <w:basedOn w:val="1"/>
    <w:link w:val="20"/>
    <w:semiHidden/>
    <w:unhideWhenUsed/>
    <w:qFormat/>
    <w:uiPriority w:val="99"/>
    <w:pPr>
      <w:tabs>
        <w:tab w:val="center" w:pos="4153"/>
        <w:tab w:val="right" w:pos="8306"/>
      </w:tabs>
      <w:snapToGrid w:val="0"/>
      <w:jc w:val="left"/>
    </w:pPr>
    <w:rPr>
      <w:sz w:val="18"/>
      <w:szCs w:val="18"/>
    </w:rPr>
  </w:style>
  <w:style w:type="paragraph" w:styleId="8">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First Indent 2"/>
    <w:basedOn w:val="6"/>
    <w:qFormat/>
    <w:uiPriority w:val="0"/>
    <w:pPr>
      <w:ind w:firstLine="420" w:firstLineChars="200"/>
    </w:p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标题 1 Char"/>
    <w:basedOn w:val="14"/>
    <w:link w:val="3"/>
    <w:qFormat/>
    <w:uiPriority w:val="9"/>
    <w:rPr>
      <w:rFonts w:ascii="Times New Roman" w:hAnsi="Times New Roman" w:eastAsia="仿宋_GB2312" w:cs="Times New Roman"/>
      <w:b/>
      <w:bCs/>
      <w:kern w:val="44"/>
      <w:sz w:val="44"/>
      <w:szCs w:val="44"/>
    </w:rPr>
  </w:style>
  <w:style w:type="character" w:customStyle="1" w:styleId="17">
    <w:name w:val="标题 2 Char"/>
    <w:basedOn w:val="14"/>
    <w:link w:val="4"/>
    <w:qFormat/>
    <w:uiPriority w:val="9"/>
    <w:rPr>
      <w:rFonts w:asciiTheme="majorHAnsi" w:hAnsiTheme="majorHAnsi" w:eastAsiaTheme="majorEastAsia" w:cstheme="majorBidi"/>
      <w:b/>
      <w:bCs/>
      <w:sz w:val="32"/>
      <w:szCs w:val="32"/>
    </w:rPr>
  </w:style>
  <w:style w:type="paragraph" w:customStyle="1" w:styleId="18">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9">
    <w:name w:val="页眉 Char"/>
    <w:basedOn w:val="14"/>
    <w:link w:val="8"/>
    <w:semiHidden/>
    <w:qFormat/>
    <w:uiPriority w:val="99"/>
    <w:rPr>
      <w:rFonts w:ascii="Times New Roman" w:hAnsi="Times New Roman" w:eastAsia="仿宋_GB2312" w:cs="Times New Roman"/>
      <w:sz w:val="18"/>
      <w:szCs w:val="18"/>
    </w:rPr>
  </w:style>
  <w:style w:type="character" w:customStyle="1" w:styleId="20">
    <w:name w:val="页脚 Char"/>
    <w:basedOn w:val="14"/>
    <w:link w:val="7"/>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5042</Words>
  <Characters>5242</Characters>
  <Lines>37</Lines>
  <Paragraphs>10</Paragraphs>
  <TotalTime>26</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2024-05-21T03:24:41Z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DAD5973D157045C4B266382D878B29DC_13</vt:lpwstr>
  </property>
</Properties>
</file>