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hint="eastAsia" w:ascii="宋体" w:hAnsi="宋体" w:eastAsia="宋体" w:cs="Arial"/>
          <w:b/>
          <w:bCs/>
          <w:sz w:val="48"/>
          <w:szCs w:val="48"/>
          <w:lang w:eastAsia="zh-CN"/>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b w:val="0"/>
          <w:bCs w:val="0"/>
          <w:kern w:val="0"/>
          <w:sz w:val="32"/>
          <w:szCs w:val="32"/>
        </w:rPr>
      </w:pPr>
      <w:r>
        <w:rPr>
          <w:rFonts w:hint="eastAsia" w:ascii="宋体" w:hAnsi="宋体" w:eastAsia="宋体" w:cs="仿宋_GB2312"/>
          <w:b/>
          <w:bCs/>
          <w:color w:val="000000"/>
          <w:kern w:val="0"/>
          <w:sz w:val="32"/>
          <w:szCs w:val="32"/>
        </w:rPr>
        <w:t>项目名称：</w:t>
      </w:r>
      <w:r>
        <w:rPr>
          <w:rFonts w:hint="eastAsia" w:ascii="宋体" w:hAnsi="宋体" w:eastAsia="宋体" w:cs="仿宋_GB2312"/>
          <w:b w:val="0"/>
          <w:bCs w:val="0"/>
          <w:color w:val="000000"/>
          <w:kern w:val="0"/>
          <w:sz w:val="32"/>
          <w:szCs w:val="32"/>
        </w:rPr>
        <w:t>2022-2023年州直中小学校服财政补贴经费</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b w:val="0"/>
          <w:bCs w:val="0"/>
          <w:kern w:val="0"/>
          <w:sz w:val="32"/>
          <w:szCs w:val="32"/>
          <w:lang w:val="en-US"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val="0"/>
          <w:bCs w:val="0"/>
          <w:color w:val="000000"/>
          <w:kern w:val="0"/>
          <w:sz w:val="32"/>
          <w:szCs w:val="32"/>
          <w:lang w:val="en-US" w:eastAsia="zh-CN"/>
        </w:rPr>
        <w:t>新疆巴州第一中学</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val="0"/>
          <w:bCs w:val="0"/>
          <w:color w:val="000000"/>
          <w:kern w:val="0"/>
          <w:sz w:val="32"/>
          <w:szCs w:val="32"/>
          <w:lang w:val="en-US" w:eastAsia="zh-CN"/>
        </w:rPr>
        <w:t>巴州教育局</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val="0"/>
          <w:bCs w:val="0"/>
          <w:color w:val="000000"/>
          <w:kern w:val="0"/>
          <w:sz w:val="32"/>
          <w:szCs w:val="32"/>
          <w:lang w:val="en-US" w:eastAsia="zh-CN"/>
        </w:rPr>
        <w:t>孟庆玉</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b w:val="0"/>
          <w:bCs w:val="0"/>
          <w:color w:val="000000"/>
          <w:kern w:val="0"/>
          <w:sz w:val="32"/>
          <w:szCs w:val="32"/>
        </w:rPr>
        <w:t>202</w:t>
      </w:r>
      <w:r>
        <w:rPr>
          <w:rFonts w:hint="eastAsia" w:ascii="宋体" w:hAnsi="宋体" w:eastAsia="宋体" w:cs="仿宋_GB2312"/>
          <w:b w:val="0"/>
          <w:bCs w:val="0"/>
          <w:color w:val="000000"/>
          <w:kern w:val="0"/>
          <w:sz w:val="32"/>
          <w:szCs w:val="32"/>
          <w:lang w:val="en-US" w:eastAsia="zh-CN"/>
        </w:rPr>
        <w:t>4</w:t>
      </w:r>
      <w:r>
        <w:rPr>
          <w:rFonts w:hint="eastAsia" w:ascii="宋体" w:hAnsi="宋体" w:eastAsia="宋体" w:cs="仿宋_GB2312"/>
          <w:b w:val="0"/>
          <w:bCs w:val="0"/>
          <w:color w:val="000000"/>
          <w:kern w:val="0"/>
          <w:sz w:val="32"/>
          <w:szCs w:val="32"/>
        </w:rPr>
        <w:t>年</w:t>
      </w:r>
      <w:r>
        <w:rPr>
          <w:rFonts w:hint="eastAsia" w:ascii="宋体" w:hAnsi="宋体" w:eastAsia="宋体" w:cs="仿宋_GB2312"/>
          <w:b w:val="0"/>
          <w:bCs w:val="0"/>
          <w:color w:val="000000"/>
          <w:kern w:val="0"/>
          <w:sz w:val="32"/>
          <w:szCs w:val="32"/>
          <w:lang w:val="en-US" w:eastAsia="zh-CN"/>
        </w:rPr>
        <w:t>5</w:t>
      </w:r>
      <w:r>
        <w:rPr>
          <w:rFonts w:hint="eastAsia" w:ascii="宋体" w:hAnsi="宋体" w:eastAsia="宋体" w:cs="仿宋_GB2312"/>
          <w:b w:val="0"/>
          <w:bCs w:val="0"/>
          <w:color w:val="000000"/>
          <w:kern w:val="0"/>
          <w:sz w:val="32"/>
          <w:szCs w:val="32"/>
        </w:rPr>
        <w:t>月</w:t>
      </w:r>
      <w:r>
        <w:rPr>
          <w:rFonts w:hint="eastAsia" w:ascii="宋体" w:hAnsi="宋体" w:eastAsia="宋体" w:cs="仿宋_GB2312"/>
          <w:b w:val="0"/>
          <w:bCs w:val="0"/>
          <w:color w:val="000000"/>
          <w:kern w:val="0"/>
          <w:sz w:val="32"/>
          <w:szCs w:val="32"/>
          <w:lang w:val="en-US" w:eastAsia="zh-CN"/>
        </w:rPr>
        <w:t>8</w:t>
      </w:r>
      <w:r>
        <w:rPr>
          <w:rFonts w:hint="eastAsia" w:ascii="宋体" w:hAnsi="宋体" w:eastAsia="宋体" w:cs="仿宋_GB2312"/>
          <w:b w:val="0"/>
          <w:bCs w:val="0"/>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color w:val="auto"/>
          <w:highlight w:val="none"/>
          <w:lang w:val="en-US" w:eastAsia="zh-CN"/>
        </w:rPr>
      </w:pPr>
      <w:r>
        <w:rPr>
          <w:rFonts w:hint="eastAsia" w:ascii="仿宋_GB2312" w:hAnsi="仿宋_GB2312" w:cs="仿宋_GB2312"/>
          <w:szCs w:val="30"/>
        </w:rPr>
        <w:t>为贯彻落实《</w:t>
      </w:r>
      <w:r>
        <w:rPr>
          <w:rFonts w:hint="eastAsia" w:ascii="仿宋_GB2312" w:hAnsi="仿宋_GB2312" w:cs="仿宋_GB2312"/>
          <w:szCs w:val="30"/>
          <w:lang w:val="en-US" w:eastAsia="zh-CN"/>
        </w:rPr>
        <w:t>自治州中小学师生统一着装实施方案</w:t>
      </w:r>
      <w:r>
        <w:rPr>
          <w:rFonts w:hint="eastAsia" w:ascii="仿宋_GB2312" w:hAnsi="仿宋_GB2312" w:cs="仿宋_GB2312"/>
          <w:szCs w:val="30"/>
        </w:rPr>
        <w:t>》（</w:t>
      </w:r>
      <w:r>
        <w:rPr>
          <w:rFonts w:hint="eastAsia" w:ascii="仿宋_GB2312" w:hAnsi="仿宋_GB2312" w:cs="仿宋_GB2312"/>
          <w:szCs w:val="30"/>
          <w:lang w:val="en-US" w:eastAsia="zh-CN"/>
        </w:rPr>
        <w:t>巴教发</w:t>
      </w:r>
      <w:r>
        <w:rPr>
          <w:rFonts w:hint="eastAsia" w:ascii="仿宋_GB2312" w:hAnsi="仿宋_GB2312" w:cs="仿宋_GB2312"/>
          <w:szCs w:val="30"/>
        </w:rPr>
        <w:t>[201</w:t>
      </w:r>
      <w:r>
        <w:rPr>
          <w:rFonts w:hint="eastAsia" w:ascii="仿宋_GB2312" w:hAnsi="仿宋_GB2312" w:cs="仿宋_GB2312"/>
          <w:szCs w:val="30"/>
          <w:lang w:val="en-US" w:eastAsia="zh-CN"/>
        </w:rPr>
        <w:t>2</w:t>
      </w:r>
      <w:r>
        <w:rPr>
          <w:rFonts w:hint="eastAsia" w:ascii="仿宋_GB2312" w:hAnsi="仿宋_GB2312" w:cs="仿宋_GB2312"/>
          <w:szCs w:val="30"/>
        </w:rPr>
        <w:t>]</w:t>
      </w:r>
      <w:r>
        <w:rPr>
          <w:rFonts w:hint="eastAsia" w:ascii="仿宋_GB2312" w:hAnsi="仿宋_GB2312" w:cs="仿宋_GB2312"/>
          <w:szCs w:val="30"/>
          <w:lang w:val="en-US" w:eastAsia="zh-CN"/>
        </w:rPr>
        <w:t>100</w:t>
      </w:r>
      <w:r>
        <w:rPr>
          <w:rFonts w:hint="eastAsia" w:ascii="仿宋_GB2312" w:hAnsi="仿宋_GB2312" w:cs="仿宋_GB2312"/>
          <w:szCs w:val="30"/>
        </w:rPr>
        <w:t>号）</w:t>
      </w:r>
      <w:r>
        <w:rPr>
          <w:rFonts w:hint="eastAsia" w:ascii="仿宋_GB2312" w:hAnsi="仿宋_GB2312" w:cs="仿宋_GB2312"/>
          <w:szCs w:val="30"/>
          <w:lang w:val="en-US" w:eastAsia="zh-CN"/>
        </w:rPr>
        <w:t>文件</w:t>
      </w:r>
      <w:r>
        <w:rPr>
          <w:rFonts w:hint="eastAsia" w:ascii="仿宋_GB2312" w:hAnsi="仿宋_GB2312" w:cs="仿宋_GB2312"/>
          <w:szCs w:val="30"/>
        </w:rPr>
        <w:t>精神，</w:t>
      </w:r>
      <w:r>
        <w:rPr>
          <w:rFonts w:hint="eastAsia" w:ascii="仿宋_GB2312" w:hAnsi="仿宋_GB2312" w:cs="仿宋_GB2312"/>
          <w:color w:val="auto"/>
          <w:szCs w:val="30"/>
          <w:lang w:val="en-US" w:eastAsia="zh-CN"/>
        </w:rPr>
        <w:t>为规范我州中小学校统一着装管理工作，进一步贯彻落实自治区教育厅、财政厅、发展和改革委员会联合下发的《关于规范我区中小学师生统一着装工作的通知》（新教基【2012】1号）精神，结合实际，制定本实施方案，规范中小学师生统一着装工作，进一步加强和改进中小学校德育工作，优化育人环境，积极营造健康向上的校园文化氛围，切实保障青少年学生健康发展</w:t>
      </w:r>
      <w:r>
        <w:rPr>
          <w:rFonts w:hint="eastAsia" w:ascii="仿宋_GB2312" w:hAnsi="仿宋_GB2312" w:cs="仿宋_GB2312"/>
          <w:color w:val="auto"/>
          <w:szCs w:val="30"/>
        </w:rPr>
        <w:t>。</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color w:val="FF0000"/>
          <w:highlight w:val="none"/>
          <w:lang w:val="en-US" w:eastAsia="zh-CN"/>
        </w:rPr>
      </w:pPr>
      <w:r>
        <w:rPr>
          <w:rFonts w:hint="eastAsia" w:ascii="仿宋_GB2312"/>
          <w:highlight w:val="none"/>
        </w:rPr>
        <w:t>主要内容：2022-2023年州直中小学校服财政补贴经费</w:t>
      </w:r>
      <w:r>
        <w:rPr>
          <w:rFonts w:hint="eastAsia" w:ascii="仿宋_GB2312"/>
          <w:highlight w:val="none"/>
          <w:lang w:val="en-US" w:eastAsia="zh-CN"/>
        </w:rPr>
        <w:t>项目拨付22.81万元，2022-2023年初一、高一学生人数1203人，按照要求初高中新生在初一、高一入学时需订购校服夏秋季校服2406套。</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color w:val="FF0000"/>
          <w:highlight w:val="none"/>
        </w:rPr>
      </w:pPr>
      <w:r>
        <w:rPr>
          <w:rFonts w:hint="eastAsia" w:ascii="仿宋_GB2312"/>
          <w:highlight w:val="none"/>
        </w:rPr>
        <w:t>实施情况：2022-2023年州直中小学校服财政补贴经费</w:t>
      </w:r>
      <w:r>
        <w:rPr>
          <w:rFonts w:hint="eastAsia" w:ascii="仿宋_GB2312"/>
          <w:highlight w:val="none"/>
          <w:lang w:val="en-US" w:eastAsia="zh-CN"/>
        </w:rPr>
        <w:t>项目由学校德育处组织实施，</w:t>
      </w:r>
      <w:r>
        <w:rPr>
          <w:rFonts w:hint="eastAsia" w:ascii="仿宋_GB2312"/>
          <w:highlight w:val="none"/>
        </w:rPr>
        <w:t>完成1203人的夏秋季校服购置，购置学生夏秋季校服2406套，该项目的实施提高学生的集体主义观念和集体荣誉感，从而使学校的精神面貌有极大的改善和提高。有助于提升校园文化建设，及加强学生管理。</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lang w:eastAsia="zh-CN"/>
        </w:rPr>
        <w:t>（</w:t>
      </w:r>
      <w:r>
        <w:rPr>
          <w:rFonts w:hint="eastAsia"/>
          <w:color w:val="auto"/>
          <w:lang w:val="en-US" w:eastAsia="zh-CN"/>
        </w:rPr>
        <w:t>1</w:t>
      </w:r>
      <w:r>
        <w:rPr>
          <w:rFonts w:hint="eastAsia"/>
          <w:color w:val="auto"/>
          <w:lang w:eastAsia="zh-CN"/>
        </w:rPr>
        <w:t>）</w:t>
      </w:r>
      <w:r>
        <w:rPr>
          <w:rFonts w:hint="eastAsia"/>
          <w:color w:val="auto"/>
        </w:rPr>
        <w:t>资金投入情况：该项目年初预算数</w:t>
      </w:r>
      <w:r>
        <w:rPr>
          <w:rFonts w:hint="eastAsia"/>
          <w:color w:val="auto"/>
          <w:lang w:val="en-US" w:eastAsia="zh-CN"/>
        </w:rPr>
        <w:t>22.81</w:t>
      </w:r>
      <w:r>
        <w:rPr>
          <w:rFonts w:hint="eastAsia"/>
          <w:color w:val="auto"/>
        </w:rPr>
        <w:t>万元，全年预算数</w:t>
      </w:r>
      <w:r>
        <w:rPr>
          <w:rFonts w:hint="eastAsia"/>
          <w:color w:val="auto"/>
          <w:lang w:val="en-US" w:eastAsia="zh-CN"/>
        </w:rPr>
        <w:t>22.81</w:t>
      </w:r>
      <w:r>
        <w:rPr>
          <w:rFonts w:hint="eastAsia"/>
          <w:color w:val="auto"/>
        </w:rPr>
        <w:t>万元，实际总投入</w:t>
      </w:r>
      <w:r>
        <w:rPr>
          <w:rFonts w:hint="eastAsia"/>
          <w:color w:val="auto"/>
          <w:lang w:val="en-US" w:eastAsia="zh-CN"/>
        </w:rPr>
        <w:t>22.81</w:t>
      </w:r>
      <w:r>
        <w:rPr>
          <w:rFonts w:hint="eastAsia"/>
          <w:color w:val="auto"/>
        </w:rPr>
        <w:t>万元，该项目资金已全部落实到位，资金来源为2022-2023年州直中小学校服财政补贴经费。</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lang w:eastAsia="zh-CN"/>
        </w:rPr>
        <w:t>（</w:t>
      </w:r>
      <w:r>
        <w:rPr>
          <w:rFonts w:hint="eastAsia"/>
          <w:color w:val="auto"/>
          <w:lang w:val="en-US" w:eastAsia="zh-CN"/>
        </w:rPr>
        <w:t>2</w:t>
      </w:r>
      <w:r>
        <w:rPr>
          <w:rFonts w:hint="eastAsia"/>
          <w:color w:val="auto"/>
          <w:lang w:eastAsia="zh-CN"/>
        </w:rPr>
        <w:t>）</w:t>
      </w:r>
      <w:r>
        <w:rPr>
          <w:rFonts w:hint="eastAsia"/>
          <w:color w:val="auto"/>
        </w:rPr>
        <w:t>资金使用情况：该项目年初预算数</w:t>
      </w:r>
      <w:r>
        <w:rPr>
          <w:rFonts w:hint="eastAsia"/>
          <w:color w:val="auto"/>
          <w:lang w:val="en-US" w:eastAsia="zh-CN"/>
        </w:rPr>
        <w:t>22.81</w:t>
      </w:r>
      <w:r>
        <w:rPr>
          <w:rFonts w:hint="eastAsia"/>
          <w:color w:val="auto"/>
        </w:rPr>
        <w:t>万元，全年预算数</w:t>
      </w:r>
      <w:r>
        <w:rPr>
          <w:rFonts w:hint="eastAsia"/>
          <w:color w:val="auto"/>
          <w:lang w:val="en-US" w:eastAsia="zh-CN"/>
        </w:rPr>
        <w:t>22.81</w:t>
      </w:r>
      <w:r>
        <w:rPr>
          <w:rFonts w:hint="eastAsia"/>
          <w:color w:val="auto"/>
        </w:rPr>
        <w:t>万元，全年执行数</w:t>
      </w:r>
      <w:r>
        <w:rPr>
          <w:rFonts w:hint="eastAsia"/>
          <w:color w:val="auto"/>
          <w:lang w:val="en-US" w:eastAsia="zh-CN"/>
        </w:rPr>
        <w:t>22.81</w:t>
      </w:r>
      <w:r>
        <w:rPr>
          <w:rFonts w:hint="eastAsia"/>
          <w:color w:val="auto"/>
        </w:rPr>
        <w:t>万元，预算执行率为</w:t>
      </w:r>
      <w:r>
        <w:rPr>
          <w:rFonts w:hint="eastAsia"/>
          <w:color w:val="auto"/>
          <w:lang w:val="en-US" w:eastAsia="zh-CN"/>
        </w:rPr>
        <w:t>100</w:t>
      </w:r>
      <w:r>
        <w:rPr>
          <w:rFonts w:hint="eastAsia"/>
          <w:color w:val="auto"/>
        </w:rPr>
        <w:t>%，用于：2022-2023年</w:t>
      </w:r>
      <w:r>
        <w:rPr>
          <w:rFonts w:hint="eastAsia"/>
          <w:color w:val="auto"/>
          <w:lang w:val="en-US" w:eastAsia="zh-CN"/>
        </w:rPr>
        <w:t>中小学校学生夏秋季校服采购</w:t>
      </w:r>
      <w:r>
        <w:rPr>
          <w:rFonts w:hint="eastAsia"/>
          <w:color w:val="auto"/>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bookmarkStart w:id="2" w:name="_Toc68703829"/>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rPr>
        <w:t>，</w:t>
      </w:r>
      <w:r>
        <w:rPr>
          <w:rFonts w:hint="eastAsia"/>
          <w:color w:val="000000" w:themeColor="text1"/>
        </w:rPr>
        <w:t>包括总体目标和阶段性目标。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rPr>
        <w:t>1</w:t>
      </w:r>
      <w:r>
        <w:rPr>
          <w:rFonts w:hint="eastAsia"/>
          <w:lang w:val="en-US" w:eastAsia="zh-CN"/>
        </w:rPr>
        <w:t>.</w:t>
      </w:r>
      <w:r>
        <w:rPr>
          <w:rFonts w:hint="eastAsia"/>
        </w:rPr>
        <w:t>总体目标：按照教育相关文件要求，对新入学的高一和初一新生1203人购置校服，学生校服2406套，校服款的60%由财政承担，60%部分为22.81万元，该项目的实施提高学生的集体主义观念和集体荣誉感，从而使学校的精神面貌有极大的改善和提高。</w:t>
      </w:r>
    </w:p>
    <w:p>
      <w:pPr>
        <w:pageBreakBefore w:val="0"/>
        <w:kinsoku/>
        <w:wordWrap/>
        <w:overflowPunct/>
        <w:topLinePunct w:val="0"/>
        <w:autoSpaceDE/>
        <w:autoSpaceDN/>
        <w:bidi w:val="0"/>
        <w:adjustRightInd/>
        <w:snapToGrid/>
        <w:spacing w:line="560" w:lineRule="exact"/>
        <w:ind w:firstLine="600" w:firstLineChars="200"/>
        <w:textAlignment w:val="auto"/>
      </w:pPr>
      <w:r>
        <w:t>2</w:t>
      </w:r>
      <w:r>
        <w:rPr>
          <w:rFonts w:hint="eastAsia"/>
          <w:lang w:val="en-US" w:eastAsia="zh-CN"/>
        </w:rPr>
        <w:t>.</w:t>
      </w:r>
      <w:r>
        <w:rPr>
          <w:rFonts w:hint="eastAsia"/>
        </w:rPr>
        <w:t>阶段性目标：</w:t>
      </w:r>
      <w:r>
        <w:rPr>
          <w:rFonts w:hint="eastAsia" w:ascii="仿宋_GB2312" w:hAnsi="仿宋_GB2312" w:cs="仿宋_GB2312"/>
          <w:szCs w:val="30"/>
          <w:lang w:val="en-US" w:eastAsia="zh-CN"/>
        </w:rPr>
        <w:t>根据每学年事业统计报表，按照每学年第一学期初一、高一新生入学人数，上半年根据实际情况学校德育处通过政采云电子卖场组织实施校服采购工作</w:t>
      </w:r>
      <w:r>
        <w:rPr>
          <w:rFonts w:hint="eastAsia" w:ascii="仿宋_GB2312" w:hAnsi="仿宋_GB2312" w:cs="仿宋_GB2312"/>
          <w:szCs w:val="30"/>
        </w:rPr>
        <w:t>。</w:t>
      </w:r>
      <w:r>
        <w:rPr>
          <w:rFonts w:hint="eastAsia"/>
        </w:rPr>
        <w:t>该项目的实施提高学生的集体主义观念和集体荣誉感，从而使学校的精神面貌有极大的改善和提高。</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rPr>
      </w:pPr>
      <w:r>
        <w:rPr>
          <w:rFonts w:hint="eastAsia" w:ascii="仿宋_GB2312"/>
          <w:bCs/>
          <w:color w:val="auto"/>
          <w:sz w:val="32"/>
          <w:szCs w:val="32"/>
        </w:rPr>
        <w:t>通过绩效评价，客观地评判项目的管理绩效，了解和掌握2022-2023年州直中小学校服财政补贴经费的具体情况，评价该项目资金安排的科学性、合理性、规范性和资金的使用成效，及时总结项目管理经验，完善项目管理办法，提高项目管理水平和资金使用效益。促使我</w:t>
      </w:r>
      <w:r>
        <w:rPr>
          <w:rFonts w:hint="eastAsia" w:ascii="仿宋_GB2312"/>
          <w:bCs/>
          <w:color w:val="auto"/>
          <w:sz w:val="32"/>
          <w:szCs w:val="32"/>
          <w:lang w:val="en-US" w:eastAsia="zh-CN"/>
        </w:rPr>
        <w:t>单位</w:t>
      </w:r>
      <w:r>
        <w:rPr>
          <w:rFonts w:hint="eastAsia" w:ascii="仿宋_GB2312"/>
          <w:bCs/>
          <w:color w:val="auto"/>
          <w:sz w:val="32"/>
          <w:szCs w:val="32"/>
        </w:rPr>
        <w:t>根据绩效评价中发现的问题，认真加以整改，及时调整和完善单位的工作计划并加强项目</w:t>
      </w:r>
      <w:r>
        <w:rPr>
          <w:rFonts w:hint="eastAsia" w:ascii="仿宋_GB2312"/>
          <w:bCs/>
          <w:color w:val="auto"/>
          <w:sz w:val="32"/>
          <w:szCs w:val="32"/>
          <w:lang w:val="en-US" w:eastAsia="zh-CN"/>
        </w:rPr>
        <w:t>绩效</w:t>
      </w:r>
      <w:r>
        <w:rPr>
          <w:rFonts w:hint="eastAsia" w:ascii="仿宋_GB2312"/>
          <w:bCs/>
          <w:color w:val="auto"/>
          <w:sz w:val="32"/>
          <w:szCs w:val="32"/>
        </w:rPr>
        <w:t>管理，同时为项目后续资金投入、分配和管理提供决策依据。</w:t>
      </w:r>
    </w:p>
    <w:p>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r>
        <w:rPr>
          <w:rFonts w:hint="eastAsia" w:ascii="仿宋_GB2312"/>
          <w:bCs/>
          <w:color w:val="auto"/>
          <w:sz w:val="32"/>
          <w:szCs w:val="32"/>
        </w:rPr>
        <w:t>2022-2023年州直中小学校服财政补贴经费</w:t>
      </w:r>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本次评价从项目决策（包括绩效目标、决策过程）、项目管理（包括项目资金、项目实施）、项目产出（包括项目产出数量、产出质量、产出时效和产出成本）项目效益四个维度进行</w:t>
      </w:r>
      <w:r>
        <w:rPr>
          <w:rFonts w:hint="eastAsia" w:ascii="仿宋_GB2312"/>
          <w:bCs/>
          <w:color w:val="auto"/>
          <w:sz w:val="32"/>
          <w:szCs w:val="32"/>
        </w:rPr>
        <w:t>2022-2023年州直中小学校服财政补贴经费</w:t>
      </w:r>
      <w:r>
        <w:rPr>
          <w:rFonts w:hint="eastAsia"/>
          <w:color w:val="auto"/>
        </w:rPr>
        <w:t>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rPr>
      </w:pPr>
      <w:r>
        <w:rPr>
          <w:rFonts w:eastAsia="仿宋_GB2312"/>
          <w:color w:val="auto"/>
          <w:sz w:val="32"/>
          <w:szCs w:val="32"/>
        </w:rPr>
        <w:t>本次项目绩效评价遵循以下基本原则：</w:t>
      </w:r>
    </w:p>
    <w:p>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（一）科学公正。本次项目支出绩效评价运用科学合理的方法，按照规范的程序，对项目绩效进行客观、公正的反映。</w:t>
      </w:r>
    </w:p>
    <w:p>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（二）统筹兼顾。本次项目支出绩效评价由本单位自主实施，即“谁支出、谁自评”。</w:t>
      </w:r>
    </w:p>
    <w:p>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（三）激励约束。本次项目支出绩效评价结果与预算安排、政策调整、改进管理实质性挂钩，体现奖优罚劣和激励相容导向，有效要安排、低效要压减、无效要问责。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560" w:lineRule="exact"/>
        <w:ind w:firstLine="640" w:firstLineChars="200"/>
        <w:textAlignment w:val="auto"/>
        <w:rPr>
          <w:color w:val="auto"/>
        </w:rPr>
      </w:pPr>
      <w:r>
        <w:rPr>
          <w:rFonts w:hint="eastAsia" w:ascii="仿宋_GB2312"/>
          <w:bCs/>
          <w:color w:val="auto"/>
          <w:sz w:val="32"/>
          <w:szCs w:val="32"/>
        </w:rPr>
        <w:t>（四）公开透明。本次项目支出绩效评价结果已依法依规公开在</w:t>
      </w:r>
      <w:r>
        <w:rPr>
          <w:rFonts w:hint="eastAsia" w:ascii="仿宋_GB2312"/>
          <w:bCs/>
          <w:color w:val="auto"/>
          <w:sz w:val="32"/>
          <w:szCs w:val="32"/>
          <w:lang w:val="en-US" w:eastAsia="zh-CN"/>
        </w:rPr>
        <w:t>巴州人民政府</w:t>
      </w:r>
      <w:r>
        <w:rPr>
          <w:rFonts w:hint="eastAsia" w:ascii="仿宋_GB2312"/>
          <w:bCs/>
          <w:color w:val="auto"/>
          <w:sz w:val="32"/>
          <w:szCs w:val="32"/>
        </w:rPr>
        <w:t>网站上，并自觉接受社会监督。</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w:t>
      </w:r>
    </w:p>
    <w:p>
      <w:pPr>
        <w:pageBreakBefore w:val="0"/>
        <w:kinsoku/>
        <w:wordWrap/>
        <w:overflowPunct/>
        <w:topLinePunct w:val="0"/>
        <w:autoSpaceDE/>
        <w:autoSpaceDN/>
        <w:bidi w:val="0"/>
        <w:adjustRightInd/>
        <w:snapToGrid/>
        <w:spacing w:line="560" w:lineRule="exact"/>
        <w:ind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eastAsia="zh-CN"/>
        </w:rPr>
      </w:pPr>
      <w:r>
        <w:rPr>
          <w:rFonts w:eastAsia="仿宋_GB2312"/>
          <w:color w:val="000000"/>
          <w:spacing w:val="17"/>
          <w:sz w:val="32"/>
          <w:szCs w:val="32"/>
        </w:rPr>
        <w:t>确定各个指标相对于项目总体绩效的权重分值。在绩效评价指标体系中，</w:t>
      </w:r>
      <w:r>
        <w:rPr>
          <w:rFonts w:eastAsia="仿宋_GB2312"/>
          <w:color w:val="auto"/>
          <w:spacing w:val="17"/>
          <w:sz w:val="32"/>
          <w:szCs w:val="32"/>
        </w:rPr>
        <w:t>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0"/>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3、评价方法</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绩效评价从项目决策、项目过程、项目产出、项目效益四个维度进行评价。评价对象为项目目标实施情况，评价核心为资金的支出完成情况和项目的产出效益。</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本次评价指标中，既有定性指标又有定量指标，各类指标因考核内容不同和客观标准不同存在较大差异，因此核定具体指标时采用了不同方法，具体评价方法为因素分析法。</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pPr>
        <w:pageBreakBefore w:val="0"/>
        <w:kinsoku/>
        <w:wordWrap/>
        <w:overflowPunct/>
        <w:topLinePunct w:val="0"/>
        <w:autoSpaceDE/>
        <w:autoSpaceDN/>
        <w:bidi w:val="0"/>
        <w:adjustRightInd/>
        <w:snapToGrid/>
        <w:spacing w:line="560" w:lineRule="exact"/>
        <w:ind w:firstLine="708" w:firstLineChars="200"/>
        <w:textAlignment w:val="auto"/>
        <w:rPr>
          <w:bCs/>
          <w:sz w:val="32"/>
          <w:szCs w:val="32"/>
        </w:rPr>
      </w:pPr>
      <w:r>
        <w:rPr>
          <w:rFonts w:hint="eastAsia" w:eastAsia="仿宋_GB2312"/>
          <w:color w:val="000000"/>
          <w:spacing w:val="17"/>
          <w:sz w:val="32"/>
          <w:szCs w:val="32"/>
        </w:rPr>
        <w:t>绩效评价标准通常包括计划标准、行业标准、历史标准等，用于对绩效指标完成情况进行比较、分析、评价。本次评价主要采用了</w:t>
      </w:r>
      <w:r>
        <w:rPr>
          <w:rFonts w:hint="eastAsia"/>
          <w:color w:val="000000"/>
          <w:spacing w:val="17"/>
          <w:sz w:val="32"/>
          <w:szCs w:val="32"/>
          <w:lang w:val="en-US" w:eastAsia="zh-CN"/>
        </w:rPr>
        <w:t>计划标准</w:t>
      </w:r>
      <w:r>
        <w:rPr>
          <w:rFonts w:hint="eastAsia" w:eastAsia="仿宋_GB2312"/>
          <w:color w:val="000000"/>
          <w:spacing w:val="17"/>
          <w:sz w:val="32"/>
          <w:szCs w:val="32"/>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bookmarkStart w:id="7" w:name="_Toc68703834"/>
      <w:r>
        <w:rPr>
          <w:rFonts w:hint="eastAsia" w:eastAsia="仿宋_GB2312"/>
          <w:bCs/>
          <w:color w:val="auto"/>
          <w:sz w:val="32"/>
          <w:szCs w:val="32"/>
          <w:lang w:val="en-US" w:eastAsia="zh-CN"/>
        </w:rPr>
        <w:t>1.</w:t>
      </w:r>
      <w:r>
        <w:rPr>
          <w:rFonts w:hint="eastAsia" w:eastAsia="仿宋_GB2312"/>
          <w:bCs/>
          <w:color w:val="auto"/>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2.</w:t>
      </w:r>
      <w:r>
        <w:rPr>
          <w:rFonts w:hint="eastAsia" w:eastAsia="仿宋_GB2312"/>
          <w:bCs/>
          <w:color w:val="auto"/>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auto"/>
          <w:sz w:val="32"/>
          <w:szCs w:val="32"/>
        </w:rPr>
      </w:pPr>
      <w:r>
        <w:rPr>
          <w:rFonts w:hint="eastAsia" w:eastAsia="仿宋_GB2312"/>
          <w:bCs/>
          <w:color w:val="auto"/>
          <w:sz w:val="32"/>
          <w:szCs w:val="32"/>
          <w:lang w:val="en-US" w:eastAsia="zh-CN"/>
        </w:rPr>
        <w:t>3.</w:t>
      </w:r>
      <w:r>
        <w:rPr>
          <w:rFonts w:hint="eastAsia" w:eastAsia="仿宋_GB2312"/>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仿宋_GB2312"/>
          <w:b w:val="0"/>
          <w:bCs w:val="0"/>
          <w:lang w:val="en-US" w:eastAsia="zh-CN"/>
        </w:rPr>
        <w:t>1.</w:t>
      </w:r>
      <w:r>
        <w:rPr>
          <w:rFonts w:hint="eastAsia" w:ascii="仿宋_GB2312" w:eastAsia="仿宋_GB2312"/>
          <w:b w:val="0"/>
          <w:bCs w:val="0"/>
        </w:rPr>
        <w:t>综合评价情况</w:t>
      </w:r>
      <w:r>
        <w:rPr>
          <w:rFonts w:hint="eastAsia" w:ascii="仿宋_GB2312"/>
          <w:b w:val="0"/>
          <w:bCs w:val="0"/>
          <w:lang w:eastAsia="zh-CN"/>
        </w:rPr>
        <w:t>：</w:t>
      </w: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本项目严格按照</w:t>
      </w:r>
      <w:r>
        <w:rPr>
          <w:rFonts w:hint="eastAsia" w:ascii="仿宋_GB2312"/>
          <w:bCs/>
          <w:color w:val="auto"/>
          <w:kern w:val="0"/>
          <w:sz w:val="32"/>
          <w:szCs w:val="32"/>
        </w:rPr>
        <w:t>科学公正、统筹兼顾、激励约束、公开透明的</w:t>
      </w:r>
      <w:r>
        <w:rPr>
          <w:rFonts w:hint="eastAsia"/>
          <w:color w:val="auto"/>
        </w:rPr>
        <w:t>绩效评价原则，采用</w:t>
      </w:r>
      <w:r>
        <w:rPr>
          <w:rFonts w:hint="eastAsia"/>
          <w:color w:val="auto"/>
          <w:lang w:val="en-US" w:eastAsia="zh-CN"/>
        </w:rPr>
        <w:t>因素分析法</w:t>
      </w:r>
      <w:r>
        <w:rPr>
          <w:rFonts w:hint="eastAsia"/>
          <w:color w:val="auto"/>
        </w:rPr>
        <w:t>，坚持</w:t>
      </w:r>
      <w:r>
        <w:rPr>
          <w:rFonts w:hint="eastAsia"/>
          <w:color w:val="auto"/>
          <w:lang w:val="en-US" w:eastAsia="zh-CN"/>
        </w:rPr>
        <w:t>计划标准</w:t>
      </w:r>
      <w:r>
        <w:rPr>
          <w:rFonts w:hint="eastAsia"/>
          <w:color w:val="auto"/>
        </w:rPr>
        <w:t>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rPr>
      </w:pPr>
      <w:bookmarkStart w:id="9" w:name="_Toc68703836"/>
      <w:r>
        <w:rPr>
          <w:rFonts w:hint="eastAsia" w:ascii="仿宋_GB2312" w:eastAsia="仿宋_GB2312"/>
          <w:b w:val="0"/>
          <w:bCs w:val="0"/>
          <w:color w:val="auto"/>
          <w:lang w:val="en-US" w:eastAsia="zh-CN"/>
        </w:rPr>
        <w:t>2.</w:t>
      </w:r>
      <w:r>
        <w:rPr>
          <w:rFonts w:hint="eastAsia" w:ascii="仿宋_GB2312" w:eastAsia="仿宋_GB2312"/>
          <w:b w:val="0"/>
          <w:bCs w:val="0"/>
          <w:color w:val="auto"/>
        </w:rPr>
        <w:t>评价结论</w:t>
      </w:r>
      <w:bookmarkEnd w:id="9"/>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color w:val="auto"/>
          <w:highlight w:val="none"/>
        </w:rPr>
      </w:pPr>
      <w:r>
        <w:rPr>
          <w:rFonts w:hint="eastAsia" w:ascii="Times New Roman" w:hAnsi="Times New Roman" w:eastAsia="仿宋_GB2312"/>
          <w:b w:val="0"/>
          <w:bCs w:val="0"/>
          <w:color w:val="auto"/>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color w:val="auto"/>
          <w:highlight w:val="none"/>
        </w:rPr>
        <w:t xml:space="preserve">总得分为 </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 xml:space="preserve">分，属于“优”。其中，项目决策类指标权重为20分，得分为 </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%。项目过程类指标权重为20分，得分为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%。项目产出类指标权重为40分，得分为</w:t>
      </w:r>
      <w:r>
        <w:rPr>
          <w:rFonts w:hint="eastAsia"/>
          <w:b w:val="0"/>
          <w:bCs w:val="0"/>
          <w:color w:val="auto"/>
          <w:highlight w:val="none"/>
          <w:lang w:val="en-US" w:eastAsia="zh-CN"/>
        </w:rPr>
        <w:t>40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%。项目效益类指标权重为20分，得分为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pPr>
        <w:pageBreakBefore w:val="0"/>
        <w:kinsoku/>
        <w:wordWrap/>
        <w:overflowPunct/>
        <w:topLinePunct w:val="0"/>
        <w:autoSpaceDE/>
        <w:autoSpaceDN/>
        <w:bidi w:val="0"/>
        <w:adjustRightInd/>
        <w:snapToGrid/>
        <w:spacing w:line="560" w:lineRule="exact"/>
        <w:ind w:firstLine="600" w:firstLineChars="200"/>
        <w:jc w:val="center"/>
        <w:textAlignment w:val="auto"/>
        <w:rPr>
          <w:color w:val="FF0000"/>
        </w:rPr>
      </w:pPr>
      <w:r>
        <w:rPr>
          <w:rFonts w:hint="eastAsia" w:ascii="仿宋_GB2312"/>
          <w:highlight w:val="none"/>
        </w:rPr>
        <w:t>2022-2023年州直中小学校服财政补贴经费</w:t>
      </w:r>
      <w:r>
        <w:rPr>
          <w:rFonts w:hint="eastAsia"/>
          <w:color w:val="auto"/>
        </w:rPr>
        <w:t>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r>
    </w:tbl>
    <w:p>
      <w:pPr>
        <w:pStyle w:val="10"/>
        <w:pageBreakBefore w:val="0"/>
        <w:kinsoku/>
        <w:wordWrap/>
        <w:overflowPunct/>
        <w:topLinePunct w:val="0"/>
        <w:autoSpaceDE/>
        <w:autoSpaceDN/>
        <w:bidi w:val="0"/>
        <w:adjustRightInd/>
        <w:snapToGrid/>
        <w:spacing w:before="0" w:after="0" w:line="560" w:lineRule="exact"/>
        <w:ind w:firstLine="640" w:firstLineChars="200"/>
        <w:textAlignment w:val="auto"/>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val="en-US" w:eastAsia="zh-CN"/>
        </w:rPr>
      </w:pPr>
      <w:r>
        <w:rPr>
          <w:rFonts w:hint="eastAsia"/>
          <w:color w:val="auto"/>
        </w:rPr>
        <w:t>项目立项依据</w:t>
      </w:r>
      <w:r>
        <w:rPr>
          <w:rFonts w:hint="eastAsia" w:ascii="仿宋_GB2312" w:hAnsi="仿宋_GB2312" w:cs="仿宋_GB2312"/>
          <w:color w:val="auto"/>
          <w:szCs w:val="30"/>
          <w:lang w:val="en-US" w:eastAsia="zh-CN"/>
        </w:rPr>
        <w:t>《关于规范我区中小学师生统一着装工作的通知》（新教基</w:t>
      </w:r>
      <w:r>
        <w:rPr>
          <w:rFonts w:hint="eastAsia" w:ascii="仿宋_GB2312" w:hAnsi="仿宋_GB2312" w:cs="仿宋_GB2312"/>
          <w:color w:val="auto"/>
          <w:szCs w:val="30"/>
        </w:rPr>
        <w:t>[201</w:t>
      </w:r>
      <w:r>
        <w:rPr>
          <w:rFonts w:hint="eastAsia" w:ascii="仿宋_GB2312" w:hAnsi="仿宋_GB2312" w:cs="仿宋_GB2312"/>
          <w:color w:val="auto"/>
          <w:szCs w:val="30"/>
          <w:lang w:val="en-US" w:eastAsia="zh-CN"/>
        </w:rPr>
        <w:t>2</w:t>
      </w:r>
      <w:r>
        <w:rPr>
          <w:rFonts w:hint="eastAsia" w:ascii="仿宋_GB2312" w:hAnsi="仿宋_GB2312" w:cs="仿宋_GB2312"/>
          <w:color w:val="auto"/>
          <w:szCs w:val="30"/>
        </w:rPr>
        <w:t>]</w:t>
      </w:r>
      <w:r>
        <w:rPr>
          <w:rFonts w:hint="eastAsia" w:ascii="仿宋_GB2312" w:hAnsi="仿宋_GB2312" w:cs="仿宋_GB2312"/>
          <w:color w:val="auto"/>
          <w:szCs w:val="30"/>
          <w:lang w:val="en-US" w:eastAsia="zh-CN"/>
        </w:rPr>
        <w:t>1号</w:t>
      </w:r>
      <w:r>
        <w:rPr>
          <w:rFonts w:hint="eastAsia" w:ascii="仿宋_GB2312" w:hAnsi="仿宋_GB2312" w:cs="仿宋_GB2312"/>
          <w:color w:val="auto"/>
          <w:szCs w:val="30"/>
          <w:lang w:eastAsia="zh-CN"/>
        </w:rPr>
        <w:t>、</w:t>
      </w:r>
      <w:r>
        <w:rPr>
          <w:rFonts w:hint="eastAsia" w:ascii="仿宋_GB2312" w:hAnsi="仿宋_GB2312" w:cs="仿宋_GB2312"/>
          <w:color w:val="auto"/>
          <w:szCs w:val="30"/>
        </w:rPr>
        <w:t>《</w:t>
      </w:r>
      <w:r>
        <w:rPr>
          <w:rFonts w:hint="eastAsia" w:ascii="仿宋_GB2312" w:hAnsi="仿宋_GB2312" w:cs="仿宋_GB2312"/>
          <w:color w:val="auto"/>
          <w:szCs w:val="30"/>
          <w:lang w:val="en-US" w:eastAsia="zh-CN"/>
        </w:rPr>
        <w:t>自治州中小学师生统一着装实施方案</w:t>
      </w:r>
      <w:r>
        <w:rPr>
          <w:rFonts w:hint="eastAsia" w:ascii="仿宋_GB2312" w:hAnsi="仿宋_GB2312" w:cs="仿宋_GB2312"/>
          <w:color w:val="auto"/>
          <w:szCs w:val="30"/>
        </w:rPr>
        <w:t>（</w:t>
      </w:r>
      <w:r>
        <w:rPr>
          <w:rFonts w:hint="eastAsia" w:ascii="仿宋_GB2312" w:hAnsi="仿宋_GB2312" w:cs="仿宋_GB2312"/>
          <w:color w:val="auto"/>
          <w:szCs w:val="30"/>
          <w:lang w:val="en-US" w:eastAsia="zh-CN"/>
        </w:rPr>
        <w:t>巴教发</w:t>
      </w:r>
      <w:r>
        <w:rPr>
          <w:rFonts w:hint="eastAsia" w:ascii="仿宋_GB2312" w:hAnsi="仿宋_GB2312" w:cs="仿宋_GB2312"/>
          <w:color w:val="auto"/>
          <w:szCs w:val="30"/>
        </w:rPr>
        <w:t>[201</w:t>
      </w:r>
      <w:r>
        <w:rPr>
          <w:rFonts w:hint="eastAsia" w:ascii="仿宋_GB2312" w:hAnsi="仿宋_GB2312" w:cs="仿宋_GB2312"/>
          <w:color w:val="auto"/>
          <w:szCs w:val="30"/>
          <w:lang w:val="en-US" w:eastAsia="zh-CN"/>
        </w:rPr>
        <w:t>2</w:t>
      </w:r>
      <w:r>
        <w:rPr>
          <w:rFonts w:hint="eastAsia" w:ascii="仿宋_GB2312" w:hAnsi="仿宋_GB2312" w:cs="仿宋_GB2312"/>
          <w:color w:val="auto"/>
          <w:szCs w:val="30"/>
        </w:rPr>
        <w:t>]</w:t>
      </w:r>
      <w:r>
        <w:rPr>
          <w:rFonts w:hint="eastAsia" w:ascii="仿宋_GB2312" w:hAnsi="仿宋_GB2312" w:cs="仿宋_GB2312"/>
          <w:color w:val="auto"/>
          <w:szCs w:val="30"/>
          <w:lang w:val="en-US" w:eastAsia="zh-CN"/>
        </w:rPr>
        <w:t>100</w:t>
      </w:r>
      <w:r>
        <w:rPr>
          <w:rFonts w:hint="eastAsia" w:ascii="仿宋_GB2312" w:hAnsi="仿宋_GB2312" w:cs="仿宋_GB2312"/>
          <w:color w:val="auto"/>
          <w:szCs w:val="30"/>
        </w:rPr>
        <w:t>号》</w:t>
      </w:r>
      <w:r>
        <w:rPr>
          <w:rFonts w:hint="eastAsia" w:ascii="仿宋_GB2312" w:hAnsi="仿宋_GB2312" w:cs="仿宋_GB2312"/>
          <w:color w:val="auto"/>
          <w:szCs w:val="30"/>
          <w:lang w:eastAsia="zh-CN"/>
        </w:rPr>
        <w:t>、巴财预[2023]004号2022-2023年州</w:t>
      </w:r>
      <w:r>
        <w:rPr>
          <w:rFonts w:hint="eastAsia"/>
          <w:color w:val="auto"/>
          <w:lang w:eastAsia="zh-CN"/>
        </w:rPr>
        <w:t>直中小学校服财政补贴经费</w:t>
      </w:r>
      <w:r>
        <w:rPr>
          <w:rFonts w:hint="eastAsia"/>
          <w:color w:val="auto"/>
          <w:lang w:val="en-US" w:eastAsia="zh-CN"/>
        </w:rPr>
        <w:t>文件。项目</w:t>
      </w:r>
      <w:r>
        <w:rPr>
          <w:rFonts w:hint="eastAsia"/>
          <w:color w:val="auto"/>
        </w:rPr>
        <w:t>符合国家法律法规、国民经济发展规划和相关政策</w:t>
      </w:r>
      <w:r>
        <w:rPr>
          <w:rFonts w:hint="eastAsia"/>
          <w:color w:val="auto"/>
          <w:lang w:eastAsia="zh-CN"/>
        </w:rPr>
        <w:t>，</w:t>
      </w:r>
      <w:r>
        <w:rPr>
          <w:rFonts w:hint="eastAsia"/>
          <w:color w:val="auto"/>
        </w:rPr>
        <w:t>符合行业发展规划和政策要求</w:t>
      </w:r>
      <w:r>
        <w:rPr>
          <w:rFonts w:hint="eastAsia"/>
          <w:color w:val="auto"/>
          <w:lang w:eastAsia="zh-CN"/>
        </w:rPr>
        <w:t>，</w:t>
      </w:r>
      <w:r>
        <w:rPr>
          <w:rFonts w:hint="eastAsia"/>
          <w:color w:val="auto"/>
        </w:rPr>
        <w:t>与部门职责范围相符，属于部门履职所需</w:t>
      </w:r>
      <w:r>
        <w:rPr>
          <w:rFonts w:hint="eastAsia"/>
          <w:color w:val="auto"/>
          <w:lang w:eastAsia="zh-CN"/>
        </w:rPr>
        <w:t>，不</w:t>
      </w:r>
      <w:r>
        <w:rPr>
          <w:rFonts w:hint="eastAsia"/>
          <w:color w:val="auto"/>
        </w:rPr>
        <w:t>与部门内部相关项目重复</w:t>
      </w:r>
      <w:r>
        <w:rPr>
          <w:rFonts w:hint="eastAsia"/>
          <w:color w:val="auto"/>
          <w:lang w:eastAsia="zh-CN"/>
        </w:rPr>
        <w:t>。</w:t>
      </w:r>
    </w:p>
    <w:p>
      <w:pPr>
        <w:pStyle w:val="10"/>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pPr>
        <w:pStyle w:val="10"/>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Times New Roman"/>
          <w:b w:val="0"/>
          <w:bCs w:val="0"/>
          <w:kern w:val="2"/>
          <w:sz w:val="30"/>
          <w:szCs w:val="24"/>
          <w:lang w:val="en-US" w:eastAsia="zh-CN" w:bidi="ar-SA"/>
        </w:rPr>
        <w:t>项目申请、设立过程符合相关要求，</w:t>
      </w:r>
      <w:r>
        <w:rPr>
          <w:rFonts w:hint="eastAsia" w:ascii="Times New Roman" w:hAnsi="Times New Roman" w:eastAsia="仿宋_GB2312" w:cs="Times New Roman"/>
          <w:b w:val="0"/>
          <w:bCs w:val="0"/>
          <w:kern w:val="2"/>
          <w:sz w:val="30"/>
          <w:szCs w:val="24"/>
          <w:lang w:val="en-US" w:eastAsia="zh-Hans" w:bidi="ar-SA"/>
        </w:rPr>
        <w:t>严格按照审批流程准备符合要求的文件、材料；</w:t>
      </w:r>
      <w:r>
        <w:rPr>
          <w:rFonts w:hint="eastAsia" w:ascii="Times New Roman" w:hAnsi="Times New Roman" w:eastAsia="仿宋_GB2312" w:cs="Times New Roman"/>
          <w:b w:val="0"/>
          <w:bCs w:val="0"/>
          <w:kern w:val="2"/>
          <w:sz w:val="30"/>
          <w:szCs w:val="24"/>
          <w:lang w:val="en-US" w:eastAsia="zh-CN" w:bidi="ar-SA"/>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0"/>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ascii="仿宋_GB2312"/>
          <w:color w:val="auto"/>
          <w:highlight w:val="none"/>
        </w:rPr>
        <w:t>2022-2023年州直中小学校服财政补贴经费</w:t>
      </w:r>
      <w:r>
        <w:rPr>
          <w:rFonts w:hint="eastAsia"/>
          <w:color w:val="auto"/>
        </w:rPr>
        <w:t>项目设立了项目绩效目标，与</w:t>
      </w:r>
      <w:r>
        <w:rPr>
          <w:rFonts w:hint="eastAsia"/>
          <w:color w:val="auto"/>
          <w:lang w:val="en-US" w:eastAsia="zh-CN"/>
        </w:rPr>
        <w:t>学校初一、高一新生人数、校服采购数量和政策要求</w:t>
      </w:r>
      <w:r>
        <w:rPr>
          <w:rFonts w:hint="eastAsia"/>
          <w:color w:val="auto"/>
        </w:rPr>
        <w:t>具有相关性，项目的预期产出效益和效果也均能符合正常的业绩水平，并且与预算确定的项目投资额或资金量相匹配。</w:t>
      </w:r>
    </w:p>
    <w:p>
      <w:pPr>
        <w:pStyle w:val="10"/>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4</w:t>
      </w:r>
      <w:r>
        <w:rPr>
          <w:rFonts w:hint="eastAsia"/>
          <w:color w:val="auto"/>
          <w:lang w:val="en-US" w:eastAsia="zh-CN"/>
        </w:rPr>
        <w:t>.</w:t>
      </w:r>
      <w:r>
        <w:rPr>
          <w:rFonts w:hint="eastAsia"/>
          <w:color w:val="auto"/>
        </w:rPr>
        <w:t>绩效指标明确性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FF0000"/>
        </w:rPr>
      </w:pPr>
      <w:bookmarkStart w:id="12" w:name="_Hlk68699917"/>
      <w:r>
        <w:rPr>
          <w:rFonts w:hint="eastAsia" w:ascii="仿宋_GB2312"/>
          <w:color w:val="auto"/>
          <w:highlight w:val="none"/>
        </w:rPr>
        <w:t>2022-2023年州直中小学校服财政补贴经费</w:t>
      </w:r>
      <w:r>
        <w:rPr>
          <w:rFonts w:hint="eastAsia"/>
          <w:color w:val="auto"/>
        </w:rPr>
        <w:t>项目将项目绩效目标细化分解为具体的绩效指标，一级指标共</w:t>
      </w:r>
      <w:r>
        <w:rPr>
          <w:rFonts w:hint="eastAsia"/>
          <w:color w:val="auto"/>
          <w:lang w:val="en-US" w:eastAsia="zh-CN"/>
        </w:rPr>
        <w:t>4</w:t>
      </w:r>
      <w:r>
        <w:rPr>
          <w:rFonts w:hint="eastAsia"/>
          <w:color w:val="auto"/>
        </w:rPr>
        <w:t>条，二级指标共</w:t>
      </w:r>
      <w:r>
        <w:rPr>
          <w:rFonts w:hint="eastAsia"/>
          <w:color w:val="auto"/>
          <w:lang w:val="en-US" w:eastAsia="zh-CN"/>
        </w:rPr>
        <w:t>6</w:t>
      </w:r>
      <w:r>
        <w:rPr>
          <w:rFonts w:hint="eastAsia"/>
          <w:color w:val="auto"/>
        </w:rPr>
        <w:t>条，三级指标共</w:t>
      </w:r>
      <w:r>
        <w:rPr>
          <w:rFonts w:hint="eastAsia"/>
          <w:color w:val="auto"/>
          <w:lang w:val="en-US" w:eastAsia="zh-CN"/>
        </w:rPr>
        <w:t>8</w:t>
      </w:r>
      <w:r>
        <w:rPr>
          <w:rFonts w:hint="eastAsia"/>
          <w:color w:val="auto"/>
        </w:rPr>
        <w:t>条，其中量化指标条数共</w:t>
      </w:r>
      <w:r>
        <w:rPr>
          <w:rFonts w:hint="eastAsia"/>
          <w:color w:val="auto"/>
          <w:lang w:val="en-US" w:eastAsia="zh-CN"/>
        </w:rPr>
        <w:t>7</w:t>
      </w:r>
      <w:r>
        <w:rPr>
          <w:rFonts w:hint="eastAsia"/>
          <w:color w:val="auto"/>
        </w:rPr>
        <w:t>条，所有绩效指标均通过清晰、可衡量的指标值予以体现，并且做到了与项目目标任务数或计划数相对应。</w:t>
      </w:r>
      <w:bookmarkEnd w:id="12"/>
    </w:p>
    <w:p>
      <w:pPr>
        <w:pStyle w:val="10"/>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预算编制科学性</w:t>
      </w:r>
    </w:p>
    <w:p>
      <w:pPr>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该项目预算编制</w:t>
      </w:r>
      <w:r>
        <w:rPr>
          <w:rFonts w:hint="eastAsia" w:ascii="Times New Roman" w:hAnsi="Times New Roman" w:cs="Times New Roman"/>
          <w:b w:val="0"/>
          <w:bCs w:val="0"/>
          <w:kern w:val="2"/>
          <w:sz w:val="30"/>
          <w:szCs w:val="24"/>
          <w:lang w:val="en-US" w:eastAsia="zh-CN" w:bidi="ar-SA"/>
        </w:rPr>
        <w:t>科学、</w:t>
      </w:r>
      <w:r>
        <w:rPr>
          <w:rFonts w:hint="default" w:ascii="Times New Roman" w:hAnsi="Times New Roman" w:eastAsia="仿宋_GB2312" w:cs="Times New Roman"/>
          <w:b w:val="0"/>
          <w:bCs w:val="0"/>
          <w:kern w:val="2"/>
          <w:sz w:val="30"/>
          <w:szCs w:val="24"/>
          <w:lang w:val="en-US" w:eastAsia="zh-CN" w:bidi="ar-SA"/>
        </w:rPr>
        <w:t>合理</w:t>
      </w:r>
      <w:r>
        <w:rPr>
          <w:rFonts w:hint="eastAsia" w:ascii="Times New Roman" w:hAnsi="Times New Roman" w:cs="Times New Roman"/>
          <w:b w:val="0"/>
          <w:bCs w:val="0"/>
          <w:kern w:val="2"/>
          <w:sz w:val="30"/>
          <w:szCs w:val="24"/>
          <w:lang w:val="en-US" w:eastAsia="zh-CN" w:bidi="ar-SA"/>
        </w:rPr>
        <w:t>、准确</w:t>
      </w:r>
      <w:r>
        <w:rPr>
          <w:rFonts w:hint="default" w:ascii="Times New Roman" w:hAnsi="Times New Roman" w:eastAsia="仿宋_GB2312" w:cs="Times New Roman"/>
          <w:b w:val="0"/>
          <w:bCs w:val="0"/>
          <w:kern w:val="2"/>
          <w:sz w:val="30"/>
          <w:szCs w:val="24"/>
          <w:lang w:val="en-US" w:eastAsia="zh-CN" w:bidi="ar-SA"/>
        </w:rPr>
        <w:t>，预算内容与项目内容匹配，预算测算依据充分，预算项目投</w:t>
      </w:r>
      <w:r>
        <w:rPr>
          <w:rFonts w:hint="eastAsia" w:ascii="Times New Roman" w:hAnsi="Times New Roman" w:cs="Times New Roman"/>
          <w:b w:val="0"/>
          <w:bCs w:val="0"/>
          <w:kern w:val="2"/>
          <w:sz w:val="30"/>
          <w:szCs w:val="24"/>
          <w:lang w:val="en-US" w:eastAsia="zh-CN" w:bidi="ar-SA"/>
        </w:rPr>
        <w:t>入</w:t>
      </w:r>
      <w:r>
        <w:rPr>
          <w:rFonts w:hint="default" w:ascii="Times New Roman" w:hAnsi="Times New Roman" w:eastAsia="仿宋_GB2312" w:cs="Times New Roman"/>
          <w:b w:val="0"/>
          <w:bCs w:val="0"/>
          <w:kern w:val="2"/>
          <w:sz w:val="30"/>
          <w:szCs w:val="24"/>
          <w:lang w:val="en-US" w:eastAsia="zh-CN" w:bidi="ar-SA"/>
        </w:rPr>
        <w:t>资金与工作任务相匹配。</w:t>
      </w:r>
    </w:p>
    <w:p>
      <w:pPr>
        <w:pStyle w:val="10"/>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pPr>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color w:val="auto"/>
          <w:lang w:val="en-US" w:eastAsia="zh-CN"/>
        </w:rPr>
        <w:t>依据</w:t>
      </w:r>
      <w:r>
        <w:rPr>
          <w:rFonts w:hint="eastAsia" w:ascii="仿宋_GB2312" w:hAnsi="仿宋_GB2312" w:cs="仿宋_GB2312"/>
          <w:color w:val="auto"/>
          <w:szCs w:val="30"/>
          <w:lang w:eastAsia="zh-CN"/>
        </w:rPr>
        <w:t>巴财预[2023]004号2022-2023年州</w:t>
      </w:r>
      <w:r>
        <w:rPr>
          <w:rFonts w:hint="eastAsia"/>
          <w:color w:val="auto"/>
          <w:lang w:eastAsia="zh-CN"/>
        </w:rPr>
        <w:t>直中小学校服财政补贴经费</w:t>
      </w:r>
      <w:r>
        <w:rPr>
          <w:rFonts w:hint="default" w:ascii="Times New Roman" w:hAnsi="Times New Roman" w:eastAsia="仿宋_GB2312" w:cs="Times New Roman"/>
          <w:b w:val="0"/>
          <w:bCs w:val="0"/>
          <w:kern w:val="2"/>
          <w:sz w:val="30"/>
          <w:szCs w:val="24"/>
          <w:lang w:val="en-US" w:eastAsia="zh-CN" w:bidi="ar-SA"/>
        </w:rPr>
        <w:t>预算资金分配</w:t>
      </w:r>
      <w:r>
        <w:rPr>
          <w:rFonts w:hint="eastAsia" w:ascii="Times New Roman" w:hAnsi="Times New Roman" w:eastAsia="仿宋_GB2312" w:cs="Times New Roman"/>
          <w:b w:val="0"/>
          <w:bCs w:val="0"/>
          <w:kern w:val="2"/>
          <w:sz w:val="30"/>
          <w:szCs w:val="24"/>
          <w:lang w:val="en-US" w:eastAsia="zh-CN" w:bidi="ar-SA"/>
        </w:rPr>
        <w:t>22.81</w:t>
      </w:r>
      <w:r>
        <w:rPr>
          <w:rFonts w:hint="default" w:ascii="Times New Roman" w:hAnsi="Times New Roman" w:eastAsia="仿宋_GB2312" w:cs="Times New Roman"/>
          <w:b w:val="0"/>
          <w:bCs w:val="0"/>
          <w:kern w:val="2"/>
          <w:sz w:val="30"/>
          <w:szCs w:val="24"/>
          <w:lang w:val="en-US" w:eastAsia="zh-CN" w:bidi="ar-SA"/>
        </w:rPr>
        <w:t>万元，</w:t>
      </w:r>
      <w:r>
        <w:rPr>
          <w:rFonts w:hint="eastAsia" w:ascii="Times New Roman" w:hAnsi="Times New Roman" w:eastAsia="仿宋_GB2312" w:cs="Times New Roman"/>
          <w:b w:val="0"/>
          <w:bCs w:val="0"/>
          <w:kern w:val="2"/>
          <w:sz w:val="30"/>
          <w:szCs w:val="24"/>
          <w:lang w:val="en-US" w:eastAsia="zh-CN" w:bidi="ar-SA"/>
        </w:rPr>
        <w:t>该资金为财政承担的60%部分</w:t>
      </w:r>
      <w:r>
        <w:rPr>
          <w:rFonts w:hint="eastAsia" w:ascii="Times New Roman" w:hAnsi="Times New Roman" w:cs="Times New Roman"/>
          <w:b w:val="0"/>
          <w:bCs w:val="0"/>
          <w:kern w:val="2"/>
          <w:sz w:val="30"/>
          <w:szCs w:val="24"/>
          <w:lang w:val="en-US" w:eastAsia="zh-CN" w:bidi="ar-SA"/>
        </w:rPr>
        <w:t>，</w:t>
      </w:r>
      <w:r>
        <w:rPr>
          <w:rFonts w:hint="eastAsia" w:cs="Times New Roman"/>
          <w:b w:val="0"/>
          <w:bCs w:val="0"/>
          <w:kern w:val="2"/>
          <w:sz w:val="30"/>
          <w:szCs w:val="24"/>
          <w:lang w:val="en-US" w:eastAsia="zh-CN" w:bidi="ar-SA"/>
        </w:rPr>
        <w:t>全部用于学生校服采购</w:t>
      </w:r>
      <w:r>
        <w:rPr>
          <w:rFonts w:hint="eastAsia" w:ascii="仿宋_GB2312" w:hAnsi="仿宋_GB2312" w:cs="仿宋_GB2312"/>
          <w:b w:val="0"/>
          <w:bCs w:val="0"/>
          <w:color w:val="auto"/>
          <w:spacing w:val="0"/>
          <w:w w:val="100"/>
          <w:kern w:val="2"/>
          <w:position w:val="0"/>
          <w:sz w:val="32"/>
          <w:szCs w:val="32"/>
          <w:lang w:val="en-US" w:eastAsia="zh-CN" w:bidi="ar-SA"/>
        </w:rPr>
        <w:t>支出。</w:t>
      </w:r>
      <w:r>
        <w:rPr>
          <w:rFonts w:hint="default" w:ascii="Times New Roman" w:hAnsi="Times New Roman" w:eastAsia="仿宋_GB2312" w:cs="Times New Roman"/>
          <w:b w:val="0"/>
          <w:bCs w:val="0"/>
          <w:kern w:val="2"/>
          <w:sz w:val="30"/>
          <w:szCs w:val="24"/>
          <w:lang w:val="en-US" w:eastAsia="zh-CN" w:bidi="ar-SA"/>
        </w:rPr>
        <w:t>预算资金分配依据充分，资金分配额度合理，与</w:t>
      </w:r>
      <w:r>
        <w:rPr>
          <w:rFonts w:hint="eastAsia" w:ascii="Times New Roman" w:hAnsi="Times New Roman" w:cs="Times New Roman"/>
          <w:b w:val="0"/>
          <w:bCs w:val="0"/>
          <w:kern w:val="2"/>
          <w:sz w:val="30"/>
          <w:szCs w:val="24"/>
          <w:lang w:val="en-US" w:eastAsia="zh-CN" w:bidi="ar-SA"/>
        </w:rPr>
        <w:t>我校</w:t>
      </w:r>
      <w:r>
        <w:rPr>
          <w:rFonts w:hint="default" w:ascii="Times New Roman" w:hAnsi="Times New Roman" w:eastAsia="仿宋_GB2312" w:cs="Times New Roman"/>
          <w:b w:val="0"/>
          <w:bCs w:val="0"/>
          <w:kern w:val="2"/>
          <w:sz w:val="30"/>
          <w:szCs w:val="24"/>
          <w:lang w:val="en-US" w:eastAsia="zh-CN" w:bidi="ar-SA"/>
        </w:rPr>
        <w:t>实际相适应。</w:t>
      </w:r>
    </w:p>
    <w:p>
      <w:pPr>
        <w:pStyle w:val="10"/>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此项权重分2分，得分2分。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预算资金</w:t>
      </w:r>
      <w:r>
        <w:rPr>
          <w:rFonts w:hint="eastAsia"/>
          <w:color w:val="auto"/>
          <w:lang w:val="en-US" w:eastAsia="zh-CN"/>
        </w:rPr>
        <w:t>22.81</w:t>
      </w:r>
      <w:r>
        <w:rPr>
          <w:rFonts w:hint="eastAsia"/>
          <w:color w:val="auto"/>
        </w:rPr>
        <w:t>万元，实际到位资金</w:t>
      </w:r>
      <w:r>
        <w:rPr>
          <w:rFonts w:hint="eastAsia"/>
          <w:color w:val="auto"/>
          <w:lang w:val="en-US" w:eastAsia="zh-CN"/>
        </w:rPr>
        <w:t>22.81</w:t>
      </w:r>
      <w:r>
        <w:rPr>
          <w:rFonts w:hint="eastAsia"/>
          <w:color w:val="auto"/>
        </w:rPr>
        <w:t>万元，资金到位率</w:t>
      </w:r>
      <w:r>
        <w:rPr>
          <w:rFonts w:hint="eastAsia"/>
          <w:color w:val="auto"/>
          <w:lang w:val="en-US" w:eastAsia="zh-CN"/>
        </w:rPr>
        <w:t>100</w:t>
      </w:r>
      <w:r>
        <w:rPr>
          <w:rFonts w:hint="eastAsia"/>
          <w:color w:val="auto"/>
        </w:rPr>
        <w:t>%。</w:t>
      </w:r>
    </w:p>
    <w:p>
      <w:pPr>
        <w:pStyle w:val="10"/>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val="en-US" w:eastAsia="zh-CN"/>
        </w:rPr>
      </w:pPr>
      <w:r>
        <w:rPr>
          <w:rFonts w:hint="eastAsia"/>
          <w:color w:val="auto"/>
        </w:rPr>
        <w:t>全年预算数</w:t>
      </w:r>
      <w:r>
        <w:rPr>
          <w:rFonts w:hint="eastAsia"/>
          <w:color w:val="auto"/>
          <w:lang w:val="en-US" w:eastAsia="zh-CN"/>
        </w:rPr>
        <w:t>22.81</w:t>
      </w:r>
      <w:r>
        <w:rPr>
          <w:rFonts w:hint="eastAsia"/>
          <w:color w:val="auto"/>
        </w:rPr>
        <w:t>万元，全年执行数</w:t>
      </w:r>
      <w:r>
        <w:rPr>
          <w:rFonts w:hint="eastAsia"/>
          <w:color w:val="auto"/>
          <w:lang w:val="en-US" w:eastAsia="zh-CN"/>
        </w:rPr>
        <w:t>22.81</w:t>
      </w:r>
      <w:r>
        <w:rPr>
          <w:rFonts w:hint="eastAsia"/>
          <w:color w:val="auto"/>
        </w:rPr>
        <w:t>万元，预算执行率为</w:t>
      </w:r>
      <w:r>
        <w:rPr>
          <w:rFonts w:hint="eastAsia"/>
          <w:color w:val="auto"/>
          <w:lang w:val="en-US" w:eastAsia="zh-CN"/>
        </w:rPr>
        <w:t>100</w:t>
      </w:r>
      <w:r>
        <w:rPr>
          <w:rFonts w:hint="eastAsia"/>
          <w:color w:val="auto"/>
        </w:rPr>
        <w:t>%</w:t>
      </w:r>
      <w:r>
        <w:rPr>
          <w:rFonts w:hint="eastAsia"/>
          <w:color w:val="auto"/>
          <w:lang w:eastAsia="zh-CN"/>
        </w:rPr>
        <w:t>。</w:t>
      </w:r>
    </w:p>
    <w:p>
      <w:pPr>
        <w:pStyle w:val="10"/>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pPr>
        <w:pStyle w:val="10"/>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仿宋_GB2312" w:hAnsi="仿宋_GB2312" w:eastAsia="仿宋_GB2312" w:cs="仿宋_GB2312"/>
          <w:b w:val="0"/>
          <w:bCs w:val="0"/>
          <w:color w:val="auto"/>
          <w:sz w:val="30"/>
          <w:szCs w:val="30"/>
          <w:lang w:val="en-US" w:eastAsia="zh-CN"/>
        </w:rPr>
      </w:pPr>
      <w:r>
        <w:rPr>
          <w:rFonts w:hint="eastAsia" w:ascii="仿宋_GB2312" w:hAnsi="仿宋_GB2312" w:eastAsia="仿宋_GB2312" w:cs="仿宋_GB2312"/>
          <w:b w:val="0"/>
          <w:bCs w:val="0"/>
          <w:color w:val="auto"/>
          <w:sz w:val="30"/>
          <w:szCs w:val="30"/>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0"/>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pPr>
        <w:pStyle w:val="10"/>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0"/>
          <w:szCs w:val="30"/>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10"/>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此项权重分2分，得分2分。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pPr>
        <w:pStyle w:val="2"/>
        <w:ind w:firstLine="600" w:firstLineChars="200"/>
        <w:rPr>
          <w:rFonts w:hint="eastAsia"/>
        </w:rPr>
      </w:pPr>
      <w:r>
        <w:rPr>
          <w:rFonts w:hint="eastAsia" w:ascii="Times New Roman" w:hAnsi="Times New Roman" w:eastAsia="仿宋_GB2312" w:cs="Times New Roman"/>
          <w:b w:val="0"/>
          <w:bCs w:val="0"/>
          <w:kern w:val="2"/>
          <w:sz w:val="30"/>
          <w:szCs w:val="24"/>
          <w:lang w:val="en-US" w:eastAsia="zh-CN" w:bidi="ar-SA"/>
        </w:rPr>
        <w:t>该项目严格</w:t>
      </w:r>
      <w:r>
        <w:rPr>
          <w:rFonts w:hint="default" w:ascii="Times New Roman" w:hAnsi="Times New Roman" w:eastAsia="仿宋_GB2312" w:cs="Times New Roman"/>
          <w:b w:val="0"/>
          <w:bCs w:val="0"/>
          <w:kern w:val="2"/>
          <w:sz w:val="30"/>
          <w:szCs w:val="24"/>
          <w:lang w:val="en-US" w:eastAsia="zh-CN" w:bidi="ar-SA"/>
        </w:rPr>
        <w:t>遵守相关法律法规和相关管理规定，项目无调整，项目</w:t>
      </w:r>
      <w:r>
        <w:rPr>
          <w:rFonts w:hint="eastAsia" w:ascii="Times New Roman" w:hAnsi="Times New Roman" w:eastAsia="仿宋_GB2312" w:cs="Times New Roman"/>
          <w:b w:val="0"/>
          <w:bCs w:val="0"/>
          <w:kern w:val="2"/>
          <w:sz w:val="30"/>
          <w:szCs w:val="24"/>
          <w:lang w:val="en-US" w:eastAsia="zh-CN" w:bidi="ar-SA"/>
        </w:rPr>
        <w:t>采购</w:t>
      </w:r>
      <w:r>
        <w:rPr>
          <w:rFonts w:hint="default" w:ascii="Times New Roman" w:hAnsi="Times New Roman" w:eastAsia="仿宋_GB2312" w:cs="Times New Roman"/>
          <w:b w:val="0"/>
          <w:bCs w:val="0"/>
          <w:kern w:val="2"/>
          <w:sz w:val="30"/>
          <w:szCs w:val="24"/>
          <w:lang w:val="en-US" w:eastAsia="zh-CN" w:bidi="ar-SA"/>
        </w:rPr>
        <w:t>合同、验收</w:t>
      </w:r>
      <w:r>
        <w:rPr>
          <w:rFonts w:hint="eastAsia" w:ascii="Times New Roman" w:hAnsi="Times New Roman" w:eastAsia="仿宋_GB2312" w:cs="Times New Roman"/>
          <w:b w:val="0"/>
          <w:bCs w:val="0"/>
          <w:kern w:val="2"/>
          <w:sz w:val="30"/>
          <w:szCs w:val="24"/>
          <w:lang w:val="en-US" w:eastAsia="zh-CN" w:bidi="ar-SA"/>
        </w:rPr>
        <w:t>单</w:t>
      </w:r>
      <w:r>
        <w:rPr>
          <w:rFonts w:hint="default" w:ascii="Times New Roman" w:hAnsi="Times New Roman" w:eastAsia="仿宋_GB2312" w:cs="Times New Roman"/>
          <w:b w:val="0"/>
          <w:bCs w:val="0"/>
          <w:kern w:val="2"/>
          <w:sz w:val="30"/>
          <w:szCs w:val="24"/>
          <w:lang w:val="en-US" w:eastAsia="zh-CN" w:bidi="ar-SA"/>
        </w:rPr>
        <w:t>等资料齐全并及时归档，项目实施的人员条件、场地设备、信息支撑等落实到位。</w:t>
      </w:r>
    </w:p>
    <w:p>
      <w:pPr>
        <w:pStyle w:val="10"/>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color w:val="auto"/>
          <w:highlight w:val="none"/>
        </w:rPr>
      </w:pPr>
      <w:bookmarkStart w:id="14" w:name="_Toc68703840"/>
      <w:r>
        <w:rPr>
          <w:rFonts w:hint="eastAsia"/>
          <w:color w:val="auto"/>
          <w:highlight w:val="none"/>
          <w:lang w:val="en-US" w:eastAsia="zh-CN"/>
        </w:rPr>
        <w:t>（三）</w:t>
      </w:r>
      <w:r>
        <w:rPr>
          <w:rFonts w:hint="eastAsia" w:ascii="仿宋_GB2312" w:eastAsia="仿宋_GB2312"/>
          <w:b w:val="0"/>
          <w:bCs w:val="0"/>
          <w:color w:val="auto"/>
          <w:highlight w:val="none"/>
        </w:rPr>
        <w:t>项目产出情况。</w:t>
      </w:r>
      <w:bookmarkEnd w:id="14"/>
    </w:p>
    <w:p>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数量指标</w:t>
      </w:r>
      <w:r>
        <w:rPr>
          <w:rFonts w:hint="eastAsia"/>
          <w:color w:val="auto"/>
          <w:lang w:eastAsia="zh-CN"/>
        </w:rPr>
        <w:t>完成情况</w:t>
      </w:r>
      <w:r>
        <w:rPr>
          <w:rFonts w:hint="eastAsia"/>
          <w:color w:val="auto"/>
        </w:rPr>
        <w:t>：指标1：夏秋季学生服装套数，指标值：&gt;=2406套，实际完成值</w:t>
      </w:r>
      <w:r>
        <w:rPr>
          <w:rFonts w:hint="eastAsia"/>
          <w:color w:val="auto"/>
          <w:lang w:val="en-US" w:eastAsia="zh-CN"/>
        </w:rPr>
        <w:t>2406套</w:t>
      </w:r>
      <w:r>
        <w:rPr>
          <w:rFonts w:hint="eastAsia"/>
          <w:color w:val="auto"/>
        </w:rPr>
        <w:t>，指标完成率</w:t>
      </w:r>
      <w:r>
        <w:rPr>
          <w:rFonts w:hint="eastAsia"/>
          <w:color w:val="auto"/>
          <w:lang w:val="en-US" w:eastAsia="zh-CN"/>
        </w:rPr>
        <w:t>100</w:t>
      </w:r>
      <w:r>
        <w:rPr>
          <w:rFonts w:hint="eastAsia"/>
          <w:color w:val="auto"/>
        </w:rPr>
        <w:t>%；指标2：学生人数，指标值：=1203人，实际完成值</w:t>
      </w:r>
      <w:r>
        <w:rPr>
          <w:rFonts w:hint="eastAsia"/>
          <w:color w:val="auto"/>
          <w:lang w:val="en-US" w:eastAsia="zh-CN"/>
        </w:rPr>
        <w:t>1203人</w:t>
      </w:r>
      <w:r>
        <w:rPr>
          <w:rFonts w:hint="eastAsia"/>
          <w:color w:val="auto"/>
        </w:rPr>
        <w:t>，指标完成率</w:t>
      </w:r>
      <w:r>
        <w:rPr>
          <w:rFonts w:hint="eastAsia"/>
          <w:color w:val="auto"/>
          <w:lang w:val="en-US" w:eastAsia="zh-CN"/>
        </w:rPr>
        <w:t>100</w:t>
      </w:r>
      <w:r>
        <w:rPr>
          <w:rFonts w:hint="eastAsia"/>
          <w:color w:val="auto"/>
        </w:rPr>
        <w:t>%。</w:t>
      </w:r>
    </w:p>
    <w:p>
      <w:pPr>
        <w:pStyle w:val="10"/>
        <w:ind w:firstLine="600" w:firstLineChars="200"/>
        <w:jc w:val="left"/>
        <w:rPr>
          <w:rFonts w:hint="default"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color w:val="auto"/>
        </w:rPr>
      </w:pPr>
      <w:r>
        <w:rPr>
          <w:rFonts w:hint="eastAsia"/>
          <w:color w:val="auto"/>
        </w:rPr>
        <w:t>质量指标</w:t>
      </w:r>
      <w:r>
        <w:rPr>
          <w:rFonts w:hint="eastAsia"/>
          <w:color w:val="auto"/>
          <w:lang w:eastAsia="zh-CN"/>
        </w:rPr>
        <w:t>完成情况</w:t>
      </w:r>
      <w:r>
        <w:rPr>
          <w:rFonts w:hint="eastAsia"/>
          <w:color w:val="auto"/>
        </w:rPr>
        <w:t>：指标1：夏秋季学生服装质量合格率，指标值：</w:t>
      </w:r>
      <w:r>
        <w:rPr>
          <w:rFonts w:hint="eastAsia"/>
          <w:color w:val="auto"/>
          <w:lang w:val="en-US" w:eastAsia="zh-CN"/>
        </w:rPr>
        <w:t>=100%</w:t>
      </w:r>
      <w:r>
        <w:rPr>
          <w:rFonts w:hint="eastAsia"/>
          <w:color w:val="auto"/>
        </w:rPr>
        <w:t>，实际完成值</w:t>
      </w:r>
      <w:r>
        <w:rPr>
          <w:rFonts w:hint="eastAsia"/>
          <w:color w:val="auto"/>
          <w:lang w:val="en-US" w:eastAsia="zh-CN"/>
        </w:rPr>
        <w:t>100%</w:t>
      </w:r>
      <w:r>
        <w:rPr>
          <w:rFonts w:hint="eastAsia"/>
          <w:color w:val="auto"/>
        </w:rPr>
        <w:t>，指标完成率</w:t>
      </w:r>
      <w:r>
        <w:rPr>
          <w:rFonts w:hint="eastAsia"/>
          <w:color w:val="auto"/>
          <w:lang w:val="en-US" w:eastAsia="zh-CN"/>
        </w:rPr>
        <w:t>100</w:t>
      </w:r>
      <w:r>
        <w:rPr>
          <w:rFonts w:hint="eastAsia"/>
          <w:color w:val="auto"/>
        </w:rPr>
        <w:t>%；指标2：夏秋季学生服装验收合格率，指标值：</w:t>
      </w:r>
      <w:r>
        <w:rPr>
          <w:rFonts w:hint="eastAsia"/>
          <w:color w:val="auto"/>
          <w:lang w:val="en-US" w:eastAsia="zh-CN"/>
        </w:rPr>
        <w:t>=100%</w:t>
      </w:r>
      <w:r>
        <w:rPr>
          <w:rFonts w:hint="eastAsia"/>
          <w:color w:val="auto"/>
        </w:rPr>
        <w:t>，实际完成值</w:t>
      </w:r>
      <w:r>
        <w:rPr>
          <w:rFonts w:hint="eastAsia"/>
          <w:color w:val="auto"/>
          <w:lang w:val="en-US" w:eastAsia="zh-CN"/>
        </w:rPr>
        <w:t>100%</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p>
    <w:p>
      <w:pPr>
        <w:pStyle w:val="10"/>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color w:val="auto"/>
        </w:rPr>
      </w:pPr>
      <w:r>
        <w:rPr>
          <w:rFonts w:hint="eastAsia"/>
          <w:color w:val="auto"/>
        </w:rPr>
        <w:t>时效指标</w:t>
      </w:r>
      <w:r>
        <w:rPr>
          <w:rFonts w:hint="eastAsia"/>
          <w:color w:val="auto"/>
          <w:lang w:eastAsia="zh-CN"/>
        </w:rPr>
        <w:t>完成情况</w:t>
      </w:r>
      <w:r>
        <w:rPr>
          <w:rFonts w:hint="eastAsia"/>
          <w:color w:val="auto"/>
        </w:rPr>
        <w:t>：指标</w:t>
      </w:r>
      <w:r>
        <w:rPr>
          <w:rFonts w:hint="eastAsia"/>
          <w:color w:val="auto"/>
          <w:lang w:val="en-US" w:eastAsia="zh-CN"/>
        </w:rPr>
        <w:t>1</w:t>
      </w:r>
      <w:r>
        <w:rPr>
          <w:rFonts w:hint="eastAsia"/>
          <w:color w:val="auto"/>
        </w:rPr>
        <w:t>：资金支付及时率，指标值：</w:t>
      </w:r>
      <w:r>
        <w:rPr>
          <w:rFonts w:hint="eastAsia"/>
          <w:color w:val="auto"/>
          <w:lang w:val="en-US" w:eastAsia="zh-CN"/>
        </w:rPr>
        <w:t>=100%</w:t>
      </w:r>
      <w:r>
        <w:rPr>
          <w:rFonts w:hint="eastAsia"/>
          <w:color w:val="auto"/>
        </w:rPr>
        <w:t>，实际完成值</w:t>
      </w:r>
      <w:r>
        <w:rPr>
          <w:rFonts w:hint="eastAsia"/>
          <w:color w:val="auto"/>
          <w:lang w:val="en-US" w:eastAsia="zh-CN"/>
        </w:rPr>
        <w:t>100%</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p>
    <w:p>
      <w:pPr>
        <w:pStyle w:val="10"/>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color w:val="auto"/>
        </w:rPr>
      </w:pPr>
      <w:r>
        <w:rPr>
          <w:rFonts w:hint="eastAsia"/>
          <w:color w:val="auto"/>
          <w:highlight w:val="none"/>
          <w:lang w:val="en-US" w:eastAsia="zh-CN"/>
        </w:rPr>
        <w:t>经济成本指标完成情况</w:t>
      </w:r>
      <w:r>
        <w:rPr>
          <w:rFonts w:hint="eastAsia"/>
          <w:color w:val="auto"/>
          <w:highlight w:val="none"/>
          <w:lang w:eastAsia="zh-CN"/>
        </w:rPr>
        <w:t>：</w:t>
      </w:r>
      <w:r>
        <w:rPr>
          <w:rFonts w:hint="eastAsia"/>
          <w:color w:val="auto"/>
        </w:rPr>
        <w:t>指标</w:t>
      </w:r>
      <w:r>
        <w:rPr>
          <w:rFonts w:hint="eastAsia"/>
          <w:color w:val="auto"/>
          <w:lang w:val="en-US" w:eastAsia="zh-CN"/>
        </w:rPr>
        <w:t>1</w:t>
      </w:r>
      <w:r>
        <w:rPr>
          <w:rFonts w:hint="eastAsia"/>
          <w:color w:val="auto"/>
        </w:rPr>
        <w:t>：中小学学生统一着装财政承担每套成本，指标值：</w:t>
      </w:r>
      <w:r>
        <w:rPr>
          <w:rFonts w:hint="eastAsia"/>
          <w:color w:val="auto"/>
          <w:lang w:val="en-US" w:eastAsia="zh-CN"/>
        </w:rPr>
        <w:t>&lt;=94.80元</w:t>
      </w:r>
      <w:r>
        <w:rPr>
          <w:rFonts w:hint="eastAsia"/>
          <w:color w:val="auto"/>
        </w:rPr>
        <w:t>，实际完成值</w:t>
      </w:r>
      <w:r>
        <w:rPr>
          <w:rFonts w:hint="eastAsia"/>
          <w:color w:val="auto"/>
          <w:lang w:val="en-US" w:eastAsia="zh-CN"/>
        </w:rPr>
        <w:t>94.80元</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p>
    <w:p>
      <w:pPr>
        <w:pStyle w:val="10"/>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highlight w:val="none"/>
          <w:lang w:val="en-US" w:eastAsia="zh-CN"/>
        </w:rPr>
        <w:t>1.</w:t>
      </w: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w:t>
      </w:r>
      <w:r>
        <w:rPr>
          <w:rFonts w:hint="eastAsia"/>
          <w:color w:val="auto"/>
        </w:rPr>
        <w:t>指标</w:t>
      </w:r>
      <w:r>
        <w:rPr>
          <w:rFonts w:hint="eastAsia"/>
          <w:color w:val="auto"/>
          <w:lang w:val="en-US" w:eastAsia="zh-CN"/>
        </w:rPr>
        <w:t>1</w:t>
      </w:r>
      <w:r>
        <w:rPr>
          <w:rFonts w:hint="eastAsia"/>
          <w:color w:val="auto"/>
        </w:rPr>
        <w:t>：提升校园文化建设，加强学生管理，指标值：</w:t>
      </w:r>
      <w:r>
        <w:rPr>
          <w:rFonts w:hint="eastAsia"/>
          <w:color w:val="auto"/>
          <w:lang w:val="en-US" w:eastAsia="zh-CN"/>
        </w:rPr>
        <w:t>有所提升</w:t>
      </w:r>
      <w:r>
        <w:rPr>
          <w:rFonts w:hint="eastAsia"/>
          <w:color w:val="auto"/>
        </w:rPr>
        <w:t>，实际完成值</w:t>
      </w:r>
      <w:r>
        <w:rPr>
          <w:rFonts w:hint="eastAsia"/>
          <w:color w:val="auto"/>
          <w:lang w:val="en-US" w:eastAsia="zh-CN"/>
        </w:rPr>
        <w:t>达成目标</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p>
    <w:p>
      <w:pPr>
        <w:pStyle w:val="10"/>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highlight w:val="none"/>
          <w:lang w:val="en-US" w:eastAsia="zh-CN"/>
        </w:rPr>
        <w:t>2.</w:t>
      </w: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r>
        <w:rPr>
          <w:rFonts w:hint="eastAsia"/>
          <w:color w:val="auto"/>
        </w:rPr>
        <w:t>指标</w:t>
      </w:r>
      <w:r>
        <w:rPr>
          <w:rFonts w:hint="eastAsia"/>
          <w:color w:val="auto"/>
          <w:lang w:val="en-US" w:eastAsia="zh-CN"/>
        </w:rPr>
        <w:t>1</w:t>
      </w:r>
      <w:r>
        <w:rPr>
          <w:rFonts w:hint="eastAsia"/>
          <w:color w:val="auto"/>
        </w:rPr>
        <w:t>：学生满意度，指标值：</w:t>
      </w:r>
      <w:r>
        <w:rPr>
          <w:rFonts w:hint="eastAsia"/>
          <w:color w:val="auto"/>
          <w:lang w:val="en-US" w:eastAsia="zh-CN"/>
        </w:rPr>
        <w:t>&gt;=90%</w:t>
      </w:r>
      <w:r>
        <w:rPr>
          <w:rFonts w:hint="eastAsia"/>
          <w:color w:val="auto"/>
        </w:rPr>
        <w:t>，实际完成值</w:t>
      </w:r>
      <w:r>
        <w:rPr>
          <w:rFonts w:hint="eastAsia"/>
          <w:color w:val="auto"/>
          <w:lang w:val="en-US" w:eastAsia="zh-CN"/>
        </w:rPr>
        <w:t>90%</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p>
    <w:p>
      <w:pPr>
        <w:pStyle w:val="10"/>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6" w:name="_Toc68703842"/>
      <w:r>
        <w:rPr>
          <w:rFonts w:hint="eastAsia" w:ascii="Times New Roman" w:hAnsi="Times New Roman" w:eastAsia="黑体" w:cs="Times New Roman"/>
          <w:sz w:val="32"/>
          <w:szCs w:val="32"/>
          <w:lang w:eastAsia="zh-Hans"/>
        </w:rPr>
        <w:t>五、预算执行进度与绩效指标总体完成率偏差</w:t>
      </w:r>
    </w:p>
    <w:p>
      <w:pPr>
        <w:pStyle w:val="2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pacing w:val="0"/>
          <w:w w:val="100"/>
          <w:kern w:val="2"/>
          <w:position w:val="0"/>
          <w:sz w:val="32"/>
          <w:szCs w:val="32"/>
          <w:lang w:val="en-US" w:eastAsia="zh-CN" w:bidi="ar-SA"/>
        </w:rPr>
      </w:pPr>
      <w:r>
        <w:rPr>
          <w:rFonts w:hint="eastAsia" w:ascii="仿宋_GB2312" w:hAnsi="仿宋_GB2312" w:eastAsia="仿宋_GB2312" w:cs="仿宋_GB2312"/>
          <w:b w:val="0"/>
          <w:bCs w:val="0"/>
          <w:color w:val="auto"/>
          <w:spacing w:val="0"/>
          <w:w w:val="100"/>
          <w:kern w:val="2"/>
          <w:position w:val="0"/>
          <w:sz w:val="32"/>
          <w:szCs w:val="32"/>
          <w:lang w:val="en-US" w:eastAsia="zh-CN" w:bidi="ar-SA"/>
        </w:rPr>
        <w:t>2022-2023年州直中小学校服财政补贴经费项目全年预算</w:t>
      </w:r>
      <w:r>
        <w:rPr>
          <w:rFonts w:hint="eastAsia" w:ascii="仿宋_GB2312" w:hAnsi="仿宋_GB2312" w:cs="仿宋_GB2312"/>
          <w:b w:val="0"/>
          <w:bCs w:val="0"/>
          <w:color w:val="auto"/>
          <w:spacing w:val="0"/>
          <w:w w:val="100"/>
          <w:kern w:val="2"/>
          <w:position w:val="0"/>
          <w:sz w:val="32"/>
          <w:szCs w:val="32"/>
          <w:lang w:val="en-US" w:eastAsia="zh-CN" w:bidi="ar-SA"/>
        </w:rPr>
        <w:t>22.81</w:t>
      </w:r>
      <w:r>
        <w:rPr>
          <w:rFonts w:hint="eastAsia" w:ascii="仿宋_GB2312" w:hAnsi="仿宋_GB2312" w:eastAsia="仿宋_GB2312" w:cs="仿宋_GB2312"/>
          <w:b w:val="0"/>
          <w:bCs w:val="0"/>
          <w:color w:val="auto"/>
          <w:spacing w:val="0"/>
          <w:w w:val="100"/>
          <w:kern w:val="2"/>
          <w:position w:val="0"/>
          <w:sz w:val="32"/>
          <w:szCs w:val="32"/>
          <w:lang w:val="en-US" w:eastAsia="zh-CN" w:bidi="ar-SA"/>
        </w:rPr>
        <w:t>万元，实际支出</w:t>
      </w:r>
      <w:r>
        <w:rPr>
          <w:rFonts w:hint="eastAsia" w:ascii="仿宋_GB2312" w:hAnsi="仿宋_GB2312" w:cs="仿宋_GB2312"/>
          <w:b w:val="0"/>
          <w:bCs w:val="0"/>
          <w:color w:val="auto"/>
          <w:spacing w:val="0"/>
          <w:w w:val="100"/>
          <w:kern w:val="2"/>
          <w:position w:val="0"/>
          <w:sz w:val="32"/>
          <w:szCs w:val="32"/>
          <w:lang w:val="en-US" w:eastAsia="zh-CN" w:bidi="ar-SA"/>
        </w:rPr>
        <w:t>22.81</w:t>
      </w:r>
      <w:r>
        <w:rPr>
          <w:rFonts w:hint="eastAsia" w:ascii="仿宋_GB2312" w:hAnsi="仿宋_GB2312" w:eastAsia="仿宋_GB2312" w:cs="仿宋_GB2312"/>
          <w:b w:val="0"/>
          <w:bCs w:val="0"/>
          <w:color w:val="auto"/>
          <w:spacing w:val="0"/>
          <w:w w:val="100"/>
          <w:kern w:val="2"/>
          <w:position w:val="0"/>
          <w:sz w:val="32"/>
          <w:szCs w:val="32"/>
          <w:lang w:val="en-US" w:eastAsia="zh-CN" w:bidi="ar-SA"/>
        </w:rPr>
        <w:t>万元，预算执行率为</w:t>
      </w:r>
      <w:r>
        <w:rPr>
          <w:rFonts w:hint="eastAsia" w:ascii="仿宋_GB2312" w:hAnsi="仿宋_GB2312" w:cs="仿宋_GB2312"/>
          <w:b w:val="0"/>
          <w:bCs w:val="0"/>
          <w:color w:val="auto"/>
          <w:spacing w:val="0"/>
          <w:w w:val="100"/>
          <w:kern w:val="2"/>
          <w:position w:val="0"/>
          <w:sz w:val="32"/>
          <w:szCs w:val="32"/>
          <w:lang w:val="en-US" w:eastAsia="zh-CN" w:bidi="ar-SA"/>
        </w:rPr>
        <w:t>100</w:t>
      </w:r>
      <w:r>
        <w:rPr>
          <w:rFonts w:hint="eastAsia" w:ascii="仿宋_GB2312" w:hAnsi="仿宋_GB2312" w:eastAsia="仿宋_GB2312" w:cs="仿宋_GB2312"/>
          <w:b w:val="0"/>
          <w:bCs w:val="0"/>
          <w:color w:val="auto"/>
          <w:spacing w:val="0"/>
          <w:w w:val="100"/>
          <w:kern w:val="2"/>
          <w:position w:val="0"/>
          <w:sz w:val="32"/>
          <w:szCs w:val="32"/>
          <w:lang w:val="en-US" w:eastAsia="zh-CN" w:bidi="ar-SA"/>
        </w:rPr>
        <w:t>%，项目绩效指标总体完成率为</w:t>
      </w:r>
      <w:r>
        <w:rPr>
          <w:rFonts w:hint="eastAsia" w:ascii="仿宋_GB2312" w:hAnsi="仿宋_GB2312" w:cs="仿宋_GB2312"/>
          <w:b w:val="0"/>
          <w:bCs w:val="0"/>
          <w:color w:val="auto"/>
          <w:spacing w:val="0"/>
          <w:w w:val="100"/>
          <w:kern w:val="2"/>
          <w:position w:val="0"/>
          <w:sz w:val="32"/>
          <w:szCs w:val="32"/>
          <w:lang w:val="en-US" w:eastAsia="zh-CN" w:bidi="ar-SA"/>
        </w:rPr>
        <w:t>100</w:t>
      </w:r>
      <w:r>
        <w:rPr>
          <w:rFonts w:hint="eastAsia" w:ascii="仿宋_GB2312" w:hAnsi="仿宋_GB2312" w:eastAsia="仿宋_GB2312" w:cs="仿宋_GB2312"/>
          <w:b w:val="0"/>
          <w:bCs w:val="0"/>
          <w:color w:val="auto"/>
          <w:spacing w:val="0"/>
          <w:w w:val="100"/>
          <w:kern w:val="2"/>
          <w:position w:val="0"/>
          <w:sz w:val="32"/>
          <w:szCs w:val="32"/>
          <w:lang w:val="en-US" w:eastAsia="zh-CN" w:bidi="ar-SA"/>
        </w:rPr>
        <w:t>%，</w:t>
      </w:r>
      <w:r>
        <w:rPr>
          <w:rFonts w:hint="eastAsia" w:ascii="仿宋_GB2312" w:hAnsi="仿宋_GB2312" w:eastAsia="仿宋_GB2312" w:cs="仿宋_GB2312"/>
          <w:b w:val="0"/>
          <w:bCs w:val="0"/>
          <w:color w:val="auto"/>
          <w:spacing w:val="0"/>
          <w:w w:val="100"/>
          <w:kern w:val="2"/>
          <w:position w:val="0"/>
          <w:sz w:val="32"/>
          <w:szCs w:val="32"/>
          <w:lang w:val="en-US" w:eastAsia="zh-Hans" w:bidi="ar-SA"/>
        </w:rPr>
        <w:t>总体</w:t>
      </w:r>
      <w:r>
        <w:rPr>
          <w:rFonts w:hint="eastAsia" w:ascii="仿宋_GB2312" w:hAnsi="仿宋_GB2312" w:eastAsia="仿宋_GB2312" w:cs="仿宋_GB2312"/>
          <w:b w:val="0"/>
          <w:bCs w:val="0"/>
          <w:color w:val="auto"/>
          <w:spacing w:val="0"/>
          <w:w w:val="100"/>
          <w:kern w:val="2"/>
          <w:position w:val="0"/>
          <w:sz w:val="32"/>
          <w:szCs w:val="32"/>
          <w:lang w:val="en-US" w:eastAsia="zh-CN" w:bidi="ar-SA"/>
        </w:rPr>
        <w:t>偏差率为</w:t>
      </w:r>
      <w:r>
        <w:rPr>
          <w:rFonts w:hint="eastAsia" w:ascii="仿宋_GB2312" w:hAnsi="仿宋_GB2312" w:cs="仿宋_GB2312"/>
          <w:b w:val="0"/>
          <w:bCs w:val="0"/>
          <w:color w:val="auto"/>
          <w:spacing w:val="0"/>
          <w:w w:val="100"/>
          <w:kern w:val="2"/>
          <w:position w:val="0"/>
          <w:sz w:val="32"/>
          <w:szCs w:val="32"/>
          <w:lang w:val="en-US" w:eastAsia="zh-CN" w:bidi="ar-SA"/>
        </w:rPr>
        <w:t>0</w:t>
      </w:r>
      <w:r>
        <w:rPr>
          <w:rFonts w:hint="eastAsia" w:ascii="仿宋_GB2312" w:hAnsi="仿宋_GB2312" w:eastAsia="仿宋_GB2312" w:cs="仿宋_GB2312"/>
          <w:b w:val="0"/>
          <w:bCs w:val="0"/>
          <w:color w:val="auto"/>
          <w:spacing w:val="0"/>
          <w:w w:val="100"/>
          <w:kern w:val="2"/>
          <w:position w:val="0"/>
          <w:sz w:val="32"/>
          <w:szCs w:val="32"/>
          <w:lang w:val="en-US" w:eastAsia="zh-CN" w:bidi="ar-SA"/>
        </w:rPr>
        <w:t>%,</w:t>
      </w:r>
      <w:r>
        <w:rPr>
          <w:rFonts w:hint="eastAsia" w:ascii="仿宋_GB2312" w:hAnsi="仿宋_GB2312" w:eastAsia="仿宋_GB2312" w:cs="仿宋_GB2312"/>
          <w:b w:val="0"/>
          <w:bCs w:val="0"/>
          <w:color w:val="auto"/>
          <w:spacing w:val="0"/>
          <w:w w:val="100"/>
          <w:kern w:val="2"/>
          <w:position w:val="0"/>
          <w:sz w:val="32"/>
          <w:szCs w:val="32"/>
          <w:lang w:val="en-US" w:eastAsia="zh-Hans" w:bidi="ar-SA"/>
        </w:rPr>
        <w:t>偏差</w:t>
      </w:r>
      <w:r>
        <w:rPr>
          <w:rFonts w:hint="eastAsia" w:ascii="仿宋_GB2312" w:hAnsi="仿宋_GB2312" w:eastAsia="仿宋_GB2312" w:cs="仿宋_GB2312"/>
          <w:b w:val="0"/>
          <w:bCs w:val="0"/>
          <w:color w:val="auto"/>
          <w:spacing w:val="0"/>
          <w:w w:val="100"/>
          <w:kern w:val="2"/>
          <w:position w:val="0"/>
          <w:sz w:val="32"/>
          <w:szCs w:val="32"/>
          <w:lang w:val="en-US" w:eastAsia="zh-CN" w:bidi="ar-SA"/>
        </w:rPr>
        <w:t>原因</w:t>
      </w:r>
      <w:r>
        <w:rPr>
          <w:rFonts w:hint="eastAsia" w:ascii="仿宋_GB2312" w:hAnsi="仿宋_GB2312" w:cs="仿宋_GB2312"/>
          <w:b w:val="0"/>
          <w:bCs w:val="0"/>
          <w:color w:val="auto"/>
          <w:spacing w:val="0"/>
          <w:w w:val="100"/>
          <w:kern w:val="2"/>
          <w:position w:val="0"/>
          <w:sz w:val="32"/>
          <w:szCs w:val="32"/>
          <w:lang w:val="en-US" w:eastAsia="zh-CN" w:bidi="ar-SA"/>
        </w:rPr>
        <w:t>无偏差</w:t>
      </w:r>
      <w:r>
        <w:rPr>
          <w:rFonts w:hint="eastAsia" w:ascii="仿宋_GB2312" w:hAnsi="仿宋_GB2312" w:eastAsia="仿宋_GB2312" w:cs="仿宋_GB2312"/>
          <w:b w:val="0"/>
          <w:bCs w:val="0"/>
          <w:color w:val="auto"/>
          <w:spacing w:val="0"/>
          <w:w w:val="100"/>
          <w:kern w:val="2"/>
          <w:position w:val="0"/>
          <w:sz w:val="32"/>
          <w:szCs w:val="32"/>
          <w:lang w:val="en-US" w:eastAsia="zh-CN" w:bidi="ar-SA"/>
        </w:rPr>
        <w:t>。</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bookmarkStart w:id="18" w:name="_Toc68703844"/>
      <w:r>
        <w:rPr>
          <w:rFonts w:hint="eastAsia" w:ascii="仿宋_GB2312" w:hAnsi="仿宋_GB2312" w:eastAsia="仿宋_GB2312" w:cs="仿宋_GB2312"/>
          <w:color w:val="auto"/>
          <w:sz w:val="32"/>
          <w:szCs w:val="32"/>
          <w:highlight w:val="none"/>
          <w:lang w:val="en-US" w:eastAsia="zh-CN"/>
        </w:rPr>
        <w:t>按照教育局相关文件要求，</w:t>
      </w:r>
      <w:r>
        <w:rPr>
          <w:rFonts w:hint="eastAsia" w:ascii="仿宋_GB2312" w:hAnsi="仿宋_GB2312" w:cs="仿宋_GB2312"/>
          <w:color w:val="auto"/>
          <w:sz w:val="32"/>
          <w:szCs w:val="32"/>
          <w:highlight w:val="none"/>
          <w:lang w:val="en-US" w:eastAsia="zh-CN"/>
        </w:rPr>
        <w:t>根据实有初一、高一新生人数，组织实施采购，根据采购学生</w:t>
      </w:r>
      <w:r>
        <w:rPr>
          <w:rFonts w:hint="eastAsia" w:ascii="仿宋_GB2312" w:hAnsi="仿宋_GB2312" w:eastAsia="仿宋_GB2312" w:cs="仿宋_GB2312"/>
          <w:color w:val="auto"/>
          <w:sz w:val="32"/>
          <w:szCs w:val="32"/>
          <w:highlight w:val="none"/>
          <w:lang w:val="en-US" w:eastAsia="zh-CN"/>
        </w:rPr>
        <w:t>校服</w:t>
      </w:r>
      <w:r>
        <w:rPr>
          <w:rFonts w:hint="eastAsia" w:ascii="仿宋_GB2312" w:hAnsi="仿宋_GB2312" w:cs="仿宋_GB2312"/>
          <w:color w:val="auto"/>
          <w:sz w:val="32"/>
          <w:szCs w:val="32"/>
          <w:highlight w:val="none"/>
          <w:lang w:val="en-US" w:eastAsia="zh-CN"/>
        </w:rPr>
        <w:t>总额</w:t>
      </w:r>
      <w:r>
        <w:rPr>
          <w:rFonts w:hint="eastAsia" w:ascii="仿宋_GB2312" w:hAnsi="仿宋_GB2312" w:eastAsia="仿宋_GB2312" w:cs="仿宋_GB2312"/>
          <w:color w:val="auto"/>
          <w:sz w:val="32"/>
          <w:szCs w:val="32"/>
          <w:highlight w:val="none"/>
          <w:lang w:val="en-US" w:eastAsia="zh-CN"/>
        </w:rPr>
        <w:t>的60%部分由财政经费承担，</w:t>
      </w:r>
      <w:r>
        <w:rPr>
          <w:rFonts w:hint="eastAsia" w:ascii="仿宋_GB2312" w:hAnsi="仿宋_GB2312" w:cs="仿宋_GB2312"/>
          <w:color w:val="auto"/>
          <w:sz w:val="32"/>
          <w:szCs w:val="32"/>
          <w:highlight w:val="none"/>
          <w:lang w:val="en-US" w:eastAsia="zh-CN"/>
        </w:rPr>
        <w:t>学生个人承担40%部分。</w:t>
      </w:r>
      <w:r>
        <w:rPr>
          <w:rFonts w:hint="eastAsia" w:ascii="仿宋_GB2312" w:hAnsi="仿宋_GB2312" w:eastAsia="仿宋_GB2312" w:cs="仿宋_GB2312"/>
          <w:color w:val="auto"/>
          <w:sz w:val="32"/>
          <w:szCs w:val="32"/>
          <w:highlight w:val="none"/>
          <w:lang w:val="en-US" w:eastAsia="zh-CN"/>
        </w:rPr>
        <w:t>严格按照中标金额的60%部分及时支付资金。</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18"/>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存在的问题：</w:t>
      </w:r>
    </w:p>
    <w:p>
      <w:pPr>
        <w:pageBreakBefore w:val="0"/>
        <w:numPr>
          <w:ilvl w:val="0"/>
          <w:numId w:val="2"/>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rPr>
      </w:pPr>
      <w:r>
        <w:rPr>
          <w:rFonts w:hint="eastAsia" w:ascii="Times New Roman" w:hAnsi="Times New Roman" w:cs="Times New Roman"/>
          <w:color w:val="auto"/>
        </w:rPr>
        <w:t>该项目绩效目标设定套数按照</w:t>
      </w:r>
      <w:r>
        <w:rPr>
          <w:rFonts w:hint="eastAsia" w:ascii="Times New Roman" w:hAnsi="Times New Roman" w:cs="Times New Roman"/>
          <w:color w:val="auto"/>
          <w:lang w:val="en-US" w:eastAsia="zh-CN"/>
        </w:rPr>
        <w:t>学生人数1203人，每人</w:t>
      </w:r>
      <w:r>
        <w:rPr>
          <w:rFonts w:hint="eastAsia" w:ascii="Times New Roman" w:hAnsi="Times New Roman" w:cs="Times New Roman"/>
          <w:color w:val="auto"/>
        </w:rPr>
        <w:t>夏秋2套设置，购置数量为2406套</w:t>
      </w:r>
      <w:r>
        <w:rPr>
          <w:rFonts w:hint="eastAsia" w:ascii="Times New Roman" w:hAnsi="Times New Roman" w:cs="Times New Roman"/>
          <w:color w:val="auto"/>
          <w:lang w:eastAsia="zh-CN"/>
        </w:rPr>
        <w:t>；</w:t>
      </w:r>
      <w:r>
        <w:rPr>
          <w:rFonts w:hint="eastAsia" w:ascii="Times New Roman" w:hAnsi="Times New Roman" w:cs="Times New Roman"/>
          <w:color w:val="auto"/>
        </w:rPr>
        <w:t>实际采购合同中</w:t>
      </w:r>
      <w:r>
        <w:rPr>
          <w:rFonts w:hint="eastAsia" w:ascii="Times New Roman" w:hAnsi="Times New Roman" w:cs="Times New Roman"/>
          <w:color w:val="auto"/>
          <w:lang w:val="en-US" w:eastAsia="zh-CN"/>
        </w:rPr>
        <w:t>供应商</w:t>
      </w:r>
      <w:r>
        <w:rPr>
          <w:rFonts w:hint="eastAsia" w:ascii="Times New Roman" w:hAnsi="Times New Roman" w:cs="Times New Roman"/>
          <w:color w:val="auto"/>
        </w:rPr>
        <w:t>按照学生人数</w:t>
      </w:r>
      <w:r>
        <w:rPr>
          <w:rFonts w:hint="eastAsia" w:ascii="Times New Roman" w:hAnsi="Times New Roman" w:cs="Times New Roman"/>
          <w:color w:val="auto"/>
          <w:lang w:val="en-US" w:eastAsia="zh-CN"/>
        </w:rPr>
        <w:t>1203人</w:t>
      </w:r>
      <w:r>
        <w:rPr>
          <w:rFonts w:hint="eastAsia" w:ascii="Times New Roman" w:hAnsi="Times New Roman" w:cs="Times New Roman"/>
          <w:color w:val="auto"/>
          <w:lang w:eastAsia="zh-CN"/>
        </w:rPr>
        <w:t>，</w:t>
      </w:r>
      <w:r>
        <w:rPr>
          <w:rFonts w:hint="eastAsia" w:ascii="Times New Roman" w:hAnsi="Times New Roman" w:cs="Times New Roman"/>
          <w:color w:val="auto"/>
          <w:lang w:val="en-US" w:eastAsia="zh-CN"/>
        </w:rPr>
        <w:t>每人1套</w:t>
      </w:r>
      <w:r>
        <w:rPr>
          <w:rFonts w:hint="eastAsia" w:ascii="Times New Roman" w:hAnsi="Times New Roman" w:cs="Times New Roman"/>
          <w:color w:val="auto"/>
        </w:rPr>
        <w:t>作为购置套数。导致合同采购数量和项目目标</w:t>
      </w:r>
      <w:r>
        <w:rPr>
          <w:rFonts w:hint="eastAsia" w:ascii="Times New Roman" w:hAnsi="Times New Roman" w:cs="Times New Roman"/>
          <w:color w:val="auto"/>
          <w:lang w:val="en-US" w:eastAsia="zh-CN"/>
        </w:rPr>
        <w:t>设置的</w:t>
      </w:r>
      <w:r>
        <w:rPr>
          <w:rFonts w:hint="eastAsia" w:ascii="Times New Roman" w:hAnsi="Times New Roman" w:cs="Times New Roman"/>
          <w:color w:val="auto"/>
        </w:rPr>
        <w:t>购置数量不一致。</w:t>
      </w:r>
    </w:p>
    <w:p>
      <w:pPr>
        <w:pageBreakBefore w:val="0"/>
        <w:kinsoku/>
        <w:wordWrap/>
        <w:overflowPunct/>
        <w:topLinePunct w:val="0"/>
        <w:autoSpaceDE/>
        <w:autoSpaceDN/>
        <w:bidi w:val="0"/>
        <w:adjustRightInd/>
        <w:snapToGrid/>
        <w:spacing w:line="560" w:lineRule="exact"/>
        <w:ind w:firstLine="640" w:firstLineChars="200"/>
        <w:textAlignment w:val="auto"/>
        <w:rPr>
          <w:rFonts w:eastAsia="黑体"/>
          <w:color w:val="0000FF"/>
          <w:sz w:val="32"/>
          <w:szCs w:val="32"/>
        </w:rPr>
      </w:pPr>
      <w:bookmarkStart w:id="19" w:name="_Toc68703845"/>
      <w:bookmarkStart w:id="21" w:name="_GoBack"/>
      <w:bookmarkEnd w:id="21"/>
      <w:r>
        <w:rPr>
          <w:rFonts w:hint="eastAsia" w:ascii="宋体" w:hAnsi="宋体" w:eastAsia="宋体"/>
          <w:sz w:val="32"/>
          <w:szCs w:val="32"/>
          <w:lang w:val="en-US" w:eastAsia="zh-CN"/>
        </w:rPr>
        <w:t>七</w:t>
      </w:r>
      <w:r>
        <w:rPr>
          <w:rFonts w:hint="eastAsia" w:ascii="宋体" w:hAnsi="宋体" w:eastAsia="宋体"/>
          <w:sz w:val="32"/>
          <w:szCs w:val="32"/>
        </w:rPr>
        <w:t>、有关建议</w:t>
      </w:r>
      <w:bookmarkEnd w:id="19"/>
    </w:p>
    <w:p>
      <w:pPr>
        <w:pageBreakBefore w:val="0"/>
        <w:shd w:val="clear"/>
        <w:kinsoku/>
        <w:wordWrap/>
        <w:overflowPunct/>
        <w:topLinePunct w:val="0"/>
        <w:autoSpaceDE/>
        <w:autoSpaceDN/>
        <w:bidi w:val="0"/>
        <w:adjustRightInd/>
        <w:snapToGrid/>
        <w:spacing w:line="560" w:lineRule="exact"/>
        <w:ind w:firstLine="584" w:firstLineChars="200"/>
        <w:textAlignment w:val="auto"/>
        <w:outlineLvl w:val="0"/>
        <w:rPr>
          <w:rFonts w:hint="eastAsia" w:ascii="仿宋_GB2312" w:hAnsi="仿宋_GB2312" w:eastAsia="仿宋_GB2312" w:cs="仿宋_GB2312"/>
          <w:color w:val="0000FF"/>
          <w:sz w:val="32"/>
          <w:szCs w:val="32"/>
          <w:highlight w:val="none"/>
          <w:lang w:val="en-US" w:eastAsia="zh-CN"/>
        </w:rPr>
      </w:pPr>
      <w:r>
        <w:rPr>
          <w:rStyle w:val="13"/>
          <w:rFonts w:hint="eastAsia" w:ascii="仿宋_GB2312" w:hAnsi="仿宋_GB2312" w:cs="仿宋_GB2312"/>
          <w:b w:val="0"/>
          <w:spacing w:val="-4"/>
          <w:szCs w:val="30"/>
        </w:rPr>
        <w:t>1、加强项目资金的预算管理，认真准确及时编制单位项目资金预算计划，在执行过程中加强监督管理，细化项目实施过程，分时段拨付资金。</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.多进行有关绩效管理工作方面的培训。积极组织第三方开展绩效管理工作培训，进一步夯实业务基础，提高我单位绩效人员水平。</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.专门设定对绩效工作人员定职、定岗、定责等相关制度措施，进一步提升我单位绩效管理工作业务水平，扎实做好绩效管理工作。</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eastAsia="zh-CN"/>
        </w:rPr>
      </w:pPr>
      <w:r>
        <w:rPr>
          <w:rFonts w:hint="eastAsia"/>
          <w:color w:val="auto"/>
        </w:rPr>
        <w:t>无</w:t>
      </w:r>
    </w:p>
    <w:p>
      <w:pPr>
        <w:pageBreakBefore w:val="0"/>
        <w:kinsoku/>
        <w:wordWrap/>
        <w:overflowPunct/>
        <w:topLinePunct w:val="0"/>
        <w:autoSpaceDE/>
        <w:autoSpaceDN/>
        <w:bidi w:val="0"/>
        <w:adjustRightInd/>
        <w:snapToGrid/>
        <w:spacing w:line="560" w:lineRule="exact"/>
        <w:ind w:firstLine="600" w:firstLineChars="200"/>
        <w:textAlignment w:val="auto"/>
      </w:pPr>
    </w:p>
    <w:p>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红豆小标宋简体">
    <w:altName w:val="宋体"/>
    <w:panose1 w:val="02000509000000000000"/>
    <w:charset w:val="86"/>
    <w:family w:val="auto"/>
    <w:pitch w:val="default"/>
    <w:sig w:usb0="00000000" w:usb1="00000000" w:usb2="00000012"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微软雅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abstractNum w:abstractNumId="1">
    <w:nsid w:val="FF8D48E7"/>
    <w:multiLevelType w:val="singleLevel"/>
    <w:tmpl w:val="FF8D48E7"/>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435113D"/>
    <w:rsid w:val="05227DA5"/>
    <w:rsid w:val="05D72C78"/>
    <w:rsid w:val="0845402D"/>
    <w:rsid w:val="08D20D13"/>
    <w:rsid w:val="0C4D0F1B"/>
    <w:rsid w:val="0D12337E"/>
    <w:rsid w:val="0EAE5CAA"/>
    <w:rsid w:val="0F2A6BF7"/>
    <w:rsid w:val="128D3FA1"/>
    <w:rsid w:val="15513351"/>
    <w:rsid w:val="1D723F37"/>
    <w:rsid w:val="1D785367"/>
    <w:rsid w:val="1F6E6AE4"/>
    <w:rsid w:val="21407025"/>
    <w:rsid w:val="21CE5490"/>
    <w:rsid w:val="25D849A4"/>
    <w:rsid w:val="27C91004"/>
    <w:rsid w:val="2AA27472"/>
    <w:rsid w:val="32AE0DEC"/>
    <w:rsid w:val="33311EBF"/>
    <w:rsid w:val="36B72533"/>
    <w:rsid w:val="38A959A6"/>
    <w:rsid w:val="3BA22BA5"/>
    <w:rsid w:val="4057649F"/>
    <w:rsid w:val="41901E40"/>
    <w:rsid w:val="41B8730F"/>
    <w:rsid w:val="42691183"/>
    <w:rsid w:val="43182414"/>
    <w:rsid w:val="43FC5D17"/>
    <w:rsid w:val="46507BB3"/>
    <w:rsid w:val="4A7C25BE"/>
    <w:rsid w:val="4C22332E"/>
    <w:rsid w:val="502A2202"/>
    <w:rsid w:val="543B3510"/>
    <w:rsid w:val="561903D7"/>
    <w:rsid w:val="56796849"/>
    <w:rsid w:val="56C94443"/>
    <w:rsid w:val="56D72475"/>
    <w:rsid w:val="5DA95371"/>
    <w:rsid w:val="61AE7D0F"/>
    <w:rsid w:val="68F11999"/>
    <w:rsid w:val="69C74D8E"/>
    <w:rsid w:val="70F93F3A"/>
    <w:rsid w:val="76005923"/>
    <w:rsid w:val="763A02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unhideWhenUsed/>
    <w:qFormat/>
    <w:uiPriority w:val="9"/>
    <w:pPr>
      <w:keepNext/>
      <w:widowControl/>
      <w:spacing w:before="240" w:after="60"/>
      <w:jc w:val="left"/>
      <w:outlineLvl w:val="2"/>
    </w:pPr>
    <w:rPr>
      <w:rFonts w:ascii="Cambria" w:hAnsi="Cambria" w:eastAsia="宋体"/>
      <w:b/>
      <w:bCs/>
      <w:kern w:val="0"/>
      <w:sz w:val="26"/>
      <w:szCs w:val="26"/>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link w:val="19"/>
    <w:semiHidden/>
    <w:unhideWhenUsed/>
    <w:qFormat/>
    <w:uiPriority w:val="99"/>
    <w:pPr>
      <w:tabs>
        <w:tab w:val="center" w:pos="4153"/>
        <w:tab w:val="right" w:pos="8306"/>
      </w:tabs>
      <w:snapToGrid w:val="0"/>
      <w:jc w:val="left"/>
    </w:pPr>
    <w:rPr>
      <w:sz w:val="18"/>
      <w:szCs w:val="18"/>
    </w:rPr>
  </w:style>
  <w:style w:type="paragraph" w:styleId="7">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3">
    <w:name w:val="Strong"/>
    <w:basedOn w:val="12"/>
    <w:qFormat/>
    <w:uiPriority w:val="0"/>
    <w:rPr>
      <w:b/>
      <w:bCs/>
    </w:rPr>
  </w:style>
  <w:style w:type="character" w:styleId="14">
    <w:name w:val="Hyperlink"/>
    <w:basedOn w:val="12"/>
    <w:unhideWhenUsed/>
    <w:qFormat/>
    <w:uiPriority w:val="99"/>
    <w:rPr>
      <w:color w:val="0563C1" w:themeColor="hyperlink"/>
      <w:u w:val="single"/>
    </w:rPr>
  </w:style>
  <w:style w:type="character" w:customStyle="1" w:styleId="15">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6">
    <w:name w:val="标题 2 Char"/>
    <w:basedOn w:val="12"/>
    <w:link w:val="4"/>
    <w:qFormat/>
    <w:uiPriority w:val="9"/>
    <w:rPr>
      <w:rFonts w:asciiTheme="majorHAnsi" w:hAnsiTheme="majorHAnsi" w:eastAsiaTheme="majorEastAsia" w:cstheme="majorBidi"/>
      <w:b/>
      <w:bCs/>
      <w:sz w:val="32"/>
      <w:szCs w:val="32"/>
    </w:rPr>
  </w:style>
  <w:style w:type="paragraph" w:customStyle="1" w:styleId="1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8">
    <w:name w:val="页眉 Char"/>
    <w:basedOn w:val="12"/>
    <w:link w:val="7"/>
    <w:semiHidden/>
    <w:qFormat/>
    <w:uiPriority w:val="99"/>
    <w:rPr>
      <w:rFonts w:ascii="Times New Roman" w:hAnsi="Times New Roman" w:eastAsia="仿宋_GB2312" w:cs="Times New Roman"/>
      <w:sz w:val="18"/>
      <w:szCs w:val="18"/>
    </w:rPr>
  </w:style>
  <w:style w:type="character" w:customStyle="1" w:styleId="19">
    <w:name w:val="页脚 Char"/>
    <w:basedOn w:val="12"/>
    <w:link w:val="6"/>
    <w:semiHidden/>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13</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dcterms:modified xsi:type="dcterms:W3CDTF">2024-05-14T03:54:05Z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