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29FE01">
      <w:pPr>
        <w:spacing w:line="540" w:lineRule="exact"/>
        <w:jc w:val="center"/>
        <w:rPr>
          <w:rFonts w:hint="eastAsia" w:eastAsia="方正小标宋_GBK"/>
          <w:kern w:val="0"/>
          <w:sz w:val="48"/>
          <w:szCs w:val="48"/>
          <w:lang w:eastAsia="zh-CN"/>
        </w:rPr>
      </w:pPr>
    </w:p>
    <w:p w14:paraId="4EEA6AD4">
      <w:pPr>
        <w:spacing w:line="540" w:lineRule="exact"/>
        <w:jc w:val="center"/>
        <w:rPr>
          <w:rFonts w:hint="eastAsia" w:eastAsia="方正小标宋_GBK"/>
          <w:kern w:val="0"/>
          <w:sz w:val="48"/>
          <w:szCs w:val="48"/>
          <w:lang w:eastAsia="zh-CN"/>
        </w:rPr>
      </w:pPr>
    </w:p>
    <w:p w14:paraId="0B403995">
      <w:pPr>
        <w:spacing w:line="540" w:lineRule="exact"/>
        <w:jc w:val="center"/>
        <w:rPr>
          <w:rFonts w:hint="eastAsia" w:eastAsia="方正小标宋_GBK"/>
          <w:kern w:val="0"/>
          <w:sz w:val="48"/>
          <w:szCs w:val="48"/>
          <w:lang w:eastAsia="zh-CN"/>
        </w:rPr>
      </w:pPr>
    </w:p>
    <w:p w14:paraId="7625B92C">
      <w:pPr>
        <w:spacing w:line="540" w:lineRule="exact"/>
        <w:jc w:val="center"/>
        <w:rPr>
          <w:rFonts w:hint="eastAsia" w:eastAsia="方正小标宋_GBK"/>
          <w:kern w:val="0"/>
          <w:sz w:val="48"/>
          <w:szCs w:val="48"/>
          <w:lang w:eastAsia="zh-CN"/>
        </w:rPr>
      </w:pPr>
    </w:p>
    <w:p w14:paraId="2D777014">
      <w:pPr>
        <w:spacing w:line="540" w:lineRule="exact"/>
        <w:jc w:val="center"/>
        <w:rPr>
          <w:rFonts w:eastAsia="方正小标宋_GBK"/>
          <w:kern w:val="0"/>
          <w:sz w:val="48"/>
          <w:szCs w:val="48"/>
        </w:rPr>
      </w:pPr>
      <w:r>
        <w:rPr>
          <w:rFonts w:hint="eastAsia" w:eastAsia="方正小标宋_GBK"/>
          <w:kern w:val="0"/>
          <w:sz w:val="48"/>
          <w:szCs w:val="48"/>
          <w:lang w:eastAsia="zh-CN"/>
        </w:rPr>
        <w:t>巴36号2023年现代职业教育质量提升计划资金（参照直达）预算项目</w:t>
      </w:r>
      <w:r>
        <w:rPr>
          <w:rFonts w:eastAsia="方正小标宋_GBK"/>
          <w:kern w:val="0"/>
          <w:sz w:val="48"/>
          <w:szCs w:val="48"/>
        </w:rPr>
        <w:t>支出评价</w:t>
      </w:r>
    </w:p>
    <w:p w14:paraId="50045FB1">
      <w:pPr>
        <w:spacing w:line="540" w:lineRule="exact"/>
        <w:jc w:val="center"/>
        <w:rPr>
          <w:rFonts w:eastAsia="方正小标宋_GBK"/>
          <w:kern w:val="0"/>
          <w:sz w:val="48"/>
          <w:szCs w:val="48"/>
        </w:rPr>
      </w:pPr>
      <w:r>
        <w:rPr>
          <w:rFonts w:eastAsia="方正小标宋_GBK"/>
          <w:kern w:val="0"/>
          <w:sz w:val="48"/>
          <w:szCs w:val="48"/>
        </w:rPr>
        <w:t>报告</w:t>
      </w:r>
    </w:p>
    <w:p w14:paraId="0AD1AAF2">
      <w:pPr>
        <w:spacing w:line="540" w:lineRule="exact"/>
        <w:jc w:val="center"/>
        <w:rPr>
          <w:rFonts w:eastAsia="华文中宋"/>
          <w:b/>
          <w:kern w:val="0"/>
          <w:sz w:val="52"/>
          <w:szCs w:val="52"/>
        </w:rPr>
      </w:pPr>
    </w:p>
    <w:p w14:paraId="4C094F4C">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lang w:val="en-US" w:eastAsia="zh-CN"/>
        </w:rPr>
        <w:t>3</w:t>
      </w:r>
      <w:r>
        <w:rPr>
          <w:rFonts w:eastAsia="仿宋_GB2312"/>
          <w:kern w:val="0"/>
          <w:sz w:val="36"/>
          <w:szCs w:val="36"/>
        </w:rPr>
        <w:t>年度）</w:t>
      </w:r>
    </w:p>
    <w:p w14:paraId="3222E073">
      <w:pPr>
        <w:spacing w:line="540" w:lineRule="exact"/>
        <w:jc w:val="center"/>
        <w:rPr>
          <w:rFonts w:eastAsia="仿宋_GB2312"/>
          <w:kern w:val="0"/>
          <w:sz w:val="30"/>
          <w:szCs w:val="30"/>
        </w:rPr>
      </w:pPr>
    </w:p>
    <w:p w14:paraId="42FF6234">
      <w:pPr>
        <w:spacing w:line="540" w:lineRule="exact"/>
        <w:jc w:val="center"/>
        <w:rPr>
          <w:rFonts w:eastAsia="仿宋_GB2312"/>
          <w:kern w:val="0"/>
          <w:sz w:val="30"/>
          <w:szCs w:val="30"/>
        </w:rPr>
      </w:pPr>
    </w:p>
    <w:p w14:paraId="77504F3D">
      <w:pPr>
        <w:spacing w:line="540" w:lineRule="exact"/>
        <w:jc w:val="center"/>
        <w:rPr>
          <w:rFonts w:eastAsia="仿宋_GB2312"/>
          <w:kern w:val="0"/>
          <w:sz w:val="30"/>
          <w:szCs w:val="30"/>
        </w:rPr>
      </w:pPr>
    </w:p>
    <w:p w14:paraId="371478A2">
      <w:pPr>
        <w:pStyle w:val="2"/>
      </w:pPr>
    </w:p>
    <w:p w14:paraId="49CAE473">
      <w:pPr>
        <w:spacing w:line="540" w:lineRule="exact"/>
        <w:jc w:val="center"/>
        <w:rPr>
          <w:rFonts w:eastAsia="仿宋_GB2312"/>
          <w:kern w:val="0"/>
          <w:sz w:val="30"/>
          <w:szCs w:val="30"/>
        </w:rPr>
      </w:pPr>
    </w:p>
    <w:p w14:paraId="10E00229">
      <w:pPr>
        <w:spacing w:line="540" w:lineRule="exact"/>
        <w:rPr>
          <w:rFonts w:eastAsia="仿宋_GB2312"/>
          <w:kern w:val="0"/>
          <w:sz w:val="30"/>
          <w:szCs w:val="30"/>
        </w:rPr>
      </w:pPr>
    </w:p>
    <w:p w14:paraId="56FC5443">
      <w:pPr>
        <w:spacing w:line="700" w:lineRule="exact"/>
        <w:ind w:left="3236" w:leftChars="684" w:hanging="1800" w:hangingChars="500"/>
        <w:jc w:val="left"/>
        <w:rPr>
          <w:rFonts w:hint="eastAsia" w:eastAsia="仿宋_GB2312"/>
          <w:kern w:val="0"/>
          <w:sz w:val="36"/>
          <w:szCs w:val="36"/>
          <w:lang w:eastAsia="zh-CN"/>
        </w:rPr>
      </w:pPr>
      <w:r>
        <w:rPr>
          <w:rFonts w:eastAsia="仿宋_GB2312"/>
          <w:kern w:val="0"/>
          <w:sz w:val="36"/>
          <w:szCs w:val="36"/>
        </w:rPr>
        <w:t>项目名称：</w:t>
      </w:r>
      <w:r>
        <w:rPr>
          <w:rFonts w:hint="eastAsia" w:eastAsia="仿宋_GB2312"/>
          <w:kern w:val="0"/>
          <w:sz w:val="36"/>
          <w:szCs w:val="36"/>
          <w:lang w:eastAsia="zh-CN"/>
        </w:rPr>
        <w:t>巴36号2023年现代职业教育质量提升计划资金（参照直达）</w:t>
      </w:r>
    </w:p>
    <w:p w14:paraId="583E332C">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巴州师范学校</w:t>
      </w:r>
    </w:p>
    <w:p w14:paraId="59A57997">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巴州教育局</w:t>
      </w:r>
    </w:p>
    <w:p w14:paraId="333DA7D8">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张传河</w:t>
      </w:r>
    </w:p>
    <w:p w14:paraId="1E5D978F">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5</w:t>
      </w:r>
      <w:r>
        <w:rPr>
          <w:rFonts w:eastAsia="仿宋_GB2312"/>
          <w:kern w:val="0"/>
          <w:sz w:val="36"/>
          <w:szCs w:val="36"/>
        </w:rPr>
        <w:t>月</w:t>
      </w:r>
      <w:r>
        <w:rPr>
          <w:rFonts w:hint="eastAsia" w:eastAsia="仿宋_GB2312"/>
          <w:kern w:val="0"/>
          <w:sz w:val="36"/>
          <w:szCs w:val="36"/>
          <w:lang w:val="en-US" w:eastAsia="zh-CN"/>
        </w:rPr>
        <w:t>10</w:t>
      </w:r>
      <w:r>
        <w:rPr>
          <w:rFonts w:eastAsia="仿宋_GB2312"/>
          <w:kern w:val="0"/>
          <w:sz w:val="36"/>
          <w:szCs w:val="36"/>
        </w:rPr>
        <w:t>日</w:t>
      </w:r>
    </w:p>
    <w:p w14:paraId="2B9A458A">
      <w:pPr>
        <w:spacing w:line="540" w:lineRule="exact"/>
        <w:jc w:val="center"/>
        <w:rPr>
          <w:rFonts w:eastAsia="仿宋_GB2312"/>
          <w:kern w:val="0"/>
          <w:sz w:val="30"/>
          <w:szCs w:val="30"/>
        </w:rPr>
      </w:pPr>
    </w:p>
    <w:p w14:paraId="7059C398">
      <w:pPr>
        <w:spacing w:line="540" w:lineRule="exact"/>
        <w:rPr>
          <w:rStyle w:val="11"/>
          <w:rFonts w:eastAsia="黑体"/>
          <w:b w:val="0"/>
          <w:spacing w:val="-4"/>
          <w:sz w:val="32"/>
          <w:szCs w:val="32"/>
        </w:rPr>
      </w:pPr>
    </w:p>
    <w:p w14:paraId="3CDB34D5">
      <w:pPr>
        <w:spacing w:line="560" w:lineRule="exact"/>
        <w:rPr>
          <w:rFonts w:eastAsia="黑体"/>
          <w:bCs/>
          <w:sz w:val="32"/>
          <w:szCs w:val="32"/>
        </w:rPr>
        <w:sectPr>
          <w:footerReference r:id="rId3" w:type="default"/>
          <w:pgSz w:w="11906" w:h="16838"/>
          <w:pgMar w:top="1440" w:right="226" w:bottom="1440" w:left="1800" w:header="851" w:footer="992" w:gutter="0"/>
          <w:cols w:space="0" w:num="1"/>
          <w:rtlGutter w:val="0"/>
          <w:docGrid w:type="lines" w:linePitch="312" w:charSpace="0"/>
        </w:sectPr>
      </w:pPr>
    </w:p>
    <w:p w14:paraId="1AB393ED">
      <w:pPr>
        <w:spacing w:line="560" w:lineRule="exact"/>
        <w:ind w:firstLine="640" w:firstLineChars="200"/>
        <w:rPr>
          <w:rFonts w:eastAsia="黑体"/>
          <w:bCs/>
          <w:sz w:val="32"/>
          <w:szCs w:val="32"/>
        </w:rPr>
      </w:pPr>
      <w:r>
        <w:rPr>
          <w:rFonts w:eastAsia="黑体"/>
          <w:bCs/>
          <w:sz w:val="32"/>
          <w:szCs w:val="32"/>
        </w:rPr>
        <w:t>一、基本情况</w:t>
      </w:r>
    </w:p>
    <w:p w14:paraId="5BC36DF2">
      <w:pPr>
        <w:spacing w:line="560" w:lineRule="exact"/>
        <w:ind w:firstLine="643" w:firstLineChars="200"/>
        <w:rPr>
          <w:rFonts w:eastAsia="楷体_GB2312"/>
          <w:b/>
          <w:bCs/>
          <w:sz w:val="32"/>
          <w:szCs w:val="32"/>
        </w:rPr>
      </w:pPr>
      <w:r>
        <w:rPr>
          <w:rFonts w:eastAsia="楷体_GB2312"/>
          <w:b/>
          <w:bCs/>
          <w:sz w:val="32"/>
          <w:szCs w:val="32"/>
        </w:rPr>
        <w:t>（一）项目概况</w:t>
      </w:r>
    </w:p>
    <w:p w14:paraId="6DE2EA2B">
      <w:pPr>
        <w:spacing w:line="560" w:lineRule="exact"/>
        <w:ind w:firstLine="643" w:firstLineChars="200"/>
        <w:rPr>
          <w:rFonts w:hint="eastAsia" w:eastAsia="仿宋_GB2312"/>
          <w:b/>
          <w:bCs/>
          <w:sz w:val="32"/>
          <w:szCs w:val="32"/>
        </w:rPr>
      </w:pPr>
      <w:r>
        <w:rPr>
          <w:rFonts w:eastAsia="仿宋_GB2312"/>
          <w:b/>
          <w:bCs/>
          <w:sz w:val="32"/>
          <w:szCs w:val="32"/>
        </w:rPr>
        <w:t>1、项目背景</w:t>
      </w:r>
      <w:r>
        <w:rPr>
          <w:rFonts w:hint="eastAsia" w:ascii="仿宋_GB2312"/>
          <w:highlight w:val="none"/>
        </w:rPr>
        <w:t>，</w:t>
      </w:r>
      <w:r>
        <w:rPr>
          <w:rFonts w:hint="eastAsia" w:eastAsia="仿宋_GB2312"/>
          <w:b/>
          <w:bCs/>
          <w:sz w:val="32"/>
          <w:szCs w:val="32"/>
        </w:rPr>
        <w:t>主要内容及实施情况</w:t>
      </w:r>
    </w:p>
    <w:p w14:paraId="4701ACD9">
      <w:pPr>
        <w:ind w:firstLine="640" w:firstLineChars="200"/>
      </w:pPr>
      <w:r>
        <w:rPr>
          <w:rFonts w:hint="eastAsia" w:ascii="仿宋" w:hAnsi="仿宋" w:eastAsia="仿宋" w:cs="仿宋"/>
          <w:sz w:val="32"/>
          <w:szCs w:val="32"/>
        </w:rPr>
        <w:t>（1）项目背景</w:t>
      </w:r>
    </w:p>
    <w:p w14:paraId="1FEB2302">
      <w:pPr>
        <w:ind w:firstLine="640" w:firstLineChars="200"/>
        <w:rPr>
          <w:rFonts w:hint="eastAsia" w:ascii="仿宋" w:hAnsi="仿宋" w:eastAsia="仿宋" w:cs="仿宋"/>
          <w:sz w:val="32"/>
          <w:szCs w:val="32"/>
        </w:rPr>
      </w:pPr>
      <w:r>
        <w:rPr>
          <w:rFonts w:hint="eastAsia" w:ascii="仿宋" w:hAnsi="仿宋" w:eastAsia="仿宋" w:cs="仿宋"/>
          <w:sz w:val="32"/>
          <w:szCs w:val="32"/>
        </w:rPr>
        <w:t>巴州师范学校始建于 1938 年，至今已有 83 年的办学历史。学校于 2003 年从库尔勒市文化路老校区（现巴州三中）整体搬迁至库尔勒市经济技术开发区现址。学校占地面积约 305 亩,分南北两个校区。学校现有 66 个教学班，在校生 2</w:t>
      </w:r>
      <w:r>
        <w:rPr>
          <w:rFonts w:hint="eastAsia" w:ascii="仿宋" w:hAnsi="仿宋" w:eastAsia="仿宋" w:cs="仿宋"/>
          <w:sz w:val="32"/>
          <w:szCs w:val="32"/>
          <w:lang w:val="en-US" w:eastAsia="zh-CN"/>
        </w:rPr>
        <w:t>972</w:t>
      </w:r>
      <w:r>
        <w:rPr>
          <w:rFonts w:hint="eastAsia" w:ascii="仿宋" w:hAnsi="仿宋" w:eastAsia="仿宋" w:cs="仿宋"/>
          <w:sz w:val="32"/>
          <w:szCs w:val="32"/>
        </w:rPr>
        <w:t>人，开设有学前教育、幼儿保育、体育教育、音乐教育、美术教育、计算机平面设计等专业。学校近十年来在教学基础设施方面因缺乏建设资金，没有大的投入，学生宿舍、餐厅、艺术体育实训馆、等均无法满足在校生的教育教学与生活需求，尤其是学生宿舍严重不足。</w:t>
      </w:r>
    </w:p>
    <w:p w14:paraId="3C3549AC">
      <w:pPr>
        <w:ind w:firstLine="640" w:firstLineChars="200"/>
        <w:rPr>
          <w:rFonts w:eastAsia="仿宋_GB2312"/>
          <w:color w:val="0000FF"/>
          <w:sz w:val="32"/>
          <w:szCs w:val="32"/>
        </w:rPr>
      </w:pPr>
      <w:r>
        <w:rPr>
          <w:rFonts w:hint="eastAsia" w:ascii="仿宋" w:hAnsi="仿宋" w:eastAsia="仿宋" w:cs="仿宋"/>
          <w:sz w:val="32"/>
          <w:szCs w:val="32"/>
        </w:rPr>
        <w:t>根据新教传(2021) 139 号文件精神和其“服务教学、解决急需、完善配套、突出重点、避免重复”的建设原则、以及国家中等职业学校设置标准、中等职业学校建设标准[建标 192-2018]，和学校现有基础教学生活设施不足、基本办学条件落后、而招生人数却与年俱增的现状，结合 202</w:t>
      </w:r>
      <w:r>
        <w:rPr>
          <w:rFonts w:hint="eastAsia" w:ascii="仿宋" w:hAnsi="仿宋" w:eastAsia="仿宋" w:cs="仿宋"/>
          <w:sz w:val="32"/>
          <w:szCs w:val="32"/>
          <w:lang w:val="en-US" w:eastAsia="zh-CN"/>
        </w:rPr>
        <w:t>3</w:t>
      </w:r>
      <w:r>
        <w:rPr>
          <w:rFonts w:hint="eastAsia" w:ascii="仿宋" w:hAnsi="仿宋" w:eastAsia="仿宋" w:cs="仿宋"/>
          <w:sz w:val="32"/>
          <w:szCs w:val="32"/>
        </w:rPr>
        <w:t>年职业教育改善办学条件建设项目资金额度、学校</w:t>
      </w:r>
      <w:r>
        <w:rPr>
          <w:rFonts w:hint="eastAsia" w:ascii="仿宋" w:hAnsi="仿宋" w:eastAsia="仿宋" w:cs="仿宋"/>
          <w:sz w:val="32"/>
          <w:szCs w:val="32"/>
          <w:lang w:val="en-US" w:eastAsia="zh-CN"/>
        </w:rPr>
        <w:t>校舍面积</w:t>
      </w:r>
      <w:r>
        <w:rPr>
          <w:rFonts w:hint="eastAsia" w:ascii="仿宋" w:hAnsi="仿宋" w:eastAsia="仿宋" w:cs="仿宋"/>
          <w:sz w:val="32"/>
          <w:szCs w:val="32"/>
        </w:rPr>
        <w:t>不达标的情况，学校决定申报巴州师范学校</w:t>
      </w:r>
      <w:r>
        <w:rPr>
          <w:rFonts w:hint="eastAsia" w:ascii="仿宋" w:hAnsi="仿宋" w:eastAsia="仿宋" w:cs="仿宋"/>
          <w:sz w:val="32"/>
          <w:szCs w:val="32"/>
          <w:lang w:val="en-US" w:eastAsia="zh-CN"/>
        </w:rPr>
        <w:t>学生宿舍楼</w:t>
      </w:r>
      <w:r>
        <w:rPr>
          <w:rFonts w:hint="eastAsia" w:ascii="仿宋" w:hAnsi="仿宋" w:eastAsia="仿宋" w:cs="仿宋"/>
          <w:sz w:val="32"/>
          <w:szCs w:val="32"/>
        </w:rPr>
        <w:t>建设项目。项目的建成，将从根本上解决</w:t>
      </w:r>
      <w:r>
        <w:rPr>
          <w:rFonts w:hint="eastAsia" w:ascii="仿宋" w:hAnsi="仿宋" w:eastAsia="仿宋" w:cs="仿宋"/>
          <w:sz w:val="32"/>
          <w:szCs w:val="32"/>
          <w:highlight w:val="none"/>
          <w:lang w:val="en-US" w:eastAsia="zh-CN"/>
        </w:rPr>
        <w:t>2030</w:t>
      </w:r>
      <w:r>
        <w:rPr>
          <w:rFonts w:hint="eastAsia" w:ascii="仿宋" w:hAnsi="仿宋" w:eastAsia="仿宋" w:cs="仿宋"/>
          <w:sz w:val="32"/>
          <w:szCs w:val="32"/>
        </w:rPr>
        <w:t>名</w:t>
      </w:r>
      <w:r>
        <w:rPr>
          <w:rFonts w:hint="eastAsia" w:ascii="仿宋" w:hAnsi="仿宋" w:eastAsia="仿宋" w:cs="仿宋"/>
          <w:sz w:val="32"/>
          <w:szCs w:val="32"/>
          <w:lang w:val="en-US" w:eastAsia="zh-CN"/>
        </w:rPr>
        <w:t>住宿</w:t>
      </w:r>
      <w:r>
        <w:rPr>
          <w:rFonts w:hint="eastAsia" w:ascii="仿宋" w:hAnsi="仿宋" w:eastAsia="仿宋" w:cs="仿宋"/>
          <w:sz w:val="32"/>
          <w:szCs w:val="32"/>
        </w:rPr>
        <w:t>学生</w:t>
      </w:r>
      <w:r>
        <w:rPr>
          <w:rFonts w:hint="eastAsia" w:ascii="仿宋" w:hAnsi="仿宋" w:eastAsia="仿宋" w:cs="仿宋"/>
          <w:sz w:val="32"/>
          <w:szCs w:val="32"/>
          <w:lang w:val="en-US" w:eastAsia="zh-CN"/>
        </w:rPr>
        <w:t>宿舍不足</w:t>
      </w:r>
      <w:r>
        <w:rPr>
          <w:rFonts w:hint="eastAsia" w:ascii="仿宋" w:hAnsi="仿宋" w:eastAsia="仿宋" w:cs="仿宋"/>
          <w:sz w:val="32"/>
          <w:szCs w:val="32"/>
        </w:rPr>
        <w:t>的问题，</w:t>
      </w:r>
      <w:r>
        <w:rPr>
          <w:rFonts w:hint="eastAsia" w:ascii="仿宋" w:hAnsi="仿宋" w:eastAsia="仿宋" w:cs="仿宋"/>
          <w:sz w:val="32"/>
          <w:szCs w:val="32"/>
          <w:lang w:val="en-US" w:eastAsia="zh-CN"/>
        </w:rPr>
        <w:t>改变学校面貌</w:t>
      </w:r>
      <w:r>
        <w:rPr>
          <w:rFonts w:hint="eastAsia" w:ascii="仿宋" w:hAnsi="仿宋" w:eastAsia="仿宋" w:cs="仿宋"/>
          <w:sz w:val="32"/>
          <w:szCs w:val="32"/>
        </w:rPr>
        <w:t>，全面贯彻新时期党的教育方针，培养德智体美劳全面发展的社会主义建设者和接班人，努力办人民满意的教育提供必要的办学基础设施保障</w:t>
      </w:r>
      <w:r>
        <w:rPr>
          <w:rFonts w:hint="eastAsia" w:ascii="仿宋" w:hAnsi="仿宋" w:eastAsia="仿宋" w:cs="仿宋"/>
          <w:sz w:val="32"/>
          <w:szCs w:val="32"/>
          <w:lang w:eastAsia="zh-CN"/>
        </w:rPr>
        <w:t>。</w:t>
      </w:r>
    </w:p>
    <w:p w14:paraId="68B73D9B">
      <w:pPr>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2</w:t>
      </w:r>
      <w:r>
        <w:rPr>
          <w:rFonts w:hint="eastAsia" w:ascii="仿宋" w:hAnsi="仿宋" w:eastAsia="仿宋" w:cs="仿宋"/>
          <w:sz w:val="32"/>
          <w:szCs w:val="32"/>
        </w:rPr>
        <w:t>）主要内容及实施情况</w:t>
      </w:r>
    </w:p>
    <w:p w14:paraId="42781944">
      <w:pPr>
        <w:spacing w:line="560" w:lineRule="exact"/>
        <w:ind w:firstLine="600" w:firstLineChars="200"/>
        <w:rPr>
          <w:rFonts w:hint="eastAsia" w:eastAsia="仿宋_GB2312"/>
          <w:color w:val="0000FF"/>
          <w:sz w:val="32"/>
          <w:szCs w:val="32"/>
          <w:lang w:eastAsia="zh-CN"/>
        </w:rPr>
      </w:pPr>
      <w:r>
        <w:rPr>
          <w:rFonts w:hint="eastAsia" w:ascii="仿宋_GB2312" w:hAnsi="仿宋_GB2312" w:eastAsia="仿宋_GB2312" w:cs="仿宋_GB2312"/>
          <w:sz w:val="30"/>
          <w:szCs w:val="30"/>
          <w:highlight w:val="none"/>
          <w:lang w:val="en-US" w:eastAsia="zh-CN"/>
        </w:rPr>
        <w:t>主要内容：</w:t>
      </w:r>
      <w:r>
        <w:rPr>
          <w:rFonts w:hint="eastAsia" w:eastAsia="仿宋_GB2312"/>
          <w:sz w:val="32"/>
          <w:szCs w:val="32"/>
          <w:highlight w:val="none"/>
        </w:rPr>
        <w:t>项目建设资金共计</w:t>
      </w:r>
      <w:r>
        <w:rPr>
          <w:rFonts w:hint="eastAsia" w:eastAsia="仿宋_GB2312"/>
          <w:sz w:val="32"/>
          <w:szCs w:val="32"/>
          <w:highlight w:val="none"/>
          <w:lang w:val="en-US" w:eastAsia="zh-CN"/>
        </w:rPr>
        <w:t>1420</w:t>
      </w:r>
      <w:r>
        <w:rPr>
          <w:rFonts w:hint="eastAsia" w:eastAsia="仿宋_GB2312"/>
          <w:sz w:val="32"/>
          <w:szCs w:val="32"/>
          <w:highlight w:val="none"/>
        </w:rPr>
        <w:t>万元。</w:t>
      </w:r>
      <w:r>
        <w:rPr>
          <w:rFonts w:hint="eastAsia" w:eastAsia="仿宋_GB2312"/>
          <w:sz w:val="32"/>
          <w:szCs w:val="32"/>
          <w:highlight w:val="none"/>
          <w:lang w:val="en-US" w:eastAsia="zh-CN"/>
        </w:rPr>
        <w:t>新建学生宿舍楼1栋，建设规模6578.46平方米，地上4层，框架结构。</w:t>
      </w:r>
    </w:p>
    <w:p w14:paraId="2B83DE3E">
      <w:pPr>
        <w:spacing w:line="560" w:lineRule="exact"/>
        <w:ind w:firstLine="640" w:firstLineChars="200"/>
        <w:rPr>
          <w:rFonts w:hint="default" w:eastAsia="仿宋"/>
          <w:sz w:val="32"/>
          <w:szCs w:val="32"/>
          <w:highlight w:val="none"/>
          <w:lang w:val="en-US" w:eastAsia="zh-CN"/>
        </w:rPr>
      </w:pPr>
      <w:r>
        <w:rPr>
          <w:rFonts w:eastAsia="仿宋_GB2312"/>
          <w:sz w:val="32"/>
          <w:szCs w:val="32"/>
        </w:rPr>
        <w:t>实施情况：</w:t>
      </w:r>
      <w:r>
        <w:rPr>
          <w:rFonts w:hint="eastAsia" w:eastAsia="仿宋_GB2312"/>
          <w:sz w:val="32"/>
          <w:szCs w:val="32"/>
          <w:highlight w:val="none"/>
          <w:lang w:val="en-US" w:eastAsia="zh-CN"/>
        </w:rPr>
        <w:t>2023年，</w:t>
      </w:r>
      <w:r>
        <w:rPr>
          <w:rFonts w:hint="eastAsia" w:ascii="仿宋" w:hAnsi="仿宋" w:eastAsia="仿宋" w:cs="仿宋"/>
          <w:sz w:val="32"/>
          <w:szCs w:val="32"/>
        </w:rPr>
        <w:t>根据新教传(2021) 139 号文件精神和其“服务教学、解决急需、完善配套、突出重点、避免重复”的建设原则、以及国家中等职业学校设置标准、中等职业学校建设标准[建标 192-2018]，</w:t>
      </w:r>
      <w:r>
        <w:rPr>
          <w:rFonts w:hint="eastAsia" w:ascii="仿宋" w:hAnsi="仿宋" w:eastAsia="仿宋" w:cs="仿宋"/>
          <w:sz w:val="32"/>
          <w:szCs w:val="32"/>
          <w:lang w:eastAsia="zh-CN"/>
        </w:rPr>
        <w:t>学校申请了上级质量提升计划专项资金，完成</w:t>
      </w:r>
      <w:r>
        <w:rPr>
          <w:rFonts w:hint="eastAsia" w:eastAsia="仿宋_GB2312"/>
          <w:sz w:val="32"/>
          <w:szCs w:val="32"/>
          <w:highlight w:val="none"/>
          <w:lang w:val="en-US" w:eastAsia="zh-CN"/>
        </w:rPr>
        <w:t>学生宿舍楼新建</w:t>
      </w:r>
      <w:r>
        <w:rPr>
          <w:rFonts w:hint="eastAsia" w:ascii="仿宋" w:hAnsi="仿宋" w:eastAsia="仿宋" w:cs="仿宋"/>
          <w:sz w:val="32"/>
          <w:szCs w:val="32"/>
          <w:lang w:eastAsia="zh-CN"/>
        </w:rPr>
        <w:t>项目的可行性论证，有能够满足施工需要的设计文件、技术资料，建设资金的来源已落实，</w:t>
      </w:r>
      <w:r>
        <w:rPr>
          <w:rFonts w:hint="eastAsia" w:ascii="仿宋" w:hAnsi="仿宋" w:eastAsia="仿宋" w:cs="仿宋"/>
          <w:sz w:val="32"/>
          <w:szCs w:val="32"/>
          <w:lang w:val="en-US" w:eastAsia="zh-CN"/>
        </w:rPr>
        <w:t>2023年6月完成招标并签订项目建设合同，2023年11月项目建设完成</w:t>
      </w:r>
      <w:r>
        <w:rPr>
          <w:rFonts w:hint="eastAsia" w:ascii="仿宋" w:hAnsi="仿宋" w:eastAsia="仿宋" w:cs="仿宋"/>
          <w:sz w:val="32"/>
          <w:szCs w:val="32"/>
          <w:lang w:eastAsia="zh-CN"/>
        </w:rPr>
        <w:t>。</w:t>
      </w:r>
    </w:p>
    <w:p w14:paraId="2AD84DE9">
      <w:pPr>
        <w:spacing w:line="560" w:lineRule="exact"/>
        <w:ind w:firstLine="643" w:firstLineChars="200"/>
        <w:rPr>
          <w:rFonts w:eastAsia="仿宋_GB2312"/>
          <w:b/>
          <w:bCs/>
          <w:sz w:val="32"/>
          <w:szCs w:val="32"/>
        </w:rPr>
      </w:pPr>
      <w:r>
        <w:rPr>
          <w:rFonts w:hint="eastAsia" w:eastAsia="仿宋_GB2312"/>
          <w:b/>
          <w:bCs/>
          <w:sz w:val="32"/>
          <w:szCs w:val="32"/>
          <w:lang w:val="en-US" w:eastAsia="zh-CN"/>
        </w:rPr>
        <w:t>2</w:t>
      </w:r>
      <w:r>
        <w:rPr>
          <w:rFonts w:eastAsia="仿宋_GB2312"/>
          <w:b/>
          <w:bCs/>
          <w:sz w:val="32"/>
          <w:szCs w:val="32"/>
        </w:rPr>
        <w:t>、资金投入和使用情况</w:t>
      </w:r>
    </w:p>
    <w:p w14:paraId="331AEC94">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（1）资金投入情况</w:t>
      </w:r>
    </w:p>
    <w:p w14:paraId="35D21C86">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该项目年初预算数1420万元，全年预算数1420万元，实际总投入1420万元，该项目资金已全部落实到位，资金来源为当年预算。</w:t>
      </w:r>
    </w:p>
    <w:p w14:paraId="227D0D04">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p>
    <w:p w14:paraId="008F9365">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该项目年初预算数1420万元，全年预算数1420万元,全年执行数1420万元，预算执行率为100%，主要用于：</w:t>
      </w:r>
      <w:r>
        <w:rPr>
          <w:rFonts w:hint="eastAsia" w:eastAsia="仿宋_GB2312"/>
          <w:sz w:val="32"/>
          <w:szCs w:val="32"/>
          <w:highlight w:val="none"/>
          <w:lang w:val="en-US" w:eastAsia="zh-CN"/>
        </w:rPr>
        <w:t>新建宿舍楼建设款</w:t>
      </w:r>
      <w:r>
        <w:rPr>
          <w:rFonts w:hint="eastAsia" w:ascii="仿宋_GB2312" w:hAnsi="仿宋_GB2312" w:eastAsia="仿宋_GB2312" w:cs="仿宋_GB2312"/>
          <w:sz w:val="32"/>
          <w:szCs w:val="32"/>
          <w:highlight w:val="none"/>
          <w:lang w:val="en-US" w:eastAsia="zh-CN"/>
        </w:rPr>
        <w:t>。</w:t>
      </w:r>
    </w:p>
    <w:p w14:paraId="1296C6CC">
      <w:pPr>
        <w:spacing w:line="560" w:lineRule="exact"/>
        <w:ind w:firstLine="643" w:firstLineChars="200"/>
        <w:rPr>
          <w:rFonts w:eastAsia="楷体_GB2312"/>
          <w:b/>
          <w:bCs/>
          <w:sz w:val="32"/>
          <w:szCs w:val="32"/>
        </w:rPr>
      </w:pPr>
      <w:r>
        <w:rPr>
          <w:rFonts w:eastAsia="楷体_GB2312"/>
          <w:b/>
          <w:bCs/>
          <w:sz w:val="32"/>
          <w:szCs w:val="32"/>
        </w:rPr>
        <w:t>（二）项目绩效目标</w:t>
      </w:r>
    </w:p>
    <w:p w14:paraId="587846B4">
      <w:pPr>
        <w:shd w:val="clear"/>
        <w:spacing w:line="600" w:lineRule="exact"/>
        <w:ind w:firstLine="640" w:firstLineChars="200"/>
        <w:outlineLvl w:val="0"/>
        <w:rPr>
          <w:rFonts w:hint="eastAsia" w:eastAsia="黑体"/>
          <w:b w:val="0"/>
          <w:bCs/>
          <w:lang w:eastAsia="zh-CN"/>
        </w:rPr>
      </w:pPr>
      <w:r>
        <w:rPr>
          <w:rFonts w:eastAsia="仿宋_GB2312"/>
          <w:sz w:val="32"/>
          <w:szCs w:val="32"/>
        </w:rPr>
        <w:t>1、总体目标</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项目建设规模及内容为新建学生宿舍楼 1 栋，建筑面积 6500平方米、地上 4 层，框架结构，抗震烈度八级，购置基本配套附属设施 1 批。2023年12月31前计划完成项目建设内容。</w:t>
      </w:r>
    </w:p>
    <w:p w14:paraId="5166388E">
      <w:pPr>
        <w:spacing w:line="560" w:lineRule="exact"/>
        <w:ind w:firstLine="640" w:firstLineChars="200"/>
        <w:rPr>
          <w:rFonts w:hint="default" w:eastAsia="仿宋"/>
          <w:sz w:val="32"/>
          <w:szCs w:val="32"/>
          <w:highlight w:val="none"/>
          <w:lang w:val="en-US" w:eastAsia="zh-CN"/>
        </w:rPr>
      </w:pPr>
      <w:r>
        <w:rPr>
          <w:rFonts w:eastAsia="仿宋_GB2312"/>
          <w:sz w:val="32"/>
          <w:szCs w:val="32"/>
        </w:rPr>
        <w:t>2、阶段性目标</w:t>
      </w:r>
      <w:r>
        <w:rPr>
          <w:rFonts w:hint="eastAsia" w:eastAsia="仿宋_GB2312"/>
          <w:sz w:val="32"/>
          <w:szCs w:val="32"/>
          <w:lang w:eastAsia="zh-CN"/>
        </w:rPr>
        <w:t>：计划</w:t>
      </w:r>
      <w:r>
        <w:rPr>
          <w:rFonts w:hint="eastAsia" w:eastAsia="仿宋_GB2312"/>
          <w:sz w:val="32"/>
          <w:szCs w:val="32"/>
          <w:lang w:val="en-US" w:eastAsia="zh-CN"/>
        </w:rPr>
        <w:t>2023年1-3月，完成</w:t>
      </w:r>
      <w:r>
        <w:rPr>
          <w:rFonts w:hint="eastAsia" w:ascii="仿宋" w:hAnsi="仿宋" w:eastAsia="仿宋" w:cs="仿宋"/>
          <w:sz w:val="32"/>
          <w:szCs w:val="32"/>
          <w:lang w:eastAsia="zh-CN"/>
        </w:rPr>
        <w:t>上级质量提升计划专项资金的申请拨付，完成项目的可行性论证、初步设计、</w:t>
      </w:r>
      <w:r>
        <w:rPr>
          <w:rFonts w:hint="eastAsia" w:ascii="仿宋" w:hAnsi="仿宋" w:eastAsia="仿宋" w:cs="仿宋"/>
          <w:sz w:val="32"/>
          <w:szCs w:val="32"/>
          <w:lang w:val="en-US" w:eastAsia="zh-CN"/>
        </w:rPr>
        <w:t>工程勘察，</w:t>
      </w:r>
      <w:r>
        <w:rPr>
          <w:rFonts w:hint="eastAsia" w:ascii="仿宋" w:hAnsi="仿宋" w:eastAsia="仿宋" w:cs="仿宋"/>
          <w:sz w:val="32"/>
          <w:szCs w:val="32"/>
          <w:lang w:eastAsia="zh-CN"/>
        </w:rPr>
        <w:t>有能够满足施工需要的设计文件、技术资料，建设资金的来源落实。</w:t>
      </w:r>
      <w:r>
        <w:rPr>
          <w:rFonts w:hint="eastAsia" w:ascii="仿宋" w:hAnsi="仿宋" w:eastAsia="仿宋" w:cs="仿宋"/>
          <w:sz w:val="32"/>
          <w:szCs w:val="32"/>
          <w:lang w:val="en-US" w:eastAsia="zh-CN"/>
        </w:rPr>
        <w:t>4-5月，完成施工图纸的审查，招投标的准备。6月，完成</w:t>
      </w:r>
      <w:r>
        <w:rPr>
          <w:rFonts w:hint="eastAsia" w:ascii="仿宋" w:hAnsi="仿宋" w:eastAsia="仿宋" w:cs="仿宋"/>
          <w:sz w:val="32"/>
          <w:szCs w:val="32"/>
          <w:lang w:eastAsia="zh-CN"/>
        </w:rPr>
        <w:t>招投标，</w:t>
      </w:r>
      <w:r>
        <w:rPr>
          <w:rFonts w:hint="eastAsia" w:ascii="仿宋" w:hAnsi="仿宋" w:eastAsia="仿宋" w:cs="仿宋"/>
          <w:sz w:val="32"/>
          <w:szCs w:val="32"/>
          <w:lang w:val="en-US" w:eastAsia="zh-CN"/>
        </w:rPr>
        <w:t>下达</w:t>
      </w:r>
      <w:r>
        <w:rPr>
          <w:rFonts w:hint="eastAsia" w:ascii="仿宋" w:hAnsi="仿宋" w:eastAsia="仿宋" w:cs="仿宋"/>
          <w:sz w:val="32"/>
          <w:szCs w:val="32"/>
          <w:lang w:eastAsia="zh-CN"/>
        </w:rPr>
        <w:t>工程中标通知书</w:t>
      </w:r>
      <w:r>
        <w:rPr>
          <w:rFonts w:hint="eastAsia" w:ascii="仿宋" w:hAnsi="仿宋" w:eastAsia="仿宋" w:cs="仿宋"/>
          <w:sz w:val="32"/>
          <w:szCs w:val="32"/>
          <w:lang w:val="en-US" w:eastAsia="zh-CN"/>
        </w:rPr>
        <w:t>并签订工程施工合同，按合同要求预付工程建设款，管理人员进驻现场及主要施工机械运至施工现场。6-10月工程主体建设，11月完工并组织项目验收。</w:t>
      </w:r>
    </w:p>
    <w:p w14:paraId="33EA9F3C">
      <w:pPr>
        <w:spacing w:line="600" w:lineRule="exact"/>
        <w:ind w:firstLine="640" w:firstLineChars="200"/>
        <w:rPr>
          <w:rFonts w:hint="eastAsia" w:ascii="仿宋_GB2312" w:hAnsi="仿宋_GB2312" w:eastAsia="仿宋_GB2312" w:cs="仿宋_GB2312"/>
          <w:sz w:val="32"/>
          <w:szCs w:val="32"/>
          <w:highlight w:val="none"/>
          <w:lang w:val="en-US" w:eastAsia="zh-CN"/>
        </w:rPr>
      </w:pPr>
    </w:p>
    <w:p w14:paraId="3693DA71">
      <w:pPr>
        <w:spacing w:line="560" w:lineRule="exact"/>
        <w:ind w:firstLine="640" w:firstLineChars="200"/>
        <w:rPr>
          <w:rFonts w:eastAsia="黑体"/>
          <w:sz w:val="32"/>
          <w:szCs w:val="32"/>
        </w:rPr>
      </w:pPr>
      <w:r>
        <w:rPr>
          <w:rFonts w:eastAsia="黑体"/>
          <w:sz w:val="32"/>
          <w:szCs w:val="32"/>
        </w:rPr>
        <w:t>二、绩效评价工作开展情况</w:t>
      </w:r>
    </w:p>
    <w:p w14:paraId="07D14603">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352FFCC4">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14:paraId="5963F6C0">
      <w:pPr>
        <w:rPr>
          <w:rFonts w:hint="default" w:ascii="仿宋" w:hAnsi="仿宋" w:eastAsia="仿宋" w:cs="仿宋"/>
          <w:sz w:val="32"/>
          <w:szCs w:val="32"/>
          <w:lang w:val="en-US" w:eastAsia="zh-CN"/>
        </w:rPr>
      </w:pPr>
      <w:r>
        <w:rPr>
          <w:rFonts w:hint="eastAsia" w:eastAsia="仿宋_GB2312"/>
          <w:b w:val="0"/>
          <w:bCs w:val="0"/>
          <w:lang w:val="en-US" w:eastAsia="zh-CN"/>
        </w:rPr>
        <w:t xml:space="preserve">      </w:t>
      </w:r>
      <w:r>
        <w:rPr>
          <w:rFonts w:hint="eastAsia" w:ascii="仿宋" w:hAnsi="仿宋" w:eastAsia="仿宋" w:cs="仿宋"/>
          <w:sz w:val="32"/>
          <w:szCs w:val="32"/>
          <w:lang w:val="en-US" w:eastAsia="zh-CN"/>
        </w:rPr>
        <w:t>通过绩效评价，客观地评判项目的管理绩效，了解和掌握巴36号2023年现代职业教育质量提升计划资金（参照直达）经费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并加强项目绩效管理，同时为项目后续资金投入、分配和管理提供决策依据。</w:t>
      </w:r>
    </w:p>
    <w:p w14:paraId="427BE5C3">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2、绩效评价的对象</w:t>
      </w:r>
    </w:p>
    <w:p w14:paraId="686E4B1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巴36号2023年现代职业教育质量提升计划资金（参照直达）预算项目</w:t>
      </w:r>
      <w:r>
        <w:rPr>
          <w:rFonts w:hint="eastAsia" w:ascii="仿宋_GB2312" w:hAnsi="仿宋_GB2312" w:eastAsia="仿宋_GB2312" w:cs="仿宋_GB2312"/>
          <w:sz w:val="32"/>
          <w:szCs w:val="32"/>
        </w:rPr>
        <w:t>所包含的全部项目内容。</w:t>
      </w:r>
    </w:p>
    <w:p w14:paraId="60081B75">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14:paraId="033B6539">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sz w:val="32"/>
          <w:szCs w:val="32"/>
          <w:lang w:eastAsia="zh-CN"/>
        </w:rPr>
        <w:t>巴36号2023年现代职业教育质量提升计划资金（参照直达）预算项目</w:t>
      </w:r>
      <w:r>
        <w:rPr>
          <w:rFonts w:hint="eastAsia" w:ascii="仿宋_GB2312" w:hAnsi="仿宋_GB2312" w:eastAsia="仿宋_GB2312" w:cs="仿宋_GB2312"/>
          <w:sz w:val="32"/>
          <w:szCs w:val="32"/>
        </w:rPr>
        <w:t>进行评价，评价核心为专项资金的支出完成情况和效果。</w:t>
      </w:r>
    </w:p>
    <w:p w14:paraId="4B930176">
      <w:pPr>
        <w:spacing w:line="560" w:lineRule="exact"/>
        <w:ind w:firstLine="643" w:firstLineChars="200"/>
      </w:pPr>
      <w:r>
        <w:rPr>
          <w:rFonts w:eastAsia="楷体_GB2312"/>
          <w:b/>
          <w:bCs/>
          <w:sz w:val="32"/>
          <w:szCs w:val="32"/>
        </w:rPr>
        <w:t>（二）绩效评价原则、评价指标体系（详情见表1）、评价方法、评价标准。</w:t>
      </w:r>
    </w:p>
    <w:p w14:paraId="55397EC3">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14:paraId="7BD9756B">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1DF1A7C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（一）科学公正。本次项目支出绩效评价运用科学合理的方法，按照规范的程序，对项目绩效进行客观、公正的反映。</w:t>
      </w:r>
    </w:p>
    <w:p w14:paraId="45849AD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（二）统筹兼顾。本次项目支出绩效评价由本单位自主实施，即“谁支出、谁自评”。</w:t>
      </w:r>
    </w:p>
    <w:p w14:paraId="67A3D0E1">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（三）激励约束。本次项目支出绩效评价结果与预算安排、政策调整、改进管理实质性挂钩，体现奖优罚劣和激励相容导向，有效要安排、低效要压减、无效要问责。</w:t>
      </w:r>
    </w:p>
    <w:p w14:paraId="5C05A57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（四）公开透明。本次项目支出绩效评价结果已依法依规公开在</w:t>
      </w:r>
      <w:r>
        <w:rPr>
          <w:rFonts w:hint="eastAsia" w:ascii="仿宋_GB2312" w:hAnsi="仿宋_GB2312" w:eastAsia="仿宋_GB2312" w:cs="仿宋_GB2312"/>
          <w:sz w:val="32"/>
          <w:szCs w:val="32"/>
          <w:lang w:val="en-US" w:eastAsia="zh-CN"/>
        </w:rPr>
        <w:t>巴州人民政府门户</w:t>
      </w:r>
      <w:r>
        <w:rPr>
          <w:rFonts w:hint="eastAsia" w:ascii="仿宋_GB2312" w:hAnsi="仿宋_GB2312" w:eastAsia="仿宋_GB2312" w:cs="仿宋_GB2312"/>
          <w:sz w:val="32"/>
          <w:szCs w:val="32"/>
        </w:rPr>
        <w:t>网站上，并自觉接受社会监督。</w:t>
      </w:r>
    </w:p>
    <w:p w14:paraId="08F51F42">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14:paraId="3F386C7E">
      <w:pPr>
        <w:spacing w:line="560" w:lineRule="exact"/>
        <w:ind w:firstLine="640" w:firstLineChars="200"/>
        <w:rPr>
          <w:color w:val="000000"/>
          <w:spacing w:val="17"/>
          <w:sz w:val="32"/>
          <w:szCs w:val="32"/>
        </w:rPr>
      </w:pPr>
      <w:r>
        <w:rPr>
          <w:rFonts w:hint="eastAsia" w:eastAsia="仿宋_GB2312" w:cs="Times New Roman"/>
          <w:b w:val="0"/>
          <w:bCs w:val="0"/>
          <w:color w:val="000000"/>
          <w:kern w:val="2"/>
          <w:sz w:val="32"/>
          <w:szCs w:val="32"/>
          <w:lang w:val="en-US" w:eastAsia="zh-CN" w:bidi="ar-SA"/>
        </w:rPr>
        <w:t>巴36号2023年现代职业教育质量提升计划资金（参照直达）预算项目</w:t>
      </w: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012000C6">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57406B2F">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巴36号2023年现代职业教育质量提升计划资金（参照直达）预算项目采用层次分析法，建立评价指标体系。绩效评价将指标分为项目决策指标、项目过程指标、项目产出指标、项目效益指标四个维度，最终形成一个由多个相互联系的指标组成的多层次指标体系。</w:t>
      </w:r>
    </w:p>
    <w:p w14:paraId="6CCB2A43">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（2）确定权重</w:t>
      </w:r>
    </w:p>
    <w:p w14:paraId="3B6FBD3A">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巴36号2023年现代职业教育质量提升计划资金（参照直达）预算项目确定各个指标相对于项目总体绩效的权重分值。在绩效评价指标体系中，项目决策权重为20分，项目过程权重为20分，项目产出权重为40分，项目效益权重为20分。</w:t>
      </w:r>
    </w:p>
    <w:p w14:paraId="3BB7FB34">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（3）确定指标标准值</w:t>
      </w:r>
    </w:p>
    <w:p w14:paraId="42033449">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巴36号2023年现代职业教育质量提升计划资金（参照直达）预算项目指标标准值是绩效评价指标的尺度，既要反映同类项目的先进水平，又要符合项目的实际绩效水平。具体采用计划标准等确定此次绩效评价指标标准值。</w:t>
      </w:r>
    </w:p>
    <w:p w14:paraId="33FF39C5">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巴36号2023年现代职业教育质量提升计划资金（参照直达）预算项目绩效评价总分值100分，根据综合评分结果，评价计分90分-100分（含90分）对应的评分结果级别为优，80-90分（含80分）对应的评分结果级别为良，60-80分（含60分）对应的评分结果级别为中，60分以下对应的评分结果级别为差。</w:t>
      </w:r>
    </w:p>
    <w:p w14:paraId="65C24772">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具体评价指标体系详情见附件1。</w:t>
      </w:r>
    </w:p>
    <w:p w14:paraId="572FA544">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3、绩效评价方法</w:t>
      </w:r>
    </w:p>
    <w:p w14:paraId="1254AEFA">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巴36号2023年现代职业教育质量提升计划资金（参照直达）预算项目绩效评价从项目决策、项目过程、项目产出、项目效益四个维度进行评价。评价对象为项目目标实施情况，评价核心为资金的支出完成情况和项目的产出效益。</w:t>
      </w:r>
    </w:p>
    <w:p w14:paraId="7C06CC7C">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本次评价指标中，既有定性指标又有定量指标，各类指标因考核内容不同和客观标准不同存在较大差异，因此核定具体指标时采用了不同方法，具体评价方法如下：</w:t>
      </w:r>
    </w:p>
    <w:p w14:paraId="1E969C81">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绩效评价方法主要采用了比较法和因素分析法。主要原因是：将巴36号2023年现代职业教育质量提升计划资金（参照直达）预算项目2023年的绩效目标与当年的实施效果进行比较分析，综合分析绩效目标的实现程度。对项目最终验收情况与年度绩效目标对比、预算资金执行情况等相关因素进行比较，分析得出绩效执行结果。通过综合分析影响绩效目标实现、实施效果的内部管理和外部环境等因素，评价绩效目标实现程度。通过对项目的开展情况、项目产出数量、成本控制、资金拨付文件及自评报告等相关资料的收集和审核，综合分析各因素对绩效目标实现的影响。</w:t>
      </w:r>
    </w:p>
    <w:p w14:paraId="35C10EA4">
      <w:pPr>
        <w:spacing w:line="600" w:lineRule="exact"/>
        <w:ind w:firstLine="640" w:firstLineChars="200"/>
        <w:rPr>
          <w:rFonts w:hint="eastAsia" w:ascii="仿宋_GB2312" w:hAnsi="仿宋_GB2312" w:eastAsia="仿宋_GB2312" w:cs="仿宋_GB2312"/>
          <w:sz w:val="32"/>
          <w:szCs w:val="32"/>
          <w:highlight w:val="none"/>
          <w:lang w:val="en-US" w:eastAsia="zh-CN"/>
        </w:rPr>
      </w:pPr>
    </w:p>
    <w:p w14:paraId="17CCA4D1">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4.评价标准</w:t>
      </w:r>
    </w:p>
    <w:p w14:paraId="206AE028">
      <w:pPr>
        <w:spacing w:line="600" w:lineRule="exact"/>
        <w:ind w:firstLine="708" w:firstLineChars="200"/>
        <w:rPr>
          <w:rFonts w:eastAsia="仿宋_GB2312"/>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eastAsia="仿宋_GB2312"/>
          <w:color w:val="000000"/>
          <w:spacing w:val="17"/>
          <w:sz w:val="32"/>
          <w:szCs w:val="32"/>
          <w:lang w:val="en-US" w:eastAsia="zh-CN"/>
        </w:rPr>
        <w:t>计划</w:t>
      </w:r>
      <w:r>
        <w:rPr>
          <w:rFonts w:hint="eastAsia" w:eastAsia="仿宋_GB2312"/>
          <w:color w:val="000000"/>
          <w:spacing w:val="17"/>
          <w:sz w:val="32"/>
          <w:szCs w:val="32"/>
        </w:rPr>
        <w:t>标准</w:t>
      </w:r>
      <w:r>
        <w:rPr>
          <w:rFonts w:hint="eastAsia" w:ascii="仿宋_GB2312" w:hAnsi="仿宋_GB2312" w:eastAsia="仿宋_GB2312" w:cs="仿宋_GB2312"/>
          <w:sz w:val="32"/>
          <w:szCs w:val="32"/>
          <w:highlight w:val="none"/>
          <w:lang w:val="en-US" w:eastAsia="zh-CN"/>
        </w:rPr>
        <w:t>。原因是：学校根据年初预算，按预先制定的目标、计划、预算、等作为评价标准，结合上级主管部门下达的预算绩效目标计划</w:t>
      </w:r>
      <w:r>
        <w:rPr>
          <w:rFonts w:eastAsia="仿宋_GB2312"/>
          <w:sz w:val="32"/>
          <w:szCs w:val="32"/>
        </w:rPr>
        <w:t>进行评价。</w:t>
      </w:r>
    </w:p>
    <w:p w14:paraId="0D7CAA97">
      <w:pPr>
        <w:numPr>
          <w:ilvl w:val="0"/>
          <w:numId w:val="0"/>
        </w:numPr>
        <w:ind w:leftChars="200"/>
      </w:pPr>
    </w:p>
    <w:p w14:paraId="6ED9EE67">
      <w:pPr>
        <w:pStyle w:val="2"/>
        <w:numPr>
          <w:ilvl w:val="0"/>
          <w:numId w:val="1"/>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11871FF1">
      <w:pPr>
        <w:spacing w:line="360" w:lineRule="auto"/>
        <w:ind w:firstLine="640" w:firstLineChars="200"/>
        <w:rPr>
          <w:rFonts w:hint="eastAsia" w:eastAsia="仿宋_GB2312"/>
          <w:sz w:val="32"/>
          <w:szCs w:val="32"/>
          <w:lang w:eastAsia="zh-CN"/>
        </w:rPr>
      </w:pPr>
      <w:r>
        <w:rPr>
          <w:rFonts w:hint="eastAsia" w:eastAsia="仿宋_GB2312"/>
          <w:sz w:val="32"/>
          <w:szCs w:val="32"/>
          <w:lang w:val="en-US" w:eastAsia="zh-CN"/>
        </w:rPr>
        <w:t>1.</w:t>
      </w:r>
      <w:r>
        <w:rPr>
          <w:rFonts w:hint="eastAsia" w:eastAsia="仿宋_GB2312"/>
          <w:sz w:val="32"/>
          <w:szCs w:val="32"/>
        </w:rPr>
        <w:t>前期准备。</w:t>
      </w:r>
      <w:r>
        <w:rPr>
          <w:rFonts w:hint="eastAsia" w:eastAsia="仿宋_GB2312"/>
          <w:sz w:val="32"/>
          <w:szCs w:val="32"/>
          <w:lang w:val="en-US" w:eastAsia="zh-CN"/>
        </w:rPr>
        <w:t>年初</w:t>
      </w:r>
      <w:r>
        <w:rPr>
          <w:rFonts w:hint="eastAsia" w:eastAsia="仿宋_GB2312"/>
          <w:sz w:val="32"/>
          <w:szCs w:val="32"/>
          <w:lang w:val="zh-CN"/>
        </w:rPr>
        <w:t>开始前期准备工作，成立评价小组，评价组通过前期调研</w:t>
      </w:r>
      <w:r>
        <w:rPr>
          <w:rFonts w:hint="eastAsia" w:eastAsia="仿宋_GB2312"/>
          <w:sz w:val="32"/>
          <w:szCs w:val="32"/>
        </w:rPr>
        <w:t>确定绩效评价对象和范围，</w:t>
      </w:r>
      <w:r>
        <w:rPr>
          <w:rFonts w:hint="eastAsia" w:eastAsia="仿宋_GB2312"/>
          <w:sz w:val="32"/>
          <w:szCs w:val="32"/>
          <w:lang w:val="zh-CN"/>
        </w:rPr>
        <w:t>确定了评价的目的、方法以及评价的原则，根据项目的内容和特征制定了评价指标体系及评价标准以及评价实施方案，修正并确定所需资料清单，最终确定</w:t>
      </w:r>
      <w:r>
        <w:rPr>
          <w:rFonts w:hint="eastAsia" w:eastAsia="仿宋_GB2312"/>
          <w:sz w:val="32"/>
          <w:szCs w:val="32"/>
        </w:rPr>
        <w:t>绩效评价工作方案</w:t>
      </w:r>
      <w:r>
        <w:rPr>
          <w:rFonts w:hint="eastAsia" w:eastAsia="仿宋_GB2312"/>
          <w:sz w:val="32"/>
          <w:szCs w:val="32"/>
          <w:lang w:eastAsia="zh-CN"/>
        </w:rPr>
        <w:t>。</w:t>
      </w:r>
    </w:p>
    <w:p w14:paraId="63707733">
      <w:pPr>
        <w:shd w:val="clea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2.组织实施。</w:t>
      </w:r>
      <w:r>
        <w:rPr>
          <w:rFonts w:hint="eastAsia" w:eastAsia="仿宋_GB2312" w:cs="Times New Roman"/>
          <w:b w:val="0"/>
          <w:bCs w:val="0"/>
          <w:kern w:val="28"/>
          <w:sz w:val="32"/>
          <w:szCs w:val="32"/>
          <w:lang w:val="en-US" w:eastAsia="zh-CN" w:bidi="ar-SA"/>
        </w:rPr>
        <w:t>一季度</w:t>
      </w:r>
      <w:r>
        <w:rPr>
          <w:rFonts w:hint="eastAsia" w:ascii="Times New Roman" w:hAnsi="Times New Roman" w:eastAsia="仿宋_GB2312" w:cs="Times New Roman"/>
          <w:b w:val="0"/>
          <w:bCs w:val="0"/>
          <w:kern w:val="28"/>
          <w:sz w:val="32"/>
          <w:szCs w:val="32"/>
          <w:lang w:val="en-US" w:eastAsia="zh-CN" w:bidi="ar-SA"/>
        </w:rPr>
        <w:t>制定绩效评价工作方案，具体包括项目概况、评价思路、方法手段、组织实施、进度安排等。评价工作进入实施阶段，评价组收集绩效评价相关数据资料，进行专题讨论；并与项目实施负责人沟通，了解</w:t>
      </w:r>
      <w:r>
        <w:rPr>
          <w:rFonts w:hint="eastAsia" w:eastAsia="仿宋_GB2312" w:cs="Times New Roman"/>
          <w:b w:val="0"/>
          <w:bCs w:val="0"/>
          <w:kern w:val="28"/>
          <w:sz w:val="32"/>
          <w:szCs w:val="32"/>
          <w:lang w:val="en-US" w:eastAsia="zh-CN" w:bidi="ar-SA"/>
        </w:rPr>
        <w:t>宿舍楼建设的</w:t>
      </w:r>
      <w:r>
        <w:rPr>
          <w:rFonts w:hint="eastAsia" w:ascii="Times New Roman" w:hAnsi="Times New Roman" w:eastAsia="仿宋_GB2312" w:cs="Times New Roman"/>
          <w:b w:val="0"/>
          <w:bCs w:val="0"/>
          <w:kern w:val="28"/>
          <w:sz w:val="32"/>
          <w:szCs w:val="32"/>
          <w:lang w:val="en-US" w:eastAsia="zh-CN" w:bidi="ar-SA"/>
        </w:rPr>
        <w:t xml:space="preserve">进度、管理机制等情况，分析形成初步结论。 </w:t>
      </w:r>
    </w:p>
    <w:p w14:paraId="401BB32F">
      <w:pPr>
        <w:shd w:val="clea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3.分析评价。根据收集梳理的资料围绕项目立项、资金落实、业务管理、财务管理、项目产出、项目效益等内容，对照已确定的绩效评价指标进行详细全面的分析评价，逐项打分并形成绩效评价最终结果。</w:t>
      </w:r>
    </w:p>
    <w:p w14:paraId="30BD8834">
      <w:pPr>
        <w:numPr>
          <w:ilvl w:val="0"/>
          <w:numId w:val="2"/>
        </w:numPr>
        <w:spacing w:line="560" w:lineRule="exact"/>
        <w:ind w:firstLine="640" w:firstLineChars="200"/>
        <w:rPr>
          <w:rFonts w:eastAsia="黑体"/>
          <w:sz w:val="32"/>
          <w:szCs w:val="32"/>
        </w:rPr>
      </w:pPr>
      <w:r>
        <w:rPr>
          <w:rFonts w:eastAsia="黑体"/>
          <w:sz w:val="32"/>
          <w:szCs w:val="32"/>
        </w:rPr>
        <w:t>综合评价情况及评价结论</w:t>
      </w:r>
    </w:p>
    <w:p w14:paraId="442B52C5">
      <w:pPr>
        <w:pStyle w:val="3"/>
        <w:pageBreakBefore w:val="0"/>
        <w:numPr>
          <w:ilvl w:val="0"/>
          <w:numId w:val="3"/>
        </w:numPr>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zh-CN" w:eastAsia="zh-CN" w:bidi="ar-SA"/>
        </w:rPr>
        <w:t>综合评价情况及评价结论</w:t>
      </w:r>
    </w:p>
    <w:p w14:paraId="68C04BC7">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1.</w:t>
      </w:r>
      <w:r>
        <w:rPr>
          <w:rFonts w:hint="eastAsia" w:ascii="Times New Roman" w:hAnsi="Times New Roman" w:eastAsia="仿宋_GB2312" w:cs="Times New Roman"/>
          <w:b w:val="0"/>
          <w:bCs w:val="0"/>
          <w:kern w:val="2"/>
          <w:sz w:val="32"/>
          <w:szCs w:val="32"/>
          <w:lang w:val="zh-CN" w:eastAsia="zh-CN" w:bidi="ar-SA"/>
        </w:rPr>
        <w:t>综合评价情况：</w:t>
      </w:r>
      <w:r>
        <w:rPr>
          <w:rFonts w:hint="eastAsia" w:ascii="仿宋_GB2312" w:hAnsi="仿宋_GB2312" w:eastAsia="仿宋_GB2312" w:cs="仿宋_GB2312"/>
          <w:sz w:val="32"/>
          <w:szCs w:val="32"/>
          <w:highlight w:val="none"/>
          <w:lang w:val="en-US" w:eastAsia="zh-CN"/>
        </w:rPr>
        <w:t>巴36号2023年现代职业教育质量提升计划资金（参照直达）预算</w:t>
      </w:r>
      <w:r>
        <w:rPr>
          <w:rFonts w:hint="eastAsia" w:ascii="Times New Roman" w:hAnsi="Times New Roman" w:eastAsia="仿宋_GB2312" w:cs="Times New Roman"/>
          <w:b w:val="0"/>
          <w:bCs w:val="0"/>
          <w:kern w:val="2"/>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70F886F">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bookmarkStart w:id="0" w:name="_Toc68703836"/>
      <w:r>
        <w:rPr>
          <w:rFonts w:hint="eastAsia" w:ascii="Times New Roman" w:hAnsi="Times New Roman" w:eastAsia="仿宋_GB2312" w:cs="Times New Roman"/>
          <w:b w:val="0"/>
          <w:bCs w:val="0"/>
          <w:kern w:val="2"/>
          <w:sz w:val="32"/>
          <w:szCs w:val="32"/>
          <w:lang w:val="en-US" w:eastAsia="zh-CN" w:bidi="ar-SA"/>
        </w:rPr>
        <w:t>2.</w:t>
      </w:r>
      <w:r>
        <w:rPr>
          <w:rFonts w:hint="eastAsia" w:ascii="Times New Roman" w:hAnsi="Times New Roman" w:eastAsia="仿宋_GB2312" w:cs="Times New Roman"/>
          <w:b w:val="0"/>
          <w:bCs w:val="0"/>
          <w:kern w:val="2"/>
          <w:sz w:val="32"/>
          <w:szCs w:val="32"/>
          <w:lang w:val="zh-CN" w:eastAsia="zh-CN" w:bidi="ar-SA"/>
        </w:rPr>
        <w:t>评价结论</w:t>
      </w:r>
      <w:bookmarkEnd w:id="0"/>
    </w:p>
    <w:p w14:paraId="69541DF9">
      <w:pPr>
        <w:pStyle w:val="2"/>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zh-CN" w:eastAsia="zh-CN" w:bidi="ar-SA"/>
        </w:rPr>
        <w:t>运用绩效评价组制定的评价指标体系以及财政部《项目支出绩效评价管理办法》（财预〔2020〕10号）文件的评分标准，通过数据采集、访谈等方式，对本项目进行客观评价，最终评分结果：总得分为</w:t>
      </w:r>
      <w:r>
        <w:rPr>
          <w:rFonts w:hint="eastAsia" w:ascii="Times New Roman" w:hAnsi="Times New Roman" w:eastAsia="仿宋_GB2312" w:cs="Times New Roman"/>
          <w:b w:val="0"/>
          <w:bCs w:val="0"/>
          <w:kern w:val="2"/>
          <w:sz w:val="32"/>
          <w:szCs w:val="32"/>
          <w:lang w:val="en-US" w:eastAsia="zh-CN" w:bidi="ar-SA"/>
        </w:rPr>
        <w:t>100</w:t>
      </w:r>
      <w:r>
        <w:rPr>
          <w:rFonts w:hint="eastAsia" w:ascii="Times New Roman" w:hAnsi="Times New Roman" w:eastAsia="仿宋_GB2312" w:cs="Times New Roman"/>
          <w:b w:val="0"/>
          <w:bCs w:val="0"/>
          <w:kern w:val="2"/>
          <w:sz w:val="32"/>
          <w:szCs w:val="32"/>
          <w:lang w:val="zh-CN" w:eastAsia="zh-CN" w:bidi="ar-SA"/>
        </w:rPr>
        <w:t>分，属于“</w:t>
      </w:r>
      <w:r>
        <w:rPr>
          <w:rFonts w:hint="eastAsia" w:ascii="Times New Roman" w:hAnsi="Times New Roman" w:eastAsia="仿宋_GB2312" w:cs="Times New Roman"/>
          <w:b w:val="0"/>
          <w:bCs w:val="0"/>
          <w:kern w:val="2"/>
          <w:sz w:val="32"/>
          <w:szCs w:val="32"/>
          <w:lang w:val="en-US" w:eastAsia="zh-CN" w:bidi="ar-SA"/>
        </w:rPr>
        <w:t>优</w:t>
      </w:r>
      <w:r>
        <w:rPr>
          <w:rFonts w:hint="eastAsia" w:ascii="Times New Roman" w:hAnsi="Times New Roman" w:eastAsia="仿宋_GB2312" w:cs="Times New Roman"/>
          <w:b w:val="0"/>
          <w:bCs w:val="0"/>
          <w:kern w:val="2"/>
          <w:sz w:val="32"/>
          <w:szCs w:val="32"/>
          <w:lang w:val="zh-CN" w:eastAsia="zh-CN" w:bidi="ar-SA"/>
        </w:rPr>
        <w:t xml:space="preserve">”。其中，项目决策类指标权重为20分，得分为 </w:t>
      </w:r>
      <w:r>
        <w:rPr>
          <w:rFonts w:hint="eastAsia" w:ascii="Times New Roman" w:hAnsi="Times New Roman" w:eastAsia="仿宋_GB2312" w:cs="Times New Roman"/>
          <w:b w:val="0"/>
          <w:bCs w:val="0"/>
          <w:kern w:val="2"/>
          <w:sz w:val="32"/>
          <w:szCs w:val="32"/>
          <w:lang w:val="en-US" w:eastAsia="zh-CN" w:bidi="ar-SA"/>
        </w:rPr>
        <w:t>20</w:t>
      </w:r>
      <w:r>
        <w:rPr>
          <w:rFonts w:hint="eastAsia" w:ascii="Times New Roman" w:hAnsi="Times New Roman" w:eastAsia="仿宋_GB2312" w:cs="Times New Roman"/>
          <w:b w:val="0"/>
          <w:bCs w:val="0"/>
          <w:kern w:val="2"/>
          <w:sz w:val="32"/>
          <w:szCs w:val="32"/>
          <w:lang w:val="zh-CN" w:eastAsia="zh-CN" w:bidi="ar-SA"/>
        </w:rPr>
        <w:t xml:space="preserve">分，得分率为 </w:t>
      </w:r>
      <w:r>
        <w:rPr>
          <w:rFonts w:hint="eastAsia" w:ascii="Times New Roman" w:hAnsi="Times New Roman" w:eastAsia="仿宋_GB2312" w:cs="Times New Roman"/>
          <w:b w:val="0"/>
          <w:bCs w:val="0"/>
          <w:kern w:val="2"/>
          <w:sz w:val="32"/>
          <w:szCs w:val="32"/>
          <w:lang w:val="en-US" w:eastAsia="zh-CN" w:bidi="ar-SA"/>
        </w:rPr>
        <w:t>100</w:t>
      </w:r>
      <w:r>
        <w:rPr>
          <w:rFonts w:hint="eastAsia" w:ascii="Times New Roman" w:hAnsi="Times New Roman" w:eastAsia="仿宋_GB2312" w:cs="Times New Roman"/>
          <w:b w:val="0"/>
          <w:bCs w:val="0"/>
          <w:kern w:val="2"/>
          <w:sz w:val="32"/>
          <w:szCs w:val="32"/>
          <w:lang w:val="zh-CN" w:eastAsia="zh-CN" w:bidi="ar-SA"/>
        </w:rPr>
        <w:t>%。项目过程类指标权重为20分，得分为</w:t>
      </w:r>
      <w:r>
        <w:rPr>
          <w:rFonts w:hint="eastAsia" w:ascii="Times New Roman" w:hAnsi="Times New Roman" w:eastAsia="仿宋_GB2312" w:cs="Times New Roman"/>
          <w:b w:val="0"/>
          <w:bCs w:val="0"/>
          <w:kern w:val="2"/>
          <w:sz w:val="32"/>
          <w:szCs w:val="32"/>
          <w:lang w:val="en-US" w:eastAsia="zh-CN" w:bidi="ar-SA"/>
        </w:rPr>
        <w:t>20</w:t>
      </w:r>
      <w:r>
        <w:rPr>
          <w:rFonts w:hint="eastAsia" w:ascii="Times New Roman" w:hAnsi="Times New Roman" w:eastAsia="仿宋_GB2312" w:cs="Times New Roman"/>
          <w:b w:val="0"/>
          <w:bCs w:val="0"/>
          <w:kern w:val="2"/>
          <w:sz w:val="32"/>
          <w:szCs w:val="32"/>
          <w:lang w:val="zh-CN" w:eastAsia="zh-CN" w:bidi="ar-SA"/>
        </w:rPr>
        <w:t>分，得分率为</w:t>
      </w:r>
      <w:r>
        <w:rPr>
          <w:rFonts w:hint="eastAsia" w:ascii="Times New Roman" w:hAnsi="Times New Roman" w:eastAsia="仿宋_GB2312" w:cs="Times New Roman"/>
          <w:b w:val="0"/>
          <w:bCs w:val="0"/>
          <w:kern w:val="2"/>
          <w:sz w:val="32"/>
          <w:szCs w:val="32"/>
          <w:lang w:val="en-US" w:eastAsia="zh-CN" w:bidi="ar-SA"/>
        </w:rPr>
        <w:t>100</w:t>
      </w:r>
      <w:r>
        <w:rPr>
          <w:rFonts w:hint="eastAsia" w:ascii="Times New Roman" w:hAnsi="Times New Roman" w:eastAsia="仿宋_GB2312" w:cs="Times New Roman"/>
          <w:b w:val="0"/>
          <w:bCs w:val="0"/>
          <w:kern w:val="2"/>
          <w:sz w:val="32"/>
          <w:szCs w:val="32"/>
          <w:lang w:val="zh-CN" w:eastAsia="zh-CN" w:bidi="ar-SA"/>
        </w:rPr>
        <w:t>%。项目产出类指标权重为40分，得分为</w:t>
      </w:r>
      <w:r>
        <w:rPr>
          <w:rFonts w:hint="eastAsia" w:ascii="Times New Roman" w:hAnsi="Times New Roman" w:eastAsia="仿宋_GB2312" w:cs="Times New Roman"/>
          <w:b w:val="0"/>
          <w:bCs w:val="0"/>
          <w:kern w:val="2"/>
          <w:sz w:val="32"/>
          <w:szCs w:val="32"/>
          <w:lang w:val="en-US" w:eastAsia="zh-CN" w:bidi="ar-SA"/>
        </w:rPr>
        <w:t>40</w:t>
      </w:r>
      <w:r>
        <w:rPr>
          <w:rFonts w:hint="eastAsia" w:ascii="Times New Roman" w:hAnsi="Times New Roman" w:eastAsia="仿宋_GB2312" w:cs="Times New Roman"/>
          <w:b w:val="0"/>
          <w:bCs w:val="0"/>
          <w:kern w:val="2"/>
          <w:sz w:val="32"/>
          <w:szCs w:val="32"/>
          <w:lang w:val="zh-CN" w:eastAsia="zh-CN" w:bidi="ar-SA"/>
        </w:rPr>
        <w:t>分，得分率为</w:t>
      </w:r>
      <w:r>
        <w:rPr>
          <w:rFonts w:hint="eastAsia" w:ascii="Times New Roman" w:hAnsi="Times New Roman" w:eastAsia="仿宋_GB2312" w:cs="Times New Roman"/>
          <w:b w:val="0"/>
          <w:bCs w:val="0"/>
          <w:kern w:val="2"/>
          <w:sz w:val="32"/>
          <w:szCs w:val="32"/>
          <w:lang w:val="en-US" w:eastAsia="zh-CN" w:bidi="ar-SA"/>
        </w:rPr>
        <w:t>100</w:t>
      </w:r>
      <w:r>
        <w:rPr>
          <w:rFonts w:hint="eastAsia" w:ascii="Times New Roman" w:hAnsi="Times New Roman" w:eastAsia="仿宋_GB2312" w:cs="Times New Roman"/>
          <w:b w:val="0"/>
          <w:bCs w:val="0"/>
          <w:kern w:val="2"/>
          <w:sz w:val="32"/>
          <w:szCs w:val="32"/>
          <w:lang w:val="zh-CN" w:eastAsia="zh-CN" w:bidi="ar-SA"/>
        </w:rPr>
        <w:t>%。项目效益类指标权重为20分，得分为</w:t>
      </w:r>
      <w:r>
        <w:rPr>
          <w:rFonts w:hint="eastAsia" w:ascii="Times New Roman" w:hAnsi="Times New Roman" w:eastAsia="仿宋_GB2312" w:cs="Times New Roman"/>
          <w:b w:val="0"/>
          <w:bCs w:val="0"/>
          <w:kern w:val="2"/>
          <w:sz w:val="32"/>
          <w:szCs w:val="32"/>
          <w:lang w:val="en-US" w:eastAsia="zh-CN" w:bidi="ar-SA"/>
        </w:rPr>
        <w:t>20</w:t>
      </w:r>
      <w:r>
        <w:rPr>
          <w:rFonts w:hint="eastAsia" w:ascii="Times New Roman" w:hAnsi="Times New Roman" w:eastAsia="仿宋_GB2312" w:cs="Times New Roman"/>
          <w:b w:val="0"/>
          <w:bCs w:val="0"/>
          <w:kern w:val="2"/>
          <w:sz w:val="32"/>
          <w:szCs w:val="32"/>
          <w:lang w:val="zh-CN" w:eastAsia="zh-CN" w:bidi="ar-SA"/>
        </w:rPr>
        <w:t>分，得分率为</w:t>
      </w:r>
      <w:r>
        <w:rPr>
          <w:rFonts w:hint="eastAsia" w:ascii="Times New Roman" w:hAnsi="Times New Roman" w:eastAsia="仿宋_GB2312" w:cs="Times New Roman"/>
          <w:b w:val="0"/>
          <w:bCs w:val="0"/>
          <w:kern w:val="2"/>
          <w:sz w:val="32"/>
          <w:szCs w:val="32"/>
          <w:lang w:val="en-US" w:eastAsia="zh-CN" w:bidi="ar-SA"/>
        </w:rPr>
        <w:t>100</w:t>
      </w:r>
      <w:r>
        <w:rPr>
          <w:rFonts w:hint="eastAsia" w:ascii="Times New Roman" w:hAnsi="Times New Roman" w:eastAsia="仿宋_GB2312" w:cs="Times New Roman"/>
          <w:b w:val="0"/>
          <w:bCs w:val="0"/>
          <w:kern w:val="2"/>
          <w:sz w:val="32"/>
          <w:szCs w:val="32"/>
          <w:lang w:val="zh-CN" w:eastAsia="zh-CN" w:bidi="ar-SA"/>
        </w:rPr>
        <w:t>%。具体打分情况详见：附件1综合评分表。</w:t>
      </w:r>
    </w:p>
    <w:p w14:paraId="28B7018C">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9"/>
        <w:tblW w:w="7583" w:type="dxa"/>
        <w:jc w:val="center"/>
        <w:tblLayout w:type="fixed"/>
        <w:tblCellMar>
          <w:top w:w="0" w:type="dxa"/>
          <w:left w:w="108" w:type="dxa"/>
          <w:bottom w:w="0" w:type="dxa"/>
          <w:right w:w="108" w:type="dxa"/>
        </w:tblCellMar>
      </w:tblPr>
      <w:tblGrid>
        <w:gridCol w:w="3137"/>
        <w:gridCol w:w="2168"/>
        <w:gridCol w:w="2278"/>
      </w:tblGrid>
      <w:tr w14:paraId="0CD49022">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675243E">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D8682F5">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ADBE4E8">
            <w:pPr>
              <w:jc w:val="center"/>
              <w:rPr>
                <w:b/>
                <w:bCs/>
                <w:color w:val="000000"/>
                <w:sz w:val="22"/>
              </w:rPr>
            </w:pPr>
            <w:r>
              <w:rPr>
                <w:rFonts w:hint="eastAsia"/>
                <w:b/>
                <w:bCs/>
                <w:color w:val="000000"/>
                <w:sz w:val="22"/>
              </w:rPr>
              <w:t>得分</w:t>
            </w:r>
          </w:p>
        </w:tc>
      </w:tr>
      <w:tr w14:paraId="2577B01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D9662F1">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155C3791">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B28A6DA">
            <w:pPr>
              <w:jc w:val="center"/>
              <w:rPr>
                <w:rFonts w:hint="default" w:eastAsia="宋体"/>
                <w:color w:val="000000"/>
                <w:sz w:val="22"/>
                <w:lang w:val="en-US" w:eastAsia="zh-CN"/>
              </w:rPr>
            </w:pPr>
            <w:r>
              <w:rPr>
                <w:rFonts w:hint="eastAsia"/>
                <w:color w:val="000000"/>
                <w:sz w:val="22"/>
                <w:lang w:val="en-US" w:eastAsia="zh-CN"/>
              </w:rPr>
              <w:t>20</w:t>
            </w:r>
          </w:p>
        </w:tc>
      </w:tr>
      <w:tr w14:paraId="5A76687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C4B7568">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31CBAECA">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4B6E327">
            <w:pPr>
              <w:jc w:val="center"/>
              <w:rPr>
                <w:rFonts w:hint="default" w:eastAsia="宋体"/>
                <w:color w:val="000000"/>
                <w:sz w:val="22"/>
                <w:lang w:val="en-US" w:eastAsia="zh-CN"/>
              </w:rPr>
            </w:pPr>
            <w:r>
              <w:rPr>
                <w:rFonts w:hint="eastAsia"/>
                <w:color w:val="000000"/>
                <w:sz w:val="22"/>
                <w:lang w:val="en-US" w:eastAsia="zh-CN"/>
              </w:rPr>
              <w:t>20</w:t>
            </w:r>
          </w:p>
        </w:tc>
      </w:tr>
      <w:tr w14:paraId="5D5880D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9878ABE">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58C14FA1">
            <w:pPr>
              <w:jc w:val="center"/>
              <w:rPr>
                <w:rFonts w:hint="default" w:eastAsia="宋体"/>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3987A262">
            <w:pPr>
              <w:jc w:val="center"/>
              <w:rPr>
                <w:rFonts w:hint="default" w:eastAsia="宋体"/>
                <w:color w:val="000000"/>
                <w:sz w:val="22"/>
                <w:lang w:val="en-US" w:eastAsia="zh-CN"/>
              </w:rPr>
            </w:pPr>
            <w:r>
              <w:rPr>
                <w:rFonts w:hint="eastAsia"/>
                <w:color w:val="000000"/>
                <w:sz w:val="22"/>
                <w:lang w:val="en-US" w:eastAsia="zh-CN"/>
              </w:rPr>
              <w:t>40</w:t>
            </w:r>
          </w:p>
        </w:tc>
      </w:tr>
      <w:tr w14:paraId="0187FB9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DB5810F">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62C6783D">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7958DA2">
            <w:pPr>
              <w:jc w:val="center"/>
              <w:rPr>
                <w:rFonts w:hint="default" w:eastAsia="宋体"/>
                <w:color w:val="000000"/>
                <w:sz w:val="22"/>
                <w:lang w:val="en-US" w:eastAsia="zh-CN"/>
              </w:rPr>
            </w:pPr>
            <w:r>
              <w:rPr>
                <w:rFonts w:hint="eastAsia"/>
                <w:color w:val="000000"/>
                <w:sz w:val="22"/>
                <w:lang w:val="en-US" w:eastAsia="zh-CN"/>
              </w:rPr>
              <w:t>20</w:t>
            </w:r>
          </w:p>
        </w:tc>
      </w:tr>
      <w:tr w14:paraId="6230680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ED8FB07">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261547E2">
            <w:pPr>
              <w:jc w:val="center"/>
              <w:rPr>
                <w:rFonts w:hint="default" w:eastAsia="宋体"/>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034B79D8">
            <w:pPr>
              <w:jc w:val="center"/>
              <w:rPr>
                <w:rFonts w:hint="default" w:eastAsia="宋体"/>
                <w:b/>
                <w:bCs/>
                <w:color w:val="000000"/>
                <w:sz w:val="22"/>
                <w:lang w:val="en-US" w:eastAsia="zh-CN"/>
              </w:rPr>
            </w:pPr>
            <w:r>
              <w:rPr>
                <w:rFonts w:hint="eastAsia"/>
                <w:b/>
                <w:bCs/>
                <w:color w:val="000000"/>
                <w:sz w:val="22"/>
                <w:lang w:val="en-US" w:eastAsia="zh-CN"/>
              </w:rPr>
              <w:t>100</w:t>
            </w:r>
          </w:p>
        </w:tc>
      </w:tr>
    </w:tbl>
    <w:p w14:paraId="03FD7644">
      <w:pPr>
        <w:spacing w:line="560" w:lineRule="exact"/>
        <w:ind w:firstLine="640" w:firstLineChars="200"/>
        <w:rPr>
          <w:rFonts w:eastAsia="黑体"/>
          <w:sz w:val="32"/>
          <w:szCs w:val="32"/>
        </w:rPr>
      </w:pPr>
      <w:r>
        <w:rPr>
          <w:rFonts w:eastAsia="黑体"/>
          <w:sz w:val="32"/>
          <w:szCs w:val="32"/>
        </w:rPr>
        <w:t>四、绩效评价指标分析</w:t>
      </w:r>
    </w:p>
    <w:p w14:paraId="61986A8E">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61D32A42">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14:paraId="4C826851">
      <w:pPr>
        <w:spacing w:line="360" w:lineRule="auto"/>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立项符合《国家中长期教育改革和发展规划纲要（2010－2020年）》、《国家中长期人才必展规划纲要(2010-202年)》、《自治区关于加快发展职业教育的实施意见》（新政发[2015]75号）《城市普通中小学校校舍建设标准》建标[2002]102号、国家和地方政府有关法律、法规等政，符合国家法律法规、符合中等职业学校行业发展规划和政策要求，与部门职责范围相符，属于部门履职所需，属于公共财政支持范围，符合中央、地方事权支出责任划分原则，项目与相关部门同类项目或部门内部相关项目不重复。项目依据新疆巴州工程咨询中心出具的《巴州师范学校学生宿舍楼建设项目可行性研究报告》立项。立项依据充分。</w:t>
      </w:r>
    </w:p>
    <w:p w14:paraId="11EDCD7E">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此项权重分3分，得分3分。</w:t>
      </w:r>
    </w:p>
    <w:p w14:paraId="0E0879BC">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14:paraId="36C41C7A">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巴36号2023年现代职业教育质量提升计划资金（参照直达）预算项目</w:t>
      </w:r>
      <w:r>
        <w:rPr>
          <w:rFonts w:hint="eastAsia" w:ascii="仿宋_GB2312" w:hAnsi="仿宋_GB2312" w:eastAsia="仿宋_GB2312" w:cs="仿宋_GB2312"/>
          <w:color w:val="auto"/>
          <w:sz w:val="32"/>
          <w:szCs w:val="32"/>
        </w:rPr>
        <w:t>按照规定的程序申请设立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立项阶段，确立项目建设的意义和目标，进行可行性研究和前期工作，编制项目的建议书，提交上级主管部门进行初审；初审合格，取得立项的批复；编制项目设计方案，进行初步设计和初步估算，对初步设计进行审查；组织项目招标，确定中标单位；签订合同，对合同进行审查，明确双方的权利和义务；根据合同，开始项目施工，组织监督和检查；项目竣工验收，投入使用。</w:t>
      </w:r>
      <w:r>
        <w:rPr>
          <w:rFonts w:hint="eastAsia" w:ascii="仿宋_GB2312" w:hAnsi="仿宋_GB2312" w:eastAsia="仿宋_GB2312" w:cs="仿宋_GB2312"/>
          <w:color w:val="auto"/>
          <w:sz w:val="32"/>
          <w:szCs w:val="32"/>
        </w:rPr>
        <w:t>提交的政策文件、材料符合项目设立的要求；事前经过科室申报、学校审核、风险评估、绩效评估、学校党委集体决策等，</w:t>
      </w:r>
      <w:r>
        <w:rPr>
          <w:rFonts w:hint="eastAsia" w:ascii="仿宋_GB2312" w:hAnsi="仿宋_GB2312" w:eastAsia="仿宋_GB2312" w:cs="仿宋_GB2312"/>
          <w:color w:val="auto"/>
          <w:sz w:val="32"/>
          <w:szCs w:val="32"/>
          <w:lang w:val="en-US" w:eastAsia="zh-CN"/>
        </w:rPr>
        <w:t>确定最终预算方案，保障了程序的规范性。</w:t>
      </w:r>
    </w:p>
    <w:p w14:paraId="4F0B516E">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此项权重分3分，得分3分。</w:t>
      </w:r>
    </w:p>
    <w:p w14:paraId="76B33FD2">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3.绩效目标合理性</w:t>
      </w:r>
    </w:p>
    <w:p w14:paraId="4D4A60D9">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巴36号2023年现代职业教育质量提升计划资金（参照直达）预算项目</w:t>
      </w: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w:t>
      </w:r>
      <w:r>
        <w:rPr>
          <w:rFonts w:hint="eastAsia" w:ascii="仿宋_GB2312" w:hAnsi="仿宋_GB2312" w:eastAsia="仿宋_GB2312" w:cs="仿宋_GB2312"/>
          <w:sz w:val="32"/>
          <w:szCs w:val="32"/>
          <w:lang w:eastAsia="zh-CN"/>
        </w:rPr>
        <w:t>与巴州师范学校的工作范围和职责相关性，项目的预期产出效益和效果也均能符合正常的业绩水平，并且与预算确定的项目资金量相匹配。</w:t>
      </w:r>
      <w:r>
        <w:rPr>
          <w:rFonts w:hint="eastAsia" w:ascii="仿宋_GB2312" w:hAnsi="仿宋_GB2312" w:eastAsia="仿宋_GB2312" w:cs="仿宋_GB2312"/>
          <w:sz w:val="32"/>
          <w:szCs w:val="32"/>
          <w:lang w:val="en-US" w:eastAsia="zh-CN"/>
        </w:rPr>
        <w:t>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9549B94">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此项权重分3分，得分3分。</w:t>
      </w:r>
    </w:p>
    <w:p w14:paraId="42784FD5">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4.绩效指标明确性</w:t>
      </w:r>
    </w:p>
    <w:p w14:paraId="4EE5AF6A">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bookmarkStart w:id="1" w:name="_Hlk68699917"/>
      <w:r>
        <w:rPr>
          <w:rFonts w:hint="eastAsia" w:ascii="仿宋_GB2312" w:hAnsi="仿宋_GB2312" w:eastAsia="仿宋_GB2312" w:cs="仿宋_GB2312"/>
          <w:sz w:val="32"/>
          <w:szCs w:val="32"/>
          <w:lang w:val="en-US" w:eastAsia="zh-CN"/>
        </w:rPr>
        <w:t>巴36号2023年现代职业教育质量提升计划资金（参照直达）预算项目将项目绩效目标细化分解为具体的绩效指标，一级指标共4条，二级指标共6条，三级指标共11条，其中量化指标条数共10条，所有绩效指标均通过清晰、可衡量的指标值予以体现，并且做到了与项目目标任务数或计划数相对应。</w:t>
      </w:r>
      <w:bookmarkEnd w:id="1"/>
    </w:p>
    <w:p w14:paraId="495B5F4A">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此项权重分3分，得分3分。</w:t>
      </w:r>
    </w:p>
    <w:p w14:paraId="786A1B52">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5.预算编制科学性</w:t>
      </w:r>
    </w:p>
    <w:p w14:paraId="5AAB648B">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巴36号2023年现代职业教育质量提升计划资金（参照直达）预算项目预算编制经过科学论证，提供充分的测算依据佐证资料，预算内容与项目内容相匹配。项目投资额与工作任务相匹配。</w:t>
      </w:r>
    </w:p>
    <w:p w14:paraId="1088A662">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0827C434">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6.资金分配合理性</w:t>
      </w:r>
    </w:p>
    <w:p w14:paraId="4C708526">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巴36号2023年现代职业教育质量提升计划资金（参照直达）预算项目资金分配额度1420万元与项目单位实际工作内容相适应，资金分配额度合理，资金分配依据充分。</w:t>
      </w:r>
    </w:p>
    <w:p w14:paraId="240CA946">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63EE959B">
      <w:pPr>
        <w:pStyle w:val="2"/>
        <w:numPr>
          <w:ilvl w:val="0"/>
          <w:numId w:val="4"/>
        </w:numPr>
        <w:spacing w:before="0" w:after="0" w:line="560" w:lineRule="exact"/>
        <w:ind w:left="617" w:leftChars="0" w:firstLine="643" w:firstLineChars="0"/>
        <w:jc w:val="both"/>
        <w:rPr>
          <w:rFonts w:ascii="楷体" w:hAnsi="楷体" w:eastAsia="楷体" w:cs="楷体"/>
        </w:rPr>
      </w:pPr>
      <w:r>
        <w:rPr>
          <w:rFonts w:hint="eastAsia" w:ascii="楷体" w:hAnsi="楷体" w:eastAsia="楷体" w:cs="楷体"/>
        </w:rPr>
        <w:t>项目过程情况</w:t>
      </w:r>
    </w:p>
    <w:p w14:paraId="5AB7F3A3">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1.资金到位率</w:t>
      </w:r>
    </w:p>
    <w:p w14:paraId="3AF810B1">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巴36号2023年现代职业教育质量提升计划资金（参照直达）预算项目预算资金1420万元，实际到位资金1420万元，资金到位率100%。</w:t>
      </w:r>
    </w:p>
    <w:p w14:paraId="6A80862E">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14:paraId="08A56AF3">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2.预算执行率</w:t>
      </w:r>
    </w:p>
    <w:p w14:paraId="63B285DF">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巴36号2023年现代职业教育质量提升计划资金（参照直达）预算项目全年预算数1420万元，全年执行数1420万元，预算执行率为100%。</w:t>
      </w:r>
    </w:p>
    <w:p w14:paraId="221A9DFB">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14:paraId="1C3A1820">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w:t>
      </w:r>
    </w:p>
    <w:p w14:paraId="575EEFED">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F67EB66">
      <w:pPr>
        <w:shd w:val="clear"/>
        <w:spacing w:line="600" w:lineRule="exact"/>
        <w:ind w:firstLine="640" w:firstLineChars="200"/>
        <w:outlineLvl w:val="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1781CB5A">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4.管理制度健全性</w:t>
      </w:r>
    </w:p>
    <w:p w14:paraId="442FC03E">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36号2023年现代职业教育质量提升计划资金（参照直达）预算项目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7BB21250">
      <w:pPr>
        <w:shd w:val="clear"/>
        <w:spacing w:line="600" w:lineRule="exact"/>
        <w:ind w:firstLine="640" w:firstLineChars="200"/>
        <w:outlineLvl w:val="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139CBD82">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5.制度执行有效性</w:t>
      </w:r>
    </w:p>
    <w:p w14:paraId="259625D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宋体" w:cs="仿宋_GB2312"/>
          <w:sz w:val="32"/>
          <w:szCs w:val="32"/>
          <w:lang w:val="en-US" w:eastAsia="zh-CN"/>
        </w:rPr>
      </w:pPr>
      <w:r>
        <w:rPr>
          <w:rFonts w:hint="eastAsia" w:ascii="仿宋_GB2312" w:hAnsi="仿宋_GB2312" w:eastAsia="仿宋_GB2312" w:cs="仿宋_GB2312"/>
          <w:sz w:val="32"/>
          <w:szCs w:val="32"/>
          <w:lang w:val="en-US" w:eastAsia="zh-CN"/>
        </w:rPr>
        <w:t>巴36号2023年现代职业教育质量提升计划资金（参照直达）预算项目对遵守了自治区质量提升计划资金、建设资金管理的相关法律法规和相关财务管理规定；项目调整及支出调整手续完备；项目合同书、验收报告等资料齐全并及时归档；项目实施的人员条件、场地设备、信息支撑等落实到位。</w:t>
      </w:r>
    </w:p>
    <w:p w14:paraId="399AACE4">
      <w:pPr>
        <w:shd w:val="clear"/>
        <w:spacing w:line="600" w:lineRule="exact"/>
        <w:ind w:firstLine="640" w:firstLineChars="200"/>
        <w:outlineLvl w:val="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1E6B3011">
      <w:pPr>
        <w:pStyle w:val="7"/>
        <w:numPr>
          <w:ilvl w:val="0"/>
          <w:numId w:val="4"/>
        </w:numPr>
        <w:spacing w:line="560" w:lineRule="exact"/>
        <w:ind w:left="617" w:leftChars="0" w:firstLine="643" w:firstLineChars="0"/>
        <w:rPr>
          <w:rFonts w:hint="default" w:ascii="仿宋_GB2312" w:hAnsi="仿宋_GB2312" w:eastAsia="仿宋_GB2312" w:cs="仿宋_GB2312"/>
          <w:sz w:val="32"/>
          <w:szCs w:val="32"/>
          <w:highlight w:val="none"/>
          <w:lang w:val="en-US" w:eastAsia="zh-CN"/>
        </w:rPr>
      </w:pPr>
      <w:r>
        <w:rPr>
          <w:rFonts w:eastAsia="楷体_GB2312"/>
          <w:b/>
          <w:bCs/>
          <w:sz w:val="32"/>
          <w:szCs w:val="32"/>
        </w:rPr>
        <w:t>项目产出</w:t>
      </w:r>
      <w:r>
        <w:rPr>
          <w:rFonts w:hint="eastAsia" w:eastAsia="楷体_GB2312"/>
          <w:b/>
          <w:bCs/>
          <w:sz w:val="32"/>
          <w:szCs w:val="32"/>
          <w:lang w:val="en-US" w:eastAsia="zh-CN"/>
        </w:rPr>
        <w:t>情况</w:t>
      </w:r>
    </w:p>
    <w:p w14:paraId="119368E8">
      <w:pPr>
        <w:numPr>
          <w:ilvl w:val="0"/>
          <w:numId w:val="0"/>
        </w:numPr>
        <w:shd w:val="clea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数量指标</w:t>
      </w:r>
      <w:r>
        <w:rPr>
          <w:rFonts w:hint="eastAsia" w:ascii="仿宋_GB2312" w:hAnsi="仿宋_GB2312" w:eastAsia="仿宋_GB2312" w:cs="仿宋_GB2312"/>
          <w:sz w:val="32"/>
          <w:szCs w:val="32"/>
          <w:highlight w:val="none"/>
          <w:lang w:val="en-US" w:eastAsia="zh-CN"/>
        </w:rPr>
        <w:t>完成情况</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指标1：支持职业学校改善办学条件和实训基地建设，指标值：1所，实际完成值1所，指标完成率100%；指标2：建设工程量，指标值：</w:t>
      </w:r>
      <w:r>
        <w:rPr>
          <w:rFonts w:hint="eastAsia" w:ascii="宋体" w:hAnsi="宋体" w:eastAsia="宋体" w:cs="宋体"/>
          <w:b w:val="0"/>
          <w:bCs w:val="0"/>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6500平方米，实际完成值6578.46平方米，指标完成率101.21%，偏差原因：项目经过竣工验收得到实际建设量，与预期有偏差。</w:t>
      </w:r>
    </w:p>
    <w:p w14:paraId="350DD5D5">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14:paraId="2B1042F0">
      <w:pPr>
        <w:numPr>
          <w:ilvl w:val="0"/>
          <w:numId w:val="0"/>
        </w:numPr>
        <w:shd w:val="clea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lang w:val="en-US" w:eastAsia="zh-CN"/>
        </w:rPr>
        <w:t>2.质</w:t>
      </w:r>
      <w:r>
        <w:rPr>
          <w:rFonts w:hint="eastAsia" w:ascii="仿宋_GB2312" w:hAnsi="仿宋_GB2312" w:eastAsia="仿宋_GB2312" w:cs="仿宋_GB2312"/>
          <w:sz w:val="32"/>
          <w:szCs w:val="32"/>
          <w:highlight w:val="none"/>
        </w:rPr>
        <w:t>量指标</w:t>
      </w:r>
      <w:r>
        <w:rPr>
          <w:rFonts w:hint="eastAsia" w:ascii="仿宋_GB2312" w:hAnsi="仿宋_GB2312" w:eastAsia="仿宋_GB2312" w:cs="仿宋_GB2312"/>
          <w:sz w:val="32"/>
          <w:szCs w:val="32"/>
          <w:highlight w:val="none"/>
          <w:lang w:val="en-US" w:eastAsia="zh-CN"/>
        </w:rPr>
        <w:t>完成情况</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指标1：竣工验收合格率，指标值：100%，实际完成值100%，指标完成率100%；指标2：项目资金支付率，指标值：100%，实际完成值100%，指标完成率100%；指标3：项目设计变更率，指标值：</w:t>
      </w:r>
      <w:r>
        <w:rPr>
          <w:rFonts w:hint="default" w:ascii="Arial" w:hAnsi="Arial" w:eastAsia="仿宋_GB2312" w:cs="Arial"/>
          <w:b w:val="0"/>
          <w:bCs w:val="0"/>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15%，实际完成值1.34%，指标完成率100%。</w:t>
      </w:r>
    </w:p>
    <w:p w14:paraId="27F1D789">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14:paraId="2AAFC973">
      <w:pPr>
        <w:numPr>
          <w:ilvl w:val="0"/>
          <w:numId w:val="0"/>
        </w:num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3.时效指标完成情况：</w:t>
      </w:r>
      <w:r>
        <w:rPr>
          <w:rFonts w:hint="eastAsia" w:ascii="仿宋_GB2312" w:hAnsi="仿宋_GB2312" w:eastAsia="仿宋_GB2312" w:cs="仿宋_GB2312"/>
          <w:b w:val="0"/>
          <w:bCs w:val="0"/>
          <w:kern w:val="2"/>
          <w:sz w:val="32"/>
          <w:szCs w:val="32"/>
          <w:lang w:val="en-US" w:eastAsia="zh-CN" w:bidi="ar-SA"/>
        </w:rPr>
        <w:t>指标1：项目按计划开工时间，指标值：2023年6月，实际完成值2023年6月，指标完成率100%；指标2：项目按计划完工时间，指标值：2023年11月，实际完成值2023年11月，指标完成率100%。</w:t>
      </w:r>
    </w:p>
    <w:p w14:paraId="1D474273">
      <w:pPr>
        <w:pStyle w:val="2"/>
        <w:numPr>
          <w:ilvl w:val="0"/>
          <w:numId w:val="0"/>
        </w:numPr>
        <w:spacing w:before="0" w:after="0"/>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此项权重分10分，得分10分。</w:t>
      </w:r>
    </w:p>
    <w:p w14:paraId="0BFC1715">
      <w:pPr>
        <w:numPr>
          <w:ilvl w:val="0"/>
          <w:numId w:val="0"/>
        </w:num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4.经济成本指标完成情况：</w:t>
      </w:r>
      <w:r>
        <w:rPr>
          <w:rFonts w:hint="eastAsia" w:ascii="仿宋_GB2312" w:hAnsi="仿宋_GB2312" w:eastAsia="仿宋_GB2312" w:cs="仿宋_GB2312"/>
          <w:b w:val="0"/>
          <w:bCs w:val="0"/>
          <w:kern w:val="2"/>
          <w:sz w:val="32"/>
          <w:szCs w:val="32"/>
          <w:lang w:val="en-US" w:eastAsia="zh-CN" w:bidi="ar-SA"/>
        </w:rPr>
        <w:t>指标1：项目建设成本，指标值：1420万元，实际完成值1420万元，指标完成率100%。</w:t>
      </w:r>
    </w:p>
    <w:p w14:paraId="02293679">
      <w:pPr>
        <w:numPr>
          <w:ilvl w:val="0"/>
          <w:numId w:val="0"/>
        </w:numPr>
        <w:ind w:firstLine="640" w:firstLineChars="200"/>
        <w:rPr>
          <w:rFonts w:hint="default"/>
          <w:lang w:val="en-US" w:eastAsia="zh-CN"/>
        </w:rPr>
      </w:pPr>
      <w:r>
        <w:rPr>
          <w:rFonts w:hint="eastAsia" w:ascii="仿宋_GB2312" w:hAnsi="仿宋_GB2312" w:eastAsia="仿宋_GB2312" w:cs="仿宋_GB2312"/>
          <w:b w:val="0"/>
          <w:bCs w:val="0"/>
          <w:kern w:val="2"/>
          <w:sz w:val="32"/>
          <w:szCs w:val="32"/>
          <w:lang w:val="en-US" w:eastAsia="zh-CN" w:bidi="ar-SA"/>
        </w:rPr>
        <w:t>此项权重分10分，得分10分。</w:t>
      </w:r>
    </w:p>
    <w:p w14:paraId="0B5BFBA2">
      <w:pPr>
        <w:pStyle w:val="7"/>
        <w:numPr>
          <w:ilvl w:val="0"/>
          <w:numId w:val="4"/>
        </w:numPr>
        <w:spacing w:line="560" w:lineRule="exact"/>
        <w:ind w:left="617" w:leftChars="0" w:firstLine="643" w:firstLineChars="0"/>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项目效益情况</w:t>
      </w:r>
    </w:p>
    <w:p w14:paraId="13240338">
      <w:pPr>
        <w:numPr>
          <w:ilvl w:val="0"/>
          <w:numId w:val="5"/>
        </w:num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社会效益指标</w:t>
      </w:r>
      <w:r>
        <w:rPr>
          <w:rFonts w:hint="eastAsia" w:ascii="仿宋_GB2312" w:hAnsi="仿宋_GB2312" w:eastAsia="仿宋_GB2312" w:cs="仿宋_GB2312"/>
          <w:b w:val="0"/>
          <w:bCs w:val="0"/>
          <w:kern w:val="2"/>
          <w:sz w:val="32"/>
          <w:szCs w:val="32"/>
          <w:highlight w:val="none"/>
          <w:lang w:val="en-US" w:eastAsia="zh-CN" w:bidi="ar-SA"/>
        </w:rPr>
        <w:t>完成情况</w:t>
      </w:r>
      <w:r>
        <w:rPr>
          <w:rFonts w:hint="eastAsia" w:ascii="仿宋_GB2312" w:hAnsi="仿宋_GB2312" w:eastAsia="仿宋_GB2312" w:cs="仿宋_GB2312"/>
          <w:sz w:val="32"/>
          <w:szCs w:val="32"/>
          <w:highlight w:val="none"/>
        </w:rPr>
        <w:t>：指标1：项目受益人数，指标值：</w:t>
      </w:r>
      <w:r>
        <w:rPr>
          <w:rFonts w:hint="eastAsia" w:ascii="仿宋_GB2312" w:hAnsi="仿宋_GB2312" w:eastAsia="仿宋_GB2312" w:cs="仿宋_GB2312"/>
          <w:sz w:val="32"/>
          <w:szCs w:val="32"/>
          <w:highlight w:val="none"/>
          <w:lang w:eastAsia="zh-CN"/>
        </w:rPr>
        <w:t>&gt;=</w:t>
      </w:r>
      <w:r>
        <w:rPr>
          <w:rFonts w:hint="eastAsia" w:ascii="仿宋_GB2312" w:hAnsi="仿宋_GB2312" w:eastAsia="仿宋_GB2312" w:cs="仿宋_GB2312"/>
          <w:sz w:val="32"/>
          <w:szCs w:val="32"/>
          <w:highlight w:val="none"/>
          <w:lang w:val="en-US" w:eastAsia="zh-CN"/>
        </w:rPr>
        <w:t>750人</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756人</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100.08</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：正常运转率，指标值：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14:paraId="4AB171FF">
      <w:pPr>
        <w:numPr>
          <w:ilvl w:val="0"/>
          <w:numId w:val="0"/>
        </w:numPr>
        <w:shd w:val="clear"/>
        <w:spacing w:line="600" w:lineRule="exact"/>
        <w:ind w:firstLine="640" w:firstLineChars="200"/>
        <w:outlineLvl w:val="0"/>
        <w:rPr>
          <w:rFonts w:hint="eastAsia"/>
          <w:lang w:eastAsia="zh-CN"/>
        </w:rPr>
      </w:pPr>
      <w:r>
        <w:rPr>
          <w:rFonts w:hint="eastAsia" w:ascii="仿宋_GB2312" w:hAnsi="仿宋_GB2312" w:eastAsia="仿宋_GB2312" w:cs="仿宋_GB2312"/>
          <w:b w:val="0"/>
          <w:bCs w:val="0"/>
          <w:kern w:val="2"/>
          <w:sz w:val="32"/>
          <w:szCs w:val="32"/>
          <w:lang w:val="en-US" w:eastAsia="zh-CN" w:bidi="ar-SA"/>
        </w:rPr>
        <w:t>此项权重分10分，得分10分。</w:t>
      </w:r>
    </w:p>
    <w:p w14:paraId="1603769F">
      <w:pPr>
        <w:numPr>
          <w:ilvl w:val="0"/>
          <w:numId w:val="5"/>
        </w:numPr>
        <w:shd w:val="clear"/>
        <w:spacing w:line="600" w:lineRule="exact"/>
        <w:ind w:left="0" w:leftChars="0"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lang w:val="en-US" w:eastAsia="zh-CN"/>
        </w:rPr>
        <w:t>满意度指标</w:t>
      </w:r>
      <w:r>
        <w:rPr>
          <w:rFonts w:hint="eastAsia" w:ascii="仿宋_GB2312" w:hAnsi="仿宋_GB2312" w:eastAsia="仿宋_GB2312" w:cs="仿宋_GB2312"/>
          <w:b w:val="0"/>
          <w:bCs w:val="0"/>
          <w:kern w:val="2"/>
          <w:sz w:val="32"/>
          <w:szCs w:val="32"/>
          <w:highlight w:val="none"/>
          <w:lang w:val="en-US" w:eastAsia="zh-CN" w:bidi="ar-SA"/>
        </w:rPr>
        <w:t>完成情况</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eastAsia="zh-CN"/>
        </w:rPr>
        <w:t>师生满意度</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eastAsia="zh-CN"/>
        </w:rPr>
        <w:t>&gt;=</w:t>
      </w:r>
      <w:r>
        <w:rPr>
          <w:rFonts w:hint="eastAsia" w:ascii="仿宋_GB2312" w:hAnsi="仿宋_GB2312" w:eastAsia="仿宋_GB2312" w:cs="仿宋_GB2312"/>
          <w:sz w:val="32"/>
          <w:szCs w:val="32"/>
          <w:highlight w:val="none"/>
          <w:lang w:val="en-US" w:eastAsia="zh-CN"/>
        </w:rPr>
        <w:t>85</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117.65</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val="0"/>
          <w:kern w:val="2"/>
          <w:sz w:val="32"/>
          <w:szCs w:val="32"/>
          <w:lang w:val="en-US" w:eastAsia="zh-CN" w:bidi="ar-SA"/>
        </w:rPr>
        <w:t>偏差原因：项目经过满意度测评，与预期有偏差。</w:t>
      </w:r>
    </w:p>
    <w:p w14:paraId="5109749B">
      <w:pPr>
        <w:numPr>
          <w:ilvl w:val="0"/>
          <w:numId w:val="0"/>
        </w:numPr>
        <w:shd w:val="clear"/>
        <w:spacing w:line="600" w:lineRule="exact"/>
        <w:ind w:leftChars="200"/>
        <w:outlineLvl w:val="0"/>
        <w:rPr>
          <w:rFonts w:hint="default"/>
          <w:lang w:val="en-US" w:eastAsia="zh-CN"/>
        </w:rPr>
      </w:pPr>
      <w:r>
        <w:rPr>
          <w:rFonts w:hint="eastAsia" w:ascii="仿宋_GB2312" w:hAnsi="仿宋_GB2312" w:eastAsia="仿宋_GB2312" w:cs="仿宋_GB2312"/>
          <w:b w:val="0"/>
          <w:bCs w:val="0"/>
          <w:kern w:val="2"/>
          <w:sz w:val="32"/>
          <w:szCs w:val="32"/>
          <w:lang w:val="en-US" w:eastAsia="zh-CN" w:bidi="ar-SA"/>
        </w:rPr>
        <w:t>此项权重分10分，得分10分。</w:t>
      </w:r>
    </w:p>
    <w:p w14:paraId="3F245DDF">
      <w:pPr>
        <w:spacing w:line="560" w:lineRule="exact"/>
        <w:ind w:firstLine="640" w:firstLineChars="200"/>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14:paraId="4ADFD20F">
      <w:pPr>
        <w:pStyle w:val="12"/>
        <w:spacing w:line="56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巴36号2023年现代职业教育质量提升计划资金（参照直达）预算项目年初预算1420万元，全年预算1420万元，实际支出1420万元，预算执行率为100%，项目绩效指标总体完成率为101.79%。</w:t>
      </w:r>
      <w:r>
        <w:rPr>
          <w:rFonts w:hint="eastAsia" w:ascii="仿宋_GB2312" w:hAnsi="仿宋_GB2312" w:eastAsia="仿宋_GB2312" w:cs="仿宋_GB2312"/>
          <w:color w:val="auto"/>
          <w:kern w:val="2"/>
          <w:sz w:val="32"/>
          <w:szCs w:val="32"/>
          <w:highlight w:val="none"/>
          <w:lang w:val="en-US" w:eastAsia="zh-CN" w:bidi="ar-SA"/>
        </w:rPr>
        <w:t>总体偏差率为1.79%，偏差原因是</w:t>
      </w:r>
      <w:r>
        <w:rPr>
          <w:rFonts w:hint="eastAsia" w:ascii="仿宋_GB2312" w:hAnsi="仿宋_GB2312" w:eastAsia="仿宋_GB2312" w:cs="仿宋_GB2312"/>
          <w:b w:val="0"/>
          <w:bCs w:val="0"/>
          <w:kern w:val="2"/>
          <w:sz w:val="32"/>
          <w:szCs w:val="32"/>
          <w:lang w:val="en-US" w:eastAsia="zh-CN" w:bidi="ar-SA"/>
        </w:rPr>
        <w:t>建设工程量项目经过竣工验收得到实际建设量，与产出指标与预期有偏差。</w:t>
      </w:r>
    </w:p>
    <w:p w14:paraId="06100DB6">
      <w:pPr>
        <w:pStyle w:val="12"/>
        <w:spacing w:line="560" w:lineRule="exact"/>
        <w:ind w:left="0" w:leftChars="0" w:firstLine="0" w:firstLineChars="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经实际满意度测评，指标与预期效益指标有偏差；改进措施一是加强学习，提高指标设置的科学合理性；二是总结工作经验，提高指标值的准确度。</w:t>
      </w:r>
    </w:p>
    <w:p w14:paraId="06436D03">
      <w:pPr>
        <w:spacing w:line="56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Hans" w:bidi="ar-SA"/>
        </w:rPr>
        <w:t>六</w:t>
      </w:r>
      <w:r>
        <w:rPr>
          <w:rFonts w:hint="eastAsia" w:ascii="仿宋_GB2312" w:hAnsi="仿宋_GB2312" w:eastAsia="仿宋_GB2312" w:cs="仿宋_GB2312"/>
          <w:kern w:val="2"/>
          <w:sz w:val="32"/>
          <w:szCs w:val="32"/>
          <w:highlight w:val="none"/>
          <w:lang w:val="en-US" w:eastAsia="zh-CN" w:bidi="ar-SA"/>
        </w:rPr>
        <w:t>、主要经验及做法、存在的问题及原因分析</w:t>
      </w:r>
    </w:p>
    <w:p w14:paraId="1BF4E357">
      <w:pPr>
        <w:spacing w:line="56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（一）主要经验及做法</w:t>
      </w:r>
    </w:p>
    <w:p w14:paraId="73CFCA2B">
      <w:pPr>
        <w:spacing w:line="56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为确保项目顺利进行，提前做好项目规划，将所列计划再三审核，提交学校党委会审议。项目的前期调研较充分，形成了充分的项目可行性论证。现代职业教育质量提升计划资金预算参照当年计划标准，项目向上级主管部门申报，审核并通过。</w:t>
      </w:r>
    </w:p>
    <w:p w14:paraId="6E9EBD8E">
      <w:pPr>
        <w:keepNext/>
        <w:keepLines/>
        <w:numPr>
          <w:ilvl w:val="0"/>
          <w:numId w:val="6"/>
        </w:numPr>
        <w:spacing w:line="56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存在的问题及原因分析</w:t>
      </w:r>
    </w:p>
    <w:p w14:paraId="3DD685ED">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bidi="ar-SA"/>
        </w:rPr>
        <w:t>1.相关绩效管理方面专业知识的系统性学习有待加</w:t>
      </w:r>
      <w:r>
        <w:rPr>
          <w:rFonts w:hint="eastAsia" w:ascii="仿宋_GB2312" w:hAnsi="仿宋_GB2312" w:eastAsia="仿宋_GB2312" w:cs="仿宋_GB2312"/>
          <w:color w:val="auto"/>
          <w:sz w:val="32"/>
          <w:szCs w:val="32"/>
          <w:highlight w:val="none"/>
          <w:lang w:val="en-US" w:eastAsia="zh-CN"/>
        </w:rPr>
        <w:t>强。各项指标的设置要进一步优化、完善，主要在细化、量化上改进。在绩效自评过程中，需提高相关绩效管理专业知识。</w:t>
      </w:r>
    </w:p>
    <w:p w14:paraId="10E20E01">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2.加强绩效管理的理念，全面认识到绩效管理的重要性，工作中主动性落实绩效目标并对标监督执行。</w:t>
      </w:r>
    </w:p>
    <w:p w14:paraId="20A9C37E">
      <w:pPr>
        <w:spacing w:line="560" w:lineRule="exact"/>
        <w:ind w:firstLine="640" w:firstLineChars="200"/>
        <w:rPr>
          <w:rFonts w:eastAsia="黑体"/>
          <w:color w:val="0000FF"/>
          <w:sz w:val="32"/>
          <w:szCs w:val="32"/>
        </w:rPr>
      </w:pPr>
      <w:r>
        <w:rPr>
          <w:rFonts w:hint="eastAsia" w:eastAsia="黑体"/>
          <w:sz w:val="32"/>
          <w:szCs w:val="32"/>
          <w:lang w:eastAsia="zh-Hans"/>
        </w:rPr>
        <w:t>七、</w:t>
      </w:r>
      <w:r>
        <w:rPr>
          <w:rFonts w:eastAsia="黑体"/>
          <w:sz w:val="32"/>
          <w:szCs w:val="32"/>
        </w:rPr>
        <w:t>有关建议</w:t>
      </w:r>
    </w:p>
    <w:p w14:paraId="231D8C2C">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14:paraId="1A948FAC">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2.专门设定对绩效工作人员定职、定岗、定责等相关制度措施，进一步提升我单位绩效管理工作业务水平，扎实做好绩效管理工作。</w:t>
      </w:r>
    </w:p>
    <w:p w14:paraId="33A06476">
      <w:pPr>
        <w:shd w:val="clear"/>
        <w:spacing w:line="600" w:lineRule="exact"/>
        <w:ind w:firstLine="640" w:firstLineChars="200"/>
        <w:outlineLvl w:val="0"/>
        <w:rPr>
          <w:color w:val="auto"/>
          <w:sz w:val="22"/>
          <w:szCs w:val="28"/>
        </w:rPr>
      </w:pPr>
      <w:r>
        <w:rPr>
          <w:rFonts w:hint="eastAsia" w:ascii="仿宋_GB2312" w:hAnsi="仿宋_GB2312" w:eastAsia="仿宋_GB2312" w:cs="仿宋_GB2312"/>
          <w:color w:val="auto"/>
          <w:sz w:val="32"/>
          <w:szCs w:val="32"/>
          <w:highlight w:val="none"/>
          <w:lang w:val="en-US" w:eastAsia="zh-CN"/>
        </w:rPr>
        <w:t>3.进一步完善项目评价过程中有关数据和资料的收集、整理、审核及分析。项目启动时同步做好档案的归纳与整理，及时整理、收集、汇总，健全档案资料。项目后续管理有待进一步加强和跟踪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z w:val="36"/>
          <w:szCs w:val="32"/>
        </w:rPr>
        <w:t>。</w:t>
      </w:r>
    </w:p>
    <w:p w14:paraId="0493C933">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进一步加强对绩效管理工作的组织领导，提高对预算绩效管理工作重要性的认识，总结经验查找问题，抓紧研究制定更全面更完善的绩效评价管理办法。结合项目考核建立绩效工作考核制度，加大学校对全面实施预算绩效管理和绩效管理工作的学习力度，让“花钱必问效，无效必问责”的理念深入工作每个环节。</w:t>
      </w:r>
    </w:p>
    <w:p w14:paraId="3A26A407">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2" w:name="page8"/>
      <w:bookmarkEnd w:id="2"/>
      <w:r>
        <w:rPr>
          <w:rFonts w:eastAsia="黑体"/>
          <w:sz w:val="32"/>
          <w:szCs w:val="32"/>
        </w:rPr>
        <w:t>明的问题</w:t>
      </w:r>
    </w:p>
    <w:p w14:paraId="3636EC3C">
      <w:pPr>
        <w:pStyle w:val="8"/>
        <w:spacing w:after="0" w:line="560" w:lineRule="exact"/>
        <w:ind w:left="0" w:leftChars="0" w:firstLine="640"/>
        <w:rPr>
          <w:rFonts w:hint="eastAsia" w:ascii="仿宋_GB2312" w:hAnsi="仿宋_GB2312" w:eastAsia="仿宋_GB2312" w:cs="仿宋_GB2312"/>
          <w:sz w:val="32"/>
          <w:szCs w:val="32"/>
          <w:lang w:val="en-US" w:eastAsia="zh-CN"/>
        </w:rPr>
        <w:sectPr>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32"/>
          <w:lang w:eastAsia="zh-Hans"/>
        </w:rPr>
        <w:t>本项目无其他需说明的问题</w:t>
      </w:r>
      <w:r>
        <w:rPr>
          <w:rFonts w:hint="eastAsia" w:ascii="仿宋_GB2312" w:hAnsi="仿宋_GB2312" w:eastAsia="仿宋_GB2312" w:cs="仿宋_GB2312"/>
          <w:sz w:val="32"/>
          <w:szCs w:val="32"/>
          <w:lang w:eastAsia="zh-CN"/>
        </w:rPr>
        <w:t>。</w:t>
      </w:r>
      <w:bookmarkStart w:id="3" w:name="_GoBack"/>
      <w:bookmarkEnd w:id="3"/>
    </w:p>
    <w:p w14:paraId="02406B8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DFFFDF6">
        <w:pPr>
          <w:pStyle w:val="6"/>
          <w:jc w:val="center"/>
        </w:pPr>
        <w:r>
          <w:fldChar w:fldCharType="begin"/>
        </w:r>
        <w:r>
          <w:instrText xml:space="preserve">PAGE   \* MERGEFORMAT</w:instrText>
        </w:r>
        <w:r>
          <w:fldChar w:fldCharType="separate"/>
        </w:r>
        <w:r>
          <w:rPr>
            <w:lang w:val="zh-CN"/>
          </w:rPr>
          <w:t>13</w:t>
        </w:r>
        <w:r>
          <w:fldChar w:fldCharType="end"/>
        </w:r>
      </w:p>
    </w:sdtContent>
  </w:sdt>
  <w:p w14:paraId="5CB990E6">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2D8EFFCD"/>
    <w:multiLevelType w:val="singleLevel"/>
    <w:tmpl w:val="2D8EFFCD"/>
    <w:lvl w:ilvl="0" w:tentative="0">
      <w:start w:val="1"/>
      <w:numFmt w:val="chineseCounting"/>
      <w:suff w:val="nothing"/>
      <w:lvlText w:val="（%1）"/>
      <w:lvlJc w:val="left"/>
      <w:rPr>
        <w:rFonts w:hint="eastAsia"/>
      </w:rPr>
    </w:lvl>
  </w:abstractNum>
  <w:abstractNum w:abstractNumId="4">
    <w:nsid w:val="3FD316C3"/>
    <w:multiLevelType w:val="singleLevel"/>
    <w:tmpl w:val="3FD316C3"/>
    <w:lvl w:ilvl="0" w:tentative="0">
      <w:start w:val="1"/>
      <w:numFmt w:val="decimal"/>
      <w:lvlText w:val="%1."/>
      <w:lvlJc w:val="left"/>
      <w:pPr>
        <w:tabs>
          <w:tab w:val="left" w:pos="312"/>
        </w:tabs>
      </w:pPr>
    </w:lvl>
  </w:abstractNum>
  <w:abstractNum w:abstractNumId="5">
    <w:nsid w:val="6FAA0AB1"/>
    <w:multiLevelType w:val="singleLevel"/>
    <w:tmpl w:val="6FAA0AB1"/>
    <w:lvl w:ilvl="0" w:tentative="0">
      <w:start w:val="2"/>
      <w:numFmt w:val="chineseCounting"/>
      <w:suff w:val="nothing"/>
      <w:lvlText w:val="（%1）"/>
      <w:lvlJc w:val="left"/>
      <w:pPr>
        <w:ind w:left="617"/>
      </w:pPr>
      <w:rPr>
        <w:rFonts w:hint="eastAsia"/>
      </w:r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iZGUwNWM5NjQxODUyZjhjYWVlMWZjZWZmNTI5MzgifQ=="/>
  </w:docVars>
  <w:rsids>
    <w:rsidRoot w:val="768F60CF"/>
    <w:rsid w:val="045F2962"/>
    <w:rsid w:val="07AC3169"/>
    <w:rsid w:val="3EAF3D2B"/>
    <w:rsid w:val="52247C1C"/>
    <w:rsid w:val="768F60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Body Text First Indent"/>
    <w:basedOn w:val="4"/>
    <w:qFormat/>
    <w:uiPriority w:val="0"/>
    <w:pPr>
      <w:spacing w:after="0"/>
      <w:ind w:firstLine="200" w:firstLineChars="200"/>
    </w:pPr>
  </w:style>
  <w:style w:type="paragraph" w:styleId="8">
    <w:name w:val="Body Text First Indent 2"/>
    <w:basedOn w:val="5"/>
    <w:qFormat/>
    <w:uiPriority w:val="0"/>
    <w:pPr>
      <w:ind w:firstLine="420" w:firstLineChars="200"/>
    </w:pPr>
  </w:style>
  <w:style w:type="character" w:styleId="11">
    <w:name w:val="Strong"/>
    <w:basedOn w:val="10"/>
    <w:qFormat/>
    <w:uiPriority w:val="0"/>
    <w:rPr>
      <w:b/>
      <w:bCs/>
    </w:rPr>
  </w:style>
  <w:style w:type="paragraph" w:customStyle="1" w:styleId="12">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7299</Words>
  <Characters>7792</Characters>
  <Lines>0</Lines>
  <Paragraphs>0</Paragraphs>
  <TotalTime>1</TotalTime>
  <ScaleCrop>false</ScaleCrop>
  <LinksUpToDate>false</LinksUpToDate>
  <CharactersWithSpaces>7827</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2024-05-16T10:23:00Z</dcterms:created>
  <dc:creator>zcgl</dc:creator>
  <cp:lastModifiedBy>U</cp:lastModifiedBy>
  <dcterms:modified xsi:type="dcterms:W3CDTF">2024-09-30T09:33:50Z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7ED384B083074DF79A31395CBB18D467_12</vt:lpwstr>
  </property>
</Properties>
</file>