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32EAFCF">
      <w:pPr>
        <w:spacing w:line="560" w:lineRule="exact"/>
        <w:ind w:firstLine="964" w:firstLineChars="200"/>
        <w:jc w:val="center"/>
        <w:rPr>
          <w:rFonts w:ascii="宋体" w:hAnsi="宋体" w:eastAsia="宋体" w:cs="Arial"/>
          <w:b/>
          <w:bCs/>
          <w:sz w:val="48"/>
          <w:szCs w:val="48"/>
        </w:rPr>
      </w:pPr>
      <w:bookmarkStart w:id="20" w:name="_GoBack"/>
      <w:bookmarkEnd w:id="20"/>
    </w:p>
    <w:p w14:paraId="77B73491">
      <w:pPr>
        <w:spacing w:line="560" w:lineRule="exact"/>
        <w:ind w:firstLine="964" w:firstLineChars="200"/>
        <w:jc w:val="center"/>
        <w:rPr>
          <w:rFonts w:ascii="宋体" w:hAnsi="宋体" w:eastAsia="宋体" w:cs="Arial"/>
          <w:b/>
          <w:bCs/>
          <w:sz w:val="48"/>
          <w:szCs w:val="48"/>
        </w:rPr>
      </w:pPr>
    </w:p>
    <w:p w14:paraId="6838BCAC">
      <w:pPr>
        <w:spacing w:line="560" w:lineRule="exact"/>
        <w:ind w:firstLine="964" w:firstLineChars="200"/>
        <w:jc w:val="center"/>
        <w:rPr>
          <w:rFonts w:ascii="宋体" w:hAnsi="宋体" w:eastAsia="宋体" w:cs="Arial"/>
          <w:b/>
          <w:bCs/>
          <w:sz w:val="48"/>
          <w:szCs w:val="48"/>
        </w:rPr>
      </w:pPr>
    </w:p>
    <w:p w14:paraId="28F73C80">
      <w:pPr>
        <w:spacing w:line="560" w:lineRule="exact"/>
        <w:ind w:firstLine="1044" w:firstLineChars="200"/>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48EC3E3A">
      <w:pPr>
        <w:spacing w:line="560" w:lineRule="exact"/>
        <w:ind w:firstLine="964" w:firstLineChars="200"/>
        <w:jc w:val="center"/>
        <w:rPr>
          <w:rFonts w:ascii="宋体" w:hAnsi="宋体" w:eastAsia="宋体" w:cs="Arial"/>
          <w:b/>
          <w:bCs/>
          <w:sz w:val="48"/>
          <w:szCs w:val="48"/>
        </w:rPr>
      </w:pPr>
    </w:p>
    <w:p w14:paraId="409F2807">
      <w:pPr>
        <w:widowControl/>
        <w:spacing w:line="560" w:lineRule="exact"/>
        <w:ind w:firstLine="720" w:firstLineChars="200"/>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rPr>
        <w:t>3年度）</w:t>
      </w:r>
    </w:p>
    <w:p w14:paraId="1135AD31">
      <w:pPr>
        <w:spacing w:line="560" w:lineRule="exact"/>
        <w:ind w:firstLine="1004" w:firstLineChars="200"/>
        <w:jc w:val="center"/>
        <w:rPr>
          <w:rFonts w:ascii="仿宋_GB2312" w:hAnsi="仿宋_GB2312" w:cs="仿宋_GB2312"/>
          <w:b/>
          <w:kern w:val="0"/>
          <w:sz w:val="50"/>
          <w:szCs w:val="50"/>
          <w:lang w:bidi="en-US"/>
        </w:rPr>
      </w:pPr>
    </w:p>
    <w:p w14:paraId="7F0FB4B8">
      <w:pPr>
        <w:spacing w:line="560" w:lineRule="exact"/>
        <w:ind w:firstLine="1004" w:firstLineChars="200"/>
        <w:jc w:val="center"/>
        <w:rPr>
          <w:rFonts w:ascii="仿宋_GB2312" w:hAnsi="仿宋_GB2312" w:cs="仿宋_GB2312"/>
          <w:b/>
          <w:kern w:val="0"/>
          <w:sz w:val="50"/>
          <w:szCs w:val="50"/>
          <w:lang w:bidi="en-US"/>
        </w:rPr>
      </w:pPr>
    </w:p>
    <w:p w14:paraId="1D41B832">
      <w:pPr>
        <w:spacing w:line="560" w:lineRule="exact"/>
        <w:ind w:firstLine="1004" w:firstLineChars="200"/>
        <w:jc w:val="center"/>
        <w:rPr>
          <w:rFonts w:ascii="仿宋_GB2312" w:hAnsi="仿宋_GB2312" w:cs="仿宋_GB2312"/>
          <w:b/>
          <w:kern w:val="0"/>
          <w:sz w:val="50"/>
          <w:szCs w:val="50"/>
          <w:lang w:bidi="en-US"/>
        </w:rPr>
      </w:pPr>
    </w:p>
    <w:p w14:paraId="5C5A8E8D">
      <w:pPr>
        <w:spacing w:line="560" w:lineRule="exact"/>
        <w:ind w:firstLine="1004" w:firstLineChars="200"/>
        <w:rPr>
          <w:rFonts w:ascii="仿宋_GB2312" w:hAnsi="仿宋_GB2312" w:cs="仿宋_GB2312"/>
          <w:b/>
          <w:kern w:val="0"/>
          <w:sz w:val="50"/>
          <w:szCs w:val="50"/>
          <w:lang w:bidi="en-US"/>
        </w:rPr>
      </w:pPr>
    </w:p>
    <w:p w14:paraId="4A8B8344">
      <w:pPr>
        <w:spacing w:line="560" w:lineRule="exact"/>
        <w:ind w:firstLine="1004" w:firstLineChars="200"/>
        <w:jc w:val="center"/>
        <w:rPr>
          <w:rFonts w:ascii="仿宋_GB2312" w:hAnsi="仿宋_GB2312" w:cs="仿宋_GB2312"/>
          <w:b/>
          <w:kern w:val="0"/>
          <w:sz w:val="50"/>
          <w:szCs w:val="50"/>
          <w:lang w:bidi="en-US"/>
        </w:rPr>
      </w:pPr>
    </w:p>
    <w:p w14:paraId="772F6541">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项目名称：2023年中央基建投资巴州人民医院自治区级区域医疗中心建设项目</w:t>
      </w:r>
    </w:p>
    <w:p w14:paraId="3D602B66">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实施单位（公章）：巴州人民医院</w:t>
      </w:r>
    </w:p>
    <w:p w14:paraId="49CC4509">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主管部门（公章）：巴州卫生健康委员会</w:t>
      </w:r>
    </w:p>
    <w:p w14:paraId="44922E63">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项目负责人（签章）：于怀江</w:t>
      </w:r>
    </w:p>
    <w:p w14:paraId="2F849AE7">
      <w:pPr>
        <w:spacing w:line="560" w:lineRule="exact"/>
        <w:ind w:firstLine="643" w:firstLineChars="200"/>
        <w:rPr>
          <w:rFonts w:ascii="宋体" w:hAnsi="宋体" w:eastAsia="宋体" w:cs="仿宋_GB2312"/>
          <w:b/>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b/>
          <w:color w:val="000000"/>
          <w:kern w:val="0"/>
          <w:sz w:val="32"/>
          <w:szCs w:val="32"/>
        </w:rPr>
        <w:t>2024 年 4  月 28日</w:t>
      </w:r>
    </w:p>
    <w:p w14:paraId="67C1175D">
      <w:pPr>
        <w:widowControl/>
        <w:spacing w:line="560" w:lineRule="exact"/>
        <w:ind w:firstLine="723" w:firstLineChars="200"/>
        <w:jc w:val="left"/>
        <w:rPr>
          <w:rFonts w:ascii="宋体" w:hAnsi="宋体" w:eastAsia="宋体" w:cs="Arial"/>
          <w:b/>
          <w:bCs/>
          <w:sz w:val="36"/>
          <w:szCs w:val="36"/>
        </w:rPr>
      </w:pPr>
      <w:r>
        <w:rPr>
          <w:rFonts w:ascii="宋体" w:hAnsi="宋体" w:eastAsia="宋体" w:cs="Arial"/>
          <w:b/>
          <w:bCs/>
          <w:sz w:val="36"/>
          <w:szCs w:val="36"/>
        </w:rPr>
        <w:br w:type="page"/>
      </w:r>
    </w:p>
    <w:p w14:paraId="3C58CC2F">
      <w:pPr>
        <w:spacing w:line="560" w:lineRule="exact"/>
        <w:ind w:firstLine="723" w:firstLineChars="200"/>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5E5C20E6">
      <w:pPr>
        <w:spacing w:line="560" w:lineRule="exact"/>
        <w:ind w:firstLine="600" w:firstLineChars="200"/>
        <w:jc w:val="center"/>
        <w:rPr>
          <w:rFonts w:ascii="仿宋_GB2312"/>
          <w:szCs w:val="30"/>
        </w:rPr>
      </w:pPr>
    </w:p>
    <w:p w14:paraId="12EBFA19">
      <w:pPr>
        <w:pStyle w:val="3"/>
        <w:bidi w:val="0"/>
      </w:pPr>
      <w:bookmarkStart w:id="0" w:name="_Toc68703827"/>
      <w:r>
        <w:rPr>
          <w:rFonts w:hint="eastAsia"/>
        </w:rPr>
        <w:t>一、基本情况</w:t>
      </w:r>
      <w:bookmarkEnd w:id="0"/>
    </w:p>
    <w:p w14:paraId="1E0E239E">
      <w:pPr>
        <w:pStyle w:val="4"/>
        <w:spacing w:before="0" w:after="0" w:line="560" w:lineRule="exact"/>
        <w:ind w:firstLine="640" w:firstLineChars="200"/>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44405CAD">
      <w:pPr>
        <w:spacing w:line="560" w:lineRule="exact"/>
        <w:ind w:firstLine="600" w:firstLineChars="200"/>
        <w:rPr>
          <w:rFonts w:hint="eastAsia" w:ascii="仿宋_GB2312"/>
        </w:rPr>
      </w:pPr>
      <w:r>
        <w:rPr>
          <w:rFonts w:hint="eastAsia" w:ascii="仿宋_GB2312"/>
        </w:rPr>
        <w:t>1.项目背景，主要内容及实施情况</w:t>
      </w:r>
    </w:p>
    <w:p w14:paraId="07748C26">
      <w:pPr>
        <w:pStyle w:val="4"/>
        <w:spacing w:before="0" w:after="0" w:line="560" w:lineRule="exact"/>
        <w:ind w:firstLine="640" w:firstLineChars="200"/>
        <w:rPr>
          <w:rFonts w:hint="eastAsia" w:ascii="仿宋_GB2312" w:eastAsia="仿宋_GB2312"/>
          <w:b w:val="0"/>
          <w:bCs w:val="0"/>
        </w:rPr>
      </w:pPr>
      <w:r>
        <w:rPr>
          <w:rFonts w:hint="eastAsia" w:ascii="仿宋_GB2312" w:eastAsia="仿宋_GB2312"/>
          <w:b w:val="0"/>
          <w:bCs w:val="0"/>
        </w:rPr>
        <w:t>（1）项目背景</w:t>
      </w:r>
    </w:p>
    <w:p w14:paraId="0C5C14CB">
      <w:pPr>
        <w:pStyle w:val="4"/>
        <w:spacing w:before="0" w:after="0" w:line="500" w:lineRule="exact"/>
        <w:ind w:firstLine="560" w:firstLineChars="200"/>
        <w:rPr>
          <w:rFonts w:ascii="仿宋_GB2312" w:eastAsia="仿宋_GB2312"/>
          <w:b w:val="0"/>
          <w:bCs w:val="0"/>
          <w:sz w:val="28"/>
          <w:szCs w:val="28"/>
        </w:rPr>
      </w:pPr>
      <w:r>
        <w:rPr>
          <w:rFonts w:hint="eastAsia" w:ascii="仿宋_GB2312" w:eastAsia="仿宋_GB2312"/>
          <w:b w:val="0"/>
          <w:bCs w:val="0"/>
          <w:sz w:val="28"/>
          <w:szCs w:val="28"/>
        </w:rPr>
        <w:t>以习近平新时代中国特色社会主义思想为指导，深入贯彻落实党中央、国务院决策部署，加快“十四五”102项重大工程和《“十四五”优质高效医疗卫生服务体系建设实施方案》等任务落地，推动自治区拓展公共卫生防控和救治成果，促进优质医疗资源扩容下沉和均衡布局，全方位保障重点人群健康，促进中医药传承创新发展，为满足本地人民群众持续增长的健康需求提供基础保障。</w:t>
      </w:r>
    </w:p>
    <w:p w14:paraId="213EC4CD">
      <w:pPr>
        <w:spacing w:line="560" w:lineRule="exact"/>
        <w:ind w:firstLine="640" w:firstLineChars="200"/>
        <w:rPr>
          <w:rFonts w:ascii="仿宋_GB2312" w:hAnsi="等线 Light" w:cs="黑体"/>
          <w:sz w:val="32"/>
          <w:szCs w:val="32"/>
        </w:rPr>
      </w:pPr>
      <w:r>
        <w:rPr>
          <w:rFonts w:hint="eastAsia" w:ascii="仿宋_GB2312" w:hAnsi="等线 Light" w:cs="黑体"/>
          <w:sz w:val="32"/>
          <w:szCs w:val="32"/>
        </w:rPr>
        <w:t>（2）主要内容及实施情况</w:t>
      </w:r>
    </w:p>
    <w:p w14:paraId="18D51BC5">
      <w:pPr>
        <w:spacing w:line="500" w:lineRule="exact"/>
        <w:ind w:firstLine="420" w:firstLineChars="150"/>
        <w:rPr>
          <w:rFonts w:hint="eastAsia" w:ascii="仿宋_GB2312" w:hAnsi="等线 Light" w:cs="黑体"/>
          <w:sz w:val="28"/>
          <w:szCs w:val="28"/>
        </w:rPr>
      </w:pPr>
      <w:r>
        <w:rPr>
          <w:rFonts w:hint="eastAsia" w:ascii="仿宋_GB2312" w:hAnsi="等线 Light" w:cs="黑体"/>
          <w:sz w:val="28"/>
          <w:szCs w:val="28"/>
        </w:rPr>
        <w:t>主要内容：本项目旨在建设自治区区域医疗中心，建筑面积22934平方米，项目建成后根据医院学科发展的需要，提升神经疾病中心，心脏中心，肿瘤诊治中心的疾病诊治能力，将巴州人民医院建成具有品牌专科的区域医疗中心。</w:t>
      </w:r>
    </w:p>
    <w:p w14:paraId="2576AD2B">
      <w:pPr>
        <w:spacing w:line="500" w:lineRule="exact"/>
        <w:ind w:firstLine="420" w:firstLineChars="150"/>
        <w:rPr>
          <w:rFonts w:ascii="仿宋_GB2312" w:hAnsi="等线 Light" w:cs="黑体"/>
          <w:sz w:val="28"/>
          <w:szCs w:val="28"/>
        </w:rPr>
      </w:pPr>
      <w:r>
        <w:rPr>
          <w:rFonts w:hint="eastAsia" w:ascii="仿宋_GB2312" w:hAnsi="等线 Light" w:cs="黑体"/>
          <w:sz w:val="28"/>
          <w:szCs w:val="28"/>
        </w:rPr>
        <w:t>实施情况：本次项目经费为中央预算内资金10808万元,用于建设巴州人民医院自治区级区域医疗中心。资金投入使区域医疗中心项目正常开展，保障了农民工工资及基建承建单位的权益。</w:t>
      </w:r>
    </w:p>
    <w:p w14:paraId="452D25BD">
      <w:pPr>
        <w:spacing w:line="560" w:lineRule="exact"/>
        <w:ind w:firstLine="600" w:firstLineChars="200"/>
        <w:rPr>
          <w:rFonts w:ascii="仿宋_GB2312"/>
        </w:rPr>
      </w:pPr>
      <w:r>
        <w:rPr>
          <w:rFonts w:hint="eastAsia" w:ascii="仿宋_GB2312"/>
        </w:rPr>
        <w:t>2.资金投入和使用情况</w:t>
      </w:r>
    </w:p>
    <w:p w14:paraId="2D35F3B7">
      <w:pPr>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rPr>
      </w:pPr>
      <w:r>
        <w:rPr>
          <w:rFonts w:hint="eastAsia"/>
          <w:sz w:val="28"/>
          <w:szCs w:val="28"/>
        </w:rPr>
        <w:t>（1）资金投入情况：该项目</w:t>
      </w:r>
      <w:r>
        <w:rPr>
          <w:rFonts w:hint="eastAsia"/>
          <w:lang w:eastAsia="zh-CN"/>
        </w:rPr>
        <w:t>年初</w:t>
      </w:r>
      <w:r>
        <w:rPr>
          <w:rFonts w:hint="eastAsia"/>
        </w:rPr>
        <w:t>预算数</w:t>
      </w:r>
      <w:r>
        <w:rPr>
          <w:rFonts w:hint="eastAsia"/>
          <w:sz w:val="28"/>
          <w:szCs w:val="28"/>
          <w:lang w:val="en-US" w:eastAsia="zh-CN"/>
        </w:rPr>
        <w:t>15000</w:t>
      </w:r>
      <w:r>
        <w:rPr>
          <w:rFonts w:hint="eastAsia"/>
          <w:sz w:val="28"/>
          <w:szCs w:val="28"/>
        </w:rPr>
        <w:t>万元，全年预算数10808万元，实际总投入10808万元，该项目资金已全部落实到位，资金来源为</w:t>
      </w:r>
      <w:r>
        <w:rPr>
          <w:rFonts w:hint="eastAsia" w:ascii="仿宋_GB2312"/>
          <w:sz w:val="28"/>
          <w:szCs w:val="28"/>
        </w:rPr>
        <w:t>中央预算内资金</w:t>
      </w:r>
      <w:r>
        <w:rPr>
          <w:rFonts w:hint="eastAsia"/>
          <w:sz w:val="28"/>
          <w:szCs w:val="28"/>
        </w:rPr>
        <w:t>。</w:t>
      </w:r>
    </w:p>
    <w:p w14:paraId="4083596A">
      <w:pPr>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Times New Roman" w:hAnsi="Times New Roman" w:eastAsia="仿宋_GB2312" w:cs="Times New Roman"/>
          <w:b w:val="0"/>
          <w:bCs w:val="0"/>
          <w:kern w:val="2"/>
          <w:sz w:val="28"/>
          <w:szCs w:val="28"/>
          <w:lang w:val="en-US" w:eastAsia="zh-CN" w:bidi="ar-SA"/>
        </w:rPr>
      </w:pPr>
      <w:r>
        <w:rPr>
          <w:rFonts w:hint="eastAsia" w:ascii="Times New Roman" w:hAnsi="Times New Roman" w:eastAsia="仿宋_GB2312" w:cs="Times New Roman"/>
          <w:b w:val="0"/>
          <w:bCs w:val="0"/>
          <w:kern w:val="2"/>
          <w:sz w:val="28"/>
          <w:szCs w:val="28"/>
          <w:lang w:val="en-US" w:eastAsia="zh-CN" w:bidi="ar-SA"/>
        </w:rPr>
        <w:t>（2）资金使用情况：该项目年初预算数10808万元，全年预算数10808万元，全年执行数10808万元，预算执行率为100%，用于建设巴州人民医院自治区级区域医疗中心建设项目10808万元。</w:t>
      </w:r>
    </w:p>
    <w:p w14:paraId="7F01FE11">
      <w:pPr>
        <w:pageBreakBefore w:val="0"/>
        <w:widowControl w:val="0"/>
        <w:kinsoku/>
        <w:wordWrap/>
        <w:overflowPunct/>
        <w:topLinePunct w:val="0"/>
        <w:autoSpaceDE/>
        <w:autoSpaceDN/>
        <w:bidi w:val="0"/>
        <w:adjustRightInd/>
        <w:snapToGrid/>
        <w:spacing w:line="500" w:lineRule="exact"/>
        <w:ind w:firstLine="600" w:firstLineChars="200"/>
        <w:textAlignment w:val="auto"/>
        <w:rPr>
          <w:rFonts w:ascii="仿宋_GB2312"/>
        </w:rPr>
      </w:pPr>
      <w:bookmarkStart w:id="2" w:name="_Toc68703829"/>
      <w:r>
        <w:rPr>
          <w:rFonts w:hint="eastAsia" w:ascii="仿宋_GB2312"/>
        </w:rPr>
        <w:t>（二）项目绩效目标</w:t>
      </w:r>
      <w:bookmarkEnd w:id="2"/>
      <w:r>
        <w:rPr>
          <w:rFonts w:hint="eastAsia" w:ascii="仿宋_GB2312"/>
          <w:color w:val="000000"/>
        </w:rPr>
        <w:t>，</w:t>
      </w:r>
      <w:r>
        <w:rPr>
          <w:rFonts w:hint="eastAsia"/>
          <w:color w:val="000000"/>
        </w:rPr>
        <w:t>包括总体目标和阶段性目标。</w:t>
      </w:r>
    </w:p>
    <w:p w14:paraId="6C0432DF">
      <w:pPr>
        <w:spacing w:line="500" w:lineRule="exact"/>
        <w:ind w:firstLine="600" w:firstLineChars="200"/>
        <w:rPr>
          <w:rFonts w:hint="eastAsia"/>
          <w:color w:val="FF0000"/>
        </w:rPr>
      </w:pPr>
      <w:r>
        <w:rPr>
          <w:rFonts w:hint="eastAsia"/>
        </w:rPr>
        <w:t>1.总体目标：建设自治区区域医疗中心，建筑面积22934平方米，项目建成后根据医院学科发展的需要，提升神经疾病中心，心脏中心，肿瘤诊治中心的疾病诊治能力，将巴州人民医院建成具有品牌专科的区域医疗中心。</w:t>
      </w:r>
    </w:p>
    <w:p w14:paraId="62D7C8A2">
      <w:pPr>
        <w:spacing w:line="500" w:lineRule="exact"/>
        <w:ind w:firstLine="600" w:firstLineChars="200"/>
        <w:rPr>
          <w:sz w:val="28"/>
          <w:szCs w:val="28"/>
        </w:rPr>
      </w:pPr>
      <w:r>
        <w:t>2</w:t>
      </w:r>
      <w:r>
        <w:rPr>
          <w:rFonts w:hint="eastAsia"/>
        </w:rPr>
        <w:t>.阶段性目标：</w:t>
      </w:r>
      <w:r>
        <w:rPr>
          <w:rFonts w:hint="eastAsia"/>
          <w:sz w:val="28"/>
          <w:szCs w:val="28"/>
        </w:rPr>
        <w:t>先行投入10808万元中央预算内资金全部用于建设自治区区域医疗中心。资金投入使区域医疗中心项目正常开展，保障了农民工工资及基建承建单位的权益。建设神经疾病中心、心脏中心、肿瘤诊疗中心，科学配置医疗设备、加强医院信息化建设、改善基础设施条件，提升疾病诊治能力。</w:t>
      </w:r>
    </w:p>
    <w:p w14:paraId="4D3D94C2">
      <w:pPr>
        <w:pStyle w:val="3"/>
        <w:spacing w:before="0" w:after="0" w:line="560" w:lineRule="exact"/>
        <w:ind w:firstLine="643" w:firstLineChars="200"/>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589ACF6B">
      <w:pPr>
        <w:pStyle w:val="4"/>
        <w:spacing w:before="0" w:after="0" w:line="560" w:lineRule="exact"/>
        <w:ind w:firstLine="640" w:firstLineChars="200"/>
        <w:rPr>
          <w:rFonts w:eastAsia="仿宋_GB2312"/>
        </w:rPr>
      </w:pPr>
      <w:bookmarkStart w:id="4" w:name="_Toc68703831"/>
      <w:r>
        <w:rPr>
          <w:rFonts w:hint="eastAsia" w:ascii="仿宋_GB2312" w:eastAsia="仿宋_GB2312"/>
          <w:b w:val="0"/>
          <w:bCs w:val="0"/>
        </w:rPr>
        <w:t>（一）绩效评价目的、对象和范围。</w:t>
      </w:r>
      <w:bookmarkEnd w:id="4"/>
    </w:p>
    <w:p w14:paraId="724EEAEB">
      <w:pPr>
        <w:spacing w:line="500" w:lineRule="exact"/>
        <w:ind w:firstLine="600" w:firstLineChars="200"/>
      </w:pPr>
      <w:r>
        <w:rPr>
          <w:rFonts w:hint="eastAsia"/>
        </w:rPr>
        <w:t>1.绩效评价目的：</w:t>
      </w:r>
    </w:p>
    <w:p w14:paraId="4DC80801">
      <w:pPr>
        <w:spacing w:line="500" w:lineRule="exact"/>
        <w:ind w:firstLine="420" w:firstLineChars="150"/>
        <w:rPr>
          <w:rFonts w:hint="eastAsia"/>
          <w:sz w:val="28"/>
          <w:szCs w:val="28"/>
        </w:rPr>
      </w:pPr>
      <w:r>
        <w:rPr>
          <w:sz w:val="28"/>
          <w:szCs w:val="28"/>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43461463">
      <w:pPr>
        <w:numPr>
          <w:ilvl w:val="0"/>
          <w:numId w:val="1"/>
        </w:numPr>
        <w:spacing w:line="500" w:lineRule="exact"/>
        <w:ind w:firstLine="560" w:firstLineChars="200"/>
        <w:rPr>
          <w:sz w:val="28"/>
          <w:szCs w:val="28"/>
        </w:rPr>
      </w:pPr>
      <w:r>
        <w:rPr>
          <w:sz w:val="28"/>
          <w:szCs w:val="28"/>
        </w:rPr>
        <w:t>项目在实施前向项目负责人提供财政支出绩效方面的资金管理信息，促进项目支出严格按照资金管理规定进行。</w:t>
      </w:r>
    </w:p>
    <w:p w14:paraId="3B29F88F">
      <w:pPr>
        <w:spacing w:line="500" w:lineRule="exact"/>
        <w:ind w:firstLine="560" w:firstLineChars="200"/>
        <w:rPr>
          <w:sz w:val="28"/>
          <w:szCs w:val="28"/>
        </w:rPr>
      </w:pPr>
      <w:r>
        <w:rPr>
          <w:sz w:val="28"/>
          <w:szCs w:val="28"/>
        </w:rPr>
        <w:t>（2</w:t>
      </w:r>
      <w:r>
        <w:rPr>
          <w:rFonts w:ascii="仿宋_GB2312"/>
          <w:sz w:val="28"/>
          <w:szCs w:val="28"/>
        </w:rPr>
        <w:t>）项目绩效管理财政支出运行提供及时、有效的信息。</w:t>
      </w:r>
    </w:p>
    <w:p w14:paraId="55229FFF">
      <w:pPr>
        <w:spacing w:line="500" w:lineRule="exact"/>
        <w:ind w:firstLine="560" w:firstLineChars="200"/>
        <w:rPr>
          <w:rFonts w:eastAsia="方正仿宋_GBK" w:cs="方正仿宋_GBK"/>
          <w:color w:val="0000FF"/>
          <w:kern w:val="0"/>
          <w:sz w:val="28"/>
          <w:szCs w:val="28"/>
        </w:rPr>
      </w:pPr>
      <w:r>
        <w:rPr>
          <w:kern w:val="0"/>
          <w:sz w:val="28"/>
          <w:szCs w:val="28"/>
        </w:rPr>
        <w:t>综合来看，通过开展有效的财政支出绩效评价管理，</w:t>
      </w:r>
      <w:r>
        <w:rPr>
          <w:rFonts w:hint="eastAsia"/>
          <w:kern w:val="0"/>
          <w:sz w:val="28"/>
          <w:szCs w:val="28"/>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1E4773D4">
      <w:pPr>
        <w:spacing w:line="500" w:lineRule="exact"/>
        <w:ind w:firstLine="600" w:firstLineChars="200"/>
        <w:jc w:val="left"/>
      </w:pPr>
      <w:r>
        <w:rPr>
          <w:rFonts w:hint="eastAsia"/>
        </w:rPr>
        <w:t>2.绩效评价对象：</w:t>
      </w:r>
    </w:p>
    <w:p w14:paraId="18936CEC">
      <w:pPr>
        <w:spacing w:line="500" w:lineRule="exact"/>
        <w:ind w:firstLine="600" w:firstLineChars="200"/>
      </w:pPr>
      <w:r>
        <w:rPr>
          <w:rFonts w:hint="eastAsia"/>
        </w:rPr>
        <w:t>2023年中央基建投资巴州人民医院自治区级区域医疗中心建设项目所包含的全部项目内容。</w:t>
      </w:r>
    </w:p>
    <w:p w14:paraId="036FF536">
      <w:pPr>
        <w:spacing w:line="500" w:lineRule="exact"/>
        <w:ind w:firstLine="600" w:firstLineChars="200"/>
      </w:pPr>
      <w:r>
        <w:rPr>
          <w:rFonts w:hint="eastAsia"/>
        </w:rPr>
        <w:t>3.绩效评价范围：</w:t>
      </w:r>
    </w:p>
    <w:p w14:paraId="04ADF183">
      <w:pPr>
        <w:spacing w:line="500" w:lineRule="exact"/>
        <w:ind w:firstLine="560" w:firstLineChars="200"/>
        <w:jc w:val="left"/>
        <w:rPr>
          <w:kern w:val="0"/>
          <w:sz w:val="28"/>
          <w:szCs w:val="28"/>
        </w:rPr>
      </w:pPr>
      <w:r>
        <w:rPr>
          <w:rFonts w:hint="eastAsia"/>
          <w:kern w:val="0"/>
          <w:sz w:val="28"/>
          <w:szCs w:val="28"/>
        </w:rPr>
        <w:t>本次评价从项目决策（包括绩效目标、决策过程）、项目管理（包括项目资金、项目实施）、项目产出（包括项目产出数量、产出质量、产出时效和产出成本）项目效益四个维度对巴州人民医院自治区级区域医疗中心建设项目进行评价，评价核心为专项资金的支出完成情况和效果。</w:t>
      </w:r>
    </w:p>
    <w:p w14:paraId="2A9B5310">
      <w:pPr>
        <w:pStyle w:val="4"/>
        <w:spacing w:before="0" w:after="0" w:line="560" w:lineRule="exact"/>
        <w:ind w:firstLine="160" w:firstLineChars="50"/>
        <w:rPr>
          <w:rFonts w:hint="eastAsia" w:ascii="仿宋_GB2312" w:eastAsia="仿宋_GB2312"/>
          <w:b w:val="0"/>
          <w:bCs w:val="0"/>
        </w:rPr>
      </w:pPr>
      <w:bookmarkStart w:id="5" w:name="_Toc68703832"/>
      <w:r>
        <w:rPr>
          <w:rFonts w:hint="eastAsia" w:ascii="仿宋_GB2312" w:eastAsia="仿宋_GB2312"/>
          <w:b w:val="0"/>
          <w:bCs w:val="0"/>
        </w:rPr>
        <w:t>（二）绩效评价原则、评价指标体系（附表说明）、评价方法、评价标准等。</w:t>
      </w:r>
      <w:bookmarkEnd w:id="5"/>
    </w:p>
    <w:p w14:paraId="2F2A5F84">
      <w:pPr>
        <w:spacing w:line="560" w:lineRule="exact"/>
        <w:ind w:firstLine="600" w:firstLineChars="200"/>
        <w:jc w:val="left"/>
        <w:rPr>
          <w:rFonts w:hint="eastAsia"/>
        </w:rPr>
      </w:pPr>
      <w:r>
        <w:rPr>
          <w:rFonts w:hint="eastAsia"/>
        </w:rPr>
        <w:t>1.绩效评价原则</w:t>
      </w:r>
    </w:p>
    <w:p w14:paraId="1BCF7CDB">
      <w:pPr>
        <w:spacing w:line="560" w:lineRule="exact"/>
        <w:ind w:firstLine="640" w:firstLineChars="200"/>
        <w:rPr>
          <w:rFonts w:hint="eastAsia" w:ascii="仿宋_GB2312"/>
          <w:bCs/>
          <w:color w:val="FF0000"/>
          <w:sz w:val="32"/>
          <w:szCs w:val="32"/>
        </w:rPr>
      </w:pPr>
      <w:r>
        <w:rPr>
          <w:color w:val="000000"/>
          <w:sz w:val="32"/>
          <w:szCs w:val="32"/>
        </w:rPr>
        <w:t>本次项目绩效评价遵循以下基本原则：</w:t>
      </w:r>
    </w:p>
    <w:p w14:paraId="68ECA1A8">
      <w:pPr>
        <w:spacing w:line="500" w:lineRule="exact"/>
        <w:ind w:firstLine="560" w:firstLineChars="200"/>
        <w:rPr>
          <w:kern w:val="0"/>
          <w:sz w:val="28"/>
          <w:szCs w:val="28"/>
        </w:rPr>
      </w:pPr>
      <w:r>
        <w:rPr>
          <w:rFonts w:hint="eastAsia"/>
          <w:kern w:val="0"/>
          <w:sz w:val="28"/>
          <w:szCs w:val="28"/>
        </w:rPr>
        <w:t>（一）科学公正。本次项目支出绩效评价运用科学合理的方法，按照规范的程序，对项目绩效进行客观、公正的反映。</w:t>
      </w:r>
    </w:p>
    <w:p w14:paraId="5F0BB217">
      <w:pPr>
        <w:pStyle w:val="2"/>
        <w:spacing w:before="0" w:after="0" w:line="500" w:lineRule="exact"/>
        <w:ind w:firstLine="560" w:firstLineChars="200"/>
        <w:jc w:val="both"/>
        <w:rPr>
          <w:rFonts w:ascii="Times New Roman" w:hAnsi="Times New Roman" w:eastAsia="仿宋_GB2312"/>
          <w:b w:val="0"/>
          <w:bCs w:val="0"/>
          <w:kern w:val="0"/>
          <w:sz w:val="28"/>
          <w:szCs w:val="28"/>
        </w:rPr>
      </w:pPr>
      <w:r>
        <w:rPr>
          <w:rFonts w:hint="eastAsia" w:ascii="Times New Roman" w:hAnsi="Times New Roman" w:eastAsia="仿宋_GB2312"/>
          <w:b w:val="0"/>
          <w:bCs w:val="0"/>
          <w:kern w:val="0"/>
          <w:sz w:val="28"/>
          <w:szCs w:val="28"/>
        </w:rPr>
        <w:t>（二）</w:t>
      </w:r>
      <w:r>
        <w:rPr>
          <w:rFonts w:ascii="Times New Roman" w:hAnsi="Times New Roman" w:eastAsia="仿宋_GB2312"/>
          <w:b w:val="0"/>
          <w:bCs w:val="0"/>
          <w:kern w:val="0"/>
          <w:sz w:val="28"/>
          <w:szCs w:val="28"/>
        </w:rPr>
        <w:t>统筹兼顾。单位自评、部门评价和财政评价职责明确，各有侧重，相互衔接。单位自评应由项目单位自主实施，即“谁支出、谁自评”。部门评价和财政评价应在单位自评的基础上开展。</w:t>
      </w:r>
    </w:p>
    <w:p w14:paraId="222148DF">
      <w:pPr>
        <w:spacing w:line="500" w:lineRule="exact"/>
        <w:ind w:firstLine="560" w:firstLineChars="200"/>
        <w:rPr>
          <w:rFonts w:ascii="仿宋_GB2312"/>
          <w:bCs/>
          <w:sz w:val="32"/>
          <w:szCs w:val="32"/>
        </w:rPr>
      </w:pPr>
      <w:r>
        <w:rPr>
          <w:rFonts w:hint="eastAsia"/>
          <w:kern w:val="0"/>
          <w:sz w:val="28"/>
          <w:szCs w:val="28"/>
        </w:rPr>
        <w:t>（三）激励约束。本次项目支出绩效评价结果与预算安排、政策调整、改进管理实质性挂钩，体现奖优罚劣和激励相容导向，有效要安排、低效要压减、无效要问责</w:t>
      </w:r>
      <w:r>
        <w:rPr>
          <w:rFonts w:hint="eastAsia" w:ascii="仿宋_GB2312"/>
          <w:bCs/>
          <w:sz w:val="32"/>
          <w:szCs w:val="32"/>
        </w:rPr>
        <w:t>。</w:t>
      </w:r>
    </w:p>
    <w:p w14:paraId="5475F866">
      <w:pPr>
        <w:spacing w:line="500" w:lineRule="exact"/>
        <w:ind w:firstLine="640" w:firstLineChars="200"/>
        <w:rPr>
          <w:kern w:val="0"/>
          <w:sz w:val="28"/>
          <w:szCs w:val="28"/>
        </w:rPr>
      </w:pPr>
      <w:r>
        <w:rPr>
          <w:rFonts w:hint="eastAsia" w:ascii="仿宋_GB2312"/>
          <w:bCs/>
          <w:sz w:val="32"/>
          <w:szCs w:val="32"/>
        </w:rPr>
        <w:t>（</w:t>
      </w:r>
      <w:r>
        <w:rPr>
          <w:rFonts w:hint="eastAsia"/>
          <w:kern w:val="0"/>
          <w:sz w:val="28"/>
          <w:szCs w:val="28"/>
        </w:rPr>
        <w:t>四）公开透明。本次项目支出绩效评价结果依法依规公开，并自觉接受社会监督。</w:t>
      </w:r>
    </w:p>
    <w:p w14:paraId="420DBD08">
      <w:pPr>
        <w:spacing w:line="560" w:lineRule="exact"/>
        <w:ind w:firstLine="600" w:firstLineChars="200"/>
        <w:jc w:val="left"/>
        <w:rPr>
          <w:rFonts w:hint="eastAsia"/>
        </w:rPr>
      </w:pPr>
      <w:r>
        <w:rPr>
          <w:rFonts w:hint="eastAsia"/>
        </w:rPr>
        <w:t>2、评价指标体系（附表说明）</w:t>
      </w:r>
    </w:p>
    <w:p w14:paraId="5A394484">
      <w:pPr>
        <w:spacing w:line="500" w:lineRule="exact"/>
        <w:ind w:firstLine="708" w:firstLineChars="200"/>
        <w:rPr>
          <w:color w:val="000000"/>
          <w:spacing w:val="17"/>
          <w:sz w:val="32"/>
          <w:szCs w:val="32"/>
        </w:rPr>
      </w:pPr>
      <w:r>
        <w:rPr>
          <w:color w:val="000000"/>
          <w:spacing w:val="17"/>
          <w:sz w:val="32"/>
          <w:szCs w:val="32"/>
        </w:rPr>
        <w:t>绩效评价框架是开展绩效评价的核心。绩效评价框架包括评价准则、关键评价问题、评价指标、数据来源、数据收集方法等。指标体系建立过程如下：</w:t>
      </w:r>
    </w:p>
    <w:p w14:paraId="0FC99118">
      <w:pPr>
        <w:spacing w:line="560" w:lineRule="exact"/>
        <w:ind w:firstLine="708" w:firstLineChars="200"/>
        <w:rPr>
          <w:color w:val="000000"/>
          <w:spacing w:val="17"/>
          <w:sz w:val="32"/>
          <w:szCs w:val="32"/>
        </w:rPr>
      </w:pPr>
      <w:r>
        <w:rPr>
          <w:color w:val="000000"/>
          <w:spacing w:val="17"/>
          <w:sz w:val="32"/>
          <w:szCs w:val="32"/>
        </w:rPr>
        <w:t>（1）确定评价指标</w:t>
      </w:r>
    </w:p>
    <w:p w14:paraId="500894D4">
      <w:pPr>
        <w:spacing w:line="500" w:lineRule="exact"/>
        <w:ind w:firstLine="560" w:firstLineChars="200"/>
        <w:rPr>
          <w:color w:val="000000"/>
          <w:spacing w:val="17"/>
          <w:sz w:val="32"/>
          <w:szCs w:val="32"/>
        </w:rPr>
      </w:pPr>
      <w:r>
        <w:rPr>
          <w:kern w:val="0"/>
          <w:sz w:val="28"/>
          <w:szCs w:val="28"/>
        </w:rPr>
        <w:t>采用层次分析法，建立评价指标体系。绩效评价将指标分为项目决策指标、项目过程指标、项目产出指标、项目效益指标四个维度，最终形成一个由多个相互联系的指标组成的多层次指标体系</w:t>
      </w:r>
      <w:r>
        <w:rPr>
          <w:color w:val="000000"/>
          <w:spacing w:val="17"/>
          <w:sz w:val="32"/>
          <w:szCs w:val="32"/>
        </w:rPr>
        <w:t>。</w:t>
      </w:r>
    </w:p>
    <w:p w14:paraId="34E2E1AF">
      <w:pPr>
        <w:spacing w:line="560" w:lineRule="exact"/>
        <w:ind w:firstLine="708" w:firstLineChars="200"/>
        <w:rPr>
          <w:color w:val="000000"/>
          <w:spacing w:val="17"/>
          <w:sz w:val="32"/>
          <w:szCs w:val="32"/>
        </w:rPr>
      </w:pPr>
      <w:r>
        <w:rPr>
          <w:color w:val="000000"/>
          <w:spacing w:val="17"/>
          <w:sz w:val="32"/>
          <w:szCs w:val="32"/>
        </w:rPr>
        <w:t>（2）确定权重</w:t>
      </w:r>
    </w:p>
    <w:p w14:paraId="660A0669">
      <w:pPr>
        <w:spacing w:line="500" w:lineRule="exact"/>
        <w:ind w:firstLine="560" w:firstLineChars="200"/>
        <w:rPr>
          <w:rFonts w:hint="eastAsia"/>
          <w:kern w:val="0"/>
          <w:sz w:val="28"/>
          <w:szCs w:val="28"/>
        </w:rPr>
      </w:pPr>
      <w:r>
        <w:rPr>
          <w:kern w:val="0"/>
          <w:sz w:val="28"/>
          <w:szCs w:val="28"/>
        </w:rPr>
        <w:t>确定各个指标相对于项目总体绩效的权重分值。在绩效评价指标体系中，项目决策权重为20分，项目过程权重为20分，项目产出权重为40分，项目效益权重为20分。</w:t>
      </w:r>
    </w:p>
    <w:p w14:paraId="06898AF7">
      <w:pPr>
        <w:spacing w:line="560" w:lineRule="exact"/>
        <w:ind w:firstLine="708" w:firstLineChars="200"/>
        <w:rPr>
          <w:color w:val="000000"/>
          <w:spacing w:val="17"/>
          <w:sz w:val="32"/>
          <w:szCs w:val="32"/>
        </w:rPr>
      </w:pPr>
      <w:r>
        <w:rPr>
          <w:color w:val="000000"/>
          <w:spacing w:val="17"/>
          <w:sz w:val="32"/>
          <w:szCs w:val="32"/>
        </w:rPr>
        <w:t>（3）确定指标标准值</w:t>
      </w:r>
    </w:p>
    <w:p w14:paraId="3208E9D8">
      <w:pPr>
        <w:spacing w:line="500" w:lineRule="exact"/>
        <w:ind w:firstLine="560" w:firstLineChars="200"/>
        <w:rPr>
          <w:kern w:val="0"/>
          <w:sz w:val="28"/>
          <w:szCs w:val="28"/>
        </w:rPr>
      </w:pPr>
      <w:r>
        <w:rPr>
          <w:kern w:val="0"/>
          <w:sz w:val="28"/>
          <w:szCs w:val="28"/>
        </w:rPr>
        <w:t>指标标准值是绩效评价指标的尺度，既要反映同类项目的先进水平，又要符合项目的实际绩效水平。具体采用计划标准等确定此次绩效评价指标标准值。</w:t>
      </w:r>
    </w:p>
    <w:p w14:paraId="77ED6A5E">
      <w:pPr>
        <w:spacing w:line="500" w:lineRule="exact"/>
        <w:ind w:firstLine="560" w:firstLineChars="200"/>
        <w:rPr>
          <w:kern w:val="0"/>
          <w:sz w:val="28"/>
          <w:szCs w:val="28"/>
        </w:rPr>
      </w:pPr>
      <w:r>
        <w:rPr>
          <w:kern w:val="0"/>
          <w:sz w:val="28"/>
          <w:szCs w:val="28"/>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6FDED949">
      <w:pPr>
        <w:spacing w:line="500" w:lineRule="exact"/>
        <w:ind w:firstLine="560" w:firstLineChars="200"/>
        <w:rPr>
          <w:kern w:val="0"/>
          <w:sz w:val="28"/>
          <w:szCs w:val="28"/>
        </w:rPr>
      </w:pPr>
      <w:r>
        <w:rPr>
          <w:kern w:val="0"/>
          <w:sz w:val="28"/>
          <w:szCs w:val="28"/>
        </w:rPr>
        <w:t>具体评价指标体系详情见附件1</w:t>
      </w:r>
    </w:p>
    <w:p w14:paraId="0BD80332">
      <w:pPr>
        <w:spacing w:line="560" w:lineRule="exact"/>
        <w:ind w:firstLine="600" w:firstLineChars="200"/>
        <w:jc w:val="left"/>
        <w:rPr>
          <w:rFonts w:hint="eastAsia"/>
        </w:rPr>
      </w:pPr>
      <w:r>
        <w:rPr>
          <w:rFonts w:hint="eastAsia"/>
        </w:rPr>
        <w:t>3、评价方法</w:t>
      </w:r>
    </w:p>
    <w:p w14:paraId="645C44A6">
      <w:pPr>
        <w:spacing w:line="560" w:lineRule="exact"/>
        <w:ind w:firstLine="560" w:firstLineChars="200"/>
        <w:rPr>
          <w:kern w:val="0"/>
          <w:sz w:val="28"/>
          <w:szCs w:val="28"/>
        </w:rPr>
      </w:pPr>
      <w:r>
        <w:rPr>
          <w:kern w:val="0"/>
          <w:sz w:val="28"/>
          <w:szCs w:val="28"/>
        </w:rPr>
        <w:t>绩效评价从项目决策、项目过程、项目产出、项目效益四个维度进行评价。评价对象为项目目标实施情况，  评价核心为资金的支出完成情况和项目的产出效益。</w:t>
      </w:r>
    </w:p>
    <w:p w14:paraId="294E379C">
      <w:pPr>
        <w:spacing w:line="560" w:lineRule="exact"/>
        <w:ind w:firstLine="560" w:firstLineChars="200"/>
        <w:rPr>
          <w:kern w:val="0"/>
          <w:sz w:val="28"/>
          <w:szCs w:val="28"/>
        </w:rPr>
      </w:pPr>
      <w:r>
        <w:rPr>
          <w:kern w:val="0"/>
          <w:sz w:val="28"/>
          <w:szCs w:val="28"/>
        </w:rPr>
        <w:t>本次评价指标中，既有定性指标又有定量指标，各类指标因考核内容不同和客观标准不同存在较大差异，因此核定具体指标时采用了不同方法，具体评价方法如下：</w:t>
      </w:r>
    </w:p>
    <w:p w14:paraId="31B80877">
      <w:pPr>
        <w:spacing w:line="560" w:lineRule="exact"/>
        <w:ind w:firstLine="560" w:firstLineChars="200"/>
        <w:rPr>
          <w:kern w:val="0"/>
          <w:sz w:val="28"/>
          <w:szCs w:val="28"/>
        </w:rPr>
      </w:pPr>
      <w:r>
        <w:rPr>
          <w:kern w:val="0"/>
          <w:sz w:val="28"/>
          <w:szCs w:val="28"/>
        </w:rPr>
        <w:t>（1）比较法</w:t>
      </w:r>
    </w:p>
    <w:p w14:paraId="46066C1B">
      <w:pPr>
        <w:spacing w:line="560" w:lineRule="exact"/>
        <w:ind w:firstLine="560" w:firstLineChars="200"/>
        <w:rPr>
          <w:kern w:val="0"/>
          <w:sz w:val="28"/>
          <w:szCs w:val="28"/>
        </w:rPr>
      </w:pPr>
      <w:r>
        <w:rPr>
          <w:kern w:val="0"/>
          <w:sz w:val="28"/>
          <w:szCs w:val="28"/>
        </w:rPr>
        <w:t>通过对绩效目标与实施效果、历史与当期情况，综合分析绩效目标实现程度。对项目最终验收情况与年度绩效目标对比、预算资金执行情况等相关因素进行比较。</w:t>
      </w:r>
    </w:p>
    <w:p w14:paraId="57C1EC83">
      <w:pPr>
        <w:spacing w:line="560" w:lineRule="exact"/>
        <w:ind w:firstLine="560" w:firstLineChars="200"/>
        <w:rPr>
          <w:kern w:val="0"/>
          <w:sz w:val="28"/>
          <w:szCs w:val="28"/>
        </w:rPr>
      </w:pPr>
      <w:r>
        <w:rPr>
          <w:kern w:val="0"/>
          <w:sz w:val="28"/>
          <w:szCs w:val="28"/>
        </w:rPr>
        <w:t>（</w:t>
      </w:r>
      <w:r>
        <w:rPr>
          <w:rFonts w:hint="eastAsia"/>
          <w:kern w:val="0"/>
          <w:sz w:val="28"/>
          <w:szCs w:val="28"/>
        </w:rPr>
        <w:t>2</w:t>
      </w:r>
      <w:r>
        <w:rPr>
          <w:kern w:val="0"/>
          <w:sz w:val="28"/>
          <w:szCs w:val="28"/>
        </w:rPr>
        <w:t>）因素分析法</w:t>
      </w:r>
    </w:p>
    <w:p w14:paraId="67425456">
      <w:pPr>
        <w:spacing w:line="500" w:lineRule="exact"/>
        <w:ind w:firstLine="560" w:firstLineChars="200"/>
        <w:rPr>
          <w:kern w:val="0"/>
          <w:sz w:val="28"/>
          <w:szCs w:val="28"/>
        </w:rPr>
      </w:pPr>
      <w:r>
        <w:rPr>
          <w:kern w:val="0"/>
          <w:sz w:val="28"/>
          <w:szCs w:val="28"/>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642D0215">
      <w:pPr>
        <w:spacing w:line="560" w:lineRule="exact"/>
        <w:ind w:firstLine="600" w:firstLineChars="200"/>
        <w:jc w:val="left"/>
        <w:rPr>
          <w:rFonts w:hint="eastAsia"/>
        </w:rPr>
      </w:pPr>
      <w:r>
        <w:rPr>
          <w:rFonts w:hint="eastAsia"/>
        </w:rPr>
        <w:t>4.评价标准</w:t>
      </w:r>
    </w:p>
    <w:p w14:paraId="1EA26C0C">
      <w:pPr>
        <w:spacing w:line="500" w:lineRule="exact"/>
        <w:ind w:firstLine="560" w:firstLineChars="200"/>
        <w:rPr>
          <w:kern w:val="0"/>
          <w:sz w:val="28"/>
          <w:szCs w:val="28"/>
        </w:rPr>
      </w:pPr>
      <w:bookmarkStart w:id="6" w:name="_Toc68703833"/>
      <w:r>
        <w:rPr>
          <w:rFonts w:hint="eastAsia"/>
          <w:kern w:val="0"/>
          <w:sz w:val="28"/>
          <w:szCs w:val="28"/>
        </w:rPr>
        <w:t>绩效评价标准通常包括计划标准、行业标准、历史标准等，用于对绩效指标完成情况进行比较、分析、评价。本次评价主要采用了计划标准。</w:t>
      </w:r>
    </w:p>
    <w:p w14:paraId="49D21696">
      <w:pPr>
        <w:spacing w:line="500" w:lineRule="exact"/>
        <w:ind w:firstLine="560" w:firstLineChars="200"/>
        <w:rPr>
          <w:kern w:val="0"/>
          <w:sz w:val="28"/>
          <w:szCs w:val="28"/>
        </w:rPr>
      </w:pPr>
      <w:r>
        <w:rPr>
          <w:rFonts w:hint="eastAsia"/>
          <w:kern w:val="0"/>
          <w:sz w:val="28"/>
          <w:szCs w:val="28"/>
        </w:rPr>
        <w:t>计划标准：指以预先制定的目标、计划、预算、定额等作为评价标准。</w:t>
      </w:r>
    </w:p>
    <w:p w14:paraId="7BB133A2">
      <w:pPr>
        <w:spacing w:line="500" w:lineRule="exact"/>
        <w:ind w:firstLine="560" w:firstLineChars="200"/>
        <w:rPr>
          <w:rFonts w:hint="eastAsia"/>
          <w:color w:val="000000"/>
          <w:spacing w:val="17"/>
          <w:sz w:val="32"/>
          <w:szCs w:val="32"/>
        </w:rPr>
      </w:pPr>
      <w:r>
        <w:rPr>
          <w:rFonts w:hint="eastAsia"/>
          <w:kern w:val="0"/>
          <w:sz w:val="28"/>
          <w:szCs w:val="28"/>
        </w:rPr>
        <w:t>本项目按照项目计划预先制定了绩效目标，根据实际完成情况对绩效指标完成情况做出了分析评价。</w:t>
      </w:r>
    </w:p>
    <w:p w14:paraId="55667D50">
      <w:pPr>
        <w:pStyle w:val="4"/>
        <w:spacing w:before="0" w:after="0" w:line="560" w:lineRule="exact"/>
        <w:ind w:firstLine="640" w:firstLineChars="200"/>
        <w:rPr>
          <w:rFonts w:hint="eastAsia" w:ascii="仿宋_GB2312" w:eastAsia="仿宋_GB2312"/>
          <w:b w:val="0"/>
          <w:bCs w:val="0"/>
        </w:rPr>
      </w:pPr>
      <w:r>
        <w:rPr>
          <w:rFonts w:hint="eastAsia" w:ascii="仿宋_GB2312" w:eastAsia="仿宋_GB2312"/>
          <w:b w:val="0"/>
          <w:bCs w:val="0"/>
        </w:rPr>
        <w:t>（三）绩效评价工作过程。</w:t>
      </w:r>
      <w:bookmarkEnd w:id="6"/>
    </w:p>
    <w:p w14:paraId="629F1076">
      <w:pPr>
        <w:spacing w:line="500" w:lineRule="exact"/>
        <w:ind w:firstLine="560" w:firstLineChars="200"/>
        <w:rPr>
          <w:kern w:val="0"/>
          <w:sz w:val="28"/>
          <w:szCs w:val="28"/>
        </w:rPr>
      </w:pPr>
      <w:bookmarkStart w:id="7" w:name="_Toc68703834"/>
      <w:r>
        <w:rPr>
          <w:rFonts w:hint="eastAsia"/>
          <w:kern w:val="0"/>
          <w:sz w:val="28"/>
          <w:szCs w:val="28"/>
        </w:rPr>
        <w:t>1.前期准备。首先成立评价工作组，开展前期调研；其次明确项目绩效目标，设计绩效评价指标体系并确定绩效评价方法；接着确定现场和非现场评价范围，设计资料清单；最后制定评价实施方案并进行论证。</w:t>
      </w:r>
    </w:p>
    <w:p w14:paraId="3149D2FF">
      <w:pPr>
        <w:spacing w:line="500" w:lineRule="exact"/>
        <w:ind w:firstLine="560" w:firstLineChars="200"/>
        <w:rPr>
          <w:kern w:val="0"/>
          <w:sz w:val="28"/>
          <w:szCs w:val="28"/>
        </w:rPr>
      </w:pPr>
      <w:r>
        <w:rPr>
          <w:rFonts w:hint="eastAsia"/>
          <w:kern w:val="0"/>
          <w:sz w:val="28"/>
          <w:szCs w:val="28"/>
        </w:rPr>
        <w:t>2.组织实施。制定绩效评价工作方案，具体包括项目概况、评价思路、方法手段、组织实施、进度安排等。收集项目立项依据、相关会议纪要、实施方案、财政资金分配方案、支付管理情况等相关评价资料并进行梳理。</w:t>
      </w:r>
    </w:p>
    <w:p w14:paraId="3B77C4E9">
      <w:pPr>
        <w:spacing w:line="500" w:lineRule="exact"/>
        <w:ind w:firstLine="560" w:firstLineChars="200"/>
        <w:rPr>
          <w:kern w:val="0"/>
          <w:sz w:val="28"/>
          <w:szCs w:val="28"/>
        </w:rPr>
      </w:pPr>
      <w:r>
        <w:rPr>
          <w:rFonts w:hint="eastAsia"/>
          <w:kern w:val="0"/>
          <w:sz w:val="28"/>
          <w:szCs w:val="28"/>
        </w:rPr>
        <w:t>3.分析评价。根据收集梳理的资料围绕项目立项、资金落实、业务管理、财务管理、项目产出、项目效益等内容，对照已确定的绩效评价指标进行详细全面的分析评价，逐项打分并形成绩效评价最终结果。</w:t>
      </w:r>
    </w:p>
    <w:p w14:paraId="02EE8DF2">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三、综合评价情况及评价结论</w:t>
      </w:r>
      <w:bookmarkEnd w:id="7"/>
    </w:p>
    <w:p w14:paraId="2A0AC2A3">
      <w:pPr>
        <w:pStyle w:val="4"/>
        <w:spacing w:before="0" w:after="0" w:line="560" w:lineRule="exact"/>
        <w:ind w:firstLine="640" w:firstLineChars="200"/>
        <w:rPr>
          <w:rFonts w:hint="eastAsia" w:ascii="仿宋_GB2312" w:eastAsia="仿宋_GB2312"/>
          <w:b w:val="0"/>
          <w:bCs w:val="0"/>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rPr>
        <w:t>及评价结论</w:t>
      </w:r>
    </w:p>
    <w:p w14:paraId="00769349">
      <w:pPr>
        <w:spacing w:line="500" w:lineRule="exact"/>
        <w:ind w:firstLine="600" w:firstLineChars="200"/>
        <w:outlineLvl w:val="0"/>
        <w:rPr>
          <w:kern w:val="0"/>
          <w:sz w:val="28"/>
          <w:szCs w:val="28"/>
        </w:rPr>
      </w:pPr>
      <w:r>
        <w:rPr>
          <w:rFonts w:hint="eastAsia" w:ascii="仿宋_GB2312"/>
        </w:rPr>
        <w:t>1.综合评价情况：</w:t>
      </w:r>
      <w:r>
        <w:rPr>
          <w:rFonts w:hint="eastAsia"/>
          <w:kern w:val="0"/>
          <w:sz w:val="28"/>
          <w:szCs w:val="28"/>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6292D5A">
      <w:pPr>
        <w:spacing w:line="500" w:lineRule="exact"/>
        <w:ind w:firstLine="560" w:firstLineChars="200"/>
        <w:rPr>
          <w:rFonts w:ascii="仿宋_GB2312"/>
          <w:sz w:val="28"/>
          <w:szCs w:val="28"/>
        </w:rPr>
      </w:pPr>
      <w:r>
        <w:rPr>
          <w:rFonts w:hint="eastAsia" w:ascii="仿宋_GB2312"/>
          <w:sz w:val="28"/>
          <w:szCs w:val="28"/>
        </w:rPr>
        <w:t>本项目严格按照科学公正、统筹兼顾、激励约束、公开透明的绩效评价原则，采用比较法和因素分析法，坚持计划标准对本项目的立项、绩效目标、资金投入、资金管理、组织实施、产出数量、产出质量、产出时效、产出成本、项目效益进行了综合评价。</w:t>
      </w:r>
    </w:p>
    <w:p w14:paraId="589A9C70">
      <w:pPr>
        <w:pStyle w:val="4"/>
        <w:spacing w:before="0" w:after="0" w:line="560" w:lineRule="exact"/>
        <w:ind w:firstLine="640" w:firstLineChars="200"/>
        <w:rPr>
          <w:rFonts w:hint="eastAsia" w:ascii="仿宋_GB2312" w:eastAsia="仿宋_GB2312"/>
          <w:b w:val="0"/>
          <w:bCs w:val="0"/>
        </w:rPr>
      </w:pPr>
      <w:bookmarkStart w:id="9" w:name="_Toc68703836"/>
      <w:r>
        <w:rPr>
          <w:rFonts w:hint="eastAsia" w:ascii="仿宋_GB2312" w:eastAsia="仿宋_GB2312"/>
          <w:b w:val="0"/>
          <w:bCs w:val="0"/>
        </w:rPr>
        <w:t>2.评价结论</w:t>
      </w:r>
      <w:bookmarkEnd w:id="9"/>
    </w:p>
    <w:p w14:paraId="3C86DA65">
      <w:pPr>
        <w:spacing w:line="500" w:lineRule="exact"/>
        <w:ind w:firstLine="560" w:firstLineChars="200"/>
        <w:rPr>
          <w:rFonts w:hint="eastAsia" w:ascii="仿宋_GB2312"/>
          <w:sz w:val="28"/>
          <w:szCs w:val="28"/>
        </w:rPr>
      </w:pPr>
      <w:r>
        <w:rPr>
          <w:rFonts w:hint="eastAsia" w:ascii="仿宋_GB2312"/>
          <w:sz w:val="28"/>
          <w:szCs w:val="28"/>
        </w:rPr>
        <w:t>运用绩效评价组制定的评价指标体系以及财政部《项目支出绩效评价管理办法》（财预〔2020〕10号）文件的评分标准，通过数据采集、问卷调查及访谈等方式，对本项目进行客观评价，最终评分结果：总得分为80分，属于“良”。其中，项目决策类指标权重为20分，得分为20分，得分率为 100%。</w:t>
      </w:r>
    </w:p>
    <w:p w14:paraId="76DB7113">
      <w:pPr>
        <w:spacing w:line="500" w:lineRule="exact"/>
        <w:ind w:firstLine="560" w:firstLineChars="200"/>
        <w:rPr>
          <w:rFonts w:hint="eastAsia" w:ascii="仿宋_GB2312"/>
          <w:sz w:val="28"/>
          <w:szCs w:val="28"/>
        </w:rPr>
      </w:pPr>
      <w:r>
        <w:rPr>
          <w:rFonts w:hint="eastAsia" w:ascii="仿宋_GB2312"/>
          <w:sz w:val="28"/>
          <w:szCs w:val="28"/>
        </w:rPr>
        <w:t>项目过程类指标权重为20分，得分为20分，得分率为 100%。</w:t>
      </w:r>
    </w:p>
    <w:p w14:paraId="3A524FE3">
      <w:pPr>
        <w:spacing w:line="500" w:lineRule="exact"/>
        <w:ind w:firstLine="560" w:firstLineChars="200"/>
        <w:rPr>
          <w:rFonts w:hint="eastAsia" w:ascii="仿宋_GB2312"/>
          <w:sz w:val="28"/>
          <w:szCs w:val="28"/>
        </w:rPr>
      </w:pPr>
      <w:r>
        <w:rPr>
          <w:rFonts w:hint="eastAsia" w:ascii="仿宋_GB2312"/>
          <w:sz w:val="28"/>
          <w:szCs w:val="28"/>
        </w:rPr>
        <w:t>项目产出类指标权重为40分，得分为35分，得分率为 87.5%。</w:t>
      </w:r>
    </w:p>
    <w:p w14:paraId="1D8CBE29">
      <w:pPr>
        <w:spacing w:line="500" w:lineRule="exact"/>
        <w:ind w:firstLine="560" w:firstLineChars="200"/>
        <w:rPr>
          <w:rFonts w:hint="eastAsia" w:ascii="仿宋_GB2312"/>
          <w:sz w:val="28"/>
          <w:szCs w:val="28"/>
        </w:rPr>
      </w:pPr>
      <w:r>
        <w:rPr>
          <w:rFonts w:hint="eastAsia" w:ascii="仿宋_GB2312"/>
          <w:sz w:val="28"/>
          <w:szCs w:val="28"/>
        </w:rPr>
        <w:t>项目效益类指标权重为20分，得分为5分，得分率为25%。</w:t>
      </w:r>
    </w:p>
    <w:p w14:paraId="6D6ACB58">
      <w:pPr>
        <w:pStyle w:val="4"/>
        <w:spacing w:before="0" w:after="0" w:line="560" w:lineRule="exact"/>
        <w:ind w:firstLine="640" w:firstLineChars="200"/>
        <w:rPr>
          <w:rFonts w:hint="eastAsia" w:ascii="仿宋_GB2312" w:eastAsia="仿宋_GB2312"/>
          <w:b w:val="0"/>
          <w:bCs w:val="0"/>
        </w:rPr>
      </w:pPr>
      <w:r>
        <w:rPr>
          <w:rFonts w:hint="eastAsia" w:ascii="仿宋_GB2312" w:eastAsia="仿宋_GB2312"/>
          <w:b w:val="0"/>
          <w:bCs w:val="0"/>
        </w:rPr>
        <w:t>（二）相关评分表</w:t>
      </w:r>
    </w:p>
    <w:p w14:paraId="04EB218F">
      <w:pPr>
        <w:spacing w:line="560" w:lineRule="exact"/>
        <w:ind w:firstLine="600" w:firstLineChars="200"/>
        <w:rPr>
          <w:rFonts w:hint="eastAsia"/>
        </w:rPr>
      </w:pPr>
      <w:r>
        <w:rPr>
          <w:rFonts w:hint="eastAsia"/>
        </w:rPr>
        <w:t>具体打分情况详见：附件1综合评分表。</w:t>
      </w:r>
    </w:p>
    <w:p w14:paraId="6CC8DFC5">
      <w:pPr>
        <w:spacing w:line="500" w:lineRule="exact"/>
        <w:ind w:firstLine="1820" w:firstLineChars="650"/>
        <w:rPr>
          <w:rFonts w:ascii="仿宋_GB2312"/>
          <w:sz w:val="28"/>
          <w:szCs w:val="28"/>
        </w:rPr>
      </w:pPr>
      <w:r>
        <w:rPr>
          <w:rFonts w:hint="eastAsia" w:ascii="仿宋_GB2312"/>
          <w:sz w:val="28"/>
          <w:szCs w:val="28"/>
        </w:rPr>
        <w:t>自治区级区域医疗中心建设项目评价得分情况</w:t>
      </w:r>
    </w:p>
    <w:tbl>
      <w:tblPr>
        <w:tblStyle w:val="11"/>
        <w:tblW w:w="0" w:type="auto"/>
        <w:jc w:val="center"/>
        <w:tblLayout w:type="fixed"/>
        <w:tblCellMar>
          <w:top w:w="0" w:type="dxa"/>
          <w:left w:w="108" w:type="dxa"/>
          <w:bottom w:w="0" w:type="dxa"/>
          <w:right w:w="108" w:type="dxa"/>
        </w:tblCellMar>
      </w:tblPr>
      <w:tblGrid>
        <w:gridCol w:w="3137"/>
        <w:gridCol w:w="2168"/>
        <w:gridCol w:w="2278"/>
      </w:tblGrid>
      <w:tr w14:paraId="37E65774">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noWrap w:val="0"/>
            <w:vAlign w:val="center"/>
          </w:tcPr>
          <w:p w14:paraId="080420C0">
            <w:pPr>
              <w:spacing w:line="560" w:lineRule="exact"/>
              <w:ind w:firstLine="442" w:firstLineChars="200"/>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noWrap w:val="0"/>
            <w:vAlign w:val="center"/>
          </w:tcPr>
          <w:p w14:paraId="7CBAA898">
            <w:pPr>
              <w:spacing w:line="560" w:lineRule="exact"/>
              <w:ind w:firstLine="442" w:firstLineChars="200"/>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noWrap w:val="0"/>
            <w:vAlign w:val="center"/>
          </w:tcPr>
          <w:p w14:paraId="544CAF91">
            <w:pPr>
              <w:spacing w:line="560" w:lineRule="exact"/>
              <w:ind w:firstLine="442" w:firstLineChars="200"/>
              <w:jc w:val="center"/>
              <w:rPr>
                <w:b/>
                <w:bCs/>
                <w:color w:val="000000"/>
                <w:sz w:val="22"/>
              </w:rPr>
            </w:pPr>
            <w:r>
              <w:rPr>
                <w:rFonts w:hint="eastAsia"/>
                <w:b/>
                <w:bCs/>
                <w:color w:val="000000"/>
                <w:sz w:val="22"/>
              </w:rPr>
              <w:t>得分</w:t>
            </w:r>
          </w:p>
        </w:tc>
      </w:tr>
      <w:tr w14:paraId="52D9FA4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14:paraId="7D454E69">
            <w:pPr>
              <w:spacing w:line="560" w:lineRule="exact"/>
              <w:ind w:firstLine="440" w:firstLineChars="200"/>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noWrap w:val="0"/>
            <w:vAlign w:val="center"/>
          </w:tcPr>
          <w:p w14:paraId="6B0D77D1">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noWrap w:val="0"/>
            <w:vAlign w:val="center"/>
          </w:tcPr>
          <w:p w14:paraId="1D9BE418">
            <w:pPr>
              <w:spacing w:line="560" w:lineRule="exact"/>
              <w:ind w:firstLine="440" w:firstLineChars="200"/>
              <w:jc w:val="center"/>
              <w:rPr>
                <w:color w:val="000000"/>
                <w:sz w:val="22"/>
              </w:rPr>
            </w:pPr>
            <w:r>
              <w:rPr>
                <w:rFonts w:hint="eastAsia"/>
                <w:color w:val="000000"/>
                <w:sz w:val="22"/>
              </w:rPr>
              <w:t>20</w:t>
            </w:r>
          </w:p>
        </w:tc>
      </w:tr>
      <w:tr w14:paraId="4D03763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14:paraId="64C02038">
            <w:pPr>
              <w:spacing w:line="560" w:lineRule="exact"/>
              <w:ind w:firstLine="440" w:firstLineChars="200"/>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noWrap w:val="0"/>
            <w:vAlign w:val="center"/>
          </w:tcPr>
          <w:p w14:paraId="34651C7D">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noWrap w:val="0"/>
            <w:vAlign w:val="center"/>
          </w:tcPr>
          <w:p w14:paraId="49996C8E">
            <w:pPr>
              <w:spacing w:line="560" w:lineRule="exact"/>
              <w:ind w:firstLine="440" w:firstLineChars="200"/>
              <w:jc w:val="center"/>
              <w:rPr>
                <w:color w:val="000000"/>
                <w:sz w:val="22"/>
              </w:rPr>
            </w:pPr>
            <w:r>
              <w:rPr>
                <w:rFonts w:hint="eastAsia"/>
                <w:color w:val="000000"/>
                <w:sz w:val="22"/>
              </w:rPr>
              <w:t>20</w:t>
            </w:r>
          </w:p>
        </w:tc>
      </w:tr>
      <w:tr w14:paraId="146EEA6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14:paraId="54122785">
            <w:pPr>
              <w:spacing w:line="560" w:lineRule="exact"/>
              <w:ind w:firstLine="440" w:firstLineChars="200"/>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noWrap w:val="0"/>
            <w:vAlign w:val="center"/>
          </w:tcPr>
          <w:p w14:paraId="67768A9C">
            <w:pPr>
              <w:spacing w:line="560" w:lineRule="exact"/>
              <w:ind w:firstLine="440" w:firstLineChars="200"/>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noWrap w:val="0"/>
            <w:vAlign w:val="center"/>
          </w:tcPr>
          <w:p w14:paraId="149E6CE2">
            <w:pPr>
              <w:spacing w:line="560" w:lineRule="exact"/>
              <w:ind w:firstLine="440" w:firstLineChars="200"/>
              <w:jc w:val="center"/>
              <w:rPr>
                <w:color w:val="000000"/>
                <w:sz w:val="22"/>
              </w:rPr>
            </w:pPr>
            <w:r>
              <w:rPr>
                <w:rFonts w:hint="eastAsia"/>
                <w:color w:val="000000"/>
                <w:sz w:val="22"/>
              </w:rPr>
              <w:t>35</w:t>
            </w:r>
          </w:p>
        </w:tc>
      </w:tr>
      <w:tr w14:paraId="1CAF20F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14:paraId="70EE8352">
            <w:pPr>
              <w:spacing w:line="560" w:lineRule="exact"/>
              <w:ind w:firstLine="440" w:firstLineChars="200"/>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noWrap w:val="0"/>
            <w:vAlign w:val="center"/>
          </w:tcPr>
          <w:p w14:paraId="32B9A39F">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noWrap w:val="0"/>
            <w:vAlign w:val="center"/>
          </w:tcPr>
          <w:p w14:paraId="0EB39DBF">
            <w:pPr>
              <w:spacing w:line="560" w:lineRule="exact"/>
              <w:ind w:firstLine="440" w:firstLineChars="200"/>
              <w:jc w:val="center"/>
              <w:rPr>
                <w:color w:val="000000"/>
                <w:sz w:val="22"/>
              </w:rPr>
            </w:pPr>
            <w:r>
              <w:rPr>
                <w:rFonts w:hint="eastAsia"/>
                <w:color w:val="000000"/>
                <w:sz w:val="22"/>
              </w:rPr>
              <w:t>5</w:t>
            </w:r>
          </w:p>
        </w:tc>
      </w:tr>
      <w:tr w14:paraId="18EDE82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14:paraId="4305FFB3">
            <w:pPr>
              <w:spacing w:line="560" w:lineRule="exact"/>
              <w:ind w:firstLine="442" w:firstLineChars="200"/>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noWrap w:val="0"/>
            <w:vAlign w:val="center"/>
          </w:tcPr>
          <w:p w14:paraId="0A87F92B">
            <w:pPr>
              <w:spacing w:line="560" w:lineRule="exact"/>
              <w:ind w:firstLine="442" w:firstLineChars="200"/>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noWrap w:val="0"/>
            <w:vAlign w:val="center"/>
          </w:tcPr>
          <w:p w14:paraId="185CE1E9">
            <w:pPr>
              <w:spacing w:line="560" w:lineRule="exact"/>
              <w:ind w:firstLine="442" w:firstLineChars="200"/>
              <w:jc w:val="center"/>
              <w:rPr>
                <w:b/>
                <w:bCs/>
                <w:color w:val="000000"/>
                <w:sz w:val="22"/>
              </w:rPr>
            </w:pPr>
            <w:r>
              <w:rPr>
                <w:rFonts w:hint="eastAsia"/>
                <w:b/>
                <w:bCs/>
                <w:color w:val="000000"/>
                <w:sz w:val="22"/>
              </w:rPr>
              <w:t>80</w:t>
            </w:r>
          </w:p>
        </w:tc>
      </w:tr>
    </w:tbl>
    <w:p w14:paraId="097DE63F">
      <w:pPr>
        <w:pStyle w:val="2"/>
        <w:spacing w:before="0" w:after="0" w:line="560" w:lineRule="exact"/>
        <w:ind w:firstLine="643" w:firstLineChars="200"/>
      </w:pPr>
    </w:p>
    <w:p w14:paraId="34C44A5D">
      <w:pPr>
        <w:pStyle w:val="3"/>
        <w:spacing w:before="0" w:after="0" w:line="560" w:lineRule="exact"/>
        <w:ind w:firstLine="643" w:firstLineChars="200"/>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366F6DC4">
      <w:pPr>
        <w:pStyle w:val="4"/>
        <w:spacing w:before="0" w:after="0" w:line="560" w:lineRule="exact"/>
        <w:ind w:firstLine="640" w:firstLineChars="200"/>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56D35408">
      <w:pPr>
        <w:spacing w:line="560" w:lineRule="exact"/>
        <w:ind w:firstLine="600" w:firstLineChars="200"/>
        <w:jc w:val="left"/>
        <w:rPr>
          <w:rFonts w:hint="eastAsia"/>
        </w:rPr>
      </w:pPr>
      <w:r>
        <w:rPr>
          <w:rFonts w:hint="eastAsia"/>
        </w:rPr>
        <w:t>1.立项依据充分性</w:t>
      </w:r>
    </w:p>
    <w:p w14:paraId="011ED24D">
      <w:pPr>
        <w:spacing w:line="500" w:lineRule="exact"/>
        <w:ind w:firstLine="560" w:firstLineChars="200"/>
        <w:outlineLvl w:val="0"/>
        <w:rPr>
          <w:rFonts w:hint="eastAsia" w:ascii="仿宋_GB2312"/>
          <w:sz w:val="28"/>
          <w:szCs w:val="28"/>
        </w:rPr>
      </w:pPr>
      <w:r>
        <w:rPr>
          <w:rFonts w:hint="eastAsia" w:ascii="仿宋_GB2312"/>
          <w:sz w:val="28"/>
          <w:szCs w:val="28"/>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ADC84B5">
      <w:pPr>
        <w:spacing w:line="500" w:lineRule="exact"/>
        <w:ind w:firstLine="560" w:firstLineChars="200"/>
        <w:outlineLvl w:val="0"/>
        <w:rPr>
          <w:rFonts w:hint="eastAsia" w:ascii="仿宋_GB2312"/>
          <w:sz w:val="28"/>
          <w:szCs w:val="28"/>
        </w:rPr>
      </w:pPr>
      <w:r>
        <w:rPr>
          <w:rFonts w:hint="eastAsia" w:ascii="仿宋_GB2312"/>
          <w:sz w:val="28"/>
          <w:szCs w:val="28"/>
        </w:rPr>
        <w:t>此项权重分3分，得分3分。</w:t>
      </w:r>
    </w:p>
    <w:p w14:paraId="5F364058">
      <w:pPr>
        <w:spacing w:line="500" w:lineRule="exact"/>
        <w:ind w:firstLine="600" w:firstLineChars="200"/>
        <w:outlineLvl w:val="0"/>
        <w:rPr>
          <w:rFonts w:hint="eastAsia" w:ascii="仿宋_GB2312"/>
          <w:sz w:val="28"/>
          <w:szCs w:val="28"/>
        </w:rPr>
      </w:pPr>
      <w:r>
        <w:rPr>
          <w:rFonts w:hint="eastAsia"/>
        </w:rPr>
        <w:t>2.立项程序规范性</w:t>
      </w:r>
    </w:p>
    <w:p w14:paraId="215FCB1B">
      <w:pPr>
        <w:spacing w:line="500" w:lineRule="exact"/>
        <w:ind w:firstLine="560" w:firstLineChars="200"/>
        <w:outlineLvl w:val="0"/>
        <w:rPr>
          <w:rFonts w:hint="eastAsia" w:ascii="仿宋_GB2312"/>
          <w:sz w:val="28"/>
          <w:szCs w:val="28"/>
        </w:rPr>
      </w:pPr>
      <w:r>
        <w:rPr>
          <w:rFonts w:hint="eastAsia" w:ascii="仿宋_GB2312"/>
          <w:sz w:val="28"/>
          <w:szCs w:val="28"/>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p>
    <w:p w14:paraId="7BBEBA63">
      <w:pPr>
        <w:spacing w:line="500" w:lineRule="exact"/>
        <w:ind w:firstLine="560" w:firstLineChars="200"/>
        <w:outlineLvl w:val="0"/>
        <w:rPr>
          <w:rFonts w:ascii="仿宋_GB2312"/>
          <w:sz w:val="28"/>
          <w:szCs w:val="28"/>
        </w:rPr>
      </w:pPr>
      <w:r>
        <w:rPr>
          <w:rFonts w:hint="eastAsia" w:ascii="仿宋_GB2312"/>
          <w:sz w:val="28"/>
          <w:szCs w:val="28"/>
        </w:rPr>
        <w:t>此项权重分3分，得分3分。</w:t>
      </w:r>
    </w:p>
    <w:p w14:paraId="26F2C843">
      <w:pPr>
        <w:spacing w:line="560" w:lineRule="exact"/>
        <w:ind w:firstLine="600" w:firstLineChars="200"/>
        <w:jc w:val="left"/>
        <w:rPr>
          <w:rFonts w:hint="eastAsia"/>
        </w:rPr>
      </w:pPr>
      <w:r>
        <w:rPr>
          <w:rFonts w:hint="eastAsia"/>
        </w:rPr>
        <w:t>3.绩效目标合理性</w:t>
      </w:r>
    </w:p>
    <w:p w14:paraId="5AB4071B">
      <w:pPr>
        <w:spacing w:line="500" w:lineRule="exact"/>
        <w:ind w:firstLine="560" w:firstLineChars="200"/>
        <w:outlineLvl w:val="0"/>
        <w:rPr>
          <w:rFonts w:hint="eastAsia" w:ascii="仿宋_GB2312"/>
          <w:sz w:val="28"/>
          <w:szCs w:val="28"/>
        </w:rPr>
      </w:pPr>
      <w:r>
        <w:rPr>
          <w:rFonts w:hint="eastAsia" w:ascii="仿宋_GB2312"/>
          <w:sz w:val="28"/>
          <w:szCs w:val="28"/>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41561785">
      <w:pPr>
        <w:spacing w:line="500" w:lineRule="exact"/>
        <w:ind w:firstLine="560" w:firstLineChars="200"/>
        <w:outlineLvl w:val="0"/>
        <w:rPr>
          <w:rFonts w:ascii="仿宋_GB2312"/>
          <w:sz w:val="28"/>
          <w:szCs w:val="28"/>
        </w:rPr>
      </w:pPr>
      <w:r>
        <w:rPr>
          <w:rFonts w:hint="eastAsia" w:ascii="仿宋_GB2312"/>
          <w:sz w:val="28"/>
          <w:szCs w:val="28"/>
        </w:rPr>
        <w:t>此项权重分3分，得分3分。</w:t>
      </w:r>
    </w:p>
    <w:p w14:paraId="54A4605D">
      <w:pPr>
        <w:spacing w:line="560" w:lineRule="exact"/>
        <w:ind w:firstLine="600" w:firstLineChars="200"/>
        <w:jc w:val="left"/>
        <w:rPr>
          <w:rFonts w:hint="eastAsia" w:ascii="仿宋_GB2312"/>
          <w:szCs w:val="30"/>
        </w:rPr>
      </w:pPr>
      <w:r>
        <w:rPr>
          <w:rFonts w:hint="eastAsia" w:ascii="仿宋_GB2312"/>
          <w:szCs w:val="30"/>
        </w:rPr>
        <w:t>4.绩效指标明确性</w:t>
      </w:r>
    </w:p>
    <w:p w14:paraId="74D4AE1C">
      <w:pPr>
        <w:spacing w:line="500" w:lineRule="exact"/>
        <w:ind w:firstLine="560" w:firstLineChars="200"/>
        <w:outlineLvl w:val="0"/>
        <w:rPr>
          <w:rFonts w:ascii="仿宋" w:hAnsi="仿宋" w:eastAsia="仿宋"/>
          <w:sz w:val="28"/>
          <w:szCs w:val="28"/>
        </w:rPr>
      </w:pPr>
      <w:r>
        <w:rPr>
          <w:rFonts w:hint="eastAsia" w:ascii="仿宋" w:hAnsi="仿宋" w:eastAsia="仿宋"/>
          <w:sz w:val="28"/>
          <w:szCs w:val="28"/>
        </w:rPr>
        <w:t>该项目设置了明确的预期产出效益和效果，将绩效目标细化分解为具体的绩效指标，绩效目标与项目目标任务数相对应，绩效目标设定的绩效指标清晰、细化、可衡量。</w:t>
      </w:r>
    </w:p>
    <w:p w14:paraId="0F6A500D">
      <w:pPr>
        <w:spacing w:line="500" w:lineRule="exact"/>
        <w:ind w:firstLine="560" w:firstLineChars="200"/>
        <w:outlineLvl w:val="0"/>
        <w:rPr>
          <w:rFonts w:hint="eastAsia" w:ascii="仿宋_GB2312"/>
          <w:sz w:val="28"/>
          <w:szCs w:val="28"/>
        </w:rPr>
      </w:pPr>
      <w:r>
        <w:rPr>
          <w:rFonts w:hint="eastAsia" w:ascii="仿宋_GB2312"/>
          <w:sz w:val="28"/>
          <w:szCs w:val="28"/>
        </w:rPr>
        <w:t>巴州人民医院自治区级区域医疗中心建设项目将项目绩效目标细化分解为具体的绩效指标，一级指标共</w:t>
      </w:r>
      <w:r>
        <w:rPr>
          <w:rFonts w:hint="eastAsia" w:ascii="仿宋_GB2312"/>
          <w:sz w:val="28"/>
          <w:szCs w:val="28"/>
          <w:lang w:val="en-US" w:eastAsia="zh-CN"/>
        </w:rPr>
        <w:t>4</w:t>
      </w:r>
      <w:r>
        <w:rPr>
          <w:rFonts w:hint="eastAsia" w:ascii="仿宋_GB2312"/>
          <w:sz w:val="28"/>
          <w:szCs w:val="28"/>
        </w:rPr>
        <w:t>条，二级指标共</w:t>
      </w:r>
      <w:r>
        <w:rPr>
          <w:rFonts w:hint="eastAsia" w:ascii="仿宋_GB2312"/>
          <w:sz w:val="28"/>
          <w:szCs w:val="28"/>
          <w:lang w:val="en-US" w:eastAsia="zh-CN"/>
        </w:rPr>
        <w:t>6</w:t>
      </w:r>
      <w:r>
        <w:rPr>
          <w:rFonts w:hint="eastAsia" w:ascii="仿宋_GB2312"/>
          <w:sz w:val="28"/>
          <w:szCs w:val="28"/>
        </w:rPr>
        <w:t>条，三级指标共12条，其中量化指标条数共10条，所有绩效指标均通过清晰、可衡量的指标值予以体现，并且做到了与项目目标任务数或计划数相对应。</w:t>
      </w:r>
    </w:p>
    <w:p w14:paraId="5F9F078F">
      <w:pPr>
        <w:spacing w:line="500" w:lineRule="exact"/>
        <w:ind w:firstLine="560" w:firstLineChars="200"/>
        <w:outlineLvl w:val="0"/>
        <w:rPr>
          <w:rFonts w:ascii="仿宋_GB2312"/>
          <w:sz w:val="28"/>
          <w:szCs w:val="28"/>
        </w:rPr>
      </w:pPr>
      <w:r>
        <w:rPr>
          <w:rFonts w:hint="eastAsia" w:ascii="仿宋_GB2312"/>
          <w:sz w:val="28"/>
          <w:szCs w:val="28"/>
        </w:rPr>
        <w:t>此项权重分3分，得分3分。</w:t>
      </w:r>
    </w:p>
    <w:p w14:paraId="12E34E85">
      <w:pPr>
        <w:spacing w:line="560" w:lineRule="exact"/>
        <w:ind w:firstLine="600" w:firstLineChars="200"/>
        <w:jc w:val="left"/>
        <w:rPr>
          <w:rFonts w:hint="eastAsia"/>
        </w:rPr>
      </w:pPr>
      <w:r>
        <w:rPr>
          <w:rFonts w:hint="eastAsia"/>
        </w:rPr>
        <w:t>5.预算编制科学性</w:t>
      </w:r>
    </w:p>
    <w:p w14:paraId="35448AFE">
      <w:pPr>
        <w:spacing w:line="500" w:lineRule="exact"/>
        <w:ind w:firstLine="560" w:firstLineChars="200"/>
        <w:rPr>
          <w:rFonts w:hint="eastAsia" w:ascii="仿宋_GB2312"/>
          <w:sz w:val="28"/>
          <w:szCs w:val="28"/>
        </w:rPr>
      </w:pPr>
      <w:r>
        <w:rPr>
          <w:rFonts w:hint="eastAsia" w:ascii="仿宋_GB2312"/>
          <w:sz w:val="28"/>
          <w:szCs w:val="28"/>
        </w:rPr>
        <w:t>预算编制经过科学论证，提供充分的测算依据佐证资料，预算内容与项目内容相匹配。</w:t>
      </w:r>
      <w:r>
        <w:rPr>
          <w:rFonts w:hint="eastAsia" w:ascii="仿宋_GB2312"/>
          <w:sz w:val="28"/>
          <w:szCs w:val="28"/>
          <w:lang w:eastAsia="zh-CN"/>
        </w:rPr>
        <w:t>科学的预算编制必须全面覆盖单位的各项业务活动和可能出现的风险。要确保预算的每一项支出都有明确的用途和合理的标准，确保资金使用效益的最大化。同时</w:t>
      </w:r>
      <w:r>
        <w:rPr>
          <w:rFonts w:hint="eastAsia" w:ascii="仿宋_GB2312"/>
          <w:sz w:val="28"/>
          <w:szCs w:val="28"/>
        </w:rPr>
        <w:t>项目投资额与工作任务相匹配</w:t>
      </w:r>
      <w:r>
        <w:rPr>
          <w:rFonts w:hint="eastAsia" w:ascii="仿宋_GB2312"/>
          <w:sz w:val="28"/>
          <w:szCs w:val="28"/>
          <w:lang w:eastAsia="zh-CN"/>
        </w:rPr>
        <w:t>，确保能够正确运用好资金</w:t>
      </w:r>
      <w:r>
        <w:rPr>
          <w:rFonts w:hint="eastAsia" w:ascii="仿宋_GB2312"/>
          <w:sz w:val="28"/>
          <w:szCs w:val="28"/>
        </w:rPr>
        <w:t>。</w:t>
      </w:r>
    </w:p>
    <w:p w14:paraId="5DE13112">
      <w:pPr>
        <w:spacing w:line="500" w:lineRule="exact"/>
        <w:ind w:firstLine="560" w:firstLineChars="200"/>
        <w:rPr>
          <w:rFonts w:ascii="仿宋_GB2312"/>
          <w:sz w:val="28"/>
          <w:szCs w:val="28"/>
        </w:rPr>
      </w:pPr>
      <w:r>
        <w:rPr>
          <w:rFonts w:hint="eastAsia" w:ascii="仿宋_GB2312"/>
          <w:sz w:val="28"/>
          <w:szCs w:val="28"/>
        </w:rPr>
        <w:t>此项权重分4分，得分4分。</w:t>
      </w:r>
    </w:p>
    <w:p w14:paraId="102F702D">
      <w:pPr>
        <w:spacing w:line="560" w:lineRule="exact"/>
        <w:ind w:firstLine="600" w:firstLineChars="200"/>
        <w:jc w:val="left"/>
        <w:rPr>
          <w:rFonts w:hint="eastAsia"/>
        </w:rPr>
      </w:pPr>
      <w:r>
        <w:rPr>
          <w:rFonts w:hint="eastAsia"/>
        </w:rPr>
        <w:t>6.资金分配合理性</w:t>
      </w:r>
    </w:p>
    <w:p w14:paraId="383FDC82">
      <w:pPr>
        <w:spacing w:line="500" w:lineRule="exact"/>
        <w:ind w:firstLine="560" w:firstLineChars="200"/>
        <w:outlineLvl w:val="0"/>
        <w:rPr>
          <w:rFonts w:ascii="仿宋_GB2312"/>
          <w:sz w:val="28"/>
          <w:szCs w:val="28"/>
        </w:rPr>
      </w:pPr>
      <w:r>
        <w:rPr>
          <w:rFonts w:hint="eastAsia" w:ascii="仿宋_GB2312"/>
          <w:sz w:val="28"/>
          <w:szCs w:val="28"/>
          <w:lang w:eastAsia="zh-CN"/>
        </w:rPr>
        <w:t>，资金分配十企业运营和投资活动中至关重要的一环，其合理性直接影响到企业的经济效益、风险控制和长期发展。使用资金进行严格审批，确保资金的计划性，降低资金使用的风险</w:t>
      </w:r>
      <w:r>
        <w:rPr>
          <w:rFonts w:hint="eastAsia" w:ascii="仿宋_GB2312"/>
          <w:sz w:val="28"/>
          <w:szCs w:val="28"/>
        </w:rPr>
        <w:t>资金分配额度与项目单位实际工作内容相适应，资金分配额度合理，资金分配依据充分。</w:t>
      </w:r>
    </w:p>
    <w:p w14:paraId="1E4C136B">
      <w:pPr>
        <w:spacing w:line="500" w:lineRule="exact"/>
        <w:ind w:firstLine="560" w:firstLineChars="200"/>
        <w:outlineLvl w:val="0"/>
        <w:rPr>
          <w:rFonts w:ascii="仿宋_GB2312"/>
          <w:sz w:val="28"/>
          <w:szCs w:val="28"/>
        </w:rPr>
      </w:pPr>
      <w:r>
        <w:rPr>
          <w:rFonts w:hint="eastAsia" w:ascii="仿宋_GB2312"/>
          <w:sz w:val="28"/>
          <w:szCs w:val="28"/>
        </w:rPr>
        <w:t>此项权重分4分，得分4分。</w:t>
      </w:r>
    </w:p>
    <w:p w14:paraId="371C42C3">
      <w:pPr>
        <w:pStyle w:val="4"/>
        <w:spacing w:before="0" w:after="0" w:line="560" w:lineRule="exact"/>
        <w:ind w:firstLine="640" w:firstLineChars="200"/>
        <w:rPr>
          <w:rFonts w:hint="eastAsia" w:ascii="仿宋_GB2312" w:eastAsia="仿宋_GB2312"/>
          <w:b w:val="0"/>
          <w:bCs w:val="0"/>
        </w:rPr>
      </w:pPr>
      <w:bookmarkStart w:id="12" w:name="_Toc68703839"/>
      <w:r>
        <w:rPr>
          <w:rFonts w:hint="eastAsia" w:ascii="仿宋_GB2312" w:eastAsia="仿宋_GB2312"/>
          <w:b w:val="0"/>
          <w:bCs w:val="0"/>
        </w:rPr>
        <w:t>（二）项目过程情况。</w:t>
      </w:r>
      <w:bookmarkEnd w:id="12"/>
    </w:p>
    <w:p w14:paraId="294CD787">
      <w:pPr>
        <w:spacing w:line="560" w:lineRule="exact"/>
        <w:ind w:firstLine="600" w:firstLineChars="200"/>
        <w:jc w:val="left"/>
        <w:rPr>
          <w:rFonts w:hint="eastAsia"/>
        </w:rPr>
      </w:pPr>
      <w:r>
        <w:rPr>
          <w:rFonts w:hint="eastAsia"/>
        </w:rPr>
        <w:t>1.资金到位率：</w:t>
      </w:r>
    </w:p>
    <w:p w14:paraId="7C497FE2">
      <w:pPr>
        <w:spacing w:line="500" w:lineRule="exact"/>
        <w:ind w:firstLine="560" w:firstLineChars="200"/>
        <w:rPr>
          <w:rFonts w:hint="eastAsia" w:ascii="仿宋_GB2312"/>
          <w:sz w:val="28"/>
          <w:szCs w:val="28"/>
        </w:rPr>
      </w:pPr>
      <w:r>
        <w:rPr>
          <w:rFonts w:hint="eastAsia" w:ascii="仿宋_GB2312"/>
          <w:sz w:val="28"/>
          <w:szCs w:val="28"/>
        </w:rPr>
        <w:t>预算资10808万元，实际到位资金10808万元，资金到位率100%。</w:t>
      </w:r>
    </w:p>
    <w:p w14:paraId="2A994564">
      <w:pPr>
        <w:spacing w:line="500" w:lineRule="exact"/>
        <w:ind w:firstLine="560" w:firstLineChars="200"/>
        <w:rPr>
          <w:rFonts w:ascii="仿宋_GB2312"/>
          <w:sz w:val="28"/>
          <w:szCs w:val="28"/>
        </w:rPr>
      </w:pPr>
      <w:r>
        <w:rPr>
          <w:rFonts w:hint="eastAsia" w:ascii="仿宋_GB2312"/>
          <w:sz w:val="28"/>
          <w:szCs w:val="28"/>
        </w:rPr>
        <w:t>此项权重分4分，得分4分。</w:t>
      </w:r>
    </w:p>
    <w:p w14:paraId="38BC1B9A">
      <w:pPr>
        <w:spacing w:line="560" w:lineRule="exact"/>
        <w:ind w:firstLine="600" w:firstLineChars="200"/>
        <w:jc w:val="left"/>
        <w:rPr>
          <w:rFonts w:hint="eastAsia" w:ascii="仿宋_GB2312"/>
          <w:szCs w:val="30"/>
        </w:rPr>
      </w:pPr>
      <w:r>
        <w:rPr>
          <w:rFonts w:hint="eastAsia" w:ascii="仿宋_GB2312"/>
          <w:szCs w:val="30"/>
        </w:rPr>
        <w:t>2.预算执行率</w:t>
      </w:r>
    </w:p>
    <w:p w14:paraId="79D4B006">
      <w:pPr>
        <w:spacing w:line="500" w:lineRule="exact"/>
        <w:ind w:firstLine="560" w:firstLineChars="200"/>
        <w:rPr>
          <w:rFonts w:hint="eastAsia" w:ascii="仿宋_GB2312"/>
          <w:sz w:val="28"/>
          <w:szCs w:val="28"/>
        </w:rPr>
      </w:pPr>
      <w:r>
        <w:rPr>
          <w:rFonts w:hint="eastAsia" w:ascii="仿宋_GB2312"/>
          <w:sz w:val="28"/>
          <w:szCs w:val="28"/>
        </w:rPr>
        <w:t>全年预算数10808万元，全年执行数10808万元，预算执行率为100%</w:t>
      </w:r>
    </w:p>
    <w:p w14:paraId="37674730">
      <w:pPr>
        <w:spacing w:line="500" w:lineRule="exact"/>
        <w:ind w:firstLine="560" w:firstLineChars="200"/>
        <w:rPr>
          <w:rFonts w:ascii="仿宋_GB2312"/>
          <w:sz w:val="28"/>
          <w:szCs w:val="28"/>
        </w:rPr>
      </w:pPr>
      <w:r>
        <w:rPr>
          <w:rFonts w:hint="eastAsia" w:ascii="仿宋_GB2312"/>
          <w:sz w:val="28"/>
          <w:szCs w:val="28"/>
        </w:rPr>
        <w:t>此项权重分4分，得分4分。</w:t>
      </w:r>
    </w:p>
    <w:p w14:paraId="6DE3B779">
      <w:pPr>
        <w:spacing w:line="500" w:lineRule="exact"/>
        <w:ind w:firstLine="600" w:firstLineChars="200"/>
        <w:jc w:val="left"/>
        <w:rPr>
          <w:rFonts w:hint="eastAsia"/>
        </w:rPr>
      </w:pPr>
      <w:r>
        <w:rPr>
          <w:rFonts w:hint="eastAsia"/>
        </w:rPr>
        <w:t>3.资金使用合规性</w:t>
      </w:r>
    </w:p>
    <w:p w14:paraId="7BAC073B">
      <w:pPr>
        <w:spacing w:line="500" w:lineRule="exact"/>
        <w:ind w:firstLine="560" w:firstLineChars="200"/>
        <w:rPr>
          <w:rFonts w:ascii="仿宋_GB2312"/>
          <w:sz w:val="28"/>
          <w:szCs w:val="28"/>
        </w:rPr>
      </w:pPr>
      <w:r>
        <w:rPr>
          <w:rFonts w:hint="eastAsia" w:ascii="仿宋_GB2312"/>
          <w:sz w:val="28"/>
          <w:szCs w:val="28"/>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EEEDFEE">
      <w:pPr>
        <w:spacing w:line="500" w:lineRule="exact"/>
        <w:ind w:firstLine="560" w:firstLineChars="200"/>
        <w:rPr>
          <w:rFonts w:hint="eastAsia" w:ascii="仿宋_GB2312"/>
          <w:sz w:val="28"/>
          <w:szCs w:val="28"/>
        </w:rPr>
      </w:pPr>
      <w:r>
        <w:rPr>
          <w:rFonts w:hint="eastAsia" w:ascii="仿宋_GB2312"/>
          <w:sz w:val="28"/>
          <w:szCs w:val="28"/>
        </w:rPr>
        <w:t>此项权重分4分，得分4分。</w:t>
      </w:r>
    </w:p>
    <w:p w14:paraId="015A486F">
      <w:pPr>
        <w:spacing w:line="560" w:lineRule="exact"/>
        <w:ind w:firstLine="600" w:firstLineChars="200"/>
        <w:jc w:val="left"/>
        <w:rPr>
          <w:rFonts w:hint="eastAsia"/>
        </w:rPr>
      </w:pPr>
      <w:r>
        <w:rPr>
          <w:rFonts w:hint="eastAsia"/>
        </w:rPr>
        <w:t>4.管理制度健全性</w:t>
      </w:r>
    </w:p>
    <w:p w14:paraId="37153D24">
      <w:pPr>
        <w:spacing w:line="500" w:lineRule="exact"/>
        <w:ind w:firstLine="560" w:firstLineChars="200"/>
        <w:outlineLvl w:val="0"/>
        <w:rPr>
          <w:rFonts w:hint="eastAsia" w:ascii="仿宋_GB2312"/>
          <w:sz w:val="28"/>
          <w:szCs w:val="28"/>
        </w:rPr>
      </w:pPr>
      <w:r>
        <w:rPr>
          <w:rFonts w:hint="eastAsia" w:ascii="仿宋_GB2312"/>
          <w:sz w:val="28"/>
          <w:szCs w:val="28"/>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C697FE5">
      <w:pPr>
        <w:spacing w:line="500" w:lineRule="exact"/>
        <w:ind w:firstLine="560" w:firstLineChars="200"/>
        <w:outlineLvl w:val="0"/>
        <w:rPr>
          <w:rFonts w:hint="eastAsia" w:ascii="仿宋_GB2312"/>
          <w:sz w:val="28"/>
          <w:szCs w:val="28"/>
        </w:rPr>
      </w:pPr>
      <w:r>
        <w:rPr>
          <w:rFonts w:hint="eastAsia" w:ascii="仿宋_GB2312"/>
          <w:bCs/>
          <w:sz w:val="28"/>
          <w:szCs w:val="28"/>
        </w:rPr>
        <w:t>此项权重分4分，得分4分。</w:t>
      </w:r>
    </w:p>
    <w:p w14:paraId="27042F56">
      <w:pPr>
        <w:spacing w:line="500" w:lineRule="exact"/>
        <w:ind w:firstLine="560" w:firstLineChars="200"/>
        <w:jc w:val="left"/>
        <w:rPr>
          <w:rFonts w:hint="eastAsia" w:ascii="仿宋_GB2312"/>
          <w:sz w:val="28"/>
          <w:szCs w:val="28"/>
        </w:rPr>
      </w:pPr>
      <w:r>
        <w:rPr>
          <w:rFonts w:hint="eastAsia" w:ascii="仿宋_GB2312"/>
          <w:sz w:val="28"/>
          <w:szCs w:val="28"/>
        </w:rPr>
        <w:t>5.制度执行有效性</w:t>
      </w:r>
    </w:p>
    <w:p w14:paraId="3582F6D3">
      <w:pPr>
        <w:spacing w:line="500" w:lineRule="exact"/>
        <w:ind w:firstLine="560" w:firstLineChars="200"/>
        <w:outlineLvl w:val="0"/>
        <w:rPr>
          <w:rFonts w:hint="eastAsia" w:ascii="仿宋_GB2312"/>
          <w:sz w:val="28"/>
          <w:szCs w:val="28"/>
        </w:rPr>
      </w:pPr>
      <w:r>
        <w:rPr>
          <w:rFonts w:hint="eastAsia" w:ascii="仿宋_GB2312"/>
          <w:sz w:val="28"/>
          <w:szCs w:val="28"/>
        </w:rPr>
        <w:t>对资金使用的合法合规性进行监督，年末对资金使用效果进行评价。项目管理、实施人员落实到位，有效按照计划执行。项目执行情况等资料齐全，项目相关手续完备，及时进行归档。</w:t>
      </w:r>
    </w:p>
    <w:p w14:paraId="49DCECD5">
      <w:pPr>
        <w:spacing w:line="500" w:lineRule="exact"/>
        <w:ind w:firstLine="560" w:firstLineChars="200"/>
        <w:outlineLvl w:val="0"/>
        <w:rPr>
          <w:rFonts w:ascii="仿宋_GB2312"/>
          <w:sz w:val="28"/>
          <w:szCs w:val="28"/>
        </w:rPr>
      </w:pPr>
      <w:r>
        <w:rPr>
          <w:rFonts w:hint="eastAsia" w:ascii="仿宋_GB2312"/>
          <w:bCs/>
          <w:sz w:val="28"/>
          <w:szCs w:val="28"/>
        </w:rPr>
        <w:t>此项权重分4分，得分4分。</w:t>
      </w:r>
    </w:p>
    <w:p w14:paraId="097E5088">
      <w:pPr>
        <w:spacing w:line="500" w:lineRule="exact"/>
        <w:ind w:firstLine="600" w:firstLineChars="200"/>
        <w:rPr>
          <w:rFonts w:hint="eastAsia" w:ascii="仿宋_GB2312"/>
        </w:rPr>
      </w:pPr>
      <w:bookmarkStart w:id="13" w:name="_Toc68703840"/>
      <w:r>
        <w:rPr>
          <w:rFonts w:hint="eastAsia"/>
        </w:rPr>
        <w:t>（三）</w:t>
      </w:r>
      <w:r>
        <w:rPr>
          <w:rFonts w:hint="eastAsia" w:ascii="仿宋_GB2312"/>
        </w:rPr>
        <w:t>项目产出情况。</w:t>
      </w:r>
      <w:bookmarkEnd w:id="13"/>
    </w:p>
    <w:p w14:paraId="38C5FFDE">
      <w:pPr>
        <w:spacing w:line="500" w:lineRule="exact"/>
        <w:ind w:firstLine="560" w:firstLineChars="200"/>
        <w:outlineLvl w:val="0"/>
        <w:rPr>
          <w:rFonts w:ascii="仿宋_GB2312"/>
          <w:sz w:val="28"/>
          <w:szCs w:val="28"/>
        </w:rPr>
      </w:pPr>
      <w:r>
        <w:rPr>
          <w:rFonts w:hint="eastAsia" w:ascii="仿宋_GB2312"/>
          <w:sz w:val="28"/>
          <w:szCs w:val="28"/>
        </w:rPr>
        <w:t>项目产出类指标包括产出数量、产出质量、产出时效、产出成本四方面的内容，由</w:t>
      </w:r>
      <w:r>
        <w:rPr>
          <w:rFonts w:hint="eastAsia" w:ascii="仿宋_GB2312"/>
          <w:sz w:val="28"/>
          <w:szCs w:val="28"/>
          <w:lang w:val="en-US" w:eastAsia="zh-CN"/>
        </w:rPr>
        <w:t>12</w:t>
      </w:r>
      <w:r>
        <w:rPr>
          <w:rFonts w:hint="eastAsia" w:ascii="仿宋_GB2312"/>
          <w:sz w:val="28"/>
          <w:szCs w:val="28"/>
        </w:rPr>
        <w:t>个三级指标构成，权重分为40分，实际得分</w:t>
      </w:r>
      <w:r>
        <w:rPr>
          <w:rFonts w:hint="eastAsia" w:ascii="仿宋_GB2312"/>
          <w:sz w:val="28"/>
          <w:szCs w:val="28"/>
          <w:lang w:val="en-US" w:eastAsia="zh-CN"/>
        </w:rPr>
        <w:t>35</w:t>
      </w:r>
      <w:r>
        <w:rPr>
          <w:rFonts w:hint="eastAsia" w:ascii="仿宋_GB2312"/>
          <w:sz w:val="28"/>
          <w:szCs w:val="28"/>
        </w:rPr>
        <w:t>分，得分率为100%。具体产出指标完成情况如下：</w:t>
      </w:r>
    </w:p>
    <w:p w14:paraId="63ED4153">
      <w:pPr>
        <w:spacing w:line="500" w:lineRule="exact"/>
        <w:rPr>
          <w:rFonts w:ascii="仿宋_GB2312"/>
          <w:sz w:val="28"/>
          <w:szCs w:val="28"/>
        </w:rPr>
      </w:pPr>
      <w:r>
        <w:rPr>
          <w:rFonts w:hint="eastAsia" w:ascii="仿宋_GB2312"/>
          <w:sz w:val="28"/>
          <w:szCs w:val="28"/>
        </w:rPr>
        <w:t>1、数量指标</w:t>
      </w:r>
    </w:p>
    <w:p w14:paraId="6E291B8A">
      <w:pPr>
        <w:spacing w:line="500" w:lineRule="exact"/>
        <w:ind w:firstLine="560" w:firstLineChars="200"/>
        <w:outlineLvl w:val="0"/>
        <w:rPr>
          <w:rFonts w:hint="eastAsia" w:ascii="仿宋_GB2312"/>
          <w:sz w:val="28"/>
          <w:szCs w:val="28"/>
        </w:rPr>
      </w:pPr>
      <w:r>
        <w:rPr>
          <w:rFonts w:hint="eastAsia" w:ascii="仿宋_GB2312"/>
          <w:sz w:val="28"/>
          <w:szCs w:val="28"/>
        </w:rPr>
        <w:t>指标1：建筑面积，指标值：&gt;=22934平方米，实际完成值： 22934平方米，指标完成率100%。</w:t>
      </w:r>
    </w:p>
    <w:p w14:paraId="50842EFC">
      <w:pPr>
        <w:spacing w:line="500" w:lineRule="exact"/>
        <w:ind w:firstLine="560" w:firstLineChars="200"/>
        <w:outlineLvl w:val="0"/>
        <w:rPr>
          <w:rFonts w:hint="eastAsia" w:ascii="仿宋_GB2312"/>
          <w:sz w:val="28"/>
          <w:szCs w:val="28"/>
        </w:rPr>
      </w:pPr>
      <w:r>
        <w:rPr>
          <w:rFonts w:hint="eastAsia" w:ascii="仿宋_GB2312"/>
          <w:sz w:val="28"/>
          <w:szCs w:val="28"/>
        </w:rPr>
        <w:t>指标2：支持项目数量，指标值：1个，实际完成值：1个，指标完成率100%。</w:t>
      </w:r>
    </w:p>
    <w:p w14:paraId="06208649">
      <w:pPr>
        <w:spacing w:line="500" w:lineRule="exact"/>
        <w:ind w:firstLine="560" w:firstLineChars="200"/>
        <w:outlineLvl w:val="0"/>
        <w:rPr>
          <w:rFonts w:hint="eastAsia" w:ascii="仿宋_GB2312"/>
          <w:sz w:val="28"/>
          <w:szCs w:val="28"/>
        </w:rPr>
      </w:pPr>
      <w:r>
        <w:rPr>
          <w:rFonts w:hint="eastAsia" w:ascii="仿宋_GB2312"/>
          <w:bCs/>
          <w:sz w:val="28"/>
          <w:szCs w:val="28"/>
        </w:rPr>
        <w:t>此项权重分10分，得分10分。</w:t>
      </w:r>
    </w:p>
    <w:p w14:paraId="2808C633">
      <w:pPr>
        <w:spacing w:line="500" w:lineRule="exact"/>
        <w:ind w:firstLine="560" w:firstLineChars="200"/>
        <w:outlineLvl w:val="0"/>
        <w:rPr>
          <w:rFonts w:hint="eastAsia" w:ascii="仿宋_GB2312"/>
          <w:sz w:val="28"/>
          <w:szCs w:val="28"/>
        </w:rPr>
      </w:pPr>
      <w:r>
        <w:rPr>
          <w:rFonts w:hint="eastAsia" w:ascii="仿宋_GB2312"/>
          <w:sz w:val="28"/>
          <w:szCs w:val="28"/>
        </w:rPr>
        <w:t>2、质量指标：</w:t>
      </w:r>
    </w:p>
    <w:p w14:paraId="0DDCE07F">
      <w:pPr>
        <w:spacing w:line="500" w:lineRule="exact"/>
        <w:ind w:firstLine="560" w:firstLineChars="200"/>
        <w:outlineLvl w:val="0"/>
        <w:rPr>
          <w:rFonts w:hint="eastAsia" w:ascii="仿宋_GB2312"/>
          <w:sz w:val="28"/>
          <w:szCs w:val="28"/>
        </w:rPr>
      </w:pPr>
      <w:r>
        <w:rPr>
          <w:rFonts w:hint="eastAsia" w:ascii="仿宋_GB2312"/>
          <w:sz w:val="28"/>
          <w:szCs w:val="28"/>
        </w:rPr>
        <w:t>指标1：工程项目验收通过率，指标值：</w:t>
      </w:r>
      <w:r>
        <w:rPr>
          <w:rFonts w:ascii="仿宋_GB2312"/>
          <w:sz w:val="28"/>
          <w:szCs w:val="28"/>
        </w:rPr>
        <w:t>=100%</w:t>
      </w:r>
      <w:r>
        <w:rPr>
          <w:rFonts w:hint="eastAsia" w:ascii="仿宋_GB2312"/>
          <w:sz w:val="28"/>
          <w:szCs w:val="28"/>
        </w:rPr>
        <w:t>，实际完成值：</w:t>
      </w:r>
      <w:r>
        <w:rPr>
          <w:rFonts w:ascii="仿宋_GB2312"/>
          <w:sz w:val="28"/>
          <w:szCs w:val="28"/>
        </w:rPr>
        <w:t>=100%</w:t>
      </w:r>
      <w:r>
        <w:rPr>
          <w:rFonts w:hint="eastAsia" w:ascii="仿宋_GB2312"/>
          <w:sz w:val="28"/>
          <w:szCs w:val="28"/>
        </w:rPr>
        <w:t>，指标完成率100%。</w:t>
      </w:r>
    </w:p>
    <w:p w14:paraId="2FB11E47">
      <w:pPr>
        <w:spacing w:line="500" w:lineRule="exact"/>
        <w:ind w:firstLine="560" w:firstLineChars="200"/>
        <w:outlineLvl w:val="0"/>
        <w:rPr>
          <w:rFonts w:hint="eastAsia" w:ascii="仿宋_GB2312"/>
          <w:sz w:val="28"/>
          <w:szCs w:val="28"/>
        </w:rPr>
      </w:pPr>
      <w:r>
        <w:rPr>
          <w:rFonts w:hint="eastAsia" w:ascii="仿宋_GB2312"/>
          <w:sz w:val="28"/>
          <w:szCs w:val="28"/>
        </w:rPr>
        <w:t>指标2：项目设计变更率，指标值：</w:t>
      </w:r>
      <w:r>
        <w:rPr>
          <w:rFonts w:ascii="仿宋_GB2312"/>
          <w:sz w:val="28"/>
          <w:szCs w:val="28"/>
        </w:rPr>
        <w:t>&lt;=10%</w:t>
      </w:r>
      <w:r>
        <w:rPr>
          <w:rFonts w:hint="eastAsia" w:ascii="仿宋_GB2312"/>
          <w:sz w:val="28"/>
          <w:szCs w:val="28"/>
        </w:rPr>
        <w:t>，实际完成值：3</w:t>
      </w:r>
      <w:r>
        <w:rPr>
          <w:rFonts w:ascii="仿宋_GB2312"/>
          <w:sz w:val="28"/>
          <w:szCs w:val="28"/>
        </w:rPr>
        <w:t>%</w:t>
      </w:r>
      <w:r>
        <w:rPr>
          <w:rFonts w:hint="eastAsia" w:ascii="仿宋_GB2312"/>
          <w:sz w:val="28"/>
          <w:szCs w:val="28"/>
        </w:rPr>
        <w:t>，指标完成率100%。</w:t>
      </w:r>
    </w:p>
    <w:p w14:paraId="329EA260">
      <w:pPr>
        <w:spacing w:line="500" w:lineRule="exact"/>
        <w:ind w:firstLine="560" w:firstLineChars="200"/>
        <w:outlineLvl w:val="0"/>
        <w:rPr>
          <w:rFonts w:hint="eastAsia" w:ascii="仿宋_GB2312"/>
          <w:sz w:val="28"/>
          <w:szCs w:val="28"/>
        </w:rPr>
      </w:pPr>
      <w:r>
        <w:rPr>
          <w:rFonts w:hint="eastAsia" w:ascii="仿宋_GB2312"/>
          <w:sz w:val="28"/>
          <w:szCs w:val="28"/>
        </w:rPr>
        <w:t>指标3：项目资金支付率，指标值：=100%，实际完成值：100%，指标完成率100%。</w:t>
      </w:r>
    </w:p>
    <w:p w14:paraId="5654B1F2">
      <w:pPr>
        <w:spacing w:line="500" w:lineRule="exact"/>
        <w:ind w:firstLine="560" w:firstLineChars="200"/>
        <w:outlineLvl w:val="0"/>
        <w:rPr>
          <w:rFonts w:hint="eastAsia" w:ascii="仿宋_GB2312"/>
          <w:sz w:val="28"/>
          <w:szCs w:val="28"/>
        </w:rPr>
      </w:pPr>
      <w:r>
        <w:rPr>
          <w:rFonts w:hint="eastAsia" w:ascii="仿宋_GB2312"/>
          <w:sz w:val="28"/>
          <w:szCs w:val="28"/>
        </w:rPr>
        <w:t>指标4：新建设施达到当地抗震设防要求，指标值：</w:t>
      </w:r>
      <w:r>
        <w:rPr>
          <w:rFonts w:ascii="仿宋_GB2312"/>
          <w:sz w:val="28"/>
          <w:szCs w:val="28"/>
        </w:rPr>
        <w:t>=100%</w:t>
      </w:r>
      <w:r>
        <w:rPr>
          <w:rFonts w:hint="eastAsia" w:ascii="仿宋_GB2312"/>
          <w:sz w:val="28"/>
          <w:szCs w:val="28"/>
        </w:rPr>
        <w:t>，实际完成值：100%，指标完成率100%。</w:t>
      </w:r>
    </w:p>
    <w:p w14:paraId="5F4F7DD4">
      <w:pPr>
        <w:spacing w:line="500" w:lineRule="exact"/>
        <w:ind w:firstLine="560" w:firstLineChars="200"/>
        <w:outlineLvl w:val="0"/>
        <w:rPr>
          <w:rFonts w:hint="eastAsia" w:ascii="仿宋_GB2312"/>
          <w:sz w:val="28"/>
          <w:szCs w:val="28"/>
        </w:rPr>
      </w:pPr>
      <w:r>
        <w:rPr>
          <w:rFonts w:hint="eastAsia" w:ascii="仿宋_GB2312"/>
          <w:bCs/>
          <w:sz w:val="28"/>
          <w:szCs w:val="28"/>
        </w:rPr>
        <w:t>此项权重分10分，得分10分</w:t>
      </w:r>
    </w:p>
    <w:p w14:paraId="35A16231">
      <w:pPr>
        <w:spacing w:line="500" w:lineRule="exact"/>
        <w:ind w:firstLine="560" w:firstLineChars="200"/>
        <w:outlineLvl w:val="0"/>
        <w:rPr>
          <w:rFonts w:hint="eastAsia" w:ascii="仿宋_GB2312"/>
          <w:sz w:val="28"/>
          <w:szCs w:val="28"/>
        </w:rPr>
      </w:pPr>
      <w:r>
        <w:rPr>
          <w:rFonts w:hint="eastAsia" w:ascii="仿宋_GB2312"/>
          <w:sz w:val="28"/>
          <w:szCs w:val="28"/>
        </w:rPr>
        <w:t>3、时效指标：</w:t>
      </w:r>
    </w:p>
    <w:p w14:paraId="76864C18">
      <w:pPr>
        <w:spacing w:line="500" w:lineRule="exact"/>
        <w:ind w:firstLine="560" w:firstLineChars="200"/>
        <w:outlineLvl w:val="0"/>
        <w:rPr>
          <w:rFonts w:hint="eastAsia" w:ascii="仿宋_GB2312"/>
          <w:sz w:val="28"/>
          <w:szCs w:val="28"/>
        </w:rPr>
      </w:pPr>
      <w:r>
        <w:rPr>
          <w:rFonts w:hint="eastAsia" w:ascii="仿宋_GB2312"/>
          <w:sz w:val="28"/>
          <w:szCs w:val="28"/>
        </w:rPr>
        <w:t>指标1：项目按计划开工时间，指标值：2022年8月30日，实际完成值：=2022年4月1日，指标完成率100%。偏差原因：施工许可证办理顺利，4月即可施工。</w:t>
      </w:r>
    </w:p>
    <w:p w14:paraId="58BA3E50">
      <w:pPr>
        <w:spacing w:line="500" w:lineRule="exact"/>
        <w:ind w:firstLine="560" w:firstLineChars="200"/>
        <w:outlineLvl w:val="0"/>
        <w:rPr>
          <w:rFonts w:hint="eastAsia" w:ascii="仿宋_GB2312"/>
          <w:sz w:val="28"/>
          <w:szCs w:val="28"/>
        </w:rPr>
      </w:pPr>
      <w:r>
        <w:rPr>
          <w:rFonts w:hint="eastAsia" w:ascii="仿宋_GB2312"/>
          <w:sz w:val="28"/>
          <w:szCs w:val="28"/>
        </w:rPr>
        <w:t>指标2：项目按计划完工时间，指标值：</w:t>
      </w:r>
      <w:r>
        <w:rPr>
          <w:rFonts w:ascii="仿宋_GB2312"/>
          <w:sz w:val="28"/>
          <w:szCs w:val="28"/>
        </w:rPr>
        <w:t>2023</w:t>
      </w:r>
      <w:r>
        <w:rPr>
          <w:rFonts w:hint="eastAsia" w:ascii="仿宋_GB2312"/>
          <w:sz w:val="28"/>
          <w:szCs w:val="28"/>
        </w:rPr>
        <w:t>年</w:t>
      </w:r>
      <w:r>
        <w:rPr>
          <w:rFonts w:ascii="仿宋_GB2312"/>
          <w:sz w:val="28"/>
          <w:szCs w:val="28"/>
        </w:rPr>
        <w:t>12</w:t>
      </w:r>
      <w:r>
        <w:rPr>
          <w:rFonts w:hint="eastAsia" w:ascii="仿宋_GB2312"/>
          <w:sz w:val="28"/>
          <w:szCs w:val="28"/>
        </w:rPr>
        <w:t>月</w:t>
      </w:r>
      <w:r>
        <w:rPr>
          <w:rFonts w:ascii="仿宋_GB2312"/>
          <w:sz w:val="28"/>
          <w:szCs w:val="28"/>
        </w:rPr>
        <w:t>31</w:t>
      </w:r>
      <w:r>
        <w:rPr>
          <w:rFonts w:hint="eastAsia" w:ascii="仿宋_GB2312"/>
          <w:sz w:val="28"/>
          <w:szCs w:val="28"/>
        </w:rPr>
        <w:t xml:space="preserve">，实际完成值：未完成，指标完成率0%。偏差原因：该项目属于跨年项目，故本次绩效目标表制定完工时间为2023年12月31日，但第二住院部预计完工时间为2024年8月，区域医疗中心建设项目完工时间与第二住院部一致 。      </w:t>
      </w:r>
      <w:r>
        <w:rPr>
          <w:rFonts w:hint="eastAsia" w:ascii="仿宋_GB2312"/>
          <w:bCs/>
          <w:sz w:val="28"/>
          <w:szCs w:val="28"/>
        </w:rPr>
        <w:t>此项权重分10分，得分5分</w:t>
      </w:r>
    </w:p>
    <w:p w14:paraId="17519D3D">
      <w:pPr>
        <w:spacing w:line="500" w:lineRule="exact"/>
        <w:ind w:firstLine="560" w:firstLineChars="200"/>
        <w:outlineLvl w:val="0"/>
        <w:rPr>
          <w:rFonts w:hint="eastAsia" w:ascii="仿宋_GB2312"/>
          <w:sz w:val="28"/>
          <w:szCs w:val="28"/>
        </w:rPr>
      </w:pPr>
      <w:r>
        <w:rPr>
          <w:rFonts w:hint="eastAsia" w:ascii="仿宋_GB2312"/>
          <w:sz w:val="28"/>
          <w:szCs w:val="28"/>
        </w:rPr>
        <w:t>4、成本指标：</w:t>
      </w:r>
    </w:p>
    <w:p w14:paraId="100ADC48">
      <w:pPr>
        <w:spacing w:line="500" w:lineRule="exact"/>
        <w:ind w:firstLine="560" w:firstLineChars="200"/>
        <w:outlineLvl w:val="0"/>
        <w:rPr>
          <w:rFonts w:hint="eastAsia" w:ascii="仿宋_GB2312"/>
          <w:sz w:val="28"/>
          <w:szCs w:val="28"/>
        </w:rPr>
      </w:pPr>
      <w:r>
        <w:rPr>
          <w:rFonts w:hint="eastAsia" w:ascii="仿宋_GB2312"/>
          <w:sz w:val="28"/>
          <w:szCs w:val="28"/>
        </w:rPr>
        <w:t>指标1：基建项目预算控制数，指标值：&lt;=10808万元，实际完成值：10808万元，指标完成率100%。</w:t>
      </w:r>
    </w:p>
    <w:p w14:paraId="0582B54D">
      <w:pPr>
        <w:spacing w:line="500" w:lineRule="exact"/>
        <w:ind w:firstLine="560" w:firstLineChars="200"/>
        <w:outlineLvl w:val="0"/>
        <w:rPr>
          <w:rFonts w:hint="eastAsia" w:ascii="仿宋_GB2312"/>
          <w:sz w:val="28"/>
          <w:szCs w:val="28"/>
        </w:rPr>
      </w:pPr>
      <w:r>
        <w:rPr>
          <w:rFonts w:hint="eastAsia" w:ascii="仿宋_GB2312"/>
          <w:bCs/>
          <w:sz w:val="28"/>
          <w:szCs w:val="28"/>
        </w:rPr>
        <w:t>此项权重分10分，得分10分</w:t>
      </w:r>
    </w:p>
    <w:p w14:paraId="01E5C645">
      <w:pPr>
        <w:pStyle w:val="4"/>
        <w:spacing w:before="0" w:after="0" w:line="500" w:lineRule="exact"/>
        <w:ind w:firstLine="560" w:firstLineChars="200"/>
        <w:rPr>
          <w:rFonts w:hint="eastAsia" w:ascii="仿宋_GB2312" w:hAnsi="Times New Roman" w:eastAsia="仿宋_GB2312" w:cs="Times New Roman"/>
          <w:b w:val="0"/>
          <w:bCs w:val="0"/>
          <w:sz w:val="28"/>
          <w:szCs w:val="28"/>
        </w:rPr>
      </w:pPr>
      <w:bookmarkStart w:id="14" w:name="_Toc68703841"/>
      <w:r>
        <w:rPr>
          <w:rFonts w:hint="eastAsia" w:ascii="仿宋_GB2312" w:hAnsi="Times New Roman" w:eastAsia="仿宋_GB2312" w:cs="Times New Roman"/>
          <w:b w:val="0"/>
          <w:bCs w:val="0"/>
          <w:sz w:val="28"/>
          <w:szCs w:val="28"/>
        </w:rPr>
        <w:t>（四）项目效益情况。</w:t>
      </w:r>
      <w:bookmarkEnd w:id="14"/>
    </w:p>
    <w:p w14:paraId="23F2451E">
      <w:pPr>
        <w:spacing w:line="500" w:lineRule="exact"/>
        <w:ind w:firstLine="560" w:firstLineChars="200"/>
        <w:outlineLvl w:val="0"/>
        <w:rPr>
          <w:rFonts w:ascii="仿宋_GB2312"/>
          <w:sz w:val="28"/>
          <w:szCs w:val="28"/>
        </w:rPr>
      </w:pPr>
      <w:r>
        <w:rPr>
          <w:rFonts w:hint="eastAsia" w:ascii="仿宋_GB2312"/>
          <w:sz w:val="28"/>
          <w:szCs w:val="28"/>
        </w:rPr>
        <w:t>项目效益类指标包括项目实施效益和满意度两方面的内容，由3个三级指标构成，权重分为20分，实际得分</w:t>
      </w:r>
      <w:r>
        <w:rPr>
          <w:rFonts w:hint="eastAsia" w:ascii="仿宋_GB2312"/>
          <w:sz w:val="28"/>
          <w:szCs w:val="28"/>
          <w:lang w:val="en-US" w:eastAsia="zh-CN"/>
        </w:rPr>
        <w:t>5</w:t>
      </w:r>
      <w:r>
        <w:rPr>
          <w:rFonts w:hint="eastAsia" w:ascii="仿宋_GB2312"/>
          <w:sz w:val="28"/>
          <w:szCs w:val="28"/>
        </w:rPr>
        <w:t>分，得分率为</w:t>
      </w:r>
      <w:r>
        <w:rPr>
          <w:rFonts w:hint="eastAsia" w:ascii="仿宋_GB2312"/>
          <w:sz w:val="28"/>
          <w:szCs w:val="28"/>
          <w:lang w:val="en-US" w:eastAsia="zh-CN"/>
        </w:rPr>
        <w:t>25</w:t>
      </w:r>
      <w:r>
        <w:rPr>
          <w:rFonts w:hint="eastAsia" w:ascii="仿宋_GB2312"/>
          <w:sz w:val="28"/>
          <w:szCs w:val="28"/>
        </w:rPr>
        <w:t>%。具体效益指标及满意度指标完成情况如下：</w:t>
      </w:r>
    </w:p>
    <w:p w14:paraId="076E4279">
      <w:pPr>
        <w:spacing w:line="500" w:lineRule="exact"/>
        <w:rPr>
          <w:rFonts w:hint="eastAsia" w:ascii="仿宋_GB2312"/>
          <w:sz w:val="28"/>
          <w:szCs w:val="28"/>
        </w:rPr>
      </w:pPr>
      <w:r>
        <w:rPr>
          <w:rFonts w:hint="eastAsia" w:ascii="仿宋_GB2312"/>
          <w:sz w:val="28"/>
          <w:szCs w:val="28"/>
        </w:rPr>
        <w:t>1、社会效益指标完成情况：指标1：正常运转率，指标值:</w:t>
      </w:r>
      <w:r>
        <w:rPr>
          <w:rFonts w:ascii="仿宋_GB2312"/>
          <w:sz w:val="28"/>
          <w:szCs w:val="28"/>
        </w:rPr>
        <w:t xml:space="preserve"> &gt;=90%</w:t>
      </w:r>
      <w:r>
        <w:rPr>
          <w:rFonts w:hint="eastAsia" w:ascii="仿宋_GB2312"/>
          <w:sz w:val="28"/>
          <w:szCs w:val="28"/>
        </w:rPr>
        <w:t>,实际完成值：</w:t>
      </w:r>
      <w:r>
        <w:rPr>
          <w:rFonts w:hint="eastAsia" w:ascii="仿宋_GB2312"/>
          <w:sz w:val="28"/>
          <w:szCs w:val="28"/>
          <w:lang w:val="en-US" w:eastAsia="zh-CN"/>
        </w:rPr>
        <w:t>100</w:t>
      </w:r>
      <w:r>
        <w:rPr>
          <w:rFonts w:hint="eastAsia" w:ascii="仿宋_GB2312"/>
          <w:sz w:val="28"/>
          <w:szCs w:val="28"/>
        </w:rPr>
        <w:t>%，指标完成率</w:t>
      </w:r>
      <w:r>
        <w:rPr>
          <w:rFonts w:hint="eastAsia" w:ascii="仿宋_GB2312"/>
          <w:sz w:val="28"/>
          <w:szCs w:val="28"/>
          <w:lang w:val="en-US" w:eastAsia="zh-CN"/>
        </w:rPr>
        <w:t>111.11</w:t>
      </w:r>
      <w:r>
        <w:rPr>
          <w:rFonts w:hint="eastAsia" w:ascii="仿宋_GB2312"/>
          <w:sz w:val="28"/>
          <w:szCs w:val="28"/>
        </w:rPr>
        <w:t>%。偏差原因：项目正常运转中。</w:t>
      </w:r>
    </w:p>
    <w:p w14:paraId="28FD7F0D">
      <w:pPr>
        <w:spacing w:line="500" w:lineRule="exact"/>
        <w:ind w:firstLine="280" w:firstLineChars="100"/>
        <w:rPr>
          <w:rFonts w:hint="eastAsia" w:ascii="仿宋_GB2312"/>
          <w:bCs/>
          <w:sz w:val="28"/>
          <w:szCs w:val="28"/>
        </w:rPr>
      </w:pPr>
      <w:r>
        <w:rPr>
          <w:rFonts w:hint="eastAsia" w:ascii="仿宋_GB2312"/>
          <w:bCs/>
          <w:sz w:val="28"/>
          <w:szCs w:val="28"/>
        </w:rPr>
        <w:t>指标2：项目受益人数，指标值: &gt;=10000人,实际完成值：0，指标完成率0%。偏差原因：项目暂未投入使用，故暂无受益人数。</w:t>
      </w:r>
    </w:p>
    <w:p w14:paraId="3B2177A0">
      <w:pPr>
        <w:spacing w:line="500" w:lineRule="exact"/>
        <w:ind w:firstLine="280" w:firstLineChars="100"/>
        <w:rPr>
          <w:rFonts w:hint="eastAsia" w:ascii="仿宋_GB2312"/>
          <w:sz w:val="28"/>
          <w:szCs w:val="28"/>
        </w:rPr>
      </w:pPr>
      <w:r>
        <w:rPr>
          <w:rFonts w:hint="eastAsia" w:ascii="仿宋_GB2312"/>
          <w:bCs/>
          <w:sz w:val="28"/>
          <w:szCs w:val="28"/>
        </w:rPr>
        <w:t>此项权重分10分，得分5分</w:t>
      </w:r>
    </w:p>
    <w:p w14:paraId="6423B482">
      <w:pPr>
        <w:spacing w:line="500" w:lineRule="exact"/>
        <w:ind w:firstLine="560" w:firstLineChars="200"/>
        <w:rPr>
          <w:rFonts w:hint="eastAsia" w:ascii="仿宋_GB2312"/>
          <w:sz w:val="28"/>
          <w:szCs w:val="28"/>
        </w:rPr>
      </w:pPr>
      <w:r>
        <w:rPr>
          <w:rFonts w:hint="eastAsia" w:ascii="仿宋_GB2312"/>
          <w:sz w:val="28"/>
          <w:szCs w:val="28"/>
        </w:rPr>
        <w:t>4.满意度指标完成情况分析：指标1：受益群体满意度指标值:</w:t>
      </w:r>
      <w:r>
        <w:rPr>
          <w:rFonts w:ascii="仿宋_GB2312"/>
          <w:sz w:val="28"/>
          <w:szCs w:val="28"/>
        </w:rPr>
        <w:t xml:space="preserve"> &gt;=90%</w:t>
      </w:r>
      <w:r>
        <w:rPr>
          <w:rFonts w:hint="eastAsia" w:ascii="仿宋_GB2312"/>
          <w:sz w:val="28"/>
          <w:szCs w:val="28"/>
        </w:rPr>
        <w:t>,实际完成值：=0%，指标完成率0%。偏差原因：项目暂未投入使用，故暂无受益人数。</w:t>
      </w:r>
    </w:p>
    <w:p w14:paraId="0A98E2D2">
      <w:pPr>
        <w:spacing w:line="500" w:lineRule="exact"/>
        <w:ind w:firstLine="560" w:firstLineChars="200"/>
        <w:rPr>
          <w:rFonts w:ascii="仿宋_GB2312"/>
          <w:sz w:val="28"/>
          <w:szCs w:val="28"/>
        </w:rPr>
      </w:pPr>
      <w:r>
        <w:rPr>
          <w:rFonts w:hint="eastAsia" w:ascii="仿宋_GB2312"/>
          <w:bCs/>
          <w:sz w:val="28"/>
          <w:szCs w:val="28"/>
        </w:rPr>
        <w:t>此项权重分10分，得分0分</w:t>
      </w:r>
    </w:p>
    <w:p w14:paraId="41FDB807">
      <w:pPr>
        <w:spacing w:line="560" w:lineRule="exact"/>
        <w:ind w:firstLine="640" w:firstLineChars="200"/>
        <w:rPr>
          <w:rFonts w:hint="eastAsia" w:eastAsia="黑体"/>
          <w:sz w:val="32"/>
          <w:szCs w:val="32"/>
          <w:lang/>
        </w:rPr>
      </w:pPr>
      <w:bookmarkStart w:id="15" w:name="_Toc68703842"/>
      <w:r>
        <w:rPr>
          <w:rFonts w:hint="eastAsia" w:eastAsia="黑体"/>
          <w:sz w:val="32"/>
          <w:szCs w:val="32"/>
          <w:lang/>
        </w:rPr>
        <w:t>五、预算执行进度与绩效指标总体完成率偏差</w:t>
      </w:r>
    </w:p>
    <w:p w14:paraId="2B1D69C4">
      <w:pPr>
        <w:spacing w:line="500" w:lineRule="exact"/>
        <w:ind w:firstLine="560" w:firstLineChars="200"/>
        <w:rPr>
          <w:rFonts w:ascii="仿宋_GB2312"/>
          <w:sz w:val="28"/>
          <w:szCs w:val="28"/>
        </w:rPr>
      </w:pPr>
      <w:r>
        <w:rPr>
          <w:rFonts w:hint="eastAsia" w:ascii="仿宋_GB2312"/>
          <w:sz w:val="28"/>
          <w:szCs w:val="28"/>
        </w:rPr>
        <w:t>巴州人民医院自治区级区域医疗中心建设项目</w:t>
      </w:r>
      <w:r>
        <w:rPr>
          <w:rFonts w:hint="eastAsia" w:ascii="仿宋_GB2312"/>
          <w:sz w:val="28"/>
          <w:szCs w:val="28"/>
          <w:lang w:eastAsia="zh-CN"/>
        </w:rPr>
        <w:t>年初</w:t>
      </w:r>
      <w:r>
        <w:rPr>
          <w:rFonts w:hint="eastAsia" w:ascii="仿宋_GB2312"/>
          <w:sz w:val="28"/>
          <w:szCs w:val="28"/>
        </w:rPr>
        <w:t>预算</w:t>
      </w:r>
      <w:r>
        <w:rPr>
          <w:rFonts w:hint="eastAsia" w:ascii="仿宋_GB2312"/>
          <w:sz w:val="28"/>
          <w:szCs w:val="28"/>
          <w:lang w:val="en-US" w:eastAsia="zh-CN"/>
        </w:rPr>
        <w:t>15000</w:t>
      </w:r>
      <w:r>
        <w:rPr>
          <w:rFonts w:hint="eastAsia" w:ascii="仿宋_GB2312"/>
          <w:sz w:val="28"/>
          <w:szCs w:val="28"/>
        </w:rPr>
        <w:t>万元，全年预算10808万元，实际支出10808万元，预算执行率为100%，项目绩效指标总体完成率为</w:t>
      </w:r>
      <w:r>
        <w:rPr>
          <w:rFonts w:hint="eastAsia" w:ascii="仿宋_GB2312"/>
          <w:sz w:val="28"/>
          <w:szCs w:val="28"/>
          <w:lang w:val="en-US" w:eastAsia="zh-CN"/>
        </w:rPr>
        <w:t>75%</w:t>
      </w:r>
      <w:r>
        <w:rPr>
          <w:rFonts w:hint="eastAsia" w:ascii="仿宋_GB2312"/>
          <w:sz w:val="28"/>
          <w:szCs w:val="28"/>
        </w:rPr>
        <w:t>。</w:t>
      </w:r>
      <w:r>
        <w:rPr>
          <w:rFonts w:hint="eastAsia" w:ascii="仿宋_GB2312"/>
          <w:sz w:val="28"/>
          <w:szCs w:val="28"/>
          <w:lang w:eastAsia="zh-CN"/>
        </w:rPr>
        <w:t>造成偏差有</w:t>
      </w:r>
      <w:r>
        <w:rPr>
          <w:rFonts w:hint="eastAsia" w:ascii="仿宋_GB2312"/>
          <w:sz w:val="28"/>
          <w:szCs w:val="28"/>
          <w:lang w:val="en-US" w:eastAsia="zh-CN"/>
        </w:rPr>
        <w:t>1、</w:t>
      </w:r>
      <w:r>
        <w:rPr>
          <w:rFonts w:hint="eastAsia" w:ascii="仿宋_GB2312"/>
          <w:sz w:val="28"/>
          <w:szCs w:val="28"/>
        </w:rPr>
        <w:t>项目按计划开工时间</w:t>
      </w:r>
      <w:r>
        <w:rPr>
          <w:rFonts w:hint="eastAsia" w:ascii="仿宋_GB2312"/>
          <w:sz w:val="28"/>
          <w:szCs w:val="28"/>
          <w:lang w:eastAsia="zh-CN"/>
        </w:rPr>
        <w:t>计划完成时间为</w:t>
      </w:r>
      <w:r>
        <w:rPr>
          <w:rFonts w:hint="eastAsia" w:ascii="仿宋_GB2312"/>
          <w:sz w:val="28"/>
          <w:szCs w:val="28"/>
        </w:rPr>
        <w:t>2022年8月30日，实际</w:t>
      </w:r>
      <w:r>
        <w:rPr>
          <w:rFonts w:hint="eastAsia" w:ascii="仿宋_GB2312"/>
          <w:sz w:val="28"/>
          <w:szCs w:val="28"/>
          <w:lang w:eastAsia="zh-CN"/>
        </w:rPr>
        <w:t>完成时间为</w:t>
      </w:r>
      <w:r>
        <w:rPr>
          <w:rFonts w:hint="eastAsia" w:ascii="仿宋_GB2312"/>
          <w:sz w:val="28"/>
          <w:szCs w:val="28"/>
        </w:rPr>
        <w:t>2022年4月1日</w:t>
      </w:r>
      <w:r>
        <w:rPr>
          <w:rFonts w:hint="eastAsia" w:ascii="仿宋_GB2312"/>
          <w:sz w:val="28"/>
          <w:szCs w:val="28"/>
          <w:lang w:eastAsia="zh-CN"/>
        </w:rPr>
        <w:t>，</w:t>
      </w:r>
      <w:r>
        <w:rPr>
          <w:rFonts w:hint="eastAsia" w:ascii="仿宋_GB2312"/>
          <w:sz w:val="28"/>
          <w:szCs w:val="28"/>
        </w:rPr>
        <w:t>偏差原因</w:t>
      </w:r>
      <w:r>
        <w:rPr>
          <w:rFonts w:hint="eastAsia" w:ascii="仿宋_GB2312"/>
          <w:sz w:val="28"/>
          <w:szCs w:val="28"/>
          <w:lang w:eastAsia="zh-CN"/>
        </w:rPr>
        <w:t>为</w:t>
      </w:r>
      <w:r>
        <w:rPr>
          <w:rFonts w:hint="eastAsia" w:ascii="仿宋_GB2312"/>
          <w:sz w:val="28"/>
          <w:szCs w:val="28"/>
        </w:rPr>
        <w:t>施工许可证办理顺利，4月</w:t>
      </w:r>
      <w:r>
        <w:rPr>
          <w:rFonts w:hint="eastAsia" w:ascii="仿宋_GB2312"/>
          <w:sz w:val="28"/>
          <w:szCs w:val="28"/>
          <w:lang w:eastAsia="zh-CN"/>
        </w:rPr>
        <w:t>即可施工，导致开工时间提前。</w:t>
      </w:r>
      <w:r>
        <w:rPr>
          <w:rFonts w:hint="eastAsia" w:ascii="仿宋_GB2312"/>
          <w:sz w:val="28"/>
          <w:szCs w:val="28"/>
          <w:lang w:val="en-US" w:eastAsia="zh-CN"/>
        </w:rPr>
        <w:t>2、</w:t>
      </w:r>
      <w:r>
        <w:rPr>
          <w:rFonts w:hint="eastAsia" w:ascii="仿宋_GB2312"/>
          <w:sz w:val="28"/>
          <w:szCs w:val="28"/>
          <w:lang w:eastAsia="zh-CN"/>
        </w:rPr>
        <w:t>项目计划完成时间为</w:t>
      </w:r>
      <w:r>
        <w:rPr>
          <w:rFonts w:ascii="仿宋_GB2312"/>
          <w:sz w:val="28"/>
          <w:szCs w:val="28"/>
        </w:rPr>
        <w:t>2023</w:t>
      </w:r>
      <w:r>
        <w:rPr>
          <w:rFonts w:hint="eastAsia" w:ascii="仿宋_GB2312"/>
          <w:sz w:val="28"/>
          <w:szCs w:val="28"/>
        </w:rPr>
        <w:t>年</w:t>
      </w:r>
      <w:r>
        <w:rPr>
          <w:rFonts w:ascii="仿宋_GB2312"/>
          <w:sz w:val="28"/>
          <w:szCs w:val="28"/>
        </w:rPr>
        <w:t>12</w:t>
      </w:r>
      <w:r>
        <w:rPr>
          <w:rFonts w:hint="eastAsia" w:ascii="仿宋_GB2312"/>
          <w:sz w:val="28"/>
          <w:szCs w:val="28"/>
        </w:rPr>
        <w:t>月</w:t>
      </w:r>
      <w:r>
        <w:rPr>
          <w:rFonts w:ascii="仿宋_GB2312"/>
          <w:sz w:val="28"/>
          <w:szCs w:val="28"/>
        </w:rPr>
        <w:t>31</w:t>
      </w:r>
      <w:r>
        <w:rPr>
          <w:rFonts w:hint="eastAsia" w:ascii="仿宋_GB2312"/>
          <w:sz w:val="28"/>
          <w:szCs w:val="28"/>
          <w:lang w:eastAsia="zh-CN"/>
        </w:rPr>
        <w:t>，实际未完成，</w:t>
      </w:r>
      <w:r>
        <w:rPr>
          <w:rFonts w:hint="eastAsia" w:ascii="仿宋_GB2312"/>
          <w:sz w:val="28"/>
          <w:szCs w:val="28"/>
        </w:rPr>
        <w:t>偏差原因</w:t>
      </w:r>
      <w:r>
        <w:rPr>
          <w:rFonts w:hint="eastAsia" w:ascii="仿宋_GB2312"/>
          <w:sz w:val="28"/>
          <w:szCs w:val="28"/>
          <w:lang w:eastAsia="zh-CN"/>
        </w:rPr>
        <w:t>：</w:t>
      </w:r>
      <w:r>
        <w:rPr>
          <w:rFonts w:hint="eastAsia" w:ascii="仿宋_GB2312"/>
          <w:sz w:val="28"/>
          <w:szCs w:val="28"/>
        </w:rPr>
        <w:t>该项目属于跨年项目，故本次绩效目标表制定完工时间为2023年12月31日，但第二住院部预计完工时间为2024年8月，区域医疗中心建设项目完工时间与第二住院部一致 。</w:t>
      </w:r>
      <w:r>
        <w:rPr>
          <w:rFonts w:hint="eastAsia" w:ascii="仿宋_GB2312"/>
          <w:sz w:val="28"/>
          <w:szCs w:val="28"/>
          <w:lang w:val="en-US" w:eastAsia="zh-CN"/>
        </w:rPr>
        <w:t>3、</w:t>
      </w:r>
      <w:r>
        <w:rPr>
          <w:rFonts w:hint="eastAsia" w:ascii="仿宋_GB2312"/>
          <w:sz w:val="28"/>
          <w:szCs w:val="28"/>
        </w:rPr>
        <w:t>正常运转率</w:t>
      </w:r>
      <w:r>
        <w:rPr>
          <w:rFonts w:hint="eastAsia" w:ascii="仿宋_GB2312"/>
          <w:sz w:val="28"/>
          <w:szCs w:val="28"/>
          <w:lang w:val="en-US" w:eastAsia="zh-CN"/>
        </w:rPr>
        <w:t>100</w:t>
      </w:r>
      <w:r>
        <w:rPr>
          <w:rFonts w:hint="eastAsia" w:ascii="仿宋_GB2312"/>
          <w:sz w:val="28"/>
          <w:szCs w:val="28"/>
        </w:rPr>
        <w:t>%，指标完成率</w:t>
      </w:r>
      <w:r>
        <w:rPr>
          <w:rFonts w:hint="eastAsia" w:ascii="仿宋_GB2312"/>
          <w:sz w:val="28"/>
          <w:szCs w:val="28"/>
          <w:lang w:val="en-US" w:eastAsia="zh-CN"/>
        </w:rPr>
        <w:t>111.11</w:t>
      </w:r>
      <w:r>
        <w:rPr>
          <w:rFonts w:hint="eastAsia" w:ascii="仿宋_GB2312"/>
          <w:sz w:val="28"/>
          <w:szCs w:val="28"/>
        </w:rPr>
        <w:t>%。偏差原因：项目正常运转中。</w:t>
      </w:r>
      <w:r>
        <w:rPr>
          <w:rFonts w:hint="eastAsia" w:ascii="仿宋_GB2312"/>
          <w:sz w:val="28"/>
          <w:szCs w:val="28"/>
          <w:lang w:val="en-US" w:eastAsia="zh-CN"/>
        </w:rPr>
        <w:t>4、</w:t>
      </w:r>
      <w:r>
        <w:rPr>
          <w:rFonts w:hint="eastAsia" w:ascii="仿宋_GB2312"/>
          <w:bCs/>
          <w:sz w:val="28"/>
          <w:szCs w:val="28"/>
        </w:rPr>
        <w:t>项目受益人数</w:t>
      </w:r>
      <w:r>
        <w:rPr>
          <w:rFonts w:hint="eastAsia" w:ascii="仿宋_GB2312"/>
          <w:bCs/>
          <w:sz w:val="28"/>
          <w:szCs w:val="28"/>
          <w:lang w:eastAsia="zh-CN"/>
        </w:rPr>
        <w:t>为</w:t>
      </w:r>
      <w:r>
        <w:rPr>
          <w:rFonts w:hint="eastAsia" w:ascii="仿宋_GB2312"/>
          <w:bCs/>
          <w:sz w:val="28"/>
          <w:szCs w:val="28"/>
          <w:lang w:val="en-US" w:eastAsia="zh-CN"/>
        </w:rPr>
        <w:t>1</w:t>
      </w:r>
      <w:r>
        <w:rPr>
          <w:rFonts w:hint="eastAsia" w:ascii="仿宋_GB2312"/>
          <w:bCs/>
          <w:sz w:val="28"/>
          <w:szCs w:val="28"/>
        </w:rPr>
        <w:t>0000人,实际完成值0</w:t>
      </w:r>
      <w:r>
        <w:rPr>
          <w:rFonts w:hint="eastAsia" w:ascii="仿宋_GB2312"/>
          <w:bCs/>
          <w:sz w:val="28"/>
          <w:szCs w:val="28"/>
          <w:lang w:eastAsia="zh-CN"/>
        </w:rPr>
        <w:t>人</w:t>
      </w:r>
      <w:r>
        <w:rPr>
          <w:rFonts w:hint="eastAsia" w:ascii="仿宋_GB2312"/>
          <w:bCs/>
          <w:sz w:val="28"/>
          <w:szCs w:val="28"/>
        </w:rPr>
        <w:t>，偏差原因：项目暂未投入使用，故暂无受益人数。</w:t>
      </w:r>
    </w:p>
    <w:p w14:paraId="50A46C36">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六、主要经验及做法、存在的问题及原因分析</w:t>
      </w:r>
      <w:bookmarkEnd w:id="15"/>
    </w:p>
    <w:p w14:paraId="026C9CE6">
      <w:pPr>
        <w:spacing w:line="500" w:lineRule="exact"/>
        <w:ind w:firstLine="560" w:firstLineChars="200"/>
        <w:rPr>
          <w:rFonts w:hint="eastAsia" w:ascii="仿宋_GB2312"/>
          <w:sz w:val="28"/>
          <w:szCs w:val="28"/>
        </w:rPr>
      </w:pPr>
      <w:bookmarkStart w:id="16" w:name="_Toc68703843"/>
      <w:r>
        <w:rPr>
          <w:rFonts w:hint="eastAsia" w:ascii="仿宋_GB2312"/>
          <w:sz w:val="28"/>
          <w:szCs w:val="28"/>
        </w:rPr>
        <w:t>（一）主要经验及做法</w:t>
      </w:r>
      <w:bookmarkEnd w:id="16"/>
    </w:p>
    <w:p w14:paraId="331AD1A2">
      <w:pPr>
        <w:spacing w:line="500" w:lineRule="exact"/>
        <w:ind w:firstLine="560" w:firstLineChars="200"/>
        <w:rPr>
          <w:rFonts w:hint="eastAsia" w:ascii="仿宋_GB2312"/>
          <w:sz w:val="28"/>
          <w:szCs w:val="28"/>
        </w:rPr>
      </w:pPr>
      <w:bookmarkStart w:id="17" w:name="_Toc68703844"/>
      <w:r>
        <w:rPr>
          <w:rFonts w:ascii="仿宋_GB2312"/>
          <w:sz w:val="28"/>
          <w:szCs w:val="28"/>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p>
    <w:p w14:paraId="441D168E">
      <w:pPr>
        <w:spacing w:line="500" w:lineRule="exact"/>
        <w:ind w:firstLine="560" w:firstLineChars="200"/>
        <w:rPr>
          <w:rFonts w:ascii="仿宋_GB2312"/>
          <w:sz w:val="28"/>
          <w:szCs w:val="28"/>
        </w:rPr>
      </w:pPr>
      <w:r>
        <w:rPr>
          <w:rFonts w:ascii="仿宋_GB2312"/>
          <w:sz w:val="28"/>
          <w:szCs w:val="28"/>
        </w:rPr>
        <w:t>严格坚持先做事、后验收、再拨付的原则，基本杜绝了资金被挤占和挪用现象的发生，跟踪检查到位。财政、纪检、</w:t>
      </w:r>
      <w:r>
        <w:rPr>
          <w:rFonts w:hint="eastAsia" w:ascii="仿宋_GB2312"/>
          <w:sz w:val="28"/>
          <w:szCs w:val="28"/>
        </w:rPr>
        <w:t>审计</w:t>
      </w:r>
      <w:r>
        <w:rPr>
          <w:rFonts w:ascii="仿宋_GB2312"/>
          <w:sz w:val="28"/>
          <w:szCs w:val="28"/>
        </w:rPr>
        <w:t>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6C931AAC">
      <w:pPr>
        <w:pStyle w:val="4"/>
        <w:spacing w:before="0" w:after="0" w:line="560" w:lineRule="exact"/>
        <w:ind w:firstLine="640" w:firstLineChars="200"/>
        <w:rPr>
          <w:rFonts w:hint="eastAsia" w:ascii="仿宋_GB2312" w:eastAsia="仿宋_GB2312"/>
          <w:b w:val="0"/>
          <w:bCs w:val="0"/>
        </w:rPr>
      </w:pPr>
      <w:r>
        <w:rPr>
          <w:rFonts w:hint="eastAsia" w:ascii="仿宋_GB2312" w:eastAsia="仿宋_GB2312"/>
          <w:b w:val="0"/>
          <w:bCs w:val="0"/>
        </w:rPr>
        <w:t>（二）存在的问题及原因分析</w:t>
      </w:r>
      <w:bookmarkEnd w:id="17"/>
    </w:p>
    <w:p w14:paraId="56E25521">
      <w:pPr>
        <w:spacing w:line="500" w:lineRule="exact"/>
        <w:ind w:firstLine="560" w:firstLineChars="200"/>
        <w:rPr>
          <w:rFonts w:ascii="仿宋_GB2312"/>
          <w:sz w:val="28"/>
          <w:szCs w:val="28"/>
        </w:rPr>
      </w:pPr>
      <w:bookmarkStart w:id="18" w:name="_Toc68703845"/>
      <w:r>
        <w:rPr>
          <w:rFonts w:hint="eastAsia" w:ascii="仿宋_GB2312"/>
          <w:sz w:val="28"/>
          <w:szCs w:val="28"/>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2E16A3A0">
      <w:pPr>
        <w:spacing w:line="560" w:lineRule="exact"/>
        <w:ind w:firstLine="640" w:firstLineChars="200"/>
        <w:rPr>
          <w:rFonts w:eastAsia="黑体"/>
          <w:color w:val="0000FF"/>
          <w:sz w:val="32"/>
          <w:szCs w:val="32"/>
        </w:rPr>
      </w:pPr>
      <w:r>
        <w:rPr>
          <w:rFonts w:hint="eastAsia" w:ascii="宋体" w:hAnsi="宋体" w:eastAsia="宋体"/>
          <w:sz w:val="32"/>
          <w:szCs w:val="32"/>
        </w:rPr>
        <w:t>七、有关建议</w:t>
      </w:r>
      <w:bookmarkEnd w:id="18"/>
    </w:p>
    <w:p w14:paraId="3C8F9900">
      <w:pPr>
        <w:shd w:val="clear" w:color="010000" w:fill="auto"/>
        <w:spacing w:line="500" w:lineRule="exact"/>
        <w:ind w:firstLine="560" w:firstLineChars="200"/>
        <w:outlineLvl w:val="0"/>
        <w:rPr>
          <w:rFonts w:hint="eastAsia" w:ascii="仿宋_GB2312" w:hAnsi="仿宋_GB2312" w:cs="仿宋_GB2312"/>
          <w:sz w:val="28"/>
          <w:szCs w:val="28"/>
        </w:rPr>
      </w:pPr>
      <w:r>
        <w:rPr>
          <w:rFonts w:hint="eastAsia" w:ascii="仿宋_GB2312" w:hAnsi="仿宋_GB2312" w:cs="仿宋_GB2312"/>
          <w:sz w:val="28"/>
          <w:szCs w:val="28"/>
        </w:rPr>
        <w:t>1.多进行有关绩效管理工作方面的培训。积极组织第三方开展绩效管理工作培训，进一步夯实业务基础，提高我单位绩效人员水平。</w:t>
      </w:r>
    </w:p>
    <w:p w14:paraId="1B84D081">
      <w:pPr>
        <w:shd w:val="clear" w:color="010000" w:fill="auto"/>
        <w:spacing w:line="500" w:lineRule="exact"/>
        <w:ind w:firstLine="560" w:firstLineChars="200"/>
        <w:outlineLvl w:val="0"/>
        <w:rPr>
          <w:rFonts w:hint="eastAsia" w:ascii="仿宋_GB2312" w:hAnsi="仿宋_GB2312" w:cs="仿宋_GB2312"/>
          <w:sz w:val="28"/>
          <w:szCs w:val="28"/>
        </w:rPr>
      </w:pPr>
      <w:r>
        <w:rPr>
          <w:rFonts w:hint="eastAsia" w:ascii="仿宋_GB2312" w:hAnsi="仿宋_GB2312" w:cs="仿宋_GB2312"/>
          <w:sz w:val="28"/>
          <w:szCs w:val="28"/>
        </w:rPr>
        <w:t>2.专门设定对绩效工作人员定职、定岗、定责等相关制度措施，进一步提升我单位绩效管理工作业务水平，扎实做好绩效管理工作。</w:t>
      </w:r>
    </w:p>
    <w:p w14:paraId="3D1155C9">
      <w:pPr>
        <w:shd w:val="clear" w:color="010000" w:fill="auto"/>
        <w:spacing w:line="500" w:lineRule="exact"/>
        <w:ind w:firstLine="560" w:firstLineChars="200"/>
        <w:outlineLvl w:val="0"/>
        <w:rPr>
          <w:rFonts w:hint="eastAsia" w:ascii="仿宋_GB2312" w:hAnsi="仿宋_GB2312" w:cs="仿宋_GB2312"/>
          <w:sz w:val="28"/>
          <w:szCs w:val="28"/>
        </w:rPr>
      </w:pPr>
      <w:r>
        <w:rPr>
          <w:rFonts w:hint="eastAsia" w:ascii="仿宋_GB2312" w:hAnsi="仿宋_GB2312" w:cs="仿宋_GB2312"/>
          <w:sz w:val="28"/>
          <w:szCs w:val="28"/>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7FA75B3">
      <w:pPr>
        <w:shd w:val="clear" w:color="010000" w:fill="auto"/>
        <w:spacing w:line="500" w:lineRule="exact"/>
        <w:ind w:firstLine="560" w:firstLineChars="200"/>
        <w:outlineLvl w:val="0"/>
        <w:rPr>
          <w:sz w:val="28"/>
          <w:szCs w:val="28"/>
        </w:rPr>
      </w:pPr>
      <w:r>
        <w:rPr>
          <w:rFonts w:hint="eastAsia" w:ascii="仿宋_GB2312" w:hAnsi="仿宋_GB2312" w:cs="仿宋_GB2312"/>
          <w:sz w:val="28"/>
          <w:szCs w:val="28"/>
        </w:rPr>
        <w:t>4.进一步完善项目评价过程中有关数据和资料的收集、整理、审核及分析。项目启动时同步做好档案的归纳与整理，及时整理、收集、汇总，健全档案资料。项目后续管理有待进一步加强和跟踪。</w:t>
      </w:r>
    </w:p>
    <w:p w14:paraId="7E86F374">
      <w:pPr>
        <w:shd w:val="clear" w:color="010000" w:fill="auto"/>
        <w:spacing w:line="500" w:lineRule="exact"/>
        <w:ind w:firstLine="560" w:firstLineChars="200"/>
        <w:outlineLvl w:val="0"/>
        <w:rPr>
          <w:rFonts w:hint="eastAsia" w:ascii="仿宋_GB2312" w:hAnsi="仿宋_GB2312" w:cs="仿宋_GB2312"/>
          <w:sz w:val="28"/>
          <w:szCs w:val="28"/>
        </w:rPr>
      </w:pPr>
      <w:r>
        <w:rPr>
          <w:rFonts w:hint="eastAsia" w:ascii="仿宋_GB2312" w:hAnsi="仿宋_GB2312" w:cs="仿宋_GB2312"/>
          <w:sz w:val="28"/>
          <w:szCs w:val="28"/>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22BE5692">
      <w:pPr>
        <w:pStyle w:val="3"/>
        <w:spacing w:before="0" w:after="0" w:line="560" w:lineRule="exact"/>
        <w:ind w:firstLine="643" w:firstLineChars="200"/>
        <w:rPr>
          <w:rFonts w:ascii="宋体" w:hAnsi="宋体" w:eastAsia="宋体"/>
          <w:sz w:val="32"/>
          <w:szCs w:val="32"/>
        </w:rPr>
      </w:pPr>
      <w:bookmarkStart w:id="19" w:name="_Toc68703846"/>
      <w:r>
        <w:rPr>
          <w:rFonts w:hint="eastAsia" w:ascii="宋体" w:hAnsi="宋体" w:eastAsia="宋体"/>
          <w:sz w:val="32"/>
          <w:szCs w:val="32"/>
        </w:rPr>
        <w:t>八、其他需要说明的问题</w:t>
      </w:r>
      <w:bookmarkEnd w:id="19"/>
    </w:p>
    <w:p w14:paraId="4E77D6B2">
      <w:pPr>
        <w:spacing w:line="560" w:lineRule="exact"/>
        <w:ind w:firstLine="900" w:firstLineChars="300"/>
      </w:pPr>
      <w:r>
        <w:rPr>
          <w:rFonts w:hint="eastAsia"/>
        </w:rPr>
        <w:t>本项目无其他需要说明的问题。</w:t>
      </w:r>
    </w:p>
    <w:p w14:paraId="2B6CB3E7">
      <w:pPr>
        <w:spacing w:line="560" w:lineRule="exact"/>
        <w:ind w:firstLine="600" w:firstLineChars="200"/>
      </w:pPr>
    </w:p>
    <w:sectPr>
      <w:headerReference r:id="rId3" w:type="default"/>
      <w:footerReference r:id="rId4" w:type="default"/>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7402C">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DF9F51">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10A63"/>
    <w:multiLevelType w:val="multilevel"/>
    <w:tmpl w:val="6EE10A63"/>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kOTIwZjc5YmU2ZTY5MjQ2MTljMmZlZWEzNGY0OTAifQ=="/>
    <w:docVar w:name="KSO_WPS_MARK_KEY" w:val="b3fc2acd-51a9-45ce-8d80-18e6d2738da8"/>
  </w:docVars>
  <w:rsids>
    <w:rsidRoot w:val="007D49C5"/>
    <w:rsid w:val="00021F1F"/>
    <w:rsid w:val="000D63FA"/>
    <w:rsid w:val="000F37C4"/>
    <w:rsid w:val="00120E05"/>
    <w:rsid w:val="002337F6"/>
    <w:rsid w:val="00234FE9"/>
    <w:rsid w:val="00330499"/>
    <w:rsid w:val="003B43EB"/>
    <w:rsid w:val="003C162D"/>
    <w:rsid w:val="003E3C03"/>
    <w:rsid w:val="003F0183"/>
    <w:rsid w:val="003F71CB"/>
    <w:rsid w:val="005B64E8"/>
    <w:rsid w:val="005F4B0A"/>
    <w:rsid w:val="00614288"/>
    <w:rsid w:val="006D5504"/>
    <w:rsid w:val="00721848"/>
    <w:rsid w:val="00730D3B"/>
    <w:rsid w:val="007822D0"/>
    <w:rsid w:val="00792CFE"/>
    <w:rsid w:val="007D3436"/>
    <w:rsid w:val="007D49C5"/>
    <w:rsid w:val="007F3499"/>
    <w:rsid w:val="007F5E35"/>
    <w:rsid w:val="008175E0"/>
    <w:rsid w:val="0087671F"/>
    <w:rsid w:val="008A5FCD"/>
    <w:rsid w:val="008C631D"/>
    <w:rsid w:val="008C6A55"/>
    <w:rsid w:val="008D1FC5"/>
    <w:rsid w:val="008D5FFB"/>
    <w:rsid w:val="00A114ED"/>
    <w:rsid w:val="00AC16DA"/>
    <w:rsid w:val="00B24331"/>
    <w:rsid w:val="00BC6D5B"/>
    <w:rsid w:val="00CE0ED5"/>
    <w:rsid w:val="00CF7D27"/>
    <w:rsid w:val="00DD466E"/>
    <w:rsid w:val="00E66438"/>
    <w:rsid w:val="00EB3433"/>
    <w:rsid w:val="00EE238C"/>
    <w:rsid w:val="00FE6890"/>
    <w:rsid w:val="031A7868"/>
    <w:rsid w:val="05227DA5"/>
    <w:rsid w:val="08D20D13"/>
    <w:rsid w:val="0C4D0F1B"/>
    <w:rsid w:val="0F2A6BF7"/>
    <w:rsid w:val="1D723F37"/>
    <w:rsid w:val="1D785367"/>
    <w:rsid w:val="1E2D445C"/>
    <w:rsid w:val="28F309B5"/>
    <w:rsid w:val="32AE0DEC"/>
    <w:rsid w:val="340F5E21"/>
    <w:rsid w:val="36B72533"/>
    <w:rsid w:val="4057649F"/>
    <w:rsid w:val="43182414"/>
    <w:rsid w:val="46507BB3"/>
    <w:rsid w:val="4A7C25BE"/>
    <w:rsid w:val="4C22332E"/>
    <w:rsid w:val="56796849"/>
    <w:rsid w:val="5DA95371"/>
    <w:rsid w:val="60736E92"/>
    <w:rsid w:val="6131297A"/>
    <w:rsid w:val="68F11999"/>
    <w:rsid w:val="763A0251"/>
    <w:rsid w:val="79A404A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qFormat/>
    <w:uiPriority w:val="9"/>
    <w:pPr>
      <w:keepNext/>
      <w:keepLines/>
      <w:spacing w:before="260" w:after="260" w:line="416" w:lineRule="auto"/>
      <w:outlineLvl w:val="1"/>
    </w:pPr>
    <w:rPr>
      <w:rFonts w:ascii="等线 Light" w:hAnsi="等线 Light" w:eastAsia="黑体" w:cs="黑体"/>
      <w:b/>
      <w:bCs/>
      <w:sz w:val="32"/>
      <w:szCs w:val="32"/>
    </w:rPr>
  </w:style>
  <w:style w:type="character" w:default="1" w:styleId="12">
    <w:name w:val="Default Paragraph Font"/>
    <w:unhideWhenUsed/>
    <w:qFormat/>
    <w:uiPriority w:val="1"/>
  </w:style>
  <w:style w:type="table" w:default="1" w:styleId="11">
    <w:name w:val="Normal Table"/>
    <w:unhideWhenUsed/>
    <w:qFormat/>
    <w:uiPriority w:val="99"/>
    <w:tblPr>
      <w:tblStyle w:val="11"/>
      <w:tblCellMar>
        <w:top w:w="0" w:type="dxa"/>
        <w:left w:w="108" w:type="dxa"/>
        <w:bottom w:w="0" w:type="dxa"/>
        <w:right w:w="108" w:type="dxa"/>
      </w:tblCellMar>
    </w:tblPr>
  </w:style>
  <w:style w:type="paragraph" w:styleId="2">
    <w:name w:val="Title"/>
    <w:basedOn w:val="1"/>
    <w:next w:val="1"/>
    <w:link w:val="14"/>
    <w:qFormat/>
    <w:uiPriority w:val="10"/>
    <w:pPr>
      <w:widowControl/>
      <w:spacing w:before="240" w:after="60"/>
      <w:jc w:val="center"/>
      <w:outlineLvl w:val="0"/>
    </w:pPr>
    <w:rPr>
      <w:rFonts w:ascii="等线 Light" w:hAnsi="等线 Light" w:eastAsia="黑体"/>
      <w:b/>
      <w:bCs/>
      <w:kern w:val="28"/>
      <w:sz w:val="32"/>
      <w:szCs w:val="32"/>
    </w:rPr>
  </w:style>
  <w:style w:type="paragraph" w:styleId="5">
    <w:name w:val="annotation text"/>
    <w:basedOn w:val="1"/>
    <w:qFormat/>
    <w:uiPriority w:val="0"/>
    <w:pPr>
      <w:jc w:val="left"/>
    </w:pPr>
  </w:style>
  <w:style w:type="paragraph" w:styleId="6">
    <w:name w:val="Balloon Text"/>
    <w:basedOn w:val="1"/>
    <w:link w:val="17"/>
    <w:unhideWhenUsed/>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等线" w:hAnsi="等线" w:eastAsia="宋体"/>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等线" w:hAnsi="等线" w:eastAsia="宋体"/>
      <w:kern w:val="0"/>
      <w:sz w:val="22"/>
      <w:szCs w:val="22"/>
    </w:rPr>
  </w:style>
  <w:style w:type="character" w:styleId="13">
    <w:name w:val="Hyperlink"/>
    <w:basedOn w:val="12"/>
    <w:unhideWhenUsed/>
    <w:qFormat/>
    <w:uiPriority w:val="99"/>
    <w:rPr>
      <w:color w:val="0563C1"/>
      <w:u w:val="single"/>
    </w:rPr>
  </w:style>
  <w:style w:type="character" w:customStyle="1" w:styleId="14">
    <w:name w:val="标题 Char"/>
    <w:basedOn w:val="12"/>
    <w:link w:val="2"/>
    <w:uiPriority w:val="10"/>
    <w:rPr>
      <w:rFonts w:ascii="等线 Light" w:hAnsi="等线 Light" w:eastAsia="黑体"/>
      <w:b/>
      <w:bCs/>
      <w:kern w:val="28"/>
      <w:sz w:val="32"/>
      <w:szCs w:val="32"/>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等线 Light" w:hAnsi="等线 Light" w:eastAsia="黑体" w:cs="黑体"/>
      <w:b/>
      <w:bCs/>
      <w:sz w:val="32"/>
      <w:szCs w:val="32"/>
    </w:rPr>
  </w:style>
  <w:style w:type="character" w:customStyle="1" w:styleId="17">
    <w:name w:val="批注框文本 Char"/>
    <w:basedOn w:val="12"/>
    <w:link w:val="6"/>
    <w:semiHidden/>
    <w:uiPriority w:val="99"/>
    <w:rPr>
      <w:rFonts w:eastAsia="仿宋_GB2312"/>
      <w:kern w:val="2"/>
      <w:sz w:val="18"/>
      <w:szCs w:val="18"/>
    </w:rPr>
  </w:style>
  <w:style w:type="character" w:customStyle="1" w:styleId="18">
    <w:name w:val="页脚 Char"/>
    <w:basedOn w:val="12"/>
    <w:link w:val="7"/>
    <w:semiHidden/>
    <w:qFormat/>
    <w:uiPriority w:val="99"/>
    <w:rPr>
      <w:rFonts w:ascii="Times New Roman" w:hAnsi="Times New Roman" w:eastAsia="仿宋_GB2312" w:cs="Times New Roman"/>
      <w:sz w:val="18"/>
      <w:szCs w:val="18"/>
    </w:rPr>
  </w:style>
  <w:style w:type="character" w:customStyle="1" w:styleId="19">
    <w:name w:val="页眉 Char"/>
    <w:basedOn w:val="12"/>
    <w:link w:val="8"/>
    <w:semiHidden/>
    <w:qFormat/>
    <w:uiPriority w:val="99"/>
    <w:rPr>
      <w:rFonts w:ascii="Times New Roman" w:hAnsi="Times New Roman" w:eastAsia="仿宋_GB2312" w:cs="Times New Roman"/>
      <w:sz w:val="18"/>
      <w:szCs w:val="18"/>
    </w:rPr>
  </w:style>
  <w:style w:type="paragraph" w:customStyle="1" w:styleId="20">
    <w:name w:val="TOC Heading"/>
    <w:basedOn w:val="3"/>
    <w:next w:val="1"/>
    <w:unhideWhenUsed/>
    <w:qFormat/>
    <w:uiPriority w:val="39"/>
    <w:pPr>
      <w:widowControl/>
      <w:spacing w:before="240" w:after="0" w:line="259" w:lineRule="auto"/>
      <w:jc w:val="left"/>
      <w:outlineLvl w:val="9"/>
    </w:pPr>
    <w:rPr>
      <w:rFonts w:ascii="等线 Light" w:hAnsi="等线 Light" w:eastAsia="黑体" w:cs="黑体"/>
      <w:b w:val="0"/>
      <w:bCs w:val="0"/>
      <w:color w:val="2E5394"/>
      <w:kern w:val="0"/>
      <w:sz w:val="32"/>
      <w:szCs w:val="32"/>
    </w:rPr>
  </w:style>
  <w:style w:type="paragraph" w:customStyle="1" w:styleId="21">
    <w:name w:val="闻政-正文段落文字"/>
    <w:basedOn w:val="1"/>
    <w:qFormat/>
    <w:uiPriority w:val="0"/>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7285</Words>
  <Characters>7648</Characters>
  <Lines>52</Lines>
  <Paragraphs>14</Paragraphs>
  <TotalTime>2</TotalTime>
  <ScaleCrop>false</ScaleCrop>
  <LinksUpToDate>false</LinksUpToDate>
  <CharactersWithSpaces>7670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dcterms:modified xsi:type="dcterms:W3CDTF">2024-10-11T02:18:29Z</dcterms:modified>
  <dc:title>项目支出绩效评价报告</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9A3C3E7ED8704155B01A18E5E9F77B3A_13</vt:lpwstr>
  </property>
</Properties>
</file>