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E1D2C2">
      <w:pPr>
        <w:spacing w:line="560" w:lineRule="exact"/>
        <w:ind w:firstLine="964" w:firstLineChars="200"/>
        <w:jc w:val="center"/>
        <w:rPr>
          <w:rFonts w:ascii="宋体" w:hAnsi="宋体" w:eastAsia="宋体" w:cs="Arial"/>
          <w:b/>
          <w:bCs/>
          <w:color w:val="000000" w:themeColor="text1"/>
          <w:sz w:val="48"/>
          <w:szCs w:val="48"/>
        </w:rPr>
      </w:pPr>
    </w:p>
    <w:p w14:paraId="3DAC8B8A">
      <w:pPr>
        <w:spacing w:line="560" w:lineRule="exact"/>
        <w:ind w:firstLine="964" w:firstLineChars="200"/>
        <w:jc w:val="center"/>
        <w:rPr>
          <w:rFonts w:ascii="宋体" w:hAnsi="宋体" w:eastAsia="宋体" w:cs="Arial"/>
          <w:b/>
          <w:bCs/>
          <w:color w:val="000000" w:themeColor="text1"/>
          <w:sz w:val="48"/>
          <w:szCs w:val="48"/>
        </w:rPr>
      </w:pPr>
    </w:p>
    <w:p w14:paraId="1A7B49AA">
      <w:pPr>
        <w:spacing w:line="560" w:lineRule="exact"/>
        <w:ind w:firstLine="964" w:firstLineChars="200"/>
        <w:jc w:val="center"/>
        <w:rPr>
          <w:rFonts w:ascii="宋体" w:hAnsi="宋体" w:eastAsia="宋体" w:cs="Arial"/>
          <w:b/>
          <w:bCs/>
          <w:color w:val="000000" w:themeColor="text1"/>
          <w:sz w:val="48"/>
          <w:szCs w:val="48"/>
        </w:rPr>
      </w:pPr>
    </w:p>
    <w:p w14:paraId="2E8E4262">
      <w:pPr>
        <w:spacing w:line="560" w:lineRule="exact"/>
        <w:ind w:firstLine="1044" w:firstLineChars="200"/>
        <w:jc w:val="center"/>
        <w:rPr>
          <w:rFonts w:ascii="宋体" w:hAnsi="宋体" w:eastAsia="宋体" w:cs="Arial"/>
          <w:b/>
          <w:bCs/>
          <w:color w:val="000000" w:themeColor="text1"/>
          <w:sz w:val="52"/>
          <w:szCs w:val="52"/>
        </w:rPr>
      </w:pPr>
      <w:r>
        <w:rPr>
          <w:rFonts w:hint="eastAsia" w:ascii="宋体" w:hAnsi="宋体" w:eastAsia="宋体" w:cs="Arial"/>
          <w:b/>
          <w:bCs/>
          <w:color w:val="000000" w:themeColor="text1"/>
          <w:sz w:val="52"/>
          <w:szCs w:val="52"/>
        </w:rPr>
        <w:t>项目支出绩效评价报告</w:t>
      </w:r>
    </w:p>
    <w:p w14:paraId="1E1800E5">
      <w:pPr>
        <w:spacing w:line="560" w:lineRule="exact"/>
        <w:ind w:firstLine="964" w:firstLineChars="200"/>
        <w:jc w:val="center"/>
        <w:rPr>
          <w:rFonts w:ascii="宋体" w:hAnsi="宋体" w:eastAsia="宋体" w:cs="Arial"/>
          <w:b/>
          <w:bCs/>
          <w:color w:val="000000" w:themeColor="text1"/>
          <w:sz w:val="48"/>
          <w:szCs w:val="48"/>
        </w:rPr>
      </w:pPr>
    </w:p>
    <w:p w14:paraId="561E495F">
      <w:pPr>
        <w:widowControl/>
        <w:spacing w:line="560" w:lineRule="exact"/>
        <w:ind w:firstLine="720" w:firstLineChars="200"/>
        <w:jc w:val="center"/>
        <w:rPr>
          <w:rFonts w:ascii="仿宋_GB2312" w:hAnsi="仿宋_GB2312" w:cs="仿宋_GB2312"/>
          <w:b/>
          <w:color w:val="000000" w:themeColor="text1"/>
          <w:kern w:val="0"/>
          <w:sz w:val="50"/>
          <w:szCs w:val="50"/>
          <w:lang w:bidi="en-US"/>
        </w:rPr>
      </w:pPr>
      <w:r>
        <w:rPr>
          <w:rFonts w:hint="eastAsia" w:ascii="红豆小标宋简体" w:hAnsi="红豆小标宋简体" w:eastAsia="红豆小标宋简体" w:cs="红豆小标宋简体"/>
          <w:color w:val="000000" w:themeColor="text1"/>
          <w:kern w:val="0"/>
          <w:sz w:val="36"/>
          <w:szCs w:val="36"/>
        </w:rPr>
        <w:t>（2</w:t>
      </w:r>
      <w:r>
        <w:rPr>
          <w:rFonts w:ascii="红豆小标宋简体" w:hAnsi="红豆小标宋简体" w:eastAsia="红豆小标宋简体" w:cs="红豆小标宋简体"/>
          <w:color w:val="000000" w:themeColor="text1"/>
          <w:kern w:val="0"/>
          <w:sz w:val="36"/>
          <w:szCs w:val="36"/>
        </w:rPr>
        <w:t>02</w:t>
      </w:r>
      <w:r>
        <w:rPr>
          <w:rFonts w:hint="eastAsia" w:ascii="红豆小标宋简体" w:hAnsi="红豆小标宋简体" w:eastAsia="红豆小标宋简体" w:cs="红豆小标宋简体"/>
          <w:color w:val="000000" w:themeColor="text1"/>
          <w:kern w:val="0"/>
          <w:sz w:val="36"/>
          <w:szCs w:val="36"/>
        </w:rPr>
        <w:t>3年度）</w:t>
      </w:r>
    </w:p>
    <w:p w14:paraId="3C1E2DE2">
      <w:pPr>
        <w:spacing w:line="560" w:lineRule="exact"/>
        <w:ind w:firstLine="1004" w:firstLineChars="200"/>
        <w:jc w:val="center"/>
        <w:rPr>
          <w:rFonts w:ascii="仿宋_GB2312" w:hAnsi="仿宋_GB2312" w:cs="仿宋_GB2312"/>
          <w:b/>
          <w:color w:val="000000" w:themeColor="text1"/>
          <w:kern w:val="0"/>
          <w:sz w:val="50"/>
          <w:szCs w:val="50"/>
          <w:lang w:bidi="en-US"/>
        </w:rPr>
      </w:pPr>
    </w:p>
    <w:p w14:paraId="0AFAA68B">
      <w:pPr>
        <w:spacing w:line="560" w:lineRule="exact"/>
        <w:ind w:firstLine="1004" w:firstLineChars="200"/>
        <w:jc w:val="center"/>
        <w:rPr>
          <w:rFonts w:ascii="仿宋_GB2312" w:hAnsi="仿宋_GB2312" w:cs="仿宋_GB2312"/>
          <w:b/>
          <w:color w:val="000000" w:themeColor="text1"/>
          <w:kern w:val="0"/>
          <w:sz w:val="50"/>
          <w:szCs w:val="50"/>
          <w:lang w:bidi="en-US"/>
        </w:rPr>
      </w:pPr>
    </w:p>
    <w:p w14:paraId="62051AC2">
      <w:pPr>
        <w:spacing w:line="560" w:lineRule="exact"/>
        <w:ind w:firstLine="1004" w:firstLineChars="200"/>
        <w:jc w:val="center"/>
        <w:rPr>
          <w:rFonts w:ascii="仿宋_GB2312" w:hAnsi="仿宋_GB2312" w:cs="仿宋_GB2312"/>
          <w:b/>
          <w:color w:val="000000" w:themeColor="text1"/>
          <w:kern w:val="0"/>
          <w:sz w:val="50"/>
          <w:szCs w:val="50"/>
          <w:lang w:bidi="en-US"/>
        </w:rPr>
      </w:pPr>
    </w:p>
    <w:p w14:paraId="7452839F">
      <w:pPr>
        <w:spacing w:line="560" w:lineRule="exact"/>
        <w:ind w:firstLine="1004" w:firstLineChars="200"/>
        <w:jc w:val="center"/>
        <w:rPr>
          <w:rFonts w:ascii="仿宋_GB2312" w:hAnsi="仿宋_GB2312" w:cs="仿宋_GB2312"/>
          <w:b/>
          <w:color w:val="000000" w:themeColor="text1"/>
          <w:kern w:val="0"/>
          <w:sz w:val="50"/>
          <w:szCs w:val="50"/>
          <w:lang w:bidi="en-US"/>
        </w:rPr>
      </w:pPr>
    </w:p>
    <w:p w14:paraId="06103C8C">
      <w:pPr>
        <w:spacing w:line="560" w:lineRule="exact"/>
        <w:ind w:firstLine="1004" w:firstLineChars="200"/>
        <w:jc w:val="center"/>
        <w:rPr>
          <w:rFonts w:ascii="仿宋_GB2312" w:hAnsi="仿宋_GB2312" w:cs="仿宋_GB2312"/>
          <w:b/>
          <w:color w:val="000000" w:themeColor="text1"/>
          <w:kern w:val="0"/>
          <w:sz w:val="50"/>
          <w:szCs w:val="50"/>
          <w:lang w:bidi="en-US"/>
        </w:rPr>
      </w:pPr>
    </w:p>
    <w:p w14:paraId="2E9E1A47">
      <w:pPr>
        <w:spacing w:line="560" w:lineRule="exact"/>
        <w:ind w:firstLine="643" w:firstLineChars="200"/>
        <w:rPr>
          <w:rFonts w:ascii="宋体" w:hAnsi="宋体" w:eastAsia="宋体" w:cs="宋体"/>
          <w:color w:val="000000" w:themeColor="text1"/>
          <w:kern w:val="0"/>
          <w:sz w:val="32"/>
          <w:szCs w:val="32"/>
        </w:rPr>
      </w:pPr>
      <w:r>
        <w:rPr>
          <w:rFonts w:hint="eastAsia" w:ascii="宋体" w:hAnsi="宋体" w:eastAsia="宋体" w:cs="仿宋_GB2312"/>
          <w:b/>
          <w:bCs/>
          <w:color w:val="000000" w:themeColor="text1"/>
          <w:kern w:val="0"/>
          <w:sz w:val="32"/>
          <w:szCs w:val="32"/>
        </w:rPr>
        <w:t>项目名称：2023中心血站自有资金项目</w:t>
      </w:r>
    </w:p>
    <w:p w14:paraId="5AFE922A">
      <w:pPr>
        <w:spacing w:line="560" w:lineRule="exact"/>
        <w:ind w:firstLine="643" w:firstLineChars="200"/>
        <w:rPr>
          <w:rFonts w:ascii="宋体" w:hAnsi="宋体" w:eastAsia="宋体" w:cs="宋体"/>
          <w:color w:val="000000" w:themeColor="text1"/>
          <w:kern w:val="0"/>
          <w:sz w:val="32"/>
          <w:szCs w:val="32"/>
        </w:rPr>
      </w:pPr>
      <w:r>
        <w:rPr>
          <w:rFonts w:hint="eastAsia" w:ascii="宋体" w:hAnsi="宋体" w:eastAsia="宋体" w:cs="仿宋_GB2312"/>
          <w:b/>
          <w:bCs/>
          <w:color w:val="000000" w:themeColor="text1"/>
          <w:kern w:val="0"/>
          <w:sz w:val="32"/>
          <w:szCs w:val="32"/>
        </w:rPr>
        <w:t>实施单位（公章）：新疆巴州中心血站</w:t>
      </w:r>
    </w:p>
    <w:p w14:paraId="437CC1F3">
      <w:pPr>
        <w:spacing w:line="560" w:lineRule="exact"/>
        <w:ind w:firstLine="643" w:firstLineChars="200"/>
        <w:rPr>
          <w:rFonts w:hint="default" w:ascii="宋体" w:hAnsi="宋体" w:eastAsia="宋体" w:cs="宋体"/>
          <w:color w:val="000000" w:themeColor="text1"/>
          <w:kern w:val="0"/>
          <w:sz w:val="32"/>
          <w:szCs w:val="32"/>
          <w:lang w:val="en-US" w:eastAsia="zh-CN"/>
        </w:rPr>
      </w:pPr>
      <w:r>
        <w:rPr>
          <w:rFonts w:hint="eastAsia" w:ascii="宋体" w:hAnsi="宋体" w:eastAsia="宋体" w:cs="仿宋_GB2312"/>
          <w:b/>
          <w:bCs/>
          <w:color w:val="000000" w:themeColor="text1"/>
          <w:kern w:val="0"/>
          <w:sz w:val="32"/>
          <w:szCs w:val="32"/>
        </w:rPr>
        <w:t>主管部门（公章）：巴州</w:t>
      </w:r>
      <w:r>
        <w:rPr>
          <w:rFonts w:hint="eastAsia" w:ascii="宋体" w:hAnsi="宋体" w:eastAsia="宋体" w:cs="仿宋_GB2312"/>
          <w:b/>
          <w:bCs/>
          <w:color w:val="000000" w:themeColor="text1"/>
          <w:kern w:val="0"/>
          <w:sz w:val="32"/>
          <w:szCs w:val="32"/>
          <w:lang w:val="en-US" w:eastAsia="zh-CN"/>
        </w:rPr>
        <w:t>卫生健康委员会</w:t>
      </w:r>
      <w:bookmarkStart w:id="21" w:name="_GoBack"/>
      <w:bookmarkEnd w:id="21"/>
    </w:p>
    <w:p w14:paraId="5B55100E">
      <w:pPr>
        <w:spacing w:line="560" w:lineRule="exact"/>
        <w:ind w:firstLine="643" w:firstLineChars="200"/>
        <w:rPr>
          <w:rFonts w:ascii="宋体" w:hAnsi="宋体" w:eastAsia="宋体" w:cs="宋体"/>
          <w:color w:val="000000" w:themeColor="text1"/>
          <w:kern w:val="0"/>
          <w:sz w:val="32"/>
          <w:szCs w:val="32"/>
        </w:rPr>
      </w:pPr>
      <w:r>
        <w:rPr>
          <w:rFonts w:hint="eastAsia" w:ascii="宋体" w:hAnsi="宋体" w:eastAsia="宋体" w:cs="仿宋_GB2312"/>
          <w:b/>
          <w:bCs/>
          <w:color w:val="000000" w:themeColor="text1"/>
          <w:kern w:val="0"/>
          <w:sz w:val="32"/>
          <w:szCs w:val="32"/>
        </w:rPr>
        <w:t>项目负责人（签章）：刘鹏</w:t>
      </w:r>
    </w:p>
    <w:p w14:paraId="0E854437">
      <w:pPr>
        <w:spacing w:line="560" w:lineRule="exact"/>
        <w:ind w:firstLine="643" w:firstLineChars="200"/>
        <w:rPr>
          <w:rFonts w:ascii="宋体" w:hAnsi="宋体" w:eastAsia="宋体" w:cs="仿宋_GB2312"/>
          <w:color w:val="000000" w:themeColor="text1"/>
          <w:kern w:val="0"/>
          <w:sz w:val="32"/>
          <w:szCs w:val="32"/>
        </w:rPr>
      </w:pPr>
      <w:r>
        <w:rPr>
          <w:rFonts w:hint="eastAsia" w:ascii="宋体" w:hAnsi="宋体" w:eastAsia="宋体" w:cs="仿宋_GB2312"/>
          <w:b/>
          <w:bCs/>
          <w:color w:val="000000" w:themeColor="text1"/>
          <w:kern w:val="0"/>
          <w:sz w:val="32"/>
          <w:szCs w:val="32"/>
        </w:rPr>
        <w:t>填报时间：</w:t>
      </w:r>
      <w:r>
        <w:rPr>
          <w:rFonts w:hint="eastAsia" w:ascii="宋体" w:hAnsi="宋体" w:eastAsia="宋体" w:cs="仿宋_GB2312"/>
          <w:color w:val="000000" w:themeColor="text1"/>
          <w:kern w:val="0"/>
          <w:sz w:val="32"/>
          <w:szCs w:val="32"/>
        </w:rPr>
        <w:t>2024年 5月10日</w:t>
      </w:r>
    </w:p>
    <w:p w14:paraId="6DD7DD9E">
      <w:pPr>
        <w:widowControl/>
        <w:spacing w:line="560" w:lineRule="exact"/>
        <w:ind w:firstLine="723" w:firstLineChars="200"/>
        <w:jc w:val="left"/>
        <w:rPr>
          <w:rFonts w:ascii="宋体" w:hAnsi="宋体" w:eastAsia="宋体" w:cs="Arial"/>
          <w:b/>
          <w:bCs/>
          <w:color w:val="000000" w:themeColor="text1"/>
          <w:sz w:val="36"/>
          <w:szCs w:val="36"/>
        </w:rPr>
      </w:pPr>
      <w:r>
        <w:rPr>
          <w:rFonts w:ascii="宋体" w:hAnsi="宋体" w:eastAsia="宋体" w:cs="Arial"/>
          <w:b/>
          <w:bCs/>
          <w:color w:val="000000" w:themeColor="text1"/>
          <w:sz w:val="36"/>
          <w:szCs w:val="36"/>
        </w:rPr>
        <w:br w:type="page"/>
      </w:r>
    </w:p>
    <w:p w14:paraId="39D3D5ED">
      <w:pPr>
        <w:spacing w:line="560" w:lineRule="exact"/>
        <w:ind w:firstLine="723" w:firstLineChars="200"/>
        <w:jc w:val="center"/>
        <w:rPr>
          <w:rFonts w:ascii="Arial" w:hAnsi="Arial" w:eastAsia="宋体" w:cs="Arial"/>
          <w:b/>
          <w:bCs/>
          <w:color w:val="000000" w:themeColor="text1"/>
          <w:sz w:val="36"/>
          <w:szCs w:val="36"/>
        </w:rPr>
      </w:pPr>
      <w:r>
        <w:rPr>
          <w:rFonts w:hint="eastAsia" w:ascii="宋体" w:hAnsi="宋体" w:eastAsia="宋体" w:cs="Arial"/>
          <w:b/>
          <w:bCs/>
          <w:color w:val="000000" w:themeColor="text1"/>
          <w:sz w:val="36"/>
          <w:szCs w:val="36"/>
        </w:rPr>
        <w:t>项目支出</w:t>
      </w:r>
      <w:r>
        <w:rPr>
          <w:rFonts w:ascii="宋体" w:hAnsi="宋体" w:eastAsia="宋体" w:cs="Arial"/>
          <w:b/>
          <w:bCs/>
          <w:color w:val="000000" w:themeColor="text1"/>
          <w:sz w:val="36"/>
          <w:szCs w:val="36"/>
        </w:rPr>
        <w:t>绩效</w:t>
      </w:r>
      <w:r>
        <w:rPr>
          <w:rFonts w:hint="eastAsia" w:ascii="宋体" w:hAnsi="宋体" w:eastAsia="宋体" w:cs="Arial"/>
          <w:b/>
          <w:bCs/>
          <w:color w:val="000000" w:themeColor="text1"/>
          <w:sz w:val="36"/>
          <w:szCs w:val="36"/>
        </w:rPr>
        <w:t>评价报告</w:t>
      </w:r>
    </w:p>
    <w:p w14:paraId="5BA47123">
      <w:pPr>
        <w:spacing w:line="560" w:lineRule="exact"/>
        <w:ind w:firstLine="600" w:firstLineChars="200"/>
        <w:jc w:val="center"/>
        <w:rPr>
          <w:rFonts w:ascii="仿宋_GB2312"/>
          <w:color w:val="000000" w:themeColor="text1"/>
          <w:szCs w:val="30"/>
        </w:rPr>
      </w:pPr>
    </w:p>
    <w:p w14:paraId="692FA0E1">
      <w:pPr>
        <w:pStyle w:val="3"/>
        <w:numPr>
          <w:ilvl w:val="0"/>
          <w:numId w:val="1"/>
        </w:numPr>
        <w:spacing w:before="0" w:after="0" w:line="560" w:lineRule="exact"/>
        <w:rPr>
          <w:rFonts w:ascii="宋体" w:hAnsi="宋体" w:eastAsia="宋体"/>
          <w:color w:val="000000" w:themeColor="text1"/>
          <w:sz w:val="32"/>
          <w:szCs w:val="32"/>
        </w:rPr>
      </w:pPr>
      <w:bookmarkStart w:id="0" w:name="_Toc68703827"/>
      <w:r>
        <w:rPr>
          <w:rFonts w:hint="eastAsia" w:ascii="宋体" w:hAnsi="宋体" w:eastAsia="宋体"/>
          <w:color w:val="000000" w:themeColor="text1"/>
          <w:sz w:val="32"/>
          <w:szCs w:val="32"/>
        </w:rPr>
        <w:t>基本情况</w:t>
      </w:r>
      <w:bookmarkEnd w:id="0"/>
    </w:p>
    <w:p w14:paraId="40D46B4E">
      <w:pPr>
        <w:ind w:firstLine="600" w:firstLineChars="200"/>
        <w:rPr>
          <w:color w:val="000000" w:themeColor="text1"/>
        </w:rPr>
      </w:pPr>
      <w:r>
        <w:rPr>
          <w:rFonts w:hint="eastAsia"/>
          <w:color w:val="000000" w:themeColor="text1"/>
        </w:rPr>
        <w:t>巴州中心血站承担自治州范围内无偿献血者的招募、血液的采集与制备、临床用血供应及医疗用血的业务指导；负责供血区域范围内的血液储存和所在行政区城内的中心血库的质量控制等工作。</w:t>
      </w:r>
    </w:p>
    <w:p w14:paraId="7C7303B9">
      <w:pPr>
        <w:pStyle w:val="4"/>
        <w:spacing w:before="0" w:after="0" w:line="560" w:lineRule="exact"/>
        <w:ind w:firstLine="640" w:firstLineChars="200"/>
        <w:rPr>
          <w:rFonts w:ascii="仿宋_GB2312" w:eastAsia="仿宋_GB2312"/>
          <w:b w:val="0"/>
          <w:bCs w:val="0"/>
          <w:color w:val="000000" w:themeColor="text1"/>
        </w:rPr>
      </w:pPr>
      <w:bookmarkStart w:id="1" w:name="_Toc68703828"/>
      <w:r>
        <w:rPr>
          <w:rFonts w:hint="eastAsia" w:ascii="仿宋_GB2312" w:eastAsia="仿宋_GB2312"/>
          <w:b w:val="0"/>
          <w:bCs w:val="0"/>
          <w:color w:val="000000" w:themeColor="text1"/>
        </w:rPr>
        <w:t>（一）项目概况。</w:t>
      </w:r>
      <w:bookmarkEnd w:id="1"/>
    </w:p>
    <w:p w14:paraId="12B1EAD4">
      <w:pPr>
        <w:spacing w:line="560" w:lineRule="exact"/>
        <w:ind w:firstLine="600" w:firstLineChars="200"/>
        <w:rPr>
          <w:rFonts w:ascii="仿宋_GB2312"/>
          <w:color w:val="000000" w:themeColor="text1"/>
        </w:rPr>
      </w:pPr>
      <w:r>
        <w:rPr>
          <w:rFonts w:hint="eastAsia" w:ascii="仿宋_GB2312"/>
          <w:color w:val="000000" w:themeColor="text1"/>
        </w:rPr>
        <w:t>1.项目背景，主要内容及实施情况</w:t>
      </w:r>
    </w:p>
    <w:p w14:paraId="7F57EB0A">
      <w:pPr>
        <w:spacing w:line="560" w:lineRule="exact"/>
        <w:ind w:firstLine="600" w:firstLineChars="200"/>
        <w:rPr>
          <w:rFonts w:ascii="仿宋_GB2312"/>
          <w:color w:val="000000" w:themeColor="text1"/>
        </w:rPr>
      </w:pPr>
      <w:r>
        <w:rPr>
          <w:rFonts w:hint="eastAsia" w:ascii="仿宋_GB2312"/>
          <w:color w:val="000000" w:themeColor="text1"/>
        </w:rPr>
        <w:t>（1）项目背景</w:t>
      </w:r>
    </w:p>
    <w:p w14:paraId="5D01AAC8">
      <w:pPr>
        <w:spacing w:line="560" w:lineRule="exact"/>
        <w:ind w:firstLine="600" w:firstLineChars="200"/>
        <w:rPr>
          <w:rFonts w:ascii="仿宋_GB2312"/>
          <w:color w:val="000000" w:themeColor="text1"/>
        </w:rPr>
      </w:pPr>
      <w:r>
        <w:rPr>
          <w:rFonts w:hint="eastAsia" w:ascii="仿宋_GB2312"/>
          <w:color w:val="000000" w:themeColor="text1"/>
        </w:rPr>
        <w:t xml:space="preserve">    《国务院办公厅关于印发“十四五国民健康规划的通知》提出，提升血液供应保障能力</w:t>
      </w:r>
      <w:r>
        <w:rPr>
          <w:rFonts w:ascii="仿宋_GB2312"/>
          <w:color w:val="000000" w:themeColor="text1"/>
        </w:rPr>
        <w:t>,</w:t>
      </w:r>
      <w:r>
        <w:rPr>
          <w:rFonts w:hint="eastAsia" w:ascii="仿宋_GB2312"/>
          <w:color w:val="000000" w:themeColor="text1"/>
        </w:rPr>
        <w:t>完善采供血网络布局</w:t>
      </w:r>
      <w:r>
        <w:rPr>
          <w:rFonts w:ascii="仿宋_GB2312"/>
          <w:color w:val="000000" w:themeColor="text1"/>
        </w:rPr>
        <w:t>,</w:t>
      </w:r>
      <w:r>
        <w:rPr>
          <w:rFonts w:hint="eastAsia" w:ascii="仿宋_GB2312"/>
          <w:color w:val="000000" w:themeColor="text1"/>
        </w:rPr>
        <w:t>巩固血液核酸检测全覆盖成果</w:t>
      </w:r>
      <w:r>
        <w:rPr>
          <w:rFonts w:ascii="仿宋_GB2312"/>
          <w:color w:val="000000" w:themeColor="text1"/>
        </w:rPr>
        <w:t>,</w:t>
      </w:r>
      <w:r>
        <w:rPr>
          <w:rFonts w:hint="eastAsia" w:ascii="仿宋_GB2312"/>
          <w:color w:val="000000" w:themeColor="text1"/>
        </w:rPr>
        <w:t>建立血液应急保障指挥平台，健全巩固常态化全国血液库存监测制度和血液联动保障机制，提高血液应急保障能力。加大无偿献血宣传动员力度，提升献血率。</w:t>
      </w:r>
    </w:p>
    <w:p w14:paraId="285A9748">
      <w:pPr>
        <w:spacing w:line="560" w:lineRule="exact"/>
        <w:ind w:firstLine="600" w:firstLineChars="200"/>
        <w:rPr>
          <w:rFonts w:ascii="仿宋_GB2312"/>
          <w:color w:val="000000" w:themeColor="text1"/>
        </w:rPr>
      </w:pPr>
      <w:r>
        <w:rPr>
          <w:rFonts w:hint="eastAsia" w:ascii="仿宋_GB2312"/>
          <w:color w:val="000000" w:themeColor="text1"/>
        </w:rPr>
        <w:t>（2）主要内容</w:t>
      </w:r>
      <w:r>
        <w:rPr>
          <w:rFonts w:hint="eastAsia"/>
          <w:color w:val="000000" w:themeColor="text1"/>
        </w:rPr>
        <w:t>及</w:t>
      </w:r>
      <w:r>
        <w:rPr>
          <w:rFonts w:hint="eastAsia" w:ascii="仿宋_GB2312"/>
          <w:color w:val="000000" w:themeColor="text1"/>
        </w:rPr>
        <w:t>实施情况</w:t>
      </w:r>
    </w:p>
    <w:p w14:paraId="3B2C2EF4">
      <w:pPr>
        <w:spacing w:line="560" w:lineRule="exact"/>
        <w:ind w:firstLine="600" w:firstLineChars="200"/>
        <w:rPr>
          <w:rFonts w:ascii="仿宋_GB2312"/>
          <w:color w:val="000000" w:themeColor="text1"/>
        </w:rPr>
      </w:pPr>
      <w:r>
        <w:rPr>
          <w:rFonts w:hint="eastAsia" w:ascii="仿宋_GB2312"/>
          <w:color w:val="000000" w:themeColor="text1"/>
        </w:rPr>
        <w:t>主要内容：巴州中心血站根据项目总目标要求，需完成全州范围内无偿献血者的招募、血液的采集与制备、临床用血供应等工作，提升了血液保障能力。</w:t>
      </w:r>
    </w:p>
    <w:p w14:paraId="46EE4BC9">
      <w:pPr>
        <w:spacing w:line="560" w:lineRule="exact"/>
        <w:ind w:firstLine="600" w:firstLineChars="200"/>
        <w:rPr>
          <w:rFonts w:ascii="仿宋_GB2312"/>
          <w:color w:val="000000" w:themeColor="text1"/>
        </w:rPr>
      </w:pPr>
      <w:r>
        <w:rPr>
          <w:rFonts w:hint="eastAsia" w:ascii="仿宋_GB2312"/>
          <w:color w:val="000000" w:themeColor="text1"/>
        </w:rPr>
        <w:t>实施情况：巴州中心血站全年采集献血者血液人数14082人，献血者HIV检测人数14082人，及时采购物资50批次，基本完成自治州范围内无偿献血者的招募、血液的采集与制备、临床用血供应及医疗用血的业务指导；负责供血区域范围内的血液储存和所在行政区城内的中心血库的质量控制等工作，巩固了血液保障能力。</w:t>
      </w:r>
    </w:p>
    <w:p w14:paraId="2F141B58">
      <w:pPr>
        <w:spacing w:line="560" w:lineRule="exact"/>
        <w:ind w:firstLine="600" w:firstLineChars="200"/>
        <w:rPr>
          <w:rFonts w:ascii="仿宋_GB2312"/>
          <w:color w:val="000000" w:themeColor="text1"/>
        </w:rPr>
      </w:pPr>
      <w:r>
        <w:rPr>
          <w:rFonts w:hint="eastAsia" w:ascii="仿宋_GB2312"/>
          <w:color w:val="000000" w:themeColor="text1"/>
        </w:rPr>
        <w:t>2.资金投入和使用情况</w:t>
      </w:r>
    </w:p>
    <w:p w14:paraId="77B4E5A7">
      <w:pPr>
        <w:spacing w:line="560" w:lineRule="exact"/>
        <w:ind w:firstLine="600" w:firstLineChars="200"/>
        <w:rPr>
          <w:color w:val="000000" w:themeColor="text1"/>
        </w:rPr>
      </w:pPr>
      <w:r>
        <w:rPr>
          <w:rFonts w:hint="eastAsia"/>
          <w:color w:val="000000" w:themeColor="text1"/>
        </w:rPr>
        <w:t>（1）资金投入情况：该项目年初预算数1078万元，全年预算数1078万元，实际总投入</w:t>
      </w:r>
      <w:r>
        <w:rPr>
          <w:color w:val="000000" w:themeColor="text1"/>
        </w:rPr>
        <w:t>907.95</w:t>
      </w:r>
      <w:r>
        <w:rPr>
          <w:rFonts w:hint="eastAsia"/>
          <w:color w:val="000000" w:themeColor="text1"/>
        </w:rPr>
        <w:t>万元，该项目资金已全部落实到位，资金来源为中心血站自有资金。</w:t>
      </w:r>
    </w:p>
    <w:p w14:paraId="7F4D3B6A">
      <w:pPr>
        <w:spacing w:line="560" w:lineRule="exact"/>
        <w:ind w:firstLine="600" w:firstLineChars="200"/>
        <w:rPr>
          <w:color w:val="000000" w:themeColor="text1"/>
        </w:rPr>
      </w:pPr>
      <w:r>
        <w:rPr>
          <w:rFonts w:hint="eastAsia"/>
          <w:color w:val="000000" w:themeColor="text1"/>
        </w:rPr>
        <w:t>（2）资金使用情况：该项目年初预算数</w:t>
      </w:r>
      <w:r>
        <w:rPr>
          <w:color w:val="000000" w:themeColor="text1"/>
        </w:rPr>
        <w:t>1078</w:t>
      </w:r>
      <w:r>
        <w:rPr>
          <w:rFonts w:hint="eastAsia"/>
          <w:color w:val="000000" w:themeColor="text1"/>
        </w:rPr>
        <w:t>万元，全年预算数</w:t>
      </w:r>
      <w:r>
        <w:rPr>
          <w:color w:val="000000" w:themeColor="text1"/>
        </w:rPr>
        <w:t>1078</w:t>
      </w:r>
      <w:r>
        <w:rPr>
          <w:rFonts w:hint="eastAsia"/>
          <w:color w:val="000000" w:themeColor="text1"/>
        </w:rPr>
        <w:t>万元，全年执行数</w:t>
      </w:r>
      <w:r>
        <w:rPr>
          <w:color w:val="000000" w:themeColor="text1"/>
        </w:rPr>
        <w:t>907.95</w:t>
      </w:r>
      <w:r>
        <w:rPr>
          <w:rFonts w:hint="eastAsia"/>
          <w:color w:val="000000" w:themeColor="text1"/>
        </w:rPr>
        <w:t>万元，预算执行率为84.23%，用于：人员经费支出数625.68万元、物资采购268.33万元、车辆运行费用13.94万元。</w:t>
      </w:r>
    </w:p>
    <w:p w14:paraId="3F7A3FD9">
      <w:pPr>
        <w:spacing w:line="560" w:lineRule="exact"/>
        <w:ind w:firstLine="600" w:firstLineChars="200"/>
        <w:rPr>
          <w:rFonts w:ascii="仿宋_GB2312"/>
          <w:color w:val="000000" w:themeColor="text1"/>
        </w:rPr>
      </w:pPr>
      <w:bookmarkStart w:id="2" w:name="_Toc68703829"/>
      <w:r>
        <w:rPr>
          <w:rFonts w:hint="eastAsia" w:ascii="仿宋_GB2312"/>
          <w:color w:val="000000" w:themeColor="text1"/>
        </w:rPr>
        <w:t>（二）项目绩效目标</w:t>
      </w:r>
      <w:bookmarkEnd w:id="2"/>
      <w:r>
        <w:rPr>
          <w:rFonts w:hint="eastAsia" w:ascii="仿宋_GB2312"/>
          <w:color w:val="000000" w:themeColor="text1"/>
        </w:rPr>
        <w:t>，</w:t>
      </w:r>
      <w:r>
        <w:rPr>
          <w:rFonts w:hint="eastAsia"/>
          <w:color w:val="000000" w:themeColor="text1"/>
        </w:rPr>
        <w:t>包括总体目标和阶段性目标。</w:t>
      </w:r>
    </w:p>
    <w:p w14:paraId="4BBAC9EC">
      <w:pPr>
        <w:spacing w:line="560" w:lineRule="exact"/>
        <w:ind w:firstLine="600" w:firstLineChars="200"/>
        <w:rPr>
          <w:color w:val="000000" w:themeColor="text1"/>
        </w:rPr>
      </w:pPr>
      <w:r>
        <w:rPr>
          <w:rFonts w:hint="eastAsia"/>
          <w:color w:val="000000" w:themeColor="text1"/>
        </w:rPr>
        <w:t>1.总体目标：巴州中心血站承担自治州范围内无偿献血者的招募、血液的采集与制备、临床用血供应及医疗用血的业务指导；负责供血区域范围内的血液储存和所在行政区城内的中心血库的质量控制等工作。</w:t>
      </w:r>
    </w:p>
    <w:p w14:paraId="4F72206F">
      <w:pPr>
        <w:spacing w:line="560" w:lineRule="exact"/>
        <w:ind w:firstLine="600" w:firstLineChars="200"/>
        <w:rPr>
          <w:color w:val="000000" w:themeColor="text1"/>
        </w:rPr>
      </w:pPr>
      <w:r>
        <w:rPr>
          <w:color w:val="000000" w:themeColor="text1"/>
        </w:rPr>
        <w:t>2</w:t>
      </w:r>
      <w:r>
        <w:rPr>
          <w:rFonts w:hint="eastAsia"/>
          <w:color w:val="000000" w:themeColor="text1"/>
        </w:rPr>
        <w:t>.阶段性目标</w:t>
      </w:r>
      <w:bookmarkStart w:id="3" w:name="_Toc68703830"/>
      <w:r>
        <w:rPr>
          <w:rFonts w:hint="eastAsia"/>
          <w:color w:val="000000" w:themeColor="text1"/>
        </w:rPr>
        <w:t>，项目计划上半年完成采集献血者血液人数6000人，献血者HIV检测人数6000人，采购物资25批次，发放工资300人次；计划下半年完成全年工作目标，完成自治州范围内无偿献血者的招募、血液的采集与制备、临床用血供应及医疗用血的业务指导；负责供血区域范围内的血液储存和所在行政区城内的中心血库的质量控制等工作，提升了血液保障能力。</w:t>
      </w:r>
    </w:p>
    <w:p w14:paraId="50C52CDE">
      <w:pPr>
        <w:spacing w:line="560" w:lineRule="exact"/>
        <w:ind w:firstLine="640" w:firstLineChars="200"/>
        <w:rPr>
          <w:rFonts w:ascii="宋体" w:hAnsi="宋体" w:eastAsia="宋体"/>
          <w:color w:val="000000" w:themeColor="text1"/>
          <w:sz w:val="32"/>
          <w:szCs w:val="32"/>
        </w:rPr>
      </w:pPr>
      <w:r>
        <w:rPr>
          <w:rFonts w:hint="eastAsia" w:ascii="宋体" w:hAnsi="宋体" w:eastAsia="宋体"/>
          <w:color w:val="000000" w:themeColor="text1"/>
          <w:sz w:val="32"/>
          <w:szCs w:val="32"/>
        </w:rPr>
        <w:t>二、绩效评价工作开展情况</w:t>
      </w:r>
      <w:bookmarkEnd w:id="3"/>
    </w:p>
    <w:p w14:paraId="5A2CFE54">
      <w:pPr>
        <w:pStyle w:val="4"/>
        <w:spacing w:before="0" w:after="0" w:line="560" w:lineRule="exact"/>
        <w:ind w:firstLine="640" w:firstLineChars="200"/>
        <w:rPr>
          <w:rFonts w:eastAsia="仿宋_GB2312"/>
          <w:color w:val="000000" w:themeColor="text1"/>
        </w:rPr>
      </w:pPr>
      <w:bookmarkStart w:id="4" w:name="_Toc68703831"/>
      <w:r>
        <w:rPr>
          <w:rFonts w:hint="eastAsia" w:ascii="仿宋_GB2312" w:eastAsia="仿宋_GB2312"/>
          <w:b w:val="0"/>
          <w:bCs w:val="0"/>
          <w:color w:val="000000" w:themeColor="text1"/>
        </w:rPr>
        <w:t>（一）绩效评价目的、对象和范围。</w:t>
      </w:r>
      <w:bookmarkEnd w:id="4"/>
    </w:p>
    <w:p w14:paraId="6792386B">
      <w:pPr>
        <w:spacing w:line="560" w:lineRule="exact"/>
        <w:ind w:firstLine="600" w:firstLineChars="200"/>
        <w:rPr>
          <w:color w:val="000000" w:themeColor="text1"/>
        </w:rPr>
      </w:pPr>
      <w:r>
        <w:rPr>
          <w:rFonts w:hint="eastAsia"/>
          <w:color w:val="000000" w:themeColor="text1"/>
        </w:rPr>
        <w:t>1.绩效评价目的：</w:t>
      </w:r>
    </w:p>
    <w:p w14:paraId="77DA0392">
      <w:pPr>
        <w:pStyle w:val="20"/>
        <w:spacing w:line="560" w:lineRule="exact"/>
        <w:ind w:firstLine="640" w:firstLineChars="200"/>
        <w:rPr>
          <w:rFonts w:eastAsia="方正仿宋_GBK" w:cs="方正仿宋_GBK"/>
          <w:color w:val="000000" w:themeColor="text1"/>
          <w:sz w:val="32"/>
          <w:szCs w:val="32"/>
        </w:rPr>
      </w:pPr>
      <w:r>
        <w:rPr>
          <w:color w:val="000000" w:themeColor="text1"/>
          <w:sz w:val="32"/>
          <w:szCs w:val="32"/>
        </w:rPr>
        <w:t>通过开展有效的支出绩效评价管理，</w:t>
      </w:r>
      <w:r>
        <w:rPr>
          <w:rFonts w:hint="eastAsia"/>
          <w:color w:val="000000" w:themeColor="text1"/>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E0128AC">
      <w:pPr>
        <w:spacing w:line="560" w:lineRule="exact"/>
        <w:ind w:firstLine="600" w:firstLineChars="200"/>
        <w:jc w:val="left"/>
        <w:rPr>
          <w:color w:val="000000" w:themeColor="text1"/>
        </w:rPr>
      </w:pPr>
      <w:r>
        <w:rPr>
          <w:rFonts w:hint="eastAsia"/>
          <w:color w:val="000000" w:themeColor="text1"/>
        </w:rPr>
        <w:t>2.绩效评价对象：</w:t>
      </w:r>
    </w:p>
    <w:p w14:paraId="78D39C4B">
      <w:pPr>
        <w:spacing w:line="560" w:lineRule="exact"/>
        <w:ind w:firstLine="600" w:firstLineChars="200"/>
        <w:rPr>
          <w:color w:val="000000" w:themeColor="text1"/>
        </w:rPr>
      </w:pPr>
      <w:r>
        <w:rPr>
          <w:rFonts w:hint="eastAsia"/>
          <w:color w:val="000000" w:themeColor="text1"/>
        </w:rPr>
        <w:t>2023中心血站自有资金项目</w:t>
      </w:r>
    </w:p>
    <w:p w14:paraId="0DB73BE7">
      <w:pPr>
        <w:spacing w:line="560" w:lineRule="exact"/>
        <w:ind w:firstLine="600" w:firstLineChars="200"/>
        <w:rPr>
          <w:color w:val="000000" w:themeColor="text1"/>
        </w:rPr>
      </w:pPr>
      <w:r>
        <w:rPr>
          <w:rFonts w:hint="eastAsia"/>
          <w:color w:val="000000" w:themeColor="text1"/>
        </w:rPr>
        <w:t>3.绩效评价范围：</w:t>
      </w:r>
    </w:p>
    <w:p w14:paraId="2166AD31">
      <w:pPr>
        <w:spacing w:line="560" w:lineRule="exact"/>
        <w:ind w:firstLine="600" w:firstLineChars="200"/>
        <w:rPr>
          <w:color w:val="000000" w:themeColor="text1"/>
        </w:rPr>
      </w:pPr>
      <w:r>
        <w:rPr>
          <w:rFonts w:hint="eastAsia"/>
          <w:color w:val="000000" w:themeColor="text1"/>
        </w:rPr>
        <w:t>本次评价从项目决策（包括绩效目标、决策过程）、项目管理（包括项目资金、项目实施）、项目产出（包括项目产出数量、产出质量、产出时效和产出成本）项目效益四个维度进行2023中心血站自有资金项目评价，评价核心为资金的支出完成情况和效果。</w:t>
      </w:r>
    </w:p>
    <w:p w14:paraId="019A3036">
      <w:pPr>
        <w:pStyle w:val="4"/>
        <w:spacing w:before="0" w:after="0" w:line="560" w:lineRule="exact"/>
        <w:ind w:firstLine="640" w:firstLineChars="200"/>
        <w:rPr>
          <w:rFonts w:ascii="仿宋_GB2312" w:eastAsia="仿宋_GB2312"/>
          <w:b w:val="0"/>
          <w:bCs w:val="0"/>
          <w:color w:val="000000" w:themeColor="text1"/>
        </w:rPr>
      </w:pPr>
      <w:bookmarkStart w:id="5" w:name="_Toc68703832"/>
      <w:r>
        <w:rPr>
          <w:rFonts w:hint="eastAsia" w:ascii="仿宋_GB2312" w:eastAsia="仿宋_GB2312"/>
          <w:b w:val="0"/>
          <w:bCs w:val="0"/>
          <w:color w:val="000000" w:themeColor="text1"/>
        </w:rPr>
        <w:t>（二）绩效评价原则、评价指标体系（附表说明）、评价方法、评价标准等。</w:t>
      </w:r>
      <w:bookmarkEnd w:id="5"/>
    </w:p>
    <w:p w14:paraId="0B46A4ED">
      <w:pPr>
        <w:spacing w:line="560" w:lineRule="exact"/>
        <w:ind w:firstLine="600" w:firstLineChars="200"/>
        <w:jc w:val="left"/>
        <w:rPr>
          <w:color w:val="000000" w:themeColor="text1"/>
        </w:rPr>
      </w:pPr>
      <w:r>
        <w:rPr>
          <w:rFonts w:hint="eastAsia"/>
          <w:color w:val="000000" w:themeColor="text1"/>
        </w:rPr>
        <w:t>1.绩效评价原则</w:t>
      </w:r>
    </w:p>
    <w:p w14:paraId="034C06F8">
      <w:pPr>
        <w:spacing w:line="560" w:lineRule="exact"/>
        <w:ind w:firstLine="640" w:firstLineChars="200"/>
        <w:rPr>
          <w:rFonts w:ascii="仿宋_GB2312"/>
          <w:bCs/>
          <w:color w:val="000000" w:themeColor="text1"/>
          <w:sz w:val="32"/>
          <w:szCs w:val="32"/>
        </w:rPr>
      </w:pPr>
      <w:r>
        <w:rPr>
          <w:color w:val="000000" w:themeColor="text1"/>
          <w:sz w:val="32"/>
          <w:szCs w:val="32"/>
        </w:rPr>
        <w:t>本次项目绩效评价遵循以下基本原则：</w:t>
      </w:r>
    </w:p>
    <w:p w14:paraId="285BCA99">
      <w:pPr>
        <w:spacing w:line="560" w:lineRule="exact"/>
        <w:ind w:firstLine="640" w:firstLineChars="200"/>
        <w:rPr>
          <w:rFonts w:ascii="仿宋_GB2312"/>
          <w:bCs/>
          <w:color w:val="000000" w:themeColor="text1"/>
          <w:sz w:val="32"/>
          <w:szCs w:val="32"/>
        </w:rPr>
      </w:pPr>
      <w:r>
        <w:rPr>
          <w:rFonts w:hint="eastAsia" w:ascii="仿宋_GB2312"/>
          <w:bCs/>
          <w:color w:val="000000" w:themeColor="text1"/>
          <w:sz w:val="32"/>
          <w:szCs w:val="32"/>
        </w:rPr>
        <w:t>（一）科学公正。本次项目支出绩效评价运用科学合理的方法，按照规范的程序，对项目绩效进行客观、公正的反映。</w:t>
      </w:r>
    </w:p>
    <w:p w14:paraId="14F64230">
      <w:pPr>
        <w:spacing w:line="560" w:lineRule="exact"/>
        <w:ind w:firstLine="640" w:firstLineChars="200"/>
        <w:rPr>
          <w:rFonts w:ascii="仿宋_GB2312"/>
          <w:bCs/>
          <w:color w:val="000000" w:themeColor="text1"/>
          <w:sz w:val="32"/>
          <w:szCs w:val="32"/>
        </w:rPr>
      </w:pPr>
      <w:r>
        <w:rPr>
          <w:rFonts w:hint="eastAsia" w:ascii="仿宋_GB2312"/>
          <w:bCs/>
          <w:color w:val="000000" w:themeColor="text1"/>
          <w:sz w:val="32"/>
          <w:szCs w:val="32"/>
        </w:rPr>
        <w:t>（二）统筹兼顾。本次项目支出绩效评价由本单位自主实施，即“谁支出、谁自评”。</w:t>
      </w:r>
    </w:p>
    <w:p w14:paraId="2C3FE337">
      <w:pPr>
        <w:spacing w:line="560" w:lineRule="exact"/>
        <w:ind w:firstLine="640" w:firstLineChars="200"/>
        <w:rPr>
          <w:rFonts w:ascii="仿宋_GB2312"/>
          <w:bCs/>
          <w:color w:val="000000" w:themeColor="text1"/>
          <w:sz w:val="32"/>
          <w:szCs w:val="32"/>
        </w:rPr>
      </w:pPr>
      <w:r>
        <w:rPr>
          <w:rFonts w:hint="eastAsia" w:ascii="仿宋_GB2312"/>
          <w:bCs/>
          <w:color w:val="000000" w:themeColor="text1"/>
          <w:sz w:val="32"/>
          <w:szCs w:val="32"/>
        </w:rPr>
        <w:t>（三）激励约束。本次项目支出绩效评价结果与预算安排、政策调整、改进管理实质性挂钩，体现奖优罚劣和激励相容导向，有效要安排、低效要压减、无效要问责。</w:t>
      </w:r>
    </w:p>
    <w:p w14:paraId="57EFC325">
      <w:pPr>
        <w:spacing w:line="560" w:lineRule="exact"/>
        <w:ind w:firstLine="640" w:firstLineChars="200"/>
        <w:rPr>
          <w:color w:val="000000" w:themeColor="text1"/>
        </w:rPr>
      </w:pPr>
      <w:r>
        <w:rPr>
          <w:rFonts w:hint="eastAsia" w:ascii="仿宋_GB2312"/>
          <w:bCs/>
          <w:color w:val="000000" w:themeColor="text1"/>
          <w:sz w:val="32"/>
          <w:szCs w:val="32"/>
        </w:rPr>
        <w:t>（四）公开透明。本次项目支出绩效评价结果已依法依规公开在巴州中心血站网站上，并自觉接受社会监督。</w:t>
      </w:r>
    </w:p>
    <w:p w14:paraId="57CB46F6">
      <w:pPr>
        <w:spacing w:line="560" w:lineRule="exact"/>
        <w:ind w:firstLine="600" w:firstLineChars="200"/>
        <w:jc w:val="left"/>
        <w:rPr>
          <w:color w:val="000000" w:themeColor="text1"/>
        </w:rPr>
      </w:pPr>
      <w:r>
        <w:rPr>
          <w:rFonts w:hint="eastAsia"/>
          <w:color w:val="000000" w:themeColor="text1"/>
        </w:rPr>
        <w:t>2、评价指标体系（附表说明）</w:t>
      </w:r>
    </w:p>
    <w:p w14:paraId="57FD0C1F">
      <w:pPr>
        <w:spacing w:line="560" w:lineRule="exact"/>
        <w:ind w:firstLine="708" w:firstLineChars="200"/>
        <w:rPr>
          <w:color w:val="000000" w:themeColor="text1"/>
          <w:spacing w:val="17"/>
          <w:sz w:val="32"/>
          <w:szCs w:val="32"/>
        </w:rPr>
      </w:pPr>
      <w:r>
        <w:rPr>
          <w:color w:val="000000" w:themeColor="text1"/>
          <w:spacing w:val="17"/>
          <w:sz w:val="32"/>
          <w:szCs w:val="32"/>
        </w:rPr>
        <w:t>绩效评价框架是开展绩效评价的核心。绩效评价框架包括评价准则、关键评价问题、评价指标、数据来源、数据收集方法等。指标体系建立过程如下：</w:t>
      </w:r>
    </w:p>
    <w:p w14:paraId="0CE9B435">
      <w:pPr>
        <w:spacing w:line="560" w:lineRule="exact"/>
        <w:ind w:firstLine="708" w:firstLineChars="200"/>
        <w:rPr>
          <w:color w:val="000000" w:themeColor="text1"/>
          <w:spacing w:val="17"/>
          <w:sz w:val="32"/>
          <w:szCs w:val="32"/>
        </w:rPr>
      </w:pPr>
      <w:r>
        <w:rPr>
          <w:color w:val="000000" w:themeColor="text1"/>
          <w:spacing w:val="17"/>
          <w:sz w:val="32"/>
          <w:szCs w:val="32"/>
        </w:rPr>
        <w:t>（1）确定评价指标</w:t>
      </w:r>
    </w:p>
    <w:p w14:paraId="42BE1E94">
      <w:pPr>
        <w:spacing w:line="560" w:lineRule="exact"/>
        <w:ind w:firstLine="708" w:firstLineChars="200"/>
        <w:rPr>
          <w:color w:val="000000" w:themeColor="text1"/>
          <w:spacing w:val="17"/>
          <w:sz w:val="32"/>
          <w:szCs w:val="32"/>
        </w:rPr>
      </w:pPr>
      <w:r>
        <w:rPr>
          <w:color w:val="000000" w:themeColor="text1"/>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09CF190">
      <w:pPr>
        <w:spacing w:line="560" w:lineRule="exact"/>
        <w:ind w:firstLine="708" w:firstLineChars="200"/>
        <w:rPr>
          <w:color w:val="000000" w:themeColor="text1"/>
          <w:spacing w:val="17"/>
          <w:sz w:val="32"/>
          <w:szCs w:val="32"/>
        </w:rPr>
      </w:pPr>
      <w:r>
        <w:rPr>
          <w:color w:val="000000" w:themeColor="text1"/>
          <w:spacing w:val="17"/>
          <w:sz w:val="32"/>
          <w:szCs w:val="32"/>
        </w:rPr>
        <w:t>（2）确定权重</w:t>
      </w:r>
    </w:p>
    <w:p w14:paraId="59A9541B">
      <w:pPr>
        <w:spacing w:line="560" w:lineRule="exact"/>
        <w:ind w:firstLine="628" w:firstLineChars="200"/>
        <w:rPr>
          <w:color w:val="000000" w:themeColor="text1"/>
          <w:spacing w:val="17"/>
          <w:sz w:val="28"/>
          <w:szCs w:val="28"/>
        </w:rPr>
      </w:pPr>
      <w:r>
        <w:rPr>
          <w:color w:val="000000" w:themeColor="text1"/>
          <w:spacing w:val="17"/>
          <w:sz w:val="28"/>
          <w:szCs w:val="28"/>
        </w:rPr>
        <w:t>确定各个指标相对于项目总体绩效的权重分值。在绩效评价指标体系中，项目决策权重为20分，项目过程权重为20分，项目产出权重为40分，项目效益权重为20分。</w:t>
      </w:r>
    </w:p>
    <w:p w14:paraId="6CA98BD8">
      <w:pPr>
        <w:spacing w:line="560" w:lineRule="exact"/>
        <w:ind w:firstLine="708" w:firstLineChars="200"/>
        <w:rPr>
          <w:color w:val="000000" w:themeColor="text1"/>
          <w:spacing w:val="17"/>
          <w:sz w:val="32"/>
          <w:szCs w:val="32"/>
        </w:rPr>
      </w:pPr>
      <w:r>
        <w:rPr>
          <w:color w:val="000000" w:themeColor="text1"/>
          <w:spacing w:val="17"/>
          <w:sz w:val="32"/>
          <w:szCs w:val="32"/>
        </w:rPr>
        <w:t>（3）确定指标标准值</w:t>
      </w:r>
    </w:p>
    <w:p w14:paraId="3C61CDBB">
      <w:pPr>
        <w:spacing w:line="560" w:lineRule="exact"/>
        <w:ind w:firstLine="708" w:firstLineChars="200"/>
        <w:rPr>
          <w:color w:val="000000" w:themeColor="text1"/>
          <w:spacing w:val="17"/>
          <w:sz w:val="32"/>
          <w:szCs w:val="32"/>
        </w:rPr>
      </w:pPr>
      <w:r>
        <w:rPr>
          <w:color w:val="000000" w:themeColor="text1"/>
          <w:spacing w:val="17"/>
          <w:sz w:val="32"/>
          <w:szCs w:val="32"/>
        </w:rPr>
        <w:t>指标标准值是绩效评价指标的尺度，既要反映同类项目的先进水平，又要符合项目的实际绩效水平。具体采用计划标准等确定此次绩效评价指标标准值。</w:t>
      </w:r>
    </w:p>
    <w:p w14:paraId="47828A5E">
      <w:pPr>
        <w:pStyle w:val="2"/>
        <w:spacing w:before="0" w:after="0" w:line="560" w:lineRule="exact"/>
        <w:ind w:firstLine="708" w:firstLineChars="200"/>
        <w:jc w:val="both"/>
        <w:rPr>
          <w:color w:val="000000" w:themeColor="text1"/>
          <w:spacing w:val="17"/>
        </w:rPr>
      </w:pPr>
      <w:r>
        <w:rPr>
          <w:rFonts w:ascii="Times New Roman" w:hAnsi="Times New Roman" w:eastAsia="仿宋_GB2312"/>
          <w:b w:val="0"/>
          <w:bCs w:val="0"/>
          <w:color w:val="000000" w:themeColor="text1"/>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36448A9">
      <w:pPr>
        <w:spacing w:line="560" w:lineRule="exact"/>
        <w:ind w:firstLine="600" w:firstLineChars="200"/>
        <w:jc w:val="left"/>
        <w:rPr>
          <w:color w:val="000000" w:themeColor="text1"/>
        </w:rPr>
      </w:pPr>
      <w:r>
        <w:rPr>
          <w:rFonts w:hint="eastAsia"/>
          <w:color w:val="000000" w:themeColor="text1"/>
        </w:rPr>
        <w:t>3、评价方法</w:t>
      </w:r>
    </w:p>
    <w:p w14:paraId="51010C79">
      <w:pPr>
        <w:spacing w:line="560" w:lineRule="exact"/>
        <w:ind w:firstLine="708" w:firstLineChars="200"/>
        <w:rPr>
          <w:color w:val="000000" w:themeColor="text1"/>
          <w:spacing w:val="17"/>
          <w:sz w:val="32"/>
          <w:szCs w:val="32"/>
        </w:rPr>
      </w:pPr>
      <w:r>
        <w:rPr>
          <w:color w:val="000000" w:themeColor="text1"/>
          <w:spacing w:val="17"/>
          <w:sz w:val="32"/>
          <w:szCs w:val="32"/>
        </w:rPr>
        <w:t>绩效评价从项目决策、项目过程、项目产出、项目效益四个维度进行评价。评价对象为项目目标实施情况，  评价核心为资金的支出完成情况和项目的产出效益。</w:t>
      </w:r>
    </w:p>
    <w:p w14:paraId="5830E7D4">
      <w:pPr>
        <w:spacing w:line="560" w:lineRule="exact"/>
        <w:ind w:firstLine="708" w:firstLineChars="200"/>
        <w:rPr>
          <w:color w:val="000000" w:themeColor="text1"/>
        </w:rPr>
      </w:pPr>
      <w:r>
        <w:rPr>
          <w:color w:val="000000" w:themeColor="text1"/>
          <w:spacing w:val="17"/>
          <w:sz w:val="32"/>
          <w:szCs w:val="32"/>
        </w:rPr>
        <w:t>本次评价指标中，既有定性指标又有定量指标，各类指标因考核内容不同和客观标准不同存在较大差异，因此</w:t>
      </w:r>
      <w:r>
        <w:rPr>
          <w:rFonts w:hint="eastAsia"/>
          <w:bCs/>
          <w:color w:val="000000" w:themeColor="text1"/>
          <w:sz w:val="32"/>
          <w:szCs w:val="32"/>
        </w:rPr>
        <w:t>本次项目支出绩效自评采用成本效益分析法的方法，原因是：作为一种经济决策方法，将成本费用分析法由于计划决策中，以寻求在投资决策中以最小成本获得最大效益。</w:t>
      </w:r>
    </w:p>
    <w:p w14:paraId="3F1B156C">
      <w:pPr>
        <w:spacing w:line="560" w:lineRule="exact"/>
        <w:ind w:firstLine="600" w:firstLineChars="200"/>
        <w:jc w:val="left"/>
        <w:rPr>
          <w:color w:val="000000" w:themeColor="text1"/>
        </w:rPr>
      </w:pPr>
      <w:r>
        <w:rPr>
          <w:rFonts w:hint="eastAsia"/>
          <w:color w:val="000000" w:themeColor="text1"/>
        </w:rPr>
        <w:t>4.评价标准</w:t>
      </w:r>
    </w:p>
    <w:p w14:paraId="28C6CE07">
      <w:pPr>
        <w:spacing w:line="560" w:lineRule="exact"/>
        <w:ind w:firstLine="708" w:firstLineChars="200"/>
        <w:rPr>
          <w:bCs/>
          <w:color w:val="000000" w:themeColor="text1"/>
          <w:sz w:val="32"/>
          <w:szCs w:val="32"/>
        </w:rPr>
      </w:pPr>
      <w:r>
        <w:rPr>
          <w:rFonts w:hint="eastAsia"/>
          <w:color w:val="000000" w:themeColor="text1"/>
          <w:spacing w:val="17"/>
          <w:sz w:val="32"/>
          <w:szCs w:val="32"/>
        </w:rPr>
        <w:t>本次项目支出绩效自评采用计划标准，原因是：采用计划标准是对项目支出绩效自评一种有力监管工具，体现血站预先制定的目标、计划、预算、定额等指标的严肃性，使决策者能够把精力集中在对项目价值最关键的决策上，确保项目实施和目标的实现。</w:t>
      </w:r>
    </w:p>
    <w:p w14:paraId="22C0CBA9">
      <w:pPr>
        <w:pStyle w:val="4"/>
        <w:spacing w:before="0" w:after="0" w:line="560" w:lineRule="exact"/>
        <w:ind w:firstLine="640" w:firstLineChars="200"/>
        <w:rPr>
          <w:rFonts w:ascii="仿宋_GB2312" w:eastAsia="仿宋_GB2312"/>
          <w:b w:val="0"/>
          <w:bCs w:val="0"/>
          <w:color w:val="000000" w:themeColor="text1"/>
        </w:rPr>
      </w:pPr>
      <w:bookmarkStart w:id="6" w:name="_Toc68703833"/>
      <w:r>
        <w:rPr>
          <w:rFonts w:hint="eastAsia" w:ascii="仿宋_GB2312" w:eastAsia="仿宋_GB2312"/>
          <w:b w:val="0"/>
          <w:bCs w:val="0"/>
          <w:color w:val="000000" w:themeColor="text1"/>
        </w:rPr>
        <w:t>（三）绩效评价工作过程。</w:t>
      </w:r>
      <w:bookmarkEnd w:id="6"/>
    </w:p>
    <w:p w14:paraId="1DE33D91">
      <w:pPr>
        <w:spacing w:line="560" w:lineRule="exact"/>
        <w:ind w:firstLine="640" w:firstLineChars="200"/>
        <w:rPr>
          <w:bCs/>
          <w:color w:val="000000" w:themeColor="text1"/>
          <w:sz w:val="32"/>
          <w:szCs w:val="32"/>
        </w:rPr>
      </w:pPr>
      <w:bookmarkStart w:id="7" w:name="_Toc68703834"/>
      <w:r>
        <w:rPr>
          <w:rFonts w:hint="eastAsia"/>
          <w:bCs/>
          <w:color w:val="000000" w:themeColor="text1"/>
          <w:sz w:val="32"/>
          <w:szCs w:val="32"/>
        </w:rPr>
        <w:t>1.前期准备。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p>
    <w:p w14:paraId="00165760">
      <w:pPr>
        <w:spacing w:line="560" w:lineRule="exact"/>
        <w:ind w:firstLine="640" w:firstLineChars="200"/>
        <w:rPr>
          <w:bCs/>
          <w:color w:val="000000" w:themeColor="text1"/>
          <w:sz w:val="32"/>
          <w:szCs w:val="32"/>
        </w:rPr>
      </w:pPr>
      <w:r>
        <w:rPr>
          <w:rFonts w:hint="eastAsia"/>
          <w:bCs/>
          <w:color w:val="000000" w:themeColor="text1"/>
          <w:sz w:val="32"/>
          <w:szCs w:val="32"/>
        </w:rPr>
        <w:t xml:space="preserve">2.组织实施。评价工作进入实施阶段，评价组收集绩效评价相关数据资料，进行现场调研、座谈；并与项目实施负责人沟通，了解资金的内容、操作流程、管理机制、资金使用方向等情况，分析形成初步结论。 </w:t>
      </w:r>
    </w:p>
    <w:p w14:paraId="56918F08">
      <w:pPr>
        <w:spacing w:line="560" w:lineRule="exact"/>
        <w:ind w:firstLine="640" w:firstLineChars="200"/>
        <w:rPr>
          <w:bCs/>
          <w:color w:val="000000" w:themeColor="text1"/>
          <w:sz w:val="32"/>
          <w:szCs w:val="32"/>
        </w:rPr>
      </w:pPr>
      <w:r>
        <w:rPr>
          <w:rFonts w:hint="eastAsia"/>
          <w:bCs/>
          <w:color w:val="000000" w:themeColor="text1"/>
          <w:sz w:val="32"/>
          <w:szCs w:val="32"/>
        </w:rPr>
        <w:t>3.分析评价。评价组按照绩效评价的原则和规范，对取得的资料进行审查核实，对采集的数据进行分析，按照绩效评价指标评分表逐项进行打分、分析，汇总各方评价结果，综合分析并形成评价结论。</w:t>
      </w:r>
    </w:p>
    <w:p w14:paraId="76E95F1E">
      <w:pPr>
        <w:spacing w:line="560" w:lineRule="exact"/>
        <w:ind w:firstLine="640" w:firstLineChars="200"/>
        <w:rPr>
          <w:rFonts w:ascii="宋体" w:hAnsi="宋体" w:eastAsia="宋体"/>
          <w:color w:val="000000" w:themeColor="text1"/>
          <w:sz w:val="32"/>
          <w:szCs w:val="32"/>
        </w:rPr>
      </w:pPr>
      <w:r>
        <w:rPr>
          <w:rFonts w:hint="eastAsia" w:ascii="宋体" w:hAnsi="宋体" w:eastAsia="宋体"/>
          <w:color w:val="000000" w:themeColor="text1"/>
          <w:sz w:val="32"/>
          <w:szCs w:val="32"/>
        </w:rPr>
        <w:t>三、综合评价情况及评价结论</w:t>
      </w:r>
      <w:bookmarkEnd w:id="7"/>
    </w:p>
    <w:p w14:paraId="5612681B">
      <w:pPr>
        <w:pStyle w:val="4"/>
        <w:spacing w:before="0" w:after="0" w:line="560" w:lineRule="exact"/>
        <w:ind w:firstLine="640" w:firstLineChars="200"/>
        <w:rPr>
          <w:rFonts w:ascii="仿宋_GB2312" w:eastAsia="仿宋_GB2312"/>
          <w:b w:val="0"/>
          <w:bCs w:val="0"/>
          <w:color w:val="000000" w:themeColor="text1"/>
        </w:rPr>
      </w:pPr>
      <w:bookmarkStart w:id="8" w:name="_Toc68703835"/>
      <w:r>
        <w:rPr>
          <w:rFonts w:hint="eastAsia" w:ascii="仿宋_GB2312" w:eastAsia="仿宋_GB2312"/>
          <w:b w:val="0"/>
          <w:bCs w:val="0"/>
          <w:color w:val="000000" w:themeColor="text1"/>
        </w:rPr>
        <w:t>（一）综合评价情况</w:t>
      </w:r>
      <w:bookmarkEnd w:id="8"/>
      <w:r>
        <w:rPr>
          <w:rFonts w:hint="eastAsia" w:ascii="仿宋_GB2312" w:eastAsia="仿宋_GB2312"/>
          <w:b w:val="0"/>
          <w:bCs w:val="0"/>
          <w:color w:val="000000" w:themeColor="text1"/>
        </w:rPr>
        <w:t>及评价结论</w:t>
      </w:r>
    </w:p>
    <w:p w14:paraId="4B4179CE">
      <w:pPr>
        <w:spacing w:line="560" w:lineRule="exact"/>
        <w:ind w:firstLine="600" w:firstLineChars="200"/>
        <w:rPr>
          <w:rFonts w:ascii="仿宋_GB2312"/>
          <w:color w:val="000000" w:themeColor="text1"/>
        </w:rPr>
      </w:pPr>
      <w:r>
        <w:rPr>
          <w:rFonts w:hint="eastAsia" w:ascii="仿宋_GB2312"/>
          <w:color w:val="000000" w:themeColor="text1"/>
        </w:rPr>
        <w:t>1.综合评价情况：</w:t>
      </w:r>
    </w:p>
    <w:p w14:paraId="410C8B4E">
      <w:pPr>
        <w:spacing w:line="560" w:lineRule="exact"/>
        <w:ind w:firstLine="600" w:firstLineChars="200"/>
        <w:rPr>
          <w:color w:val="000000" w:themeColor="text1"/>
          <w:kern w:val="28"/>
          <w:sz w:val="32"/>
          <w:szCs w:val="32"/>
        </w:rPr>
      </w:pPr>
      <w:r>
        <w:rPr>
          <w:rFonts w:hint="eastAsia"/>
          <w:color w:val="000000" w:themeColor="text1"/>
        </w:rPr>
        <w:t>2023中心血站自有资金项目</w:t>
      </w:r>
      <w:r>
        <w:rPr>
          <w:rFonts w:hint="eastAsia"/>
          <w:color w:val="000000" w:themeColor="text1"/>
          <w:kern w:val="28"/>
          <w:sz w:val="32"/>
          <w:szCs w:val="32"/>
        </w:rPr>
        <w:t>严格按照科学公正、公开透明的绩效评价原则，本次项目支出绩效自评采用成本效益分析法，坚持计划标准绩效评价标准对本项目的立项、项绩效目标、资金投入、资金管理、组织实施、产出数量、产出质量、产出时效、产出成本、项目效益进行了综合评价。</w:t>
      </w:r>
    </w:p>
    <w:p w14:paraId="4C91CA53">
      <w:pPr>
        <w:pStyle w:val="4"/>
        <w:spacing w:before="0" w:after="0" w:line="560" w:lineRule="exact"/>
        <w:ind w:firstLine="640" w:firstLineChars="200"/>
        <w:rPr>
          <w:rFonts w:ascii="仿宋_GB2312" w:eastAsia="仿宋_GB2312"/>
          <w:b w:val="0"/>
          <w:bCs w:val="0"/>
          <w:color w:val="000000" w:themeColor="text1"/>
        </w:rPr>
      </w:pPr>
      <w:bookmarkStart w:id="9" w:name="_Toc68703836"/>
      <w:r>
        <w:rPr>
          <w:rFonts w:hint="eastAsia" w:ascii="仿宋_GB2312" w:eastAsia="仿宋_GB2312"/>
          <w:b w:val="0"/>
          <w:bCs w:val="0"/>
          <w:color w:val="000000" w:themeColor="text1"/>
        </w:rPr>
        <w:t>2.评价结论</w:t>
      </w:r>
      <w:bookmarkEnd w:id="9"/>
    </w:p>
    <w:p w14:paraId="0FC9122C">
      <w:pPr>
        <w:spacing w:line="560" w:lineRule="exact"/>
        <w:ind w:firstLine="600" w:firstLineChars="200"/>
        <w:rPr>
          <w:color w:val="000000" w:themeColor="text1"/>
        </w:rPr>
      </w:pPr>
      <w:r>
        <w:rPr>
          <w:rFonts w:hint="eastAsia"/>
          <w:color w:val="000000" w:themeColor="text1"/>
        </w:rPr>
        <w:t>运用绩效评价组制定的评价指标体系以及财政部《项目支出绩效评价管理办法》（财预〔2020〕10号）文件的评分标准，通过数据采集、问卷调查及访谈等方式，对本项目进行客观评价，最终评分结果：总得分为 96.</w:t>
      </w:r>
      <w:r>
        <w:rPr>
          <w:color w:val="000000" w:themeColor="text1"/>
        </w:rPr>
        <w:t>4</w:t>
      </w:r>
      <w:r>
        <w:rPr>
          <w:rFonts w:hint="eastAsia"/>
          <w:color w:val="000000" w:themeColor="text1"/>
        </w:rPr>
        <w:t>分，属于“优”。其中，项目决策类指标权重为20分，得分为 20分，得分率为 100%。项目过程类指标权重为20分，得分为18.74分，得分率为93.7%。项目产出类指标权重为40分，得分为</w:t>
      </w:r>
      <w:r>
        <w:rPr>
          <w:color w:val="000000" w:themeColor="text1"/>
        </w:rPr>
        <w:t>37.66</w:t>
      </w:r>
      <w:r>
        <w:rPr>
          <w:rFonts w:hint="eastAsia"/>
          <w:color w:val="000000" w:themeColor="text1"/>
        </w:rPr>
        <w:t xml:space="preserve">分，得分率为 </w:t>
      </w:r>
      <w:r>
        <w:rPr>
          <w:color w:val="000000" w:themeColor="text1"/>
        </w:rPr>
        <w:t>94.15</w:t>
      </w:r>
      <w:r>
        <w:rPr>
          <w:rFonts w:hint="eastAsia"/>
          <w:color w:val="000000" w:themeColor="text1"/>
        </w:rPr>
        <w:t>%。项目效益类指标权重为20分，得分为20分，得分率为100%。</w:t>
      </w:r>
    </w:p>
    <w:p w14:paraId="77A4F29E">
      <w:pPr>
        <w:pStyle w:val="4"/>
        <w:spacing w:before="0" w:after="0" w:line="560" w:lineRule="exact"/>
        <w:ind w:firstLine="640" w:firstLineChars="200"/>
        <w:rPr>
          <w:rFonts w:ascii="仿宋_GB2312" w:eastAsia="仿宋_GB2312"/>
          <w:b w:val="0"/>
          <w:bCs w:val="0"/>
          <w:color w:val="000000" w:themeColor="text1"/>
        </w:rPr>
      </w:pPr>
      <w:r>
        <w:rPr>
          <w:rFonts w:hint="eastAsia" w:ascii="仿宋_GB2312" w:eastAsia="仿宋_GB2312"/>
          <w:b w:val="0"/>
          <w:bCs w:val="0"/>
          <w:color w:val="000000" w:themeColor="text1"/>
        </w:rPr>
        <w:t>（二）相关评分表</w:t>
      </w:r>
    </w:p>
    <w:p w14:paraId="30A0A36B">
      <w:pPr>
        <w:spacing w:line="560" w:lineRule="exact"/>
        <w:ind w:firstLine="600" w:firstLineChars="200"/>
        <w:rPr>
          <w:color w:val="000000" w:themeColor="text1"/>
        </w:rPr>
      </w:pPr>
      <w:r>
        <w:rPr>
          <w:rFonts w:hint="eastAsia"/>
          <w:color w:val="000000" w:themeColor="text1"/>
        </w:rPr>
        <w:t>具体打分情况详见：附件1综合评分表。</w:t>
      </w:r>
    </w:p>
    <w:p w14:paraId="251063C0">
      <w:pPr>
        <w:spacing w:line="560" w:lineRule="exact"/>
        <w:ind w:firstLine="600" w:firstLineChars="200"/>
        <w:jc w:val="center"/>
        <w:rPr>
          <w:color w:val="000000" w:themeColor="text1"/>
        </w:rPr>
      </w:pPr>
      <w:r>
        <w:rPr>
          <w:rFonts w:hint="eastAsia"/>
          <w:color w:val="000000" w:themeColor="text1"/>
        </w:rPr>
        <w:t>2023中心血站自有资金项目项目评价得分情况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7902552B">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199C021">
            <w:pPr>
              <w:spacing w:line="560" w:lineRule="exact"/>
              <w:ind w:firstLine="442" w:firstLineChars="200"/>
              <w:jc w:val="center"/>
              <w:rPr>
                <w:b/>
                <w:bCs/>
                <w:color w:val="000000" w:themeColor="text1"/>
                <w:sz w:val="22"/>
              </w:rPr>
            </w:pPr>
            <w:r>
              <w:rPr>
                <w:rFonts w:hint="eastAsia"/>
                <w:b/>
                <w:bCs/>
                <w:color w:val="000000" w:themeColor="text1"/>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1AB9243">
            <w:pPr>
              <w:spacing w:line="560" w:lineRule="exact"/>
              <w:ind w:firstLine="442" w:firstLineChars="200"/>
              <w:jc w:val="center"/>
              <w:rPr>
                <w:b/>
                <w:bCs/>
                <w:color w:val="000000" w:themeColor="text1"/>
                <w:sz w:val="22"/>
              </w:rPr>
            </w:pPr>
            <w:r>
              <w:rPr>
                <w:rFonts w:hint="eastAsia"/>
                <w:b/>
                <w:bCs/>
                <w:color w:val="000000" w:themeColor="text1"/>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D1F8A49">
            <w:pPr>
              <w:spacing w:line="560" w:lineRule="exact"/>
              <w:ind w:firstLine="442" w:firstLineChars="200"/>
              <w:jc w:val="center"/>
              <w:rPr>
                <w:b/>
                <w:bCs/>
                <w:color w:val="000000" w:themeColor="text1"/>
                <w:sz w:val="22"/>
              </w:rPr>
            </w:pPr>
            <w:r>
              <w:rPr>
                <w:rFonts w:hint="eastAsia"/>
                <w:b/>
                <w:bCs/>
                <w:color w:val="000000" w:themeColor="text1"/>
                <w:sz w:val="22"/>
              </w:rPr>
              <w:t>得分</w:t>
            </w:r>
          </w:p>
        </w:tc>
      </w:tr>
      <w:tr w14:paraId="571E02E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14AA9BB">
            <w:pPr>
              <w:spacing w:line="560" w:lineRule="exact"/>
              <w:ind w:firstLine="440" w:firstLineChars="200"/>
              <w:jc w:val="center"/>
              <w:rPr>
                <w:color w:val="000000" w:themeColor="text1"/>
                <w:sz w:val="22"/>
              </w:rPr>
            </w:pPr>
            <w:r>
              <w:rPr>
                <w:rFonts w:hint="eastAsia"/>
                <w:color w:val="000000" w:themeColor="text1"/>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6D081FC3">
            <w:pPr>
              <w:spacing w:line="560" w:lineRule="exact"/>
              <w:ind w:firstLine="440" w:firstLineChars="200"/>
              <w:jc w:val="center"/>
              <w:rPr>
                <w:color w:val="000000" w:themeColor="text1"/>
                <w:sz w:val="22"/>
              </w:rPr>
            </w:pPr>
            <w:r>
              <w:rPr>
                <w:rFonts w:hint="eastAsia"/>
                <w:color w:val="000000" w:themeColor="text1"/>
                <w:sz w:val="22"/>
              </w:rPr>
              <w:t>20</w:t>
            </w:r>
          </w:p>
        </w:tc>
        <w:tc>
          <w:tcPr>
            <w:tcW w:w="2278" w:type="dxa"/>
            <w:tcBorders>
              <w:top w:val="nil"/>
              <w:left w:val="nil"/>
              <w:bottom w:val="single" w:color="auto" w:sz="4" w:space="0"/>
              <w:right w:val="single" w:color="auto" w:sz="4" w:space="0"/>
            </w:tcBorders>
            <w:shd w:val="clear" w:color="auto" w:fill="auto"/>
            <w:vAlign w:val="center"/>
          </w:tcPr>
          <w:p w14:paraId="4D8A8C44">
            <w:pPr>
              <w:spacing w:line="560" w:lineRule="exact"/>
              <w:ind w:firstLine="440" w:firstLineChars="200"/>
              <w:jc w:val="center"/>
              <w:rPr>
                <w:color w:val="000000" w:themeColor="text1"/>
                <w:sz w:val="22"/>
              </w:rPr>
            </w:pPr>
            <w:r>
              <w:rPr>
                <w:rFonts w:hint="eastAsia"/>
                <w:color w:val="000000" w:themeColor="text1"/>
                <w:sz w:val="22"/>
              </w:rPr>
              <w:t>20</w:t>
            </w:r>
          </w:p>
        </w:tc>
      </w:tr>
      <w:tr w14:paraId="1657136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371FB17">
            <w:pPr>
              <w:spacing w:line="560" w:lineRule="exact"/>
              <w:ind w:firstLine="440" w:firstLineChars="200"/>
              <w:jc w:val="center"/>
              <w:rPr>
                <w:color w:val="000000" w:themeColor="text1"/>
                <w:sz w:val="22"/>
              </w:rPr>
            </w:pPr>
            <w:r>
              <w:rPr>
                <w:rFonts w:hint="eastAsia"/>
                <w:color w:val="000000" w:themeColor="text1"/>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3804A4F6">
            <w:pPr>
              <w:spacing w:line="560" w:lineRule="exact"/>
              <w:ind w:firstLine="440" w:firstLineChars="200"/>
              <w:jc w:val="center"/>
              <w:rPr>
                <w:color w:val="000000" w:themeColor="text1"/>
                <w:sz w:val="22"/>
              </w:rPr>
            </w:pPr>
            <w:r>
              <w:rPr>
                <w:rFonts w:hint="eastAsia"/>
                <w:color w:val="000000" w:themeColor="text1"/>
                <w:sz w:val="22"/>
              </w:rPr>
              <w:t>20</w:t>
            </w:r>
          </w:p>
        </w:tc>
        <w:tc>
          <w:tcPr>
            <w:tcW w:w="2278" w:type="dxa"/>
            <w:tcBorders>
              <w:top w:val="nil"/>
              <w:left w:val="nil"/>
              <w:bottom w:val="single" w:color="auto" w:sz="4" w:space="0"/>
              <w:right w:val="single" w:color="auto" w:sz="4" w:space="0"/>
            </w:tcBorders>
            <w:shd w:val="clear" w:color="auto" w:fill="auto"/>
            <w:vAlign w:val="center"/>
          </w:tcPr>
          <w:p w14:paraId="43DA49AB">
            <w:pPr>
              <w:spacing w:line="560" w:lineRule="exact"/>
              <w:ind w:firstLine="440" w:firstLineChars="200"/>
              <w:jc w:val="center"/>
              <w:rPr>
                <w:color w:val="000000" w:themeColor="text1"/>
                <w:sz w:val="22"/>
              </w:rPr>
            </w:pPr>
            <w:r>
              <w:rPr>
                <w:rFonts w:hint="eastAsia"/>
                <w:color w:val="000000" w:themeColor="text1"/>
                <w:sz w:val="22"/>
              </w:rPr>
              <w:t>18.74</w:t>
            </w:r>
          </w:p>
        </w:tc>
      </w:tr>
      <w:tr w14:paraId="3493918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75FDFC5">
            <w:pPr>
              <w:spacing w:line="560" w:lineRule="exact"/>
              <w:ind w:firstLine="440" w:firstLineChars="200"/>
              <w:jc w:val="center"/>
              <w:rPr>
                <w:color w:val="000000" w:themeColor="text1"/>
                <w:sz w:val="22"/>
              </w:rPr>
            </w:pPr>
            <w:r>
              <w:rPr>
                <w:rFonts w:hint="eastAsia"/>
                <w:color w:val="000000" w:themeColor="text1"/>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1AD96380">
            <w:pPr>
              <w:spacing w:line="560" w:lineRule="exact"/>
              <w:ind w:firstLine="440" w:firstLineChars="200"/>
              <w:jc w:val="center"/>
              <w:rPr>
                <w:color w:val="000000" w:themeColor="text1"/>
                <w:sz w:val="22"/>
              </w:rPr>
            </w:pPr>
            <w:r>
              <w:rPr>
                <w:rFonts w:hint="eastAsia"/>
                <w:color w:val="000000" w:themeColor="text1"/>
                <w:sz w:val="22"/>
              </w:rPr>
              <w:t>40</w:t>
            </w:r>
          </w:p>
        </w:tc>
        <w:tc>
          <w:tcPr>
            <w:tcW w:w="2278" w:type="dxa"/>
            <w:tcBorders>
              <w:top w:val="nil"/>
              <w:left w:val="nil"/>
              <w:bottom w:val="single" w:color="auto" w:sz="4" w:space="0"/>
              <w:right w:val="single" w:color="auto" w:sz="4" w:space="0"/>
            </w:tcBorders>
            <w:shd w:val="clear" w:color="auto" w:fill="auto"/>
            <w:vAlign w:val="center"/>
          </w:tcPr>
          <w:p w14:paraId="2FFC6234">
            <w:pPr>
              <w:spacing w:line="560" w:lineRule="exact"/>
              <w:ind w:firstLine="440" w:firstLineChars="200"/>
              <w:jc w:val="center"/>
              <w:rPr>
                <w:color w:val="000000" w:themeColor="text1"/>
                <w:sz w:val="22"/>
              </w:rPr>
            </w:pPr>
            <w:r>
              <w:rPr>
                <w:color w:val="000000" w:themeColor="text1"/>
                <w:sz w:val="22"/>
              </w:rPr>
              <w:t>37.66</w:t>
            </w:r>
          </w:p>
        </w:tc>
      </w:tr>
      <w:tr w14:paraId="57A95B0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90A960">
            <w:pPr>
              <w:spacing w:line="560" w:lineRule="exact"/>
              <w:ind w:firstLine="440" w:firstLineChars="200"/>
              <w:jc w:val="center"/>
              <w:rPr>
                <w:color w:val="000000" w:themeColor="text1"/>
                <w:sz w:val="22"/>
              </w:rPr>
            </w:pPr>
            <w:r>
              <w:rPr>
                <w:rFonts w:hint="eastAsia"/>
                <w:color w:val="000000" w:themeColor="text1"/>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4B4CD22">
            <w:pPr>
              <w:spacing w:line="560" w:lineRule="exact"/>
              <w:ind w:firstLine="440" w:firstLineChars="200"/>
              <w:jc w:val="center"/>
              <w:rPr>
                <w:color w:val="000000" w:themeColor="text1"/>
                <w:sz w:val="22"/>
              </w:rPr>
            </w:pPr>
            <w:r>
              <w:rPr>
                <w:rFonts w:hint="eastAsia"/>
                <w:color w:val="000000" w:themeColor="text1"/>
                <w:sz w:val="22"/>
              </w:rPr>
              <w:t>20</w:t>
            </w:r>
          </w:p>
        </w:tc>
        <w:tc>
          <w:tcPr>
            <w:tcW w:w="2278" w:type="dxa"/>
            <w:tcBorders>
              <w:top w:val="nil"/>
              <w:left w:val="nil"/>
              <w:bottom w:val="single" w:color="auto" w:sz="4" w:space="0"/>
              <w:right w:val="single" w:color="auto" w:sz="4" w:space="0"/>
            </w:tcBorders>
            <w:shd w:val="clear" w:color="auto" w:fill="auto"/>
            <w:vAlign w:val="center"/>
          </w:tcPr>
          <w:p w14:paraId="1DAAA23F">
            <w:pPr>
              <w:spacing w:line="560" w:lineRule="exact"/>
              <w:ind w:firstLine="440" w:firstLineChars="200"/>
              <w:jc w:val="center"/>
              <w:rPr>
                <w:color w:val="000000" w:themeColor="text1"/>
                <w:sz w:val="22"/>
              </w:rPr>
            </w:pPr>
            <w:r>
              <w:rPr>
                <w:rFonts w:hint="eastAsia"/>
                <w:color w:val="000000" w:themeColor="text1"/>
                <w:sz w:val="22"/>
              </w:rPr>
              <w:t>20</w:t>
            </w:r>
          </w:p>
        </w:tc>
      </w:tr>
      <w:tr w14:paraId="247E178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EC19813">
            <w:pPr>
              <w:spacing w:line="560" w:lineRule="exact"/>
              <w:ind w:firstLine="442" w:firstLineChars="200"/>
              <w:jc w:val="center"/>
              <w:rPr>
                <w:rFonts w:cs="宋体"/>
                <w:b/>
                <w:bCs/>
                <w:color w:val="000000" w:themeColor="text1"/>
                <w:sz w:val="22"/>
              </w:rPr>
            </w:pPr>
            <w:r>
              <w:rPr>
                <w:rFonts w:hint="eastAsia" w:cs="宋体"/>
                <w:b/>
                <w:bCs/>
                <w:color w:val="000000" w:themeColor="text1"/>
                <w:sz w:val="22"/>
              </w:rPr>
              <w:t>合计</w:t>
            </w:r>
          </w:p>
        </w:tc>
        <w:tc>
          <w:tcPr>
            <w:tcW w:w="2168" w:type="dxa"/>
            <w:tcBorders>
              <w:top w:val="nil"/>
              <w:left w:val="nil"/>
              <w:bottom w:val="single" w:color="auto" w:sz="4" w:space="0"/>
              <w:right w:val="single" w:color="auto" w:sz="4" w:space="0"/>
            </w:tcBorders>
            <w:shd w:val="clear" w:color="auto" w:fill="auto"/>
            <w:vAlign w:val="center"/>
          </w:tcPr>
          <w:p w14:paraId="63D93694">
            <w:pPr>
              <w:spacing w:line="560" w:lineRule="exact"/>
              <w:ind w:firstLine="442" w:firstLineChars="200"/>
              <w:jc w:val="center"/>
              <w:rPr>
                <w:b/>
                <w:bCs/>
                <w:color w:val="000000" w:themeColor="text1"/>
                <w:sz w:val="22"/>
              </w:rPr>
            </w:pPr>
            <w:r>
              <w:rPr>
                <w:rFonts w:hint="eastAsia"/>
                <w:b/>
                <w:bCs/>
                <w:color w:val="000000" w:themeColor="text1"/>
                <w:sz w:val="22"/>
              </w:rPr>
              <w:t>100</w:t>
            </w:r>
          </w:p>
        </w:tc>
        <w:tc>
          <w:tcPr>
            <w:tcW w:w="2278" w:type="dxa"/>
            <w:tcBorders>
              <w:top w:val="nil"/>
              <w:left w:val="nil"/>
              <w:bottom w:val="single" w:color="auto" w:sz="4" w:space="0"/>
              <w:right w:val="single" w:color="auto" w:sz="4" w:space="0"/>
            </w:tcBorders>
            <w:shd w:val="clear" w:color="auto" w:fill="auto"/>
            <w:vAlign w:val="center"/>
          </w:tcPr>
          <w:p w14:paraId="7D72E41B">
            <w:pPr>
              <w:spacing w:line="560" w:lineRule="exact"/>
              <w:ind w:firstLine="442" w:firstLineChars="200"/>
              <w:jc w:val="center"/>
              <w:rPr>
                <w:b/>
                <w:bCs/>
                <w:color w:val="000000" w:themeColor="text1"/>
                <w:sz w:val="22"/>
              </w:rPr>
            </w:pPr>
            <w:r>
              <w:rPr>
                <w:rFonts w:hint="eastAsia"/>
                <w:b/>
                <w:bCs/>
                <w:color w:val="000000" w:themeColor="text1"/>
                <w:sz w:val="22"/>
              </w:rPr>
              <w:t>96.</w:t>
            </w:r>
            <w:r>
              <w:rPr>
                <w:b/>
                <w:bCs/>
                <w:color w:val="000000" w:themeColor="text1"/>
                <w:sz w:val="22"/>
              </w:rPr>
              <w:t>40</w:t>
            </w:r>
          </w:p>
        </w:tc>
      </w:tr>
    </w:tbl>
    <w:p w14:paraId="4B2E5B4A">
      <w:pPr>
        <w:pStyle w:val="2"/>
        <w:spacing w:before="0" w:after="0" w:line="560" w:lineRule="exact"/>
        <w:ind w:firstLine="640" w:firstLineChars="200"/>
        <w:rPr>
          <w:color w:val="000000" w:themeColor="text1"/>
        </w:rPr>
      </w:pPr>
    </w:p>
    <w:p w14:paraId="35324A20">
      <w:pPr>
        <w:pStyle w:val="3"/>
        <w:spacing w:before="0" w:after="0" w:line="560" w:lineRule="exact"/>
        <w:ind w:firstLine="643" w:firstLineChars="200"/>
        <w:rPr>
          <w:rFonts w:ascii="宋体" w:hAnsi="宋体" w:eastAsia="宋体"/>
          <w:color w:val="000000" w:themeColor="text1"/>
          <w:sz w:val="32"/>
          <w:szCs w:val="32"/>
        </w:rPr>
      </w:pPr>
      <w:bookmarkStart w:id="10" w:name="_Toc68703837"/>
      <w:r>
        <w:rPr>
          <w:rFonts w:hint="eastAsia" w:ascii="宋体" w:hAnsi="宋体" w:eastAsia="宋体"/>
          <w:color w:val="000000" w:themeColor="text1"/>
          <w:sz w:val="32"/>
          <w:szCs w:val="32"/>
        </w:rPr>
        <w:t>四、绩效评价指标分析</w:t>
      </w:r>
      <w:bookmarkEnd w:id="10"/>
    </w:p>
    <w:p w14:paraId="64503898">
      <w:pPr>
        <w:pStyle w:val="4"/>
        <w:spacing w:before="0" w:after="0" w:line="560" w:lineRule="exact"/>
        <w:ind w:firstLine="640" w:firstLineChars="200"/>
        <w:rPr>
          <w:rFonts w:ascii="仿宋_GB2312" w:eastAsia="仿宋_GB2312"/>
          <w:b w:val="0"/>
          <w:bCs w:val="0"/>
          <w:color w:val="000000" w:themeColor="text1"/>
        </w:rPr>
      </w:pPr>
      <w:bookmarkStart w:id="11" w:name="_Toc68703838"/>
      <w:r>
        <w:rPr>
          <w:rFonts w:hint="eastAsia" w:ascii="仿宋_GB2312" w:eastAsia="仿宋_GB2312"/>
          <w:b w:val="0"/>
          <w:bCs w:val="0"/>
          <w:color w:val="000000" w:themeColor="text1"/>
        </w:rPr>
        <w:t>（一）项目决策情况。</w:t>
      </w:r>
      <w:bookmarkEnd w:id="11"/>
    </w:p>
    <w:p w14:paraId="0E54064E">
      <w:pPr>
        <w:spacing w:line="560" w:lineRule="exact"/>
        <w:ind w:firstLine="600" w:firstLineChars="200"/>
        <w:jc w:val="left"/>
        <w:rPr>
          <w:rFonts w:hint="eastAsia"/>
          <w:color w:val="000000" w:themeColor="text1"/>
        </w:rPr>
      </w:pPr>
      <w:r>
        <w:rPr>
          <w:rFonts w:hint="eastAsia"/>
          <w:color w:val="000000" w:themeColor="text1"/>
        </w:rPr>
        <w:t>1.立项依据充分性</w:t>
      </w:r>
    </w:p>
    <w:p w14:paraId="6DD79C58">
      <w:pPr>
        <w:spacing w:line="560" w:lineRule="exact"/>
        <w:ind w:firstLine="668" w:firstLineChars="200"/>
        <w:jc w:val="left"/>
        <w:rPr>
          <w:rFonts w:hint="eastAsia" w:ascii="Times New Roman" w:hAnsi="Times New Roman" w:eastAsia="仿宋_GB2312"/>
          <w:b w:val="0"/>
          <w:bCs w:val="0"/>
          <w:color w:val="000000" w:themeColor="text1"/>
          <w:spacing w:val="17"/>
          <w:kern w:val="2"/>
        </w:rPr>
      </w:pPr>
      <w:r>
        <w:rPr>
          <w:rFonts w:hint="eastAsia" w:ascii="Times New Roman" w:hAnsi="Times New Roman" w:eastAsia="仿宋_GB2312"/>
          <w:b w:val="0"/>
          <w:bCs w:val="0"/>
          <w:color w:val="000000" w:themeColor="text1"/>
          <w:spacing w:val="17"/>
          <w:kern w:val="2"/>
        </w:rPr>
        <w:t>项目立项依据：《血站质量管理规范》、《采供血机构设置规划指导原则》。项目立项符合国家法律法规、国民经济发展规划和相关政策；项目立项符合血站行业发展规划和政策要求；项目立项与血站部门职责范围相符，属于血站部门履职所需；项目属于公共财政支持范围，符合中央、地方事权支出责任划分原则；项目未与相关部门内部相关项目重复。</w:t>
      </w:r>
    </w:p>
    <w:p w14:paraId="16093453">
      <w:pPr>
        <w:spacing w:line="560" w:lineRule="exact"/>
        <w:ind w:firstLine="668" w:firstLineChars="200"/>
        <w:jc w:val="left"/>
        <w:rPr>
          <w:rFonts w:ascii="Times New Roman" w:hAnsi="Times New Roman" w:eastAsia="仿宋_GB2312"/>
          <w:b w:val="0"/>
          <w:bCs w:val="0"/>
          <w:color w:val="000000" w:themeColor="text1"/>
          <w:spacing w:val="17"/>
          <w:kern w:val="2"/>
        </w:rPr>
      </w:pPr>
      <w:r>
        <w:rPr>
          <w:rFonts w:hint="eastAsia" w:ascii="Times New Roman" w:hAnsi="Times New Roman" w:eastAsia="仿宋_GB2312"/>
          <w:b w:val="0"/>
          <w:bCs w:val="0"/>
          <w:color w:val="000000" w:themeColor="text1"/>
          <w:spacing w:val="17"/>
          <w:kern w:val="2"/>
        </w:rPr>
        <w:t>此项权重分4分，得分4分。</w:t>
      </w:r>
    </w:p>
    <w:p w14:paraId="256445F6">
      <w:pPr>
        <w:spacing w:line="560" w:lineRule="exact"/>
        <w:ind w:firstLine="708" w:firstLineChars="200"/>
        <w:jc w:val="left"/>
        <w:rPr>
          <w:color w:val="000000" w:themeColor="text1"/>
          <w:spacing w:val="17"/>
          <w:sz w:val="32"/>
          <w:szCs w:val="32"/>
        </w:rPr>
      </w:pPr>
      <w:r>
        <w:rPr>
          <w:rFonts w:hint="eastAsia"/>
          <w:color w:val="000000" w:themeColor="text1"/>
          <w:spacing w:val="17"/>
          <w:sz w:val="32"/>
          <w:szCs w:val="32"/>
        </w:rPr>
        <w:t>2.立项程序规范性</w:t>
      </w:r>
    </w:p>
    <w:p w14:paraId="0F076E7C">
      <w:pPr>
        <w:pStyle w:val="2"/>
        <w:spacing w:before="0" w:after="0" w:line="560" w:lineRule="exact"/>
        <w:ind w:firstLine="708" w:firstLineChars="200"/>
        <w:jc w:val="both"/>
        <w:rPr>
          <w:rFonts w:hint="eastAsia" w:ascii="Times New Roman" w:hAnsi="Times New Roman" w:eastAsia="仿宋_GB2312"/>
          <w:b w:val="0"/>
          <w:bCs w:val="0"/>
          <w:color w:val="000000" w:themeColor="text1"/>
          <w:spacing w:val="17"/>
          <w:kern w:val="2"/>
        </w:rPr>
      </w:pPr>
      <w:r>
        <w:rPr>
          <w:rFonts w:hint="eastAsia" w:ascii="Times New Roman" w:hAnsi="Times New Roman" w:eastAsia="仿宋_GB2312"/>
          <w:b w:val="0"/>
          <w:bCs w:val="0"/>
          <w:color w:val="000000" w:themeColor="text1"/>
          <w:spacing w:val="17"/>
          <w:kern w:val="2"/>
        </w:rPr>
        <w:t>2023中心血站自有资金项目按照《国务院关于印发“十四五”卫生与健康规划的通知》规定的程序申请设立；经过与单位分管领导沟通、筛选确定经费预算计划，确定最终预算方案。项目的审批文件、材料符合相关要求，项目事前经过必要的可行性研究、专家论证、风险评估、绩效评估、集体决策，保障了程序的规范性。</w:t>
      </w:r>
    </w:p>
    <w:p w14:paraId="317E2324">
      <w:pPr>
        <w:pStyle w:val="2"/>
        <w:spacing w:before="0" w:after="0" w:line="560" w:lineRule="exact"/>
        <w:ind w:firstLine="708" w:firstLineChars="200"/>
        <w:jc w:val="both"/>
        <w:rPr>
          <w:rFonts w:ascii="Times New Roman" w:hAnsi="Times New Roman" w:eastAsia="仿宋_GB2312"/>
          <w:b w:val="0"/>
          <w:bCs w:val="0"/>
          <w:color w:val="000000" w:themeColor="text1"/>
          <w:spacing w:val="17"/>
          <w:kern w:val="2"/>
        </w:rPr>
      </w:pPr>
      <w:r>
        <w:rPr>
          <w:rFonts w:hint="eastAsia" w:ascii="Times New Roman" w:hAnsi="Times New Roman" w:eastAsia="仿宋_GB2312"/>
          <w:b w:val="0"/>
          <w:bCs w:val="0"/>
          <w:color w:val="000000" w:themeColor="text1"/>
          <w:spacing w:val="17"/>
          <w:kern w:val="2"/>
        </w:rPr>
        <w:t>此项权重分4分，得分4分。</w:t>
      </w:r>
    </w:p>
    <w:p w14:paraId="051C5728">
      <w:pPr>
        <w:spacing w:line="560" w:lineRule="exact"/>
        <w:ind w:firstLine="600" w:firstLineChars="200"/>
        <w:jc w:val="left"/>
        <w:rPr>
          <w:color w:val="000000" w:themeColor="text1"/>
        </w:rPr>
      </w:pPr>
      <w:r>
        <w:rPr>
          <w:rFonts w:hint="eastAsia"/>
          <w:color w:val="000000" w:themeColor="text1"/>
        </w:rPr>
        <w:t>3.绩效目标合理性</w:t>
      </w:r>
    </w:p>
    <w:p w14:paraId="4A7C672A">
      <w:pPr>
        <w:spacing w:line="560" w:lineRule="exact"/>
        <w:ind w:firstLine="600" w:firstLineChars="200"/>
        <w:rPr>
          <w:color w:val="000000" w:themeColor="text1"/>
        </w:rPr>
      </w:pPr>
      <w:r>
        <w:rPr>
          <w:rFonts w:hint="eastAsia"/>
          <w:color w:val="000000" w:themeColor="text1"/>
        </w:rPr>
        <w:t>2023中心血站自有资金项目设立了项目绩效目标，根据巴州财政局要求，巴州血站办公室督促相关责任人及时收集采购资料，巴州血站办公室及时将资金支付计划提请至血站党支部委员会议研究，血站党支部委员会议研究通过后由巴州血站财务科按照采购合同约定及时支付资金。巴州中心血站建设项目组织开展各类经济活动具有相关性，项目的预期产出效益和效果也均能符合正常的业绩水平，并且与预算确定的资金量相匹配</w:t>
      </w:r>
    </w:p>
    <w:p w14:paraId="1CADA7D1">
      <w:pPr>
        <w:pStyle w:val="2"/>
        <w:ind w:firstLine="600" w:firstLineChars="200"/>
        <w:jc w:val="left"/>
        <w:rPr>
          <w:color w:val="000000" w:themeColor="text1"/>
        </w:rPr>
      </w:pPr>
      <w:r>
        <w:rPr>
          <w:rFonts w:hint="eastAsia" w:ascii="Times New Roman" w:hAnsi="Times New Roman" w:eastAsia="仿宋_GB2312"/>
          <w:b w:val="0"/>
          <w:bCs w:val="0"/>
          <w:color w:val="000000" w:themeColor="text1"/>
          <w:kern w:val="2"/>
          <w:sz w:val="30"/>
          <w:szCs w:val="24"/>
        </w:rPr>
        <w:t>此项权重分3分，得分3分。</w:t>
      </w:r>
    </w:p>
    <w:p w14:paraId="5895F930">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4.绩效指标明确性</w:t>
      </w:r>
    </w:p>
    <w:p w14:paraId="581F54AE">
      <w:pPr>
        <w:spacing w:line="560" w:lineRule="exact"/>
        <w:ind w:firstLine="708" w:firstLineChars="200"/>
        <w:rPr>
          <w:rFonts w:hint="eastAsia"/>
          <w:color w:val="000000" w:themeColor="text1"/>
          <w:spacing w:val="17"/>
          <w:sz w:val="32"/>
          <w:szCs w:val="32"/>
        </w:rPr>
      </w:pPr>
      <w:bookmarkStart w:id="12" w:name="_Hlk68699917"/>
      <w:r>
        <w:rPr>
          <w:rFonts w:hint="eastAsia"/>
          <w:color w:val="000000" w:themeColor="text1"/>
          <w:spacing w:val="17"/>
          <w:sz w:val="32"/>
          <w:szCs w:val="32"/>
        </w:rPr>
        <w:t>2023中心血站自有资金项目将项目绩效目标细化分解为具体的绩效指标，一级指标共4条，二级指标共6条，三级指标共18条，其中量化指标条数共14条，所有绩效指标均通过清晰、可衡量的指标值予以体现，并且做到了与项目目标计划数相对应。</w:t>
      </w:r>
      <w:bookmarkEnd w:id="12"/>
    </w:p>
    <w:p w14:paraId="401FD01B">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此项权重分3分，得分3分。</w:t>
      </w:r>
    </w:p>
    <w:p w14:paraId="3FC0D78B">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5.预算编制科学性</w:t>
      </w:r>
    </w:p>
    <w:p w14:paraId="2B666BFB">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2023中心血站自有资金项目预算编制经过科学论证，预算内容与项目内容匹配，预算额度测算依据充分，按照标准编制，预算确定的项目资金量与工作任务相匹配。</w:t>
      </w:r>
    </w:p>
    <w:p w14:paraId="10F9C5B9">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此项权重分3分，得分3分。</w:t>
      </w:r>
    </w:p>
    <w:p w14:paraId="4A69D4C7">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6.资金分配合理性</w:t>
      </w:r>
    </w:p>
    <w:p w14:paraId="549A8B84">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2023中心血站自有资金项目预算资金分配依据充分，1078万元资金分配额度合理，与项目单位实际执行建设项目目标相适应。</w:t>
      </w:r>
    </w:p>
    <w:p w14:paraId="1F83B2A5">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此项权重分3分，得分3分。</w:t>
      </w:r>
    </w:p>
    <w:p w14:paraId="2B9E1773">
      <w:pPr>
        <w:spacing w:line="560" w:lineRule="exact"/>
        <w:ind w:firstLine="708" w:firstLineChars="200"/>
        <w:rPr>
          <w:rFonts w:hint="eastAsia"/>
          <w:color w:val="000000" w:themeColor="text1"/>
          <w:spacing w:val="17"/>
          <w:sz w:val="32"/>
          <w:szCs w:val="32"/>
        </w:rPr>
      </w:pPr>
      <w:bookmarkStart w:id="13" w:name="_Toc68703839"/>
      <w:r>
        <w:rPr>
          <w:rFonts w:hint="eastAsia"/>
          <w:color w:val="000000" w:themeColor="text1"/>
          <w:spacing w:val="17"/>
          <w:sz w:val="32"/>
          <w:szCs w:val="32"/>
        </w:rPr>
        <w:t>（二）项目过程情况。</w:t>
      </w:r>
      <w:bookmarkEnd w:id="13"/>
    </w:p>
    <w:p w14:paraId="7C1E64A0">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1.资金到位率：</w:t>
      </w:r>
    </w:p>
    <w:p w14:paraId="6768F29E">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预算资金1078万元，实际到位资金907.95万元，资金到位率84.23 %。</w:t>
      </w:r>
    </w:p>
    <w:p w14:paraId="015D0A80">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此项权重分4分，得分3.37分。</w:t>
      </w:r>
    </w:p>
    <w:p w14:paraId="261D63FF">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2.预算执行率</w:t>
      </w:r>
    </w:p>
    <w:p w14:paraId="23AABBAC">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年初预算数1078万元，全年预算数1078万元，全年执行数907.95万元，预算执行率为84.23 %。</w:t>
      </w:r>
    </w:p>
    <w:p w14:paraId="1EF674C3">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此项权重分4分，得分3.37分。</w:t>
      </w:r>
    </w:p>
    <w:p w14:paraId="6A008E9D">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3.资金使用合规性</w:t>
      </w:r>
    </w:p>
    <w:p w14:paraId="0006CB9B">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2023中心血站自有资金项目符合国家财经法规和财务管理制度以及有关专项资金管理办法的规定，资金的支付有完整的审批程序和手续，符合项目预算批复规定的用途，不存在截留、挤占、挪用、虚列支出等情况。</w:t>
      </w:r>
    </w:p>
    <w:p w14:paraId="765168C8">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此项权重分4分，得分4分。</w:t>
      </w:r>
    </w:p>
    <w:p w14:paraId="4E9E10F9">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4.管理制度健全性</w:t>
      </w:r>
    </w:p>
    <w:p w14:paraId="1FF760E4">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2023中心血站自有资金项目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8BE438D">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此项权重分4分，得分4分。</w:t>
      </w:r>
    </w:p>
    <w:p w14:paraId="67D5FAD6">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5.制度执行有效性</w:t>
      </w:r>
    </w:p>
    <w:p w14:paraId="06945F5D">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2023中心血站自有资金项目执行过程中遵守相关法律法规和相关管理规定，项目的调整及支出调整手续完备；项目资料齐全并及时归档，项目实施的人员条件、场地设备、信息支撑等均已落实到位。</w:t>
      </w:r>
    </w:p>
    <w:p w14:paraId="6335CBF2">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此项权重分4分，得分4分。</w:t>
      </w:r>
    </w:p>
    <w:p w14:paraId="65E8274B">
      <w:pPr>
        <w:spacing w:line="560" w:lineRule="exact"/>
        <w:ind w:firstLine="708" w:firstLineChars="200"/>
        <w:rPr>
          <w:rFonts w:hint="eastAsia"/>
          <w:color w:val="000000" w:themeColor="text1"/>
          <w:spacing w:val="17"/>
          <w:sz w:val="32"/>
          <w:szCs w:val="32"/>
        </w:rPr>
      </w:pPr>
      <w:bookmarkStart w:id="14" w:name="_Toc68703840"/>
      <w:r>
        <w:rPr>
          <w:rFonts w:hint="eastAsia"/>
          <w:color w:val="000000" w:themeColor="text1"/>
          <w:spacing w:val="17"/>
          <w:sz w:val="32"/>
          <w:szCs w:val="32"/>
        </w:rPr>
        <w:t>（三）项目产出情况。</w:t>
      </w:r>
      <w:bookmarkEnd w:id="14"/>
    </w:p>
    <w:p w14:paraId="34145445">
      <w:pPr>
        <w:spacing w:line="560" w:lineRule="exact"/>
        <w:ind w:firstLine="708" w:firstLineChars="200"/>
        <w:rPr>
          <w:rFonts w:hint="eastAsia"/>
          <w:color w:val="000000" w:themeColor="text1"/>
          <w:spacing w:val="17"/>
          <w:sz w:val="32"/>
          <w:szCs w:val="32"/>
        </w:rPr>
      </w:pPr>
      <w:r>
        <w:rPr>
          <w:rFonts w:hint="default"/>
          <w:color w:val="000000" w:themeColor="text1"/>
          <w:spacing w:val="17"/>
          <w:sz w:val="32"/>
          <w:szCs w:val="32"/>
          <w:lang w:val="en-US"/>
        </w:rPr>
        <w:t>1.</w:t>
      </w:r>
      <w:r>
        <w:rPr>
          <w:rFonts w:hint="eastAsia"/>
          <w:color w:val="000000" w:themeColor="text1"/>
          <w:spacing w:val="17"/>
          <w:sz w:val="32"/>
          <w:szCs w:val="32"/>
        </w:rPr>
        <w:t>数量指标完成情况：指标1：采集献血者血液人数，指标值：&gt;=12000人，实际完成值：14082人，指标完成率117.35%，偏差原因：单位加大宣传力度及服务，导致采集献血者血液人数高于计划；指标2：献血者HIV检测人数，指标值：&gt;=12000人，实际完成值：14082人，指标完成率117.35%，偏差原因：采集献血者血液人数增加，导致献血者HIV检测人数高于计划；指标3：物资采购批次，指标值：&gt;=60批次，实际完成值：50批次，指标完成率83.33%，偏差原因：业务科室使用物资采购资料未能及时传递，导致采购批次低于计划；指标4：血液保障用车数量，指标值：&gt;=6辆，实际完成值：6辆，指标完成率100%；指标5：发放工资人次，指标值：&gt;=800人，实际完成值：805人，指标完成率100.63%；指标6：发放工资次数，指标值：&gt;=36次，实际完成值：24次，指标完成率66.67%，偏差原因：在编人员与退休人员工资合并发放发放，导致工资发放次数低于计划。</w:t>
      </w:r>
    </w:p>
    <w:p w14:paraId="0DA2F698">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此项权重分10分，得分9.19分。</w:t>
      </w:r>
    </w:p>
    <w:p w14:paraId="3C736E04">
      <w:pPr>
        <w:spacing w:line="560" w:lineRule="exact"/>
        <w:ind w:firstLine="708" w:firstLineChars="200"/>
        <w:rPr>
          <w:rFonts w:hint="eastAsia"/>
          <w:color w:val="000000" w:themeColor="text1"/>
          <w:spacing w:val="17"/>
          <w:sz w:val="32"/>
          <w:szCs w:val="32"/>
        </w:rPr>
      </w:pPr>
      <w:r>
        <w:rPr>
          <w:rFonts w:hint="default"/>
          <w:color w:val="000000" w:themeColor="text1"/>
          <w:spacing w:val="17"/>
          <w:sz w:val="32"/>
          <w:szCs w:val="32"/>
          <w:lang w:val="en-US"/>
        </w:rPr>
        <w:t>2.</w:t>
      </w:r>
      <w:r>
        <w:rPr>
          <w:rFonts w:hint="eastAsia"/>
          <w:color w:val="000000" w:themeColor="text1"/>
          <w:spacing w:val="17"/>
          <w:sz w:val="32"/>
          <w:szCs w:val="32"/>
        </w:rPr>
        <w:t>质量指标完成情况：指标1：血液核酸检测覆盖率，指标值：=100%，实际完成值：100%，指标完成率100%；指标2：物资质量合格率，指标值：&gt;=90%，实际完成值：100%，指标完成率111.11%，偏差原因：单位加强采购管理，导致物资质量合格率高于计划。</w:t>
      </w:r>
    </w:p>
    <w:p w14:paraId="2D185935">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此项权重分10分，得分10分。</w:t>
      </w:r>
    </w:p>
    <w:p w14:paraId="239D0FF3">
      <w:pPr>
        <w:spacing w:line="560" w:lineRule="exact"/>
        <w:ind w:firstLine="708" w:firstLineChars="200"/>
        <w:rPr>
          <w:rFonts w:hint="eastAsia"/>
          <w:color w:val="000000" w:themeColor="text1"/>
          <w:spacing w:val="17"/>
          <w:sz w:val="32"/>
          <w:szCs w:val="32"/>
        </w:rPr>
      </w:pPr>
      <w:r>
        <w:rPr>
          <w:rFonts w:hint="default"/>
          <w:color w:val="000000" w:themeColor="text1"/>
          <w:spacing w:val="17"/>
          <w:sz w:val="32"/>
          <w:szCs w:val="32"/>
          <w:lang w:val="en-US"/>
        </w:rPr>
        <w:t>3.</w:t>
      </w:r>
      <w:r>
        <w:rPr>
          <w:rFonts w:hint="eastAsia"/>
          <w:color w:val="000000" w:themeColor="text1"/>
          <w:spacing w:val="17"/>
          <w:sz w:val="32"/>
          <w:szCs w:val="32"/>
        </w:rPr>
        <w:t>时效指标完成情况：指标1：人员工资发放及时率，指标值：&gt;=90%，实际完成值：100%，指标完成率111.11%，偏差原因：单位加强工资发放管理，导致及时率达100%；指标2：血液检测及时率，指标值：=100%，实际完成值：100%，指标完成率100%；指标3：物资采购及时率，指标值：=100%，实际完成值：100%，指标完成率100%.</w:t>
      </w:r>
    </w:p>
    <w:p w14:paraId="687E064E">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此项权重分10分，得分10分。</w:t>
      </w:r>
    </w:p>
    <w:p w14:paraId="5B47DF59">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4.经济成本指标完成情况：指标1：人员经费支出数，指标值：&lt;=640万元，实际完成值：625.68万元，指标完成率97.91%，偏差原因：退休两人，导致人员经费支出数低于计划；指标2：物资采购成本，指标值：&lt;=423万元，实际完成值：268.33万元，指标完成率63.43%，偏差原因：单位采购批次减少，导致部分物资未能完成采购，造成物资采购成本低于计划；指标3：车辆运行费用，指标值：&lt;=15万元，实际完成值：13.94万元，指标完成率92.93%，偏差原因：单位加强车辆管理，导致车辆运行费用低于计划。</w:t>
      </w:r>
    </w:p>
    <w:p w14:paraId="79116713">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此项权重分10分，得分8.47分。</w:t>
      </w:r>
      <w:bookmarkStart w:id="15" w:name="_Toc68703841"/>
    </w:p>
    <w:p w14:paraId="2178B20F">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（四）项目效益情况。</w:t>
      </w:r>
      <w:bookmarkEnd w:id="15"/>
    </w:p>
    <w:p w14:paraId="1BF829CA">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1.社会效益指标完成情况：指标1：临床用血来自无偿献血者比例，指标值：=100%，实际完成值：100%，指标完成率100%；指标2：血液供应保障能力，指标值：提升，实际完成值：达成目标</w:t>
      </w:r>
      <w:r>
        <w:rPr>
          <w:rFonts w:hint="default"/>
          <w:color w:val="000000" w:themeColor="text1"/>
          <w:spacing w:val="17"/>
          <w:sz w:val="32"/>
          <w:szCs w:val="32"/>
          <w:lang w:val="en-US"/>
        </w:rPr>
        <w:t>,</w:t>
      </w:r>
      <w:r>
        <w:rPr>
          <w:rFonts w:hint="eastAsia"/>
          <w:color w:val="000000" w:themeColor="text1"/>
          <w:spacing w:val="17"/>
          <w:sz w:val="32"/>
          <w:szCs w:val="32"/>
        </w:rPr>
        <w:t>指标完成率100%。</w:t>
      </w:r>
    </w:p>
    <w:p w14:paraId="17ADC600">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此项权重分10分，得分10分。</w:t>
      </w:r>
    </w:p>
    <w:p w14:paraId="06CC3B08">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2.满意度指标完成情况分析：指标1：献血者满意度，指标值：指标值：&gt;=90%，实际完成值：100%，指标完成率111.11%，偏差原因：单位加强人员服务管理，导致献血者满意度高于计划；实际完成值：100%，指标完成率100%；指标2：用血医院满意度，指标值：&gt;=90%，实际完成值：98.81%，指标完成率109.78%，偏差原因：单位加强人员服务管理，导致用血医院满意度高于计划。</w:t>
      </w:r>
    </w:p>
    <w:p w14:paraId="27E1908A">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此项权重分10分，得分10分。</w:t>
      </w:r>
    </w:p>
    <w:p w14:paraId="22111027">
      <w:pPr>
        <w:spacing w:line="560" w:lineRule="exact"/>
        <w:ind w:firstLine="708" w:firstLineChars="200"/>
        <w:rPr>
          <w:rFonts w:hint="eastAsia"/>
          <w:color w:val="000000" w:themeColor="text1"/>
          <w:spacing w:val="17"/>
          <w:sz w:val="32"/>
          <w:szCs w:val="32"/>
          <w:lang w:eastAsia="zh-Hans"/>
        </w:rPr>
      </w:pPr>
      <w:bookmarkStart w:id="16" w:name="_Toc68703842"/>
      <w:r>
        <w:rPr>
          <w:rFonts w:hint="eastAsia"/>
          <w:color w:val="000000" w:themeColor="text1"/>
          <w:spacing w:val="17"/>
          <w:sz w:val="32"/>
          <w:szCs w:val="32"/>
          <w:lang w:eastAsia="zh-Hans"/>
        </w:rPr>
        <w:t>五、预算执行进度与绩效指标总体完成率偏差</w:t>
      </w:r>
    </w:p>
    <w:p w14:paraId="6EC9E83A">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2023中心血站自有资金项目项目年初预算1078万元，全年预算1078万元，实际支出907.95万元，预算执行率为84.23%，项目绩效指标总体完成率为99.04%，</w:t>
      </w:r>
      <w:r>
        <w:rPr>
          <w:rFonts w:hint="eastAsia"/>
          <w:color w:val="000000" w:themeColor="text1"/>
          <w:spacing w:val="17"/>
          <w:sz w:val="32"/>
          <w:szCs w:val="32"/>
          <w:lang w:eastAsia="zh-Hans"/>
        </w:rPr>
        <w:t>总体</w:t>
      </w:r>
      <w:r>
        <w:rPr>
          <w:rFonts w:hint="eastAsia"/>
          <w:color w:val="000000" w:themeColor="text1"/>
          <w:spacing w:val="17"/>
          <w:sz w:val="32"/>
          <w:szCs w:val="32"/>
        </w:rPr>
        <w:t>偏差率为14.81%,</w:t>
      </w:r>
      <w:r>
        <w:rPr>
          <w:rFonts w:hint="eastAsia"/>
          <w:color w:val="000000" w:themeColor="text1"/>
          <w:spacing w:val="17"/>
          <w:sz w:val="32"/>
          <w:szCs w:val="32"/>
          <w:lang w:eastAsia="zh-Hans"/>
        </w:rPr>
        <w:t>偏差</w:t>
      </w:r>
      <w:r>
        <w:rPr>
          <w:rFonts w:hint="eastAsia"/>
          <w:color w:val="000000" w:themeColor="text1"/>
          <w:spacing w:val="17"/>
          <w:sz w:val="32"/>
          <w:szCs w:val="32"/>
        </w:rPr>
        <w:t>原因由于采购资料传递不及时，导致采购成本支付较低，造成经济成本指标完成度较低，造成总体偏差，</w:t>
      </w:r>
      <w:r>
        <w:rPr>
          <w:rFonts w:hint="eastAsia"/>
          <w:color w:val="000000" w:themeColor="text1"/>
          <w:spacing w:val="17"/>
          <w:sz w:val="32"/>
          <w:szCs w:val="32"/>
          <w:lang w:eastAsia="zh-Hans"/>
        </w:rPr>
        <w:t>改进</w:t>
      </w:r>
      <w:r>
        <w:rPr>
          <w:rFonts w:hint="eastAsia"/>
          <w:color w:val="000000" w:themeColor="text1"/>
          <w:spacing w:val="17"/>
          <w:sz w:val="32"/>
          <w:szCs w:val="32"/>
        </w:rPr>
        <w:t>措施：完善制度，加大对项目任务执行和资金落实情况的督促检查，保证资金有效使用。</w:t>
      </w:r>
    </w:p>
    <w:p w14:paraId="3A2984FC">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六、主要经验及做法、存在的问题及原因分析</w:t>
      </w:r>
      <w:bookmarkEnd w:id="16"/>
    </w:p>
    <w:p w14:paraId="7593CD0A">
      <w:pPr>
        <w:spacing w:line="560" w:lineRule="exact"/>
        <w:ind w:firstLine="708" w:firstLineChars="200"/>
        <w:rPr>
          <w:rFonts w:hint="eastAsia"/>
          <w:color w:val="000000" w:themeColor="text1"/>
          <w:spacing w:val="17"/>
          <w:sz w:val="32"/>
          <w:szCs w:val="32"/>
        </w:rPr>
      </w:pPr>
      <w:bookmarkStart w:id="17" w:name="_Toc68703843"/>
      <w:r>
        <w:rPr>
          <w:rFonts w:hint="eastAsia"/>
          <w:color w:val="000000" w:themeColor="text1"/>
          <w:spacing w:val="17"/>
          <w:sz w:val="32"/>
          <w:szCs w:val="32"/>
        </w:rPr>
        <w:t>（一）主要经验及做法</w:t>
      </w:r>
      <w:bookmarkEnd w:id="17"/>
    </w:p>
    <w:p w14:paraId="58B951A3">
      <w:pPr>
        <w:spacing w:line="560" w:lineRule="exact"/>
        <w:ind w:firstLine="708" w:firstLineChars="200"/>
        <w:rPr>
          <w:rFonts w:hint="eastAsia"/>
          <w:color w:val="000000" w:themeColor="text1"/>
          <w:spacing w:val="17"/>
          <w:sz w:val="32"/>
          <w:szCs w:val="32"/>
        </w:rPr>
      </w:pPr>
      <w:bookmarkStart w:id="18" w:name="_Toc68703844"/>
      <w:r>
        <w:rPr>
          <w:rFonts w:hint="eastAsia"/>
          <w:color w:val="000000" w:themeColor="text1"/>
          <w:spacing w:val="17"/>
          <w:sz w:val="32"/>
          <w:szCs w:val="32"/>
        </w:rPr>
        <w:t>1.明确年度工作任务和目标，加强领导，落实责任：加强培训，提高项目管理水平。</w:t>
      </w:r>
    </w:p>
    <w:p w14:paraId="08C7A7B2">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2.完善项目管理制度，加大对项目任务和资金落实情况的督促检查，保证资金有效使用。</w:t>
      </w:r>
    </w:p>
    <w:p w14:paraId="2DBED271">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3.不断完善全面质量管理体系，保证了医疗临床用血需求, 不断加强对采供血过程的管理,抓牢质量管理主线。</w:t>
      </w:r>
    </w:p>
    <w:p w14:paraId="66F82A05">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4.强化宣传，无偿献血工作稳步发展，转变观念，建立无偿献血工作长效机制。</w:t>
      </w:r>
    </w:p>
    <w:p w14:paraId="3F9FE9E9">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5、进一步加强临床用血管理和输血技术指导，提高科学合理用血水平。</w:t>
      </w:r>
    </w:p>
    <w:p w14:paraId="05E64A6B">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（二）存在的问题及原因分析</w:t>
      </w:r>
      <w:bookmarkEnd w:id="18"/>
    </w:p>
    <w:p w14:paraId="5962543A">
      <w:pPr>
        <w:spacing w:line="560" w:lineRule="exact"/>
        <w:ind w:firstLine="708" w:firstLineChars="200"/>
        <w:rPr>
          <w:rFonts w:hint="eastAsia"/>
          <w:color w:val="000000" w:themeColor="text1"/>
          <w:spacing w:val="17"/>
          <w:sz w:val="32"/>
          <w:szCs w:val="32"/>
        </w:rPr>
      </w:pPr>
      <w:bookmarkStart w:id="19" w:name="_Toc68703845"/>
      <w:r>
        <w:rPr>
          <w:rFonts w:hint="eastAsia"/>
          <w:color w:val="000000" w:themeColor="text1"/>
          <w:spacing w:val="17"/>
          <w:sz w:val="32"/>
          <w:szCs w:val="32"/>
        </w:rPr>
        <w:t>1、业务科室使用物资采购资料未能及时传递，导致采购批次低于计划</w:t>
      </w:r>
    </w:p>
    <w:p w14:paraId="6E52E0D6">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2、退休两人，导致人员经费支出数低于计划</w:t>
      </w:r>
    </w:p>
    <w:p w14:paraId="6CB1D426">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3、单位采购批次减少，导致部分物资未能完成采购，造成物资采购成本低于计划</w:t>
      </w:r>
    </w:p>
    <w:p w14:paraId="7D6DF4EB">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4、单位加强车辆管理，导致车辆运行费用低于计划</w:t>
      </w:r>
    </w:p>
    <w:p w14:paraId="547440C6">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5、在编人员与退休人员工资合并发放发放，导致工资次数低于计划</w:t>
      </w:r>
    </w:p>
    <w:p w14:paraId="72F55660">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七、有关建议</w:t>
      </w:r>
      <w:bookmarkEnd w:id="19"/>
      <w:bookmarkStart w:id="20" w:name="_Toc68703846"/>
    </w:p>
    <w:p w14:paraId="69FB3E60">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1.多进行有关绩效管理工作方面的培训。积极组织第三方开展绩效管理工作培训，进一步夯实业务基础，提高我单位绩效人员水平。</w:t>
      </w:r>
    </w:p>
    <w:p w14:paraId="08310761">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2.专门设定对绩效工作人员定职、定岗、定责等相关制度措施，进一步提升我单位绩效管理工作业务水平，扎实做好绩效管理工作。</w:t>
      </w:r>
    </w:p>
    <w:p w14:paraId="68B40769">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3.进一步规范项目建设的程序。项目前期做好可行性研究报告，更加细化实施方案，严格执行资金管理办法和财政资金管理制度，严格按照项目实施方案稳步推进工作。</w:t>
      </w:r>
    </w:p>
    <w:p w14:paraId="5FC2FDE3">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八、其他需要说明的问题</w:t>
      </w:r>
      <w:bookmarkEnd w:id="20"/>
    </w:p>
    <w:p w14:paraId="4B345784">
      <w:pPr>
        <w:spacing w:line="560" w:lineRule="exact"/>
        <w:ind w:firstLine="708" w:firstLineChars="200"/>
        <w:rPr>
          <w:rFonts w:hint="eastAsia"/>
          <w:color w:val="000000" w:themeColor="text1"/>
          <w:spacing w:val="17"/>
          <w:sz w:val="32"/>
          <w:szCs w:val="32"/>
        </w:rPr>
      </w:pPr>
      <w:r>
        <w:rPr>
          <w:rFonts w:hint="eastAsia"/>
          <w:color w:val="000000" w:themeColor="text1"/>
          <w:spacing w:val="17"/>
          <w:sz w:val="32"/>
          <w:szCs w:val="32"/>
        </w:rPr>
        <w:t>无</w:t>
      </w:r>
    </w:p>
    <w:p w14:paraId="00FAB0CC">
      <w:pPr>
        <w:spacing w:line="560" w:lineRule="exact"/>
        <w:ind w:firstLine="708" w:firstLineChars="200"/>
        <w:rPr>
          <w:rFonts w:hint="eastAsia"/>
          <w:color w:val="000000" w:themeColor="text1"/>
          <w:spacing w:val="17"/>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0000000000000000000"/>
    <w:charset w:val="86"/>
    <w:family w:val="auto"/>
    <w:pitch w:val="default"/>
    <w:sig w:usb0="00000000" w:usb1="00000000" w:usb2="00000012"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8D246F"/>
    <w:multiLevelType w:val="multilevel"/>
    <w:tmpl w:val="748D246F"/>
    <w:lvl w:ilvl="0" w:tentative="0">
      <w:start w:val="1"/>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24AD7"/>
    <w:rsid w:val="000665AA"/>
    <w:rsid w:val="0008567E"/>
    <w:rsid w:val="00093960"/>
    <w:rsid w:val="000D63FA"/>
    <w:rsid w:val="00171123"/>
    <w:rsid w:val="0034714E"/>
    <w:rsid w:val="00395100"/>
    <w:rsid w:val="003C36C4"/>
    <w:rsid w:val="004A4DA0"/>
    <w:rsid w:val="005B64E8"/>
    <w:rsid w:val="005C0395"/>
    <w:rsid w:val="005D3DBE"/>
    <w:rsid w:val="005F25B6"/>
    <w:rsid w:val="005F6A90"/>
    <w:rsid w:val="00614288"/>
    <w:rsid w:val="0077086D"/>
    <w:rsid w:val="00770C6D"/>
    <w:rsid w:val="00792CFE"/>
    <w:rsid w:val="007B17FF"/>
    <w:rsid w:val="007B5530"/>
    <w:rsid w:val="007D49C5"/>
    <w:rsid w:val="008175E0"/>
    <w:rsid w:val="008C631D"/>
    <w:rsid w:val="008E73CD"/>
    <w:rsid w:val="008F253A"/>
    <w:rsid w:val="00930D84"/>
    <w:rsid w:val="009A2C7B"/>
    <w:rsid w:val="009C6374"/>
    <w:rsid w:val="009C7D11"/>
    <w:rsid w:val="00A114ED"/>
    <w:rsid w:val="00A501D6"/>
    <w:rsid w:val="00A76C6E"/>
    <w:rsid w:val="00A83AFA"/>
    <w:rsid w:val="00AE395C"/>
    <w:rsid w:val="00AF2A7A"/>
    <w:rsid w:val="00B24331"/>
    <w:rsid w:val="00B35614"/>
    <w:rsid w:val="00BD5CA9"/>
    <w:rsid w:val="00C313E8"/>
    <w:rsid w:val="00D07A37"/>
    <w:rsid w:val="00D80FB5"/>
    <w:rsid w:val="00EB3433"/>
    <w:rsid w:val="00F11B06"/>
    <w:rsid w:val="00F15DAC"/>
    <w:rsid w:val="00F328F1"/>
    <w:rsid w:val="00F43851"/>
    <w:rsid w:val="00FF2B04"/>
    <w:rsid w:val="031A7868"/>
    <w:rsid w:val="04671FBA"/>
    <w:rsid w:val="05145FF9"/>
    <w:rsid w:val="05227DA5"/>
    <w:rsid w:val="08D20D13"/>
    <w:rsid w:val="0C4D0F1B"/>
    <w:rsid w:val="0F2A6BF7"/>
    <w:rsid w:val="109C366B"/>
    <w:rsid w:val="16A7319E"/>
    <w:rsid w:val="1AB723E0"/>
    <w:rsid w:val="1BB75B9E"/>
    <w:rsid w:val="1C394FB8"/>
    <w:rsid w:val="1CE21646"/>
    <w:rsid w:val="1D723F37"/>
    <w:rsid w:val="1D785367"/>
    <w:rsid w:val="258E78F9"/>
    <w:rsid w:val="2FCB736A"/>
    <w:rsid w:val="32AE0DEC"/>
    <w:rsid w:val="34A672EE"/>
    <w:rsid w:val="36B72533"/>
    <w:rsid w:val="3BF31B9D"/>
    <w:rsid w:val="402975CF"/>
    <w:rsid w:val="4057649F"/>
    <w:rsid w:val="43182414"/>
    <w:rsid w:val="43AD674D"/>
    <w:rsid w:val="46507BB3"/>
    <w:rsid w:val="4A7C25BE"/>
    <w:rsid w:val="4C22332E"/>
    <w:rsid w:val="508E63AE"/>
    <w:rsid w:val="56796849"/>
    <w:rsid w:val="5DA95371"/>
    <w:rsid w:val="5EB87E93"/>
    <w:rsid w:val="615558E8"/>
    <w:rsid w:val="658D0438"/>
    <w:rsid w:val="68F11999"/>
    <w:rsid w:val="721D614A"/>
    <w:rsid w:val="7223394D"/>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rPr>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8"/>
    <w:qFormat/>
    <w:uiPriority w:val="99"/>
    <w:rPr>
      <w:rFonts w:ascii="Times New Roman" w:hAnsi="Times New Roman" w:eastAsia="仿宋_GB2312" w:cs="Times New Roman"/>
      <w:sz w:val="18"/>
      <w:szCs w:val="18"/>
    </w:rPr>
  </w:style>
  <w:style w:type="character" w:customStyle="1" w:styleId="19">
    <w:name w:val="页脚 Char"/>
    <w:basedOn w:val="12"/>
    <w:link w:val="7"/>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Char"/>
    <w:basedOn w:val="12"/>
    <w:link w:val="6"/>
    <w:semiHidden/>
    <w:qFormat/>
    <w:uiPriority w:val="99"/>
    <w:rPr>
      <w:rFonts w:ascii="Times New Roman" w:hAnsi="Times New Roman" w:eastAsia="仿宋_GB2312" w:cs="Times New Roman"/>
      <w:kern w:val="2"/>
      <w:sz w:val="18"/>
      <w:szCs w:val="18"/>
    </w:rPr>
  </w:style>
  <w:style w:type="paragraph" w:styleId="2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15</Pages>
  <Words>6363</Words>
  <Characters>6890</Characters>
  <Lines>50</Lines>
  <Paragraphs>14</Paragraphs>
  <TotalTime>1</TotalTime>
  <ScaleCrop>false</ScaleCrop>
  <LinksUpToDate>false</LinksUpToDate>
  <CharactersWithSpaces>6905</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cp:lastPrinted>2024-05-17T09:53:00Z</cp:lastPrinted>
  <dcterms:modified xsi:type="dcterms:W3CDTF">2024-09-30T09:10:48Z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DFF0787588C34603A74FA104BC3FC087</vt:lpwstr>
  </property>
</Properties>
</file>