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DBD4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DD14C1D">
      <w:pPr>
        <w:spacing w:line="540" w:lineRule="exact"/>
        <w:jc w:val="center"/>
        <w:rPr>
          <w:rFonts w:ascii="华文中宋" w:hAnsi="华文中宋" w:eastAsia="华文中宋" w:cs="宋体"/>
          <w:b/>
          <w:kern w:val="0"/>
          <w:sz w:val="52"/>
          <w:szCs w:val="52"/>
        </w:rPr>
      </w:pPr>
    </w:p>
    <w:p w14:paraId="7F57D386">
      <w:pPr>
        <w:spacing w:line="540" w:lineRule="exact"/>
        <w:jc w:val="center"/>
        <w:rPr>
          <w:rFonts w:ascii="华文中宋" w:hAnsi="华文中宋" w:eastAsia="华文中宋" w:cs="宋体"/>
          <w:b/>
          <w:kern w:val="0"/>
          <w:sz w:val="52"/>
          <w:szCs w:val="52"/>
        </w:rPr>
      </w:pPr>
    </w:p>
    <w:p w14:paraId="0D602A23">
      <w:pPr>
        <w:spacing w:line="540" w:lineRule="exact"/>
        <w:jc w:val="center"/>
        <w:rPr>
          <w:rFonts w:ascii="华文中宋" w:hAnsi="华文中宋" w:eastAsia="华文中宋" w:cs="宋体"/>
          <w:b/>
          <w:kern w:val="0"/>
          <w:sz w:val="52"/>
          <w:szCs w:val="52"/>
        </w:rPr>
      </w:pPr>
    </w:p>
    <w:p w14:paraId="07EC1FBE">
      <w:pPr>
        <w:spacing w:line="540" w:lineRule="exact"/>
        <w:jc w:val="center"/>
        <w:rPr>
          <w:rFonts w:ascii="华文中宋" w:hAnsi="华文中宋" w:eastAsia="华文中宋" w:cs="宋体"/>
          <w:b/>
          <w:kern w:val="0"/>
          <w:sz w:val="52"/>
          <w:szCs w:val="52"/>
        </w:rPr>
      </w:pPr>
    </w:p>
    <w:p w14:paraId="78694BDB">
      <w:pPr>
        <w:spacing w:line="540" w:lineRule="exact"/>
        <w:jc w:val="center"/>
        <w:rPr>
          <w:rFonts w:ascii="华文中宋" w:hAnsi="华文中宋" w:eastAsia="华文中宋" w:cs="宋体"/>
          <w:b/>
          <w:kern w:val="0"/>
          <w:sz w:val="52"/>
          <w:szCs w:val="52"/>
        </w:rPr>
      </w:pPr>
    </w:p>
    <w:p w14:paraId="3505D7B1">
      <w:pPr>
        <w:spacing w:line="540" w:lineRule="exact"/>
        <w:jc w:val="center"/>
        <w:rPr>
          <w:rFonts w:ascii="华文中宋" w:hAnsi="华文中宋" w:eastAsia="华文中宋" w:cs="宋体"/>
          <w:b/>
          <w:kern w:val="0"/>
          <w:sz w:val="52"/>
          <w:szCs w:val="52"/>
        </w:rPr>
      </w:pPr>
    </w:p>
    <w:p w14:paraId="60A2BA5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10CDF57">
      <w:pPr>
        <w:spacing w:line="540" w:lineRule="exact"/>
        <w:jc w:val="center"/>
        <w:rPr>
          <w:rFonts w:ascii="华文中宋" w:hAnsi="华文中宋" w:eastAsia="华文中宋" w:cs="宋体"/>
          <w:b/>
          <w:kern w:val="0"/>
          <w:sz w:val="52"/>
          <w:szCs w:val="52"/>
        </w:rPr>
      </w:pPr>
    </w:p>
    <w:p w14:paraId="2E2D38B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2023</w:t>
      </w:r>
      <w:r>
        <w:rPr>
          <w:rFonts w:hint="eastAsia" w:hAnsi="宋体" w:eastAsia="仿宋_GB2312" w:cs="宋体"/>
          <w:kern w:val="0"/>
          <w:sz w:val="36"/>
          <w:szCs w:val="36"/>
        </w:rPr>
        <w:t xml:space="preserve"> 年度）</w:t>
      </w:r>
    </w:p>
    <w:p w14:paraId="716B3AC3">
      <w:pPr>
        <w:spacing w:line="540" w:lineRule="exact"/>
        <w:jc w:val="center"/>
        <w:rPr>
          <w:rFonts w:hAnsi="宋体" w:eastAsia="仿宋_GB2312" w:cs="宋体"/>
          <w:kern w:val="0"/>
          <w:sz w:val="30"/>
          <w:szCs w:val="30"/>
        </w:rPr>
      </w:pPr>
    </w:p>
    <w:p w14:paraId="309C896F">
      <w:pPr>
        <w:spacing w:line="540" w:lineRule="exact"/>
        <w:jc w:val="center"/>
        <w:rPr>
          <w:rFonts w:hAnsi="宋体" w:eastAsia="仿宋_GB2312" w:cs="宋体"/>
          <w:kern w:val="0"/>
          <w:sz w:val="30"/>
          <w:szCs w:val="30"/>
        </w:rPr>
      </w:pPr>
    </w:p>
    <w:p w14:paraId="04E0C4D8">
      <w:pPr>
        <w:spacing w:line="540" w:lineRule="exact"/>
        <w:jc w:val="center"/>
        <w:rPr>
          <w:rFonts w:hAnsi="宋体" w:eastAsia="仿宋_GB2312" w:cs="宋体"/>
          <w:kern w:val="0"/>
          <w:sz w:val="30"/>
          <w:szCs w:val="30"/>
        </w:rPr>
      </w:pPr>
    </w:p>
    <w:p w14:paraId="0DCB1263">
      <w:pPr>
        <w:spacing w:line="540" w:lineRule="exact"/>
        <w:jc w:val="center"/>
        <w:rPr>
          <w:rFonts w:hAnsi="宋体" w:eastAsia="仿宋_GB2312" w:cs="宋体"/>
          <w:kern w:val="0"/>
          <w:sz w:val="30"/>
          <w:szCs w:val="30"/>
        </w:rPr>
      </w:pPr>
    </w:p>
    <w:p w14:paraId="4C7070DC">
      <w:pPr>
        <w:spacing w:line="540" w:lineRule="exact"/>
        <w:jc w:val="center"/>
        <w:rPr>
          <w:rFonts w:hAnsi="宋体" w:eastAsia="仿宋_GB2312" w:cs="宋体"/>
          <w:kern w:val="0"/>
          <w:sz w:val="30"/>
          <w:szCs w:val="30"/>
        </w:rPr>
      </w:pPr>
    </w:p>
    <w:p w14:paraId="201DAAB5">
      <w:pPr>
        <w:spacing w:line="540" w:lineRule="exact"/>
        <w:jc w:val="center"/>
        <w:rPr>
          <w:rFonts w:hAnsi="宋体" w:eastAsia="仿宋_GB2312" w:cs="宋体"/>
          <w:kern w:val="0"/>
          <w:sz w:val="30"/>
          <w:szCs w:val="30"/>
        </w:rPr>
      </w:pPr>
    </w:p>
    <w:p w14:paraId="5EC22748">
      <w:pPr>
        <w:spacing w:line="540" w:lineRule="exact"/>
        <w:rPr>
          <w:rFonts w:hAnsi="宋体" w:eastAsia="仿宋_GB2312" w:cs="宋体"/>
          <w:kern w:val="0"/>
          <w:sz w:val="30"/>
          <w:szCs w:val="30"/>
        </w:rPr>
      </w:pPr>
    </w:p>
    <w:p w14:paraId="1A67325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B6E3BD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项目名称：巴财教【2022】42号关于提前下达2023年特殊教育补助资金预算</w:t>
      </w:r>
    </w:p>
    <w:p w14:paraId="407D071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val="en-US" w:eastAsia="zh-CN"/>
        </w:rPr>
        <w:t>巴州特教学校</w:t>
      </w:r>
    </w:p>
    <w:p w14:paraId="368B541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Fonts w:hint="eastAsia" w:hAnsi="宋体" w:eastAsia="仿宋_GB2312" w:cs="宋体"/>
          <w:kern w:val="0"/>
          <w:sz w:val="36"/>
          <w:szCs w:val="36"/>
          <w:lang w:val="en-US" w:eastAsia="zh-CN"/>
        </w:rPr>
        <w:t>巴州教育局</w:t>
      </w:r>
    </w:p>
    <w:p w14:paraId="7454654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高媛</w:t>
      </w:r>
    </w:p>
    <w:p w14:paraId="0D778A15">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4</w:t>
      </w:r>
      <w:r>
        <w:rPr>
          <w:rFonts w:hint="eastAsia" w:ascii="宋体" w:hAnsi="宋体" w:eastAsia="宋体" w:cs="仿宋_GB2312"/>
          <w:color w:val="auto"/>
          <w:kern w:val="0"/>
          <w:sz w:val="32"/>
          <w:szCs w:val="32"/>
        </w:rPr>
        <w:t>年</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月</w:t>
      </w:r>
      <w:r>
        <w:rPr>
          <w:rFonts w:hint="eastAsia" w:ascii="宋体" w:hAnsi="宋体" w:eastAsia="宋体" w:cs="仿宋_GB2312"/>
          <w:color w:val="auto"/>
          <w:kern w:val="0"/>
          <w:sz w:val="32"/>
          <w:szCs w:val="32"/>
          <w:lang w:val="en-US" w:eastAsia="zh-CN"/>
        </w:rPr>
        <w:t>22</w:t>
      </w:r>
      <w:r>
        <w:rPr>
          <w:rFonts w:hint="eastAsia" w:ascii="宋体" w:hAnsi="宋体" w:eastAsia="宋体" w:cs="仿宋_GB2312"/>
          <w:color w:val="auto"/>
          <w:kern w:val="0"/>
          <w:sz w:val="32"/>
          <w:szCs w:val="32"/>
        </w:rPr>
        <w:t>日</w:t>
      </w:r>
    </w:p>
    <w:p w14:paraId="688AC94B">
      <w:pPr>
        <w:spacing w:line="540" w:lineRule="exact"/>
        <w:rPr>
          <w:rStyle w:val="18"/>
          <w:rFonts w:ascii="黑体" w:hAnsi="黑体" w:eastAsia="黑体"/>
          <w:b w:val="0"/>
          <w:spacing w:val="-4"/>
          <w:sz w:val="32"/>
          <w:szCs w:val="32"/>
        </w:rPr>
      </w:pPr>
      <w:bookmarkStart w:id="5" w:name="_GoBack"/>
      <w:bookmarkEnd w:id="5"/>
      <w:r>
        <w:rPr>
          <w:rStyle w:val="18"/>
          <w:rFonts w:hint="eastAsia" w:ascii="黑体" w:hAnsi="黑体" w:eastAsia="黑体"/>
          <w:b w:val="0"/>
          <w:spacing w:val="-4"/>
          <w:sz w:val="32"/>
          <w:szCs w:val="32"/>
        </w:rPr>
        <w:t>一、基本情况</w:t>
      </w:r>
    </w:p>
    <w:p w14:paraId="06AE475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50B3B3E3">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rPr>
        <w:t>（</w:t>
      </w:r>
      <w:r>
        <w:rPr>
          <w:rFonts w:hint="eastAsia" w:eastAsia="仿宋_GB2312"/>
          <w:color w:val="auto"/>
          <w:spacing w:val="17"/>
          <w:sz w:val="32"/>
          <w:szCs w:val="32"/>
          <w:lang w:val="en-US" w:eastAsia="zh-CN"/>
        </w:rPr>
        <w:t>1</w:t>
      </w:r>
      <w:r>
        <w:rPr>
          <w:rFonts w:hint="eastAsia" w:eastAsia="仿宋_GB2312"/>
          <w:color w:val="auto"/>
          <w:spacing w:val="17"/>
          <w:sz w:val="32"/>
          <w:szCs w:val="32"/>
        </w:rPr>
        <w:t>）</w:t>
      </w:r>
      <w:r>
        <w:rPr>
          <w:rFonts w:hint="eastAsia" w:eastAsia="仿宋_GB2312"/>
          <w:color w:val="auto"/>
          <w:spacing w:val="17"/>
          <w:sz w:val="32"/>
          <w:szCs w:val="32"/>
          <w:lang w:val="en-US" w:eastAsia="zh-CN"/>
        </w:rPr>
        <w:t>项目背景</w:t>
      </w:r>
    </w:p>
    <w:p w14:paraId="722E4563">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关于提前下达2023年特殊教育补助资金预算》巴财教【2022】42号是为了特殊教育领域需求日益增加，特殊教育学校在建设是为了满足特殊教育学生教育需求，全面加强教育经费投入使用管理工作，优化结构，优先保障、深化改革、强化管理，最终提高教育经费使用效益，落实城乡义务教育公用经费基准定额。</w:t>
      </w:r>
    </w:p>
    <w:p w14:paraId="2863673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w:t>
      </w:r>
      <w:r>
        <w:rPr>
          <w:rFonts w:hint="eastAsia" w:eastAsia="仿宋_GB2312"/>
          <w:color w:val="auto"/>
          <w:spacing w:val="17"/>
          <w:sz w:val="32"/>
          <w:szCs w:val="32"/>
          <w:lang w:val="en-US" w:eastAsia="zh-CN"/>
        </w:rPr>
        <w:t>2</w:t>
      </w:r>
      <w:r>
        <w:rPr>
          <w:rFonts w:hint="eastAsia" w:eastAsia="仿宋_GB2312"/>
          <w:color w:val="auto"/>
          <w:spacing w:val="17"/>
          <w:sz w:val="32"/>
          <w:szCs w:val="32"/>
        </w:rPr>
        <w:t>）主要内容及实施情况</w:t>
      </w:r>
    </w:p>
    <w:p w14:paraId="34A35420">
      <w:pPr>
        <w:pageBreakBefore w:val="0"/>
        <w:kinsoku/>
        <w:wordWrap/>
        <w:overflowPunct/>
        <w:topLinePunct w:val="0"/>
        <w:autoSpaceDE/>
        <w:autoSpaceDN/>
        <w:bidi w:val="0"/>
        <w:adjustRightInd/>
        <w:snapToGrid/>
        <w:spacing w:line="560" w:lineRule="exact"/>
        <w:ind w:firstLine="708" w:firstLineChars="200"/>
        <w:textAlignment w:val="auto"/>
        <w:rPr>
          <w:rFonts w:hint="default" w:eastAsia="仿宋_GB2312"/>
          <w:color w:val="auto"/>
          <w:spacing w:val="17"/>
          <w:sz w:val="32"/>
          <w:szCs w:val="32"/>
          <w:lang w:val="en-US" w:eastAsia="zh-CN"/>
        </w:rPr>
      </w:pPr>
      <w:r>
        <w:rPr>
          <w:rFonts w:hint="eastAsia" w:eastAsia="仿宋_GB2312"/>
          <w:color w:val="auto"/>
          <w:spacing w:val="17"/>
          <w:sz w:val="32"/>
          <w:szCs w:val="32"/>
        </w:rPr>
        <w:t>主要内容：</w:t>
      </w:r>
      <w:r>
        <w:rPr>
          <w:rFonts w:hint="eastAsia" w:eastAsia="仿宋_GB2312"/>
          <w:color w:val="auto"/>
          <w:spacing w:val="17"/>
          <w:sz w:val="32"/>
          <w:szCs w:val="32"/>
          <w:lang w:val="en-US" w:eastAsia="zh-CN"/>
        </w:rPr>
        <w:t>《关于提前下达2023年特殊教育补助资金预算》巴财教【2022】42号通过实施，进一步加强和规范我校城乡义务教育经费保障机制专项资金管理工作，有助于提高教师及学生的满意感和幸福感，保障教务教学正常工作的开展以实现为党育人，为国育才。用于学校2023年特殊教育补助资金拨付50万元，用于购置</w:t>
      </w:r>
      <w:r>
        <w:rPr>
          <w:rFonts w:hint="eastAsia" w:eastAsia="仿宋_GB2312"/>
          <w:color w:val="auto"/>
          <w:spacing w:val="17"/>
          <w:sz w:val="32"/>
          <w:szCs w:val="32"/>
        </w:rPr>
        <w:t>特殊教育学校仪器设备</w:t>
      </w:r>
      <w:r>
        <w:rPr>
          <w:rFonts w:hint="eastAsia" w:eastAsia="仿宋_GB2312"/>
          <w:color w:val="auto"/>
          <w:spacing w:val="17"/>
          <w:sz w:val="32"/>
          <w:szCs w:val="32"/>
          <w:lang w:val="en-US" w:eastAsia="zh-CN"/>
        </w:rPr>
        <w:t>购置3套和盲文学习辅具购置数量3套。提升我校办学能力和教学条件。</w:t>
      </w:r>
    </w:p>
    <w:p w14:paraId="339CC22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实施情况：</w:t>
      </w:r>
      <w:r>
        <w:rPr>
          <w:rFonts w:hint="eastAsia" w:eastAsia="仿宋_GB2312"/>
          <w:color w:val="auto"/>
          <w:spacing w:val="17"/>
          <w:sz w:val="32"/>
          <w:szCs w:val="32"/>
          <w:lang w:val="en-US" w:eastAsia="zh-CN"/>
        </w:rPr>
        <w:t>2023年特殊教育补助资金由学校教务教科处织实施采购，</w:t>
      </w:r>
      <w:r>
        <w:rPr>
          <w:rFonts w:hint="eastAsia" w:eastAsia="仿宋_GB2312"/>
          <w:color w:val="auto"/>
          <w:spacing w:val="17"/>
          <w:sz w:val="32"/>
          <w:szCs w:val="32"/>
        </w:rPr>
        <w:t>完成</w:t>
      </w:r>
      <w:r>
        <w:rPr>
          <w:rFonts w:hint="eastAsia" w:eastAsia="仿宋_GB2312"/>
          <w:color w:val="auto"/>
          <w:spacing w:val="17"/>
          <w:sz w:val="32"/>
          <w:szCs w:val="32"/>
          <w:lang w:val="en-US" w:eastAsia="zh-CN"/>
        </w:rPr>
        <w:t>3套</w:t>
      </w:r>
      <w:r>
        <w:rPr>
          <w:rFonts w:hint="eastAsia" w:eastAsia="仿宋_GB2312"/>
          <w:color w:val="auto"/>
          <w:spacing w:val="17"/>
          <w:sz w:val="32"/>
          <w:szCs w:val="32"/>
        </w:rPr>
        <w:t>特殊教育学校仪器设备</w:t>
      </w:r>
      <w:r>
        <w:rPr>
          <w:rFonts w:hint="eastAsia" w:eastAsia="仿宋_GB2312"/>
          <w:color w:val="auto"/>
          <w:spacing w:val="17"/>
          <w:sz w:val="32"/>
          <w:szCs w:val="32"/>
          <w:lang w:val="en-US" w:eastAsia="zh-CN"/>
        </w:rPr>
        <w:t>采购</w:t>
      </w:r>
      <w:r>
        <w:rPr>
          <w:rFonts w:hint="eastAsia" w:eastAsia="仿宋_GB2312"/>
          <w:color w:val="auto"/>
          <w:spacing w:val="17"/>
          <w:sz w:val="32"/>
          <w:szCs w:val="32"/>
        </w:rPr>
        <w:t>，</w:t>
      </w:r>
      <w:r>
        <w:rPr>
          <w:rFonts w:hint="eastAsia" w:eastAsia="仿宋_GB2312"/>
          <w:color w:val="auto"/>
          <w:spacing w:val="17"/>
          <w:sz w:val="32"/>
          <w:szCs w:val="32"/>
          <w:lang w:val="en-US" w:eastAsia="zh-CN"/>
        </w:rPr>
        <w:t>3套教学辅具的采购</w:t>
      </w:r>
      <w:r>
        <w:rPr>
          <w:rFonts w:hint="eastAsia" w:eastAsia="仿宋_GB2312"/>
          <w:color w:val="auto"/>
          <w:spacing w:val="17"/>
          <w:sz w:val="32"/>
          <w:szCs w:val="32"/>
        </w:rPr>
        <w:t>该项目的实施</w:t>
      </w:r>
      <w:r>
        <w:rPr>
          <w:rFonts w:hint="eastAsia" w:eastAsia="仿宋_GB2312"/>
          <w:color w:val="auto"/>
          <w:spacing w:val="17"/>
          <w:sz w:val="32"/>
          <w:szCs w:val="32"/>
          <w:lang w:val="en-US" w:eastAsia="zh-CN"/>
        </w:rPr>
        <w:t>提升我校办学能力、教学条件，提高教育教学质量。于2023第三季度完成设备购买，投入使用。</w:t>
      </w:r>
    </w:p>
    <w:p w14:paraId="3BC2FB0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lang w:val="en-US" w:eastAsia="zh-CN"/>
        </w:rPr>
        <w:t>2.</w:t>
      </w:r>
      <w:r>
        <w:rPr>
          <w:rFonts w:hint="eastAsia" w:eastAsia="仿宋_GB2312"/>
          <w:color w:val="auto"/>
          <w:spacing w:val="17"/>
          <w:sz w:val="32"/>
          <w:szCs w:val="32"/>
        </w:rPr>
        <w:t>资金投入和使用情况</w:t>
      </w:r>
    </w:p>
    <w:p w14:paraId="3970B9A8">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lang w:eastAsia="zh-CN"/>
        </w:rPr>
        <w:t>（</w:t>
      </w:r>
      <w:r>
        <w:rPr>
          <w:rFonts w:hint="eastAsia" w:eastAsia="仿宋_GB2312"/>
          <w:color w:val="auto"/>
          <w:spacing w:val="17"/>
          <w:sz w:val="32"/>
          <w:szCs w:val="32"/>
          <w:lang w:val="en-US" w:eastAsia="zh-CN"/>
        </w:rPr>
        <w:t>1</w:t>
      </w:r>
      <w:r>
        <w:rPr>
          <w:rFonts w:hint="eastAsia" w:eastAsia="仿宋_GB2312"/>
          <w:color w:val="auto"/>
          <w:spacing w:val="17"/>
          <w:sz w:val="32"/>
          <w:szCs w:val="32"/>
          <w:lang w:eastAsia="zh-CN"/>
        </w:rPr>
        <w:t>）</w:t>
      </w:r>
      <w:r>
        <w:rPr>
          <w:rFonts w:hint="eastAsia" w:eastAsia="仿宋_GB2312"/>
          <w:color w:val="auto"/>
          <w:spacing w:val="17"/>
          <w:sz w:val="32"/>
          <w:szCs w:val="32"/>
        </w:rPr>
        <w:t>资金投入情况：全年预算数</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万元，实际总投入</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万元，资金来源为巴财教【2022】42号关于提前下达2023年特殊教育补助资金</w:t>
      </w:r>
      <w:r>
        <w:rPr>
          <w:rFonts w:hint="eastAsia" w:eastAsia="仿宋_GB2312"/>
          <w:color w:val="auto"/>
          <w:spacing w:val="17"/>
          <w:sz w:val="32"/>
          <w:szCs w:val="32"/>
          <w:lang w:eastAsia="zh-CN"/>
        </w:rPr>
        <w:t>，</w:t>
      </w:r>
      <w:r>
        <w:rPr>
          <w:rFonts w:hint="eastAsia" w:eastAsia="仿宋_GB2312"/>
          <w:color w:val="auto"/>
          <w:spacing w:val="17"/>
          <w:sz w:val="32"/>
          <w:szCs w:val="32"/>
        </w:rPr>
        <w:t>该项目资金已全部落实到位</w:t>
      </w:r>
      <w:r>
        <w:rPr>
          <w:rFonts w:hint="eastAsia" w:eastAsia="仿宋_GB2312"/>
          <w:color w:val="auto"/>
          <w:spacing w:val="17"/>
          <w:sz w:val="32"/>
          <w:szCs w:val="32"/>
          <w:lang w:eastAsia="zh-CN"/>
        </w:rPr>
        <w:t>。</w:t>
      </w:r>
    </w:p>
    <w:p w14:paraId="075F6352">
      <w:pPr>
        <w:rPr>
          <w:rFonts w:hint="eastAsia" w:eastAsia="仿宋_GB2312"/>
          <w:color w:val="auto"/>
          <w:spacing w:val="17"/>
          <w:sz w:val="32"/>
          <w:szCs w:val="32"/>
          <w:lang w:val="en-US" w:eastAsia="zh-CN"/>
        </w:rPr>
      </w:pPr>
      <w:r>
        <w:rPr>
          <w:rFonts w:hint="eastAsia" w:eastAsia="仿宋_GB2312"/>
          <w:color w:val="auto"/>
          <w:spacing w:val="17"/>
          <w:sz w:val="32"/>
          <w:szCs w:val="32"/>
          <w:lang w:eastAsia="zh-CN"/>
        </w:rPr>
        <w:t>（</w:t>
      </w:r>
      <w:r>
        <w:rPr>
          <w:rFonts w:hint="eastAsia" w:eastAsia="仿宋_GB2312"/>
          <w:color w:val="auto"/>
          <w:spacing w:val="17"/>
          <w:sz w:val="32"/>
          <w:szCs w:val="32"/>
          <w:lang w:val="en-US" w:eastAsia="zh-CN"/>
        </w:rPr>
        <w:t>2</w:t>
      </w:r>
      <w:r>
        <w:rPr>
          <w:rFonts w:hint="eastAsia" w:eastAsia="仿宋_GB2312"/>
          <w:color w:val="auto"/>
          <w:spacing w:val="17"/>
          <w:sz w:val="32"/>
          <w:szCs w:val="32"/>
          <w:lang w:eastAsia="zh-CN"/>
        </w:rPr>
        <w:t>）</w:t>
      </w:r>
      <w:r>
        <w:rPr>
          <w:rFonts w:hint="eastAsia" w:eastAsia="仿宋_GB2312"/>
          <w:color w:val="auto"/>
          <w:spacing w:val="17"/>
          <w:sz w:val="32"/>
          <w:szCs w:val="32"/>
        </w:rPr>
        <w:t>资金使用情况：全年预算数</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万元，全年执行数</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万元，预算执行率为</w:t>
      </w:r>
      <w:r>
        <w:rPr>
          <w:rFonts w:hint="eastAsia" w:eastAsia="仿宋_GB2312"/>
          <w:color w:val="auto"/>
          <w:spacing w:val="17"/>
          <w:sz w:val="32"/>
          <w:szCs w:val="32"/>
          <w:lang w:val="en-US" w:eastAsia="zh-CN"/>
        </w:rPr>
        <w:t>100</w:t>
      </w:r>
      <w:r>
        <w:rPr>
          <w:rFonts w:hint="eastAsia" w:eastAsia="仿宋_GB2312"/>
          <w:color w:val="auto"/>
          <w:spacing w:val="17"/>
          <w:sz w:val="32"/>
          <w:szCs w:val="32"/>
        </w:rPr>
        <w:t>%，用于：</w:t>
      </w:r>
      <w:r>
        <w:rPr>
          <w:rFonts w:hint="eastAsia" w:eastAsia="仿宋_GB2312"/>
          <w:color w:val="auto"/>
          <w:spacing w:val="17"/>
          <w:sz w:val="32"/>
          <w:szCs w:val="32"/>
          <w:lang w:val="en-US" w:eastAsia="zh-CN"/>
        </w:rPr>
        <w:t>基础能力训练仪1套（8台），每台1.5万元，计：12万元；基础能力数据管理系统设备1套，1.5万元； 社交技能训练仪1套36.2万元 ；盲文学习辅具3套（4行30个），每个0.01万元，计：0.3万元 总计：50万元。</w:t>
      </w:r>
    </w:p>
    <w:p w14:paraId="1E80D8A1">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（二）项目绩效目标</w:t>
      </w:r>
    </w:p>
    <w:p w14:paraId="415F4120">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rPr>
        <w:t>1</w:t>
      </w:r>
      <w:r>
        <w:rPr>
          <w:rFonts w:hint="eastAsia" w:eastAsia="仿宋_GB2312"/>
          <w:color w:val="auto"/>
          <w:spacing w:val="17"/>
          <w:sz w:val="32"/>
          <w:szCs w:val="32"/>
          <w:lang w:val="en-US" w:eastAsia="zh-CN"/>
        </w:rPr>
        <w:t>.</w:t>
      </w:r>
      <w:r>
        <w:rPr>
          <w:rFonts w:hint="eastAsia" w:eastAsia="仿宋_GB2312"/>
          <w:color w:val="auto"/>
          <w:spacing w:val="17"/>
          <w:sz w:val="32"/>
          <w:szCs w:val="32"/>
        </w:rPr>
        <w:t>总体目标：</w:t>
      </w:r>
      <w:r>
        <w:rPr>
          <w:rFonts w:hint="eastAsia" w:eastAsia="仿宋_GB2312"/>
          <w:color w:val="auto"/>
          <w:spacing w:val="17"/>
          <w:sz w:val="32"/>
          <w:szCs w:val="32"/>
          <w:lang w:val="en-US" w:eastAsia="zh-CN"/>
        </w:rPr>
        <w:t>通过对特殊教育学校资源中心配备4套设施设备，使受益特教学校学生达到204人以上，提高资源中心、特教学校办学条件，满足提升残疾学生受教育条件的需求。为全州特殊教育提供优良的资源。</w:t>
      </w:r>
    </w:p>
    <w:p w14:paraId="5041A87E">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eastAsia="仿宋_GB2312"/>
          <w:color w:val="auto"/>
          <w:spacing w:val="17"/>
          <w:sz w:val="32"/>
          <w:szCs w:val="32"/>
        </w:rPr>
        <w:t>2</w:t>
      </w:r>
      <w:r>
        <w:rPr>
          <w:rFonts w:hint="eastAsia" w:eastAsia="仿宋_GB2312"/>
          <w:color w:val="auto"/>
          <w:spacing w:val="17"/>
          <w:sz w:val="32"/>
          <w:szCs w:val="32"/>
          <w:lang w:val="en-US" w:eastAsia="zh-CN"/>
        </w:rPr>
        <w:t>.</w:t>
      </w:r>
      <w:r>
        <w:rPr>
          <w:rFonts w:hint="eastAsia" w:eastAsia="仿宋_GB2312"/>
          <w:color w:val="auto"/>
          <w:spacing w:val="17"/>
          <w:sz w:val="32"/>
          <w:szCs w:val="32"/>
        </w:rPr>
        <w:t>阶段性目标：</w:t>
      </w:r>
    </w:p>
    <w:p w14:paraId="5E43FF60">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none"/>
          <w:lang w:val="en-US" w:eastAsia="zh-CN"/>
        </w:rPr>
      </w:pP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1</w:t>
      </w: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4-5</w:t>
      </w:r>
      <w:r>
        <w:rPr>
          <w:rFonts w:hint="eastAsia" w:eastAsia="仿宋_GB2312"/>
          <w:color w:val="auto"/>
          <w:spacing w:val="17"/>
          <w:sz w:val="32"/>
          <w:szCs w:val="32"/>
          <w:highlight w:val="none"/>
          <w:lang w:eastAsia="zh-CN"/>
        </w:rPr>
        <w:t>月，通过</w:t>
      </w:r>
      <w:r>
        <w:rPr>
          <w:rFonts w:hint="eastAsia" w:eastAsia="仿宋_GB2312"/>
          <w:color w:val="auto"/>
          <w:spacing w:val="17"/>
          <w:sz w:val="32"/>
          <w:szCs w:val="32"/>
          <w:highlight w:val="none"/>
          <w:lang w:val="en-US" w:eastAsia="zh-CN"/>
        </w:rPr>
        <w:t>意向公开，确定采购需求、编制采购计划、委托代理机构编制采购文件、发布采购公告、组织评审、确认采购结果、签订采购合同、合同公示、履行验收、支付资金、采购文件归档保存。</w:t>
      </w:r>
    </w:p>
    <w:p w14:paraId="67E94042">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none"/>
          <w:lang w:val="en-US" w:eastAsia="zh-CN"/>
        </w:rPr>
      </w:pP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2</w:t>
      </w: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6-7月，对设备的种类、型号、数量、规格是否与合同约定一致，设备包装是否完好无损，如果设备不符合要求，及时进行调整肯调换。</w:t>
      </w:r>
    </w:p>
    <w:p w14:paraId="09C0447D">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none"/>
        </w:rPr>
      </w:pPr>
      <w:r>
        <w:rPr>
          <w:rFonts w:hint="eastAsia" w:eastAsia="仿宋_GB2312"/>
          <w:color w:val="auto"/>
          <w:spacing w:val="17"/>
          <w:sz w:val="32"/>
          <w:szCs w:val="32"/>
          <w:highlight w:val="none"/>
          <w:lang w:val="en-US" w:eastAsia="zh-CN"/>
        </w:rPr>
        <w:t>（3）8-9月，通过培训提升理论学习和实际操作能力，提高教学高效稳定，安全的运行，从而提高教学质量。</w:t>
      </w:r>
    </w:p>
    <w:p w14:paraId="23E00204">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二、绩效评价工作开展情况</w:t>
      </w:r>
    </w:p>
    <w:p w14:paraId="283D834B">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（一）绩效评价目的、对象和范围</w:t>
      </w:r>
    </w:p>
    <w:p w14:paraId="1B23AA1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lang w:val="en-US" w:eastAsia="zh-CN"/>
        </w:rPr>
        <w:t>1.</w:t>
      </w:r>
      <w:r>
        <w:rPr>
          <w:rFonts w:hint="eastAsia" w:eastAsia="仿宋_GB2312"/>
          <w:color w:val="auto"/>
          <w:spacing w:val="17"/>
          <w:sz w:val="32"/>
          <w:szCs w:val="32"/>
        </w:rPr>
        <w:t>绩效评价目的：</w:t>
      </w:r>
    </w:p>
    <w:p w14:paraId="040E2B73">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通过绩效评价，客观地评判项目的管理绩效，了解和掌握</w:t>
      </w:r>
      <w:r>
        <w:rPr>
          <w:rFonts w:hint="eastAsia" w:eastAsia="仿宋_GB2312"/>
          <w:color w:val="auto"/>
          <w:spacing w:val="17"/>
          <w:sz w:val="32"/>
          <w:szCs w:val="32"/>
          <w:lang w:val="en-US" w:eastAsia="zh-CN"/>
        </w:rPr>
        <w:t>2023年特殊教育补助资金</w:t>
      </w:r>
      <w:r>
        <w:rPr>
          <w:rFonts w:hint="eastAsia" w:eastAsia="仿宋_GB2312"/>
          <w:color w:val="auto"/>
          <w:spacing w:val="17"/>
          <w:sz w:val="32"/>
          <w:szCs w:val="32"/>
        </w:rPr>
        <w:t>的具体情况，评价该项目资金安排的科学性、合理性、规范性和资金的使用成效，及时总结项目管理经验，完善项目管理办法，提高项目管理水平和资金使用效益。促使我</w:t>
      </w:r>
      <w:r>
        <w:rPr>
          <w:rFonts w:hint="eastAsia" w:eastAsia="仿宋_GB2312"/>
          <w:color w:val="auto"/>
          <w:spacing w:val="17"/>
          <w:sz w:val="32"/>
          <w:szCs w:val="32"/>
          <w:lang w:val="en-US" w:eastAsia="zh-CN"/>
        </w:rPr>
        <w:t>单位</w:t>
      </w:r>
      <w:r>
        <w:rPr>
          <w:rFonts w:hint="eastAsia" w:eastAsia="仿宋_GB2312"/>
          <w:color w:val="auto"/>
          <w:spacing w:val="17"/>
          <w:sz w:val="32"/>
          <w:szCs w:val="32"/>
        </w:rPr>
        <w:t>根据绩效评价中发现的问题，认真加以整改，及时调整和完善单位的工作计划并加强项目</w:t>
      </w:r>
      <w:r>
        <w:rPr>
          <w:rFonts w:hint="eastAsia" w:eastAsia="仿宋_GB2312"/>
          <w:color w:val="auto"/>
          <w:spacing w:val="17"/>
          <w:sz w:val="32"/>
          <w:szCs w:val="32"/>
          <w:lang w:val="en-US" w:eastAsia="zh-CN"/>
        </w:rPr>
        <w:t>绩效</w:t>
      </w:r>
      <w:r>
        <w:rPr>
          <w:rFonts w:hint="eastAsia" w:eastAsia="仿宋_GB2312"/>
          <w:color w:val="auto"/>
          <w:spacing w:val="17"/>
          <w:sz w:val="32"/>
          <w:szCs w:val="32"/>
        </w:rPr>
        <w:t>管理，同时为项目后续资金投入、分配和管理提供决策依据。</w:t>
      </w:r>
    </w:p>
    <w:p w14:paraId="5EA83EFA">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lang w:val="en-US" w:eastAsia="zh-CN"/>
        </w:rPr>
        <w:t>2.</w:t>
      </w:r>
      <w:r>
        <w:rPr>
          <w:rFonts w:hint="eastAsia" w:eastAsia="仿宋_GB2312"/>
          <w:color w:val="auto"/>
          <w:spacing w:val="17"/>
          <w:sz w:val="32"/>
          <w:szCs w:val="32"/>
        </w:rPr>
        <w:t>绩效评价对象：</w:t>
      </w:r>
    </w:p>
    <w:p w14:paraId="50891E3F">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巴财教【2022】42号关于提前下达2023年特殊教育补助资金</w:t>
      </w:r>
    </w:p>
    <w:p w14:paraId="685D269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lang w:val="en-US" w:eastAsia="zh-CN"/>
        </w:rPr>
        <w:t>3.</w:t>
      </w:r>
      <w:r>
        <w:rPr>
          <w:rFonts w:hint="eastAsia" w:eastAsia="仿宋_GB2312"/>
          <w:color w:val="auto"/>
          <w:spacing w:val="17"/>
          <w:sz w:val="32"/>
          <w:szCs w:val="32"/>
        </w:rPr>
        <w:t>绩效评价范围：</w:t>
      </w:r>
    </w:p>
    <w:p w14:paraId="7CA266E3">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本次评价从项目决策（包括绩效目标、决策过程）、项目管理（包括项目资金、项目实施）、项目产出（包括项目产出数量、产出质量、产出时效和产出成本）项目效益四个维度进行2023年特殊教育补助资金项目评价，评价核心为资金的支出完成情况和效果。</w:t>
      </w:r>
    </w:p>
    <w:p w14:paraId="39F06AE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（二）绩效评价原则、评价指标体系、评价方法、评价标准</w:t>
      </w:r>
    </w:p>
    <w:p w14:paraId="2369C4EA">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1</w:t>
      </w:r>
      <w:r>
        <w:rPr>
          <w:rFonts w:hint="eastAsia" w:eastAsia="仿宋_GB2312"/>
          <w:color w:val="auto"/>
          <w:spacing w:val="17"/>
          <w:sz w:val="32"/>
          <w:szCs w:val="32"/>
          <w:lang w:val="en-US" w:eastAsia="zh-CN"/>
        </w:rPr>
        <w:t>.</w:t>
      </w:r>
      <w:r>
        <w:rPr>
          <w:rFonts w:hint="eastAsia" w:eastAsia="仿宋_GB2312"/>
          <w:color w:val="auto"/>
          <w:spacing w:val="17"/>
          <w:sz w:val="32"/>
          <w:szCs w:val="32"/>
        </w:rPr>
        <w:t>绩效评价原则</w:t>
      </w:r>
    </w:p>
    <w:p w14:paraId="156997D0">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eastAsia="仿宋_GB2312"/>
          <w:color w:val="auto"/>
          <w:spacing w:val="17"/>
          <w:sz w:val="32"/>
          <w:szCs w:val="32"/>
        </w:rPr>
        <w:t>本次项目绩效评价遵循以下基本原则：</w:t>
      </w:r>
    </w:p>
    <w:p w14:paraId="27A35EC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（一）科学公正。本次项目支出绩效评价运用科学合理的方法，按照规范的程序，对项目绩效进行客观、公正的反映。</w:t>
      </w:r>
    </w:p>
    <w:p w14:paraId="5BE42EBB">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（二）统筹兼顾。本次项目支出绩效评价由本单位自主实施，即“谁支出、谁自评”。</w:t>
      </w:r>
    </w:p>
    <w:p w14:paraId="105B876E">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（三）激励约束。本次项目支出绩效评价结果与预算安排、政策调整、改进管理实质性挂钩，体现奖优罚劣和激励相容导向，有效要安排、低效要压减、无效要问责。</w:t>
      </w:r>
    </w:p>
    <w:p w14:paraId="2C698566">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（四）公开透明。本次项目支出绩效评价结果已依法依规公开在</w:t>
      </w:r>
      <w:r>
        <w:rPr>
          <w:rFonts w:hint="eastAsia" w:eastAsia="仿宋_GB2312"/>
          <w:color w:val="auto"/>
          <w:spacing w:val="17"/>
          <w:sz w:val="32"/>
          <w:szCs w:val="32"/>
          <w:lang w:val="en-US" w:eastAsia="zh-CN"/>
        </w:rPr>
        <w:t>巴州人民政府</w:t>
      </w:r>
      <w:r>
        <w:rPr>
          <w:rFonts w:hint="eastAsia" w:eastAsia="仿宋_GB2312"/>
          <w:color w:val="auto"/>
          <w:spacing w:val="17"/>
          <w:sz w:val="32"/>
          <w:szCs w:val="32"/>
        </w:rPr>
        <w:t>网站上，并自觉接受社会监督。</w:t>
      </w:r>
    </w:p>
    <w:p w14:paraId="456F41EF">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2、评价指标体系（附表说明）</w:t>
      </w:r>
    </w:p>
    <w:p w14:paraId="4BE846B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绩效评价框架是开展绩效评价的核心。绩效评价框架包括评价准则、关键评价问题、评价指标、数据来源、数据收集方法等。指标体系建立过程如下：</w:t>
      </w:r>
    </w:p>
    <w:p w14:paraId="4BAE1667">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（1）确定评价指标</w:t>
      </w:r>
    </w:p>
    <w:p w14:paraId="20312656">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44C95A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（2）确定权重</w:t>
      </w:r>
    </w:p>
    <w:p w14:paraId="7147BB80">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eastAsia="zh-CN"/>
        </w:rPr>
      </w:pPr>
      <w:r>
        <w:rPr>
          <w:rFonts w:eastAsia="仿宋_GB2312"/>
          <w:color w:val="auto"/>
          <w:spacing w:val="17"/>
          <w:sz w:val="32"/>
          <w:szCs w:val="32"/>
        </w:rPr>
        <w:t>确定各个指标相对于项目总体绩效的权重分值。在绩效评价指标体系中，项目决策权重为20分，项目过程权重为20分，项目产出权重为40分，项目效益权重为20分。</w:t>
      </w:r>
    </w:p>
    <w:p w14:paraId="3FD4FED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（3）确定指标标准值</w:t>
      </w:r>
    </w:p>
    <w:p w14:paraId="29626C54">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指标标准值是绩效评价指标的尺度，既要反映同类项目的先进水平，又要符合项目的实际绩效水平。具体采用计划标准等确定此次绩效评价指标标准值。</w:t>
      </w:r>
    </w:p>
    <w:p w14:paraId="64723EB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476109D">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3、评价方法</w:t>
      </w:r>
    </w:p>
    <w:p w14:paraId="5011ED39">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项目评价从项目决策、项目过程、项目产出、项目效益四个维度进行评价。评价对象为项目目标实施情况，  评价核心为资金的支出完成情况和项目的产出效益。</w:t>
      </w:r>
    </w:p>
    <w:p w14:paraId="317D5159">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本次评价指标中，有定性指标，因此核定具体指标时采用了比较法,原因是通过绩效目标和实施情况，历史与当前情况，综合分析绩效目标实施的程度对项目绩效最终实施情况与年初制定绩效目标进行比较，项目执行情况与年初预算进行比较。</w:t>
      </w:r>
    </w:p>
    <w:p w14:paraId="79662A77">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4</w:t>
      </w:r>
      <w:r>
        <w:rPr>
          <w:rFonts w:hint="eastAsia" w:eastAsia="仿宋_GB2312"/>
          <w:color w:val="auto"/>
          <w:spacing w:val="17"/>
          <w:sz w:val="32"/>
          <w:szCs w:val="32"/>
          <w:lang w:val="en-US" w:eastAsia="zh-CN"/>
        </w:rPr>
        <w:t>.</w:t>
      </w:r>
      <w:r>
        <w:rPr>
          <w:rFonts w:hint="eastAsia" w:eastAsia="仿宋_GB2312"/>
          <w:color w:val="auto"/>
          <w:spacing w:val="17"/>
          <w:sz w:val="32"/>
          <w:szCs w:val="32"/>
        </w:rPr>
        <w:t>评价标准</w:t>
      </w:r>
    </w:p>
    <w:p w14:paraId="1CE877B5">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yellow"/>
          <w:lang w:val="en-US" w:eastAsia="zh-CN"/>
        </w:rPr>
      </w:pPr>
      <w:r>
        <w:rPr>
          <w:rFonts w:hint="eastAsia" w:eastAsia="仿宋_GB2312"/>
          <w:color w:val="auto"/>
          <w:spacing w:val="17"/>
          <w:sz w:val="32"/>
          <w:szCs w:val="32"/>
          <w:lang w:val="en-US" w:eastAsia="zh-CN"/>
        </w:rPr>
        <w:t>绩效评价标准通常包括计划标准、行业标准、历史标准等，用于对绩效指标完成情况进行比较、分析、评价。本次评价主要采用了</w:t>
      </w:r>
      <w:r>
        <w:rPr>
          <w:rFonts w:hint="eastAsia" w:eastAsia="仿宋_GB2312"/>
          <w:color w:val="auto"/>
          <w:spacing w:val="17"/>
          <w:sz w:val="32"/>
          <w:szCs w:val="32"/>
          <w:highlight w:val="none"/>
          <w:lang w:val="en-US" w:eastAsia="zh-CN"/>
        </w:rPr>
        <w:t>计划标准。原因：通过会议研究讨论购买设备的必要性及资金量进行计划标准即与计划数、定额数进行评价。</w:t>
      </w:r>
    </w:p>
    <w:p w14:paraId="4BDFEF06">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135DB408">
      <w:pPr>
        <w:spacing w:line="540" w:lineRule="exact"/>
        <w:ind w:left="319" w:leftChars="152" w:firstLine="601" w:firstLineChars="170"/>
        <w:rPr>
          <w:rFonts w:hint="eastAsia" w:eastAsia="仿宋_GB2312"/>
          <w:color w:val="auto"/>
          <w:spacing w:val="17"/>
          <w:sz w:val="32"/>
          <w:szCs w:val="32"/>
        </w:rPr>
      </w:pPr>
      <w:r>
        <w:rPr>
          <w:rFonts w:hint="eastAsia" w:eastAsia="仿宋_GB2312"/>
          <w:color w:val="auto"/>
          <w:spacing w:val="17"/>
          <w:sz w:val="32"/>
          <w:szCs w:val="32"/>
        </w:rPr>
        <w:t>1、前期准备：</w:t>
      </w:r>
    </w:p>
    <w:p w14:paraId="5EEBAB7C">
      <w:pPr>
        <w:spacing w:line="540" w:lineRule="exact"/>
        <w:ind w:firstLine="708" w:firstLineChars="200"/>
        <w:rPr>
          <w:rFonts w:hint="eastAsia" w:eastAsia="仿宋_GB2312"/>
          <w:color w:val="auto"/>
          <w:spacing w:val="17"/>
          <w:sz w:val="32"/>
          <w:szCs w:val="32"/>
        </w:rPr>
      </w:pPr>
      <w:r>
        <w:rPr>
          <w:rFonts w:hint="eastAsia" w:eastAsia="仿宋_GB2312"/>
          <w:color w:val="auto"/>
          <w:spacing w:val="17"/>
          <w:sz w:val="32"/>
          <w:szCs w:val="32"/>
        </w:rPr>
        <w:t>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Fonts w:hint="eastAsia" w:eastAsia="仿宋_GB2312"/>
          <w:color w:val="auto"/>
          <w:spacing w:val="17"/>
          <w:sz w:val="32"/>
          <w:szCs w:val="32"/>
        </w:rPr>
        <w:cr/>
      </w:r>
      <w:r>
        <w:rPr>
          <w:rFonts w:hint="eastAsia" w:eastAsia="仿宋_GB2312"/>
          <w:color w:val="auto"/>
          <w:spacing w:val="17"/>
          <w:sz w:val="32"/>
          <w:szCs w:val="32"/>
          <w:lang w:val="en-US" w:eastAsia="zh-CN"/>
        </w:rPr>
        <w:t xml:space="preserve">     </w:t>
      </w:r>
      <w:r>
        <w:rPr>
          <w:rFonts w:hint="eastAsia" w:eastAsia="仿宋_GB2312"/>
          <w:color w:val="auto"/>
          <w:spacing w:val="17"/>
          <w:sz w:val="32"/>
          <w:szCs w:val="32"/>
        </w:rPr>
        <w:t>2、组织实施：</w:t>
      </w:r>
      <w:r>
        <w:rPr>
          <w:rFonts w:hint="eastAsia" w:eastAsia="仿宋_GB2312"/>
          <w:color w:val="auto"/>
          <w:spacing w:val="17"/>
          <w:sz w:val="32"/>
          <w:szCs w:val="32"/>
        </w:rPr>
        <w:cr/>
      </w:r>
      <w:r>
        <w:rPr>
          <w:rFonts w:hint="eastAsia" w:eastAsia="仿宋_GB2312"/>
          <w:color w:val="auto"/>
          <w:spacing w:val="17"/>
          <w:sz w:val="32"/>
          <w:szCs w:val="32"/>
          <w:lang w:val="en-US" w:eastAsia="zh-CN"/>
        </w:rPr>
        <w:t xml:space="preserve">   </w:t>
      </w:r>
      <w:r>
        <w:rPr>
          <w:rFonts w:hint="eastAsia" w:eastAsia="仿宋_GB2312"/>
          <w:color w:val="auto"/>
          <w:spacing w:val="17"/>
          <w:sz w:val="32"/>
          <w:szCs w:val="32"/>
        </w:rPr>
        <w:t>评价工作进入实施阶段，评价组收集绩效评价相关数据资料，进行现场调研、座谈；并与项目实施负责人沟通，了解资金的内容、操作流程、管理机制、资金使用方向等情况，分析形成初步结论。</w:t>
      </w:r>
    </w:p>
    <w:p w14:paraId="0C8300D7">
      <w:pPr>
        <w:spacing w:line="540" w:lineRule="exact"/>
        <w:ind w:firstLine="708" w:firstLineChars="200"/>
        <w:rPr>
          <w:rFonts w:hint="eastAsia" w:eastAsia="仿宋_GB2312"/>
          <w:color w:val="auto"/>
          <w:spacing w:val="17"/>
          <w:sz w:val="32"/>
          <w:szCs w:val="32"/>
        </w:rPr>
      </w:pPr>
      <w:r>
        <w:rPr>
          <w:rFonts w:hint="eastAsia" w:eastAsia="仿宋_GB2312"/>
          <w:color w:val="auto"/>
          <w:spacing w:val="17"/>
          <w:sz w:val="32"/>
          <w:szCs w:val="32"/>
        </w:rPr>
        <w:t>3、分析评价：</w:t>
      </w:r>
    </w:p>
    <w:p w14:paraId="464092A3">
      <w:pPr>
        <w:spacing w:line="540" w:lineRule="exact"/>
        <w:ind w:firstLine="567"/>
        <w:rPr>
          <w:rStyle w:val="18"/>
          <w:rFonts w:hint="eastAsia" w:ascii="黑体" w:hAnsi="黑体" w:eastAsia="黑体"/>
          <w:b w:val="0"/>
          <w:spacing w:val="-4"/>
          <w:sz w:val="32"/>
          <w:szCs w:val="32"/>
          <w:lang w:eastAsia="zh-CN"/>
        </w:rPr>
      </w:pPr>
      <w:r>
        <w:rPr>
          <w:rFonts w:hint="eastAsia" w:eastAsia="仿宋_GB2312"/>
          <w:color w:val="auto"/>
          <w:spacing w:val="17"/>
          <w:sz w:val="32"/>
          <w:szCs w:val="32"/>
        </w:rPr>
        <w:t xml:space="preserve">评价组按照绩效评价的原则和规范，对取得的资料进行审查核实，对采集的数据进行分析，按照绩效评价指标评分表逐项进行打分、分析，汇总各方评价结果，综合分析并形成评价结论。 </w:t>
      </w:r>
    </w:p>
    <w:p w14:paraId="0EE2D8DF">
      <w:pPr>
        <w:numPr>
          <w:ilvl w:val="0"/>
          <w:numId w:val="0"/>
        </w:numPr>
        <w:spacing w:line="540" w:lineRule="exact"/>
        <w:ind w:firstLine="936" w:firstLineChars="3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三</w:t>
      </w:r>
      <w:r>
        <w:rPr>
          <w:rStyle w:val="18"/>
          <w:rFonts w:hint="eastAsia" w:ascii="黑体" w:hAnsi="黑体" w:eastAsia="黑体"/>
          <w:b w:val="0"/>
          <w:spacing w:val="-4"/>
          <w:sz w:val="32"/>
          <w:szCs w:val="32"/>
          <w:lang w:eastAsia="zh-CN"/>
        </w:rPr>
        <w:t>、</w:t>
      </w:r>
      <w:r>
        <w:rPr>
          <w:rStyle w:val="18"/>
          <w:rFonts w:hint="eastAsia" w:ascii="黑体" w:hAnsi="黑体" w:eastAsia="黑体"/>
          <w:b w:val="0"/>
          <w:spacing w:val="-4"/>
          <w:sz w:val="32"/>
          <w:szCs w:val="32"/>
        </w:rPr>
        <w:t>综合评价情况及评价结论</w:t>
      </w:r>
    </w:p>
    <w:p w14:paraId="6D324646">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0" w:name="_Toc68703835"/>
      <w:r>
        <w:rPr>
          <w:rFonts w:hint="eastAsia" w:ascii="Times New Roman" w:hAnsi="Times New Roman" w:eastAsia="仿宋_GB2312" w:cs="Times New Roman"/>
          <w:b w:val="0"/>
          <w:bCs w:val="0"/>
          <w:i w:val="0"/>
          <w:iCs w:val="0"/>
          <w:color w:val="auto"/>
          <w:spacing w:val="17"/>
          <w:kern w:val="2"/>
          <w:sz w:val="32"/>
          <w:szCs w:val="32"/>
          <w:lang w:val="en-US" w:eastAsia="zh-CN" w:bidi="ar-SA"/>
        </w:rPr>
        <w:t>（一）综合评价情况</w:t>
      </w:r>
      <w:bookmarkEnd w:id="0"/>
      <w:r>
        <w:rPr>
          <w:rFonts w:hint="eastAsia" w:ascii="Times New Roman" w:hAnsi="Times New Roman" w:eastAsia="仿宋_GB2312" w:cs="Times New Roman"/>
          <w:b w:val="0"/>
          <w:bCs w:val="0"/>
          <w:i w:val="0"/>
          <w:iCs w:val="0"/>
          <w:color w:val="auto"/>
          <w:spacing w:val="17"/>
          <w:kern w:val="2"/>
          <w:sz w:val="32"/>
          <w:szCs w:val="32"/>
          <w:lang w:val="en-US" w:eastAsia="zh-CN" w:bidi="ar-SA"/>
        </w:rPr>
        <w:t>及评价结论</w:t>
      </w:r>
    </w:p>
    <w:p w14:paraId="6AD724D5">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752C132">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本项目严格按照科学公正、统筹兼顾、激励约束、公开透明的绩效评价原则，采用</w:t>
      </w:r>
      <w:r>
        <w:rPr>
          <w:rFonts w:hint="eastAsia" w:eastAsia="仿宋_GB2312" w:cs="Times New Roman"/>
          <w:b w:val="0"/>
          <w:bCs w:val="0"/>
          <w:i w:val="0"/>
          <w:iCs w:val="0"/>
          <w:color w:val="auto"/>
          <w:spacing w:val="17"/>
          <w:kern w:val="2"/>
          <w:sz w:val="32"/>
          <w:szCs w:val="32"/>
          <w:lang w:val="en-US" w:eastAsia="zh-CN" w:bidi="ar-SA"/>
        </w:rPr>
        <w:t>比较</w:t>
      </w:r>
      <w:r>
        <w:rPr>
          <w:rFonts w:hint="eastAsia" w:ascii="Times New Roman" w:hAnsi="Times New Roman" w:eastAsia="仿宋_GB2312" w:cs="Times New Roman"/>
          <w:b w:val="0"/>
          <w:bCs w:val="0"/>
          <w:i w:val="0"/>
          <w:iCs w:val="0"/>
          <w:color w:val="auto"/>
          <w:spacing w:val="17"/>
          <w:kern w:val="2"/>
          <w:sz w:val="32"/>
          <w:szCs w:val="32"/>
          <w:lang w:val="en-US" w:eastAsia="zh-CN" w:bidi="ar-SA"/>
        </w:rPr>
        <w:t>法，坚持计划标准对本项目的立项、绩效目标、资金投入、资金管理、组织实施、产出数量、产出质量、产出时效、产出成本、项目效益进行了综合评价。</w:t>
      </w:r>
    </w:p>
    <w:p w14:paraId="01695086">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1" w:name="_Toc68703836"/>
      <w:r>
        <w:rPr>
          <w:rFonts w:hint="eastAsia" w:ascii="Times New Roman" w:hAnsi="Times New Roman" w:eastAsia="仿宋_GB2312" w:cs="Times New Roman"/>
          <w:b w:val="0"/>
          <w:bCs w:val="0"/>
          <w:i w:val="0"/>
          <w:iCs w:val="0"/>
          <w:color w:val="auto"/>
          <w:spacing w:val="17"/>
          <w:kern w:val="2"/>
          <w:sz w:val="32"/>
          <w:szCs w:val="32"/>
          <w:lang w:val="en-US" w:eastAsia="zh-CN" w:bidi="ar-SA"/>
        </w:rPr>
        <w:t>2.评价结论</w:t>
      </w:r>
      <w:bookmarkEnd w:id="1"/>
    </w:p>
    <w:p w14:paraId="33D06CFB">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w:t>
      </w:r>
    </w:p>
    <w:tbl>
      <w:tblPr>
        <w:tblStyle w:val="16"/>
        <w:tblW w:w="7583" w:type="dxa"/>
        <w:jc w:val="center"/>
        <w:tblLayout w:type="fixed"/>
        <w:tblCellMar>
          <w:top w:w="0" w:type="dxa"/>
          <w:left w:w="108" w:type="dxa"/>
          <w:bottom w:w="0" w:type="dxa"/>
          <w:right w:w="108" w:type="dxa"/>
        </w:tblCellMar>
      </w:tblPr>
      <w:tblGrid>
        <w:gridCol w:w="3137"/>
        <w:gridCol w:w="2168"/>
        <w:gridCol w:w="2278"/>
      </w:tblGrid>
      <w:tr w14:paraId="537CF3C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552FAE4">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160EE70">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8A26FBA">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得分</w:t>
            </w:r>
          </w:p>
        </w:tc>
      </w:tr>
      <w:tr w14:paraId="633F81A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F287B51">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项目决策</w:t>
            </w:r>
          </w:p>
        </w:tc>
        <w:tc>
          <w:tcPr>
            <w:tcW w:w="2168" w:type="dxa"/>
            <w:tcBorders>
              <w:top w:val="nil"/>
              <w:left w:val="nil"/>
              <w:bottom w:val="single" w:color="auto" w:sz="4" w:space="0"/>
              <w:right w:val="single" w:color="auto" w:sz="4" w:space="0"/>
            </w:tcBorders>
            <w:shd w:val="clear" w:color="auto" w:fill="auto"/>
            <w:vAlign w:val="center"/>
          </w:tcPr>
          <w:p w14:paraId="5E7D909C">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14:paraId="3B17C6B9">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r>
      <w:tr w14:paraId="7D03F3E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A93250">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项目过程</w:t>
            </w:r>
          </w:p>
        </w:tc>
        <w:tc>
          <w:tcPr>
            <w:tcW w:w="2168" w:type="dxa"/>
            <w:tcBorders>
              <w:top w:val="nil"/>
              <w:left w:val="nil"/>
              <w:bottom w:val="single" w:color="auto" w:sz="4" w:space="0"/>
              <w:right w:val="single" w:color="auto" w:sz="4" w:space="0"/>
            </w:tcBorders>
            <w:shd w:val="clear" w:color="auto" w:fill="auto"/>
            <w:vAlign w:val="center"/>
          </w:tcPr>
          <w:p w14:paraId="41D1744A">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14:paraId="566C87B4">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r>
      <w:tr w14:paraId="3F04198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27EC278">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项目产出</w:t>
            </w:r>
          </w:p>
        </w:tc>
        <w:tc>
          <w:tcPr>
            <w:tcW w:w="2168" w:type="dxa"/>
            <w:tcBorders>
              <w:top w:val="nil"/>
              <w:left w:val="nil"/>
              <w:bottom w:val="single" w:color="auto" w:sz="4" w:space="0"/>
              <w:right w:val="single" w:color="auto" w:sz="4" w:space="0"/>
            </w:tcBorders>
            <w:shd w:val="clear" w:color="auto" w:fill="auto"/>
            <w:vAlign w:val="center"/>
          </w:tcPr>
          <w:p w14:paraId="0BD7A53D">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40</w:t>
            </w:r>
          </w:p>
        </w:tc>
        <w:tc>
          <w:tcPr>
            <w:tcW w:w="2278" w:type="dxa"/>
            <w:tcBorders>
              <w:top w:val="nil"/>
              <w:left w:val="nil"/>
              <w:bottom w:val="single" w:color="auto" w:sz="4" w:space="0"/>
              <w:right w:val="single" w:color="auto" w:sz="4" w:space="0"/>
            </w:tcBorders>
            <w:shd w:val="clear" w:color="auto" w:fill="auto"/>
            <w:vAlign w:val="center"/>
          </w:tcPr>
          <w:p w14:paraId="131350AA">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40</w:t>
            </w:r>
          </w:p>
        </w:tc>
      </w:tr>
      <w:tr w14:paraId="5DEC7BB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1A7882">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项目效益</w:t>
            </w:r>
          </w:p>
        </w:tc>
        <w:tc>
          <w:tcPr>
            <w:tcW w:w="2168" w:type="dxa"/>
            <w:tcBorders>
              <w:top w:val="nil"/>
              <w:left w:val="nil"/>
              <w:bottom w:val="single" w:color="auto" w:sz="4" w:space="0"/>
              <w:right w:val="single" w:color="auto" w:sz="4" w:space="0"/>
            </w:tcBorders>
            <w:shd w:val="clear" w:color="auto" w:fill="auto"/>
            <w:vAlign w:val="center"/>
          </w:tcPr>
          <w:p w14:paraId="373AA038">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14:paraId="46E4EA58">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r>
      <w:tr w14:paraId="5834BAC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0A9D35">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合计</w:t>
            </w:r>
          </w:p>
        </w:tc>
        <w:tc>
          <w:tcPr>
            <w:tcW w:w="2168" w:type="dxa"/>
            <w:tcBorders>
              <w:top w:val="nil"/>
              <w:left w:val="nil"/>
              <w:bottom w:val="single" w:color="auto" w:sz="4" w:space="0"/>
              <w:right w:val="single" w:color="auto" w:sz="4" w:space="0"/>
            </w:tcBorders>
            <w:shd w:val="clear" w:color="auto" w:fill="auto"/>
            <w:vAlign w:val="center"/>
          </w:tcPr>
          <w:p w14:paraId="4A2E0F95">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p>
        </w:tc>
        <w:tc>
          <w:tcPr>
            <w:tcW w:w="2278" w:type="dxa"/>
            <w:tcBorders>
              <w:top w:val="nil"/>
              <w:left w:val="nil"/>
              <w:bottom w:val="single" w:color="auto" w:sz="4" w:space="0"/>
              <w:right w:val="single" w:color="auto" w:sz="4" w:space="0"/>
            </w:tcBorders>
            <w:shd w:val="clear" w:color="auto" w:fill="auto"/>
            <w:vAlign w:val="center"/>
          </w:tcPr>
          <w:p w14:paraId="4FE6106D">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p>
        </w:tc>
      </w:tr>
    </w:tbl>
    <w:p w14:paraId="6F39D459">
      <w:pPr>
        <w:spacing w:line="540" w:lineRule="exact"/>
        <w:rPr>
          <w:rFonts w:hint="eastAsia" w:ascii="Times New Roman" w:hAnsi="Times New Roman" w:eastAsia="仿宋_GB2312" w:cs="Times New Roman"/>
          <w:b w:val="0"/>
          <w:bCs w:val="0"/>
          <w:i w:val="0"/>
          <w:iCs w:val="0"/>
          <w:color w:val="auto"/>
          <w:spacing w:val="17"/>
          <w:kern w:val="2"/>
          <w:sz w:val="32"/>
          <w:szCs w:val="32"/>
          <w:lang w:val="en-US" w:eastAsia="zh-CN" w:bidi="ar-SA"/>
        </w:rPr>
      </w:pPr>
    </w:p>
    <w:p w14:paraId="3D215EEF">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bCs/>
          <w:i w:val="0"/>
          <w:iCs w:val="0"/>
          <w:color w:val="auto"/>
          <w:spacing w:val="17"/>
          <w:kern w:val="2"/>
          <w:sz w:val="32"/>
          <w:szCs w:val="32"/>
          <w:lang w:val="en-US" w:eastAsia="zh-CN" w:bidi="ar-SA"/>
        </w:rPr>
        <w:t>四、绩效评价指标分析</w:t>
      </w:r>
      <w:r>
        <w:rPr>
          <w:rFonts w:hint="eastAsia" w:ascii="Times New Roman" w:hAnsi="Times New Roman" w:eastAsia="仿宋_GB2312" w:cs="Times New Roman"/>
          <w:b w:val="0"/>
          <w:bCs w:val="0"/>
          <w:i w:val="0"/>
          <w:iCs w:val="0"/>
          <w:color w:val="auto"/>
          <w:spacing w:val="17"/>
          <w:kern w:val="2"/>
          <w:sz w:val="32"/>
          <w:szCs w:val="32"/>
          <w:lang w:val="en-US" w:eastAsia="zh-CN" w:bidi="ar-SA"/>
        </w:rPr>
        <w:t xml:space="preserve"> </w:t>
      </w:r>
    </w:p>
    <w:p w14:paraId="2EEDA5CA">
      <w:pPr>
        <w:spacing w:line="540" w:lineRule="exact"/>
        <w:ind w:firstLine="640" w:firstLineChars="181"/>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（一）项目决策情况</w:t>
      </w:r>
    </w:p>
    <w:p w14:paraId="3496CF25">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1.立项依据充分性</w:t>
      </w:r>
    </w:p>
    <w:p w14:paraId="4E1F7226">
      <w:pPr>
        <w:ind w:firstLine="708" w:firstLineChars="20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项目立项符合国家法律法规、国民经济发展规划和相关政策，符合行业发展规划和政策要求，符合与部门职责范围相符，属于部门履职所需，属于公共财政支持范围符合中央、地方事权支出责任划分原则，与部门内部相关项目不重复。</w:t>
      </w:r>
    </w:p>
    <w:p w14:paraId="52F9DDB7">
      <w:pPr>
        <w:pStyle w:val="2"/>
        <w:ind w:firstLine="708" w:firstLineChars="200"/>
        <w:jc w:val="left"/>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61AAC3D2">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2.立项程序规范性</w:t>
      </w:r>
    </w:p>
    <w:p w14:paraId="760B4B3C">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巴财教【2022】42号关于提前下达2023年特殊教育补助资金项目申请、设立过程符合相关要求，</w:t>
      </w:r>
      <w:r>
        <w:rPr>
          <w:rFonts w:hint="eastAsia" w:ascii="Times New Roman" w:hAnsi="Times New Roman" w:eastAsia="仿宋_GB2312" w:cs="Times New Roman"/>
          <w:b w:val="0"/>
          <w:bCs w:val="0"/>
          <w:i w:val="0"/>
          <w:iCs w:val="0"/>
          <w:color w:val="auto"/>
          <w:spacing w:val="17"/>
          <w:kern w:val="2"/>
          <w:sz w:val="32"/>
          <w:szCs w:val="32"/>
          <w:lang w:val="en-US" w:eastAsia="zh-Hans" w:bidi="ar-SA"/>
        </w:rPr>
        <w:t>严格按照审批流程准备符合要求的文件、材料；</w:t>
      </w:r>
      <w:r>
        <w:rPr>
          <w:rFonts w:hint="eastAsia" w:ascii="Times New Roman" w:hAnsi="Times New Roman" w:eastAsia="仿宋_GB2312" w:cs="Times New Roman"/>
          <w:b w:val="0"/>
          <w:bCs w:val="0"/>
          <w:i w:val="0"/>
          <w:iCs w:val="0"/>
          <w:color w:val="auto"/>
          <w:spacing w:val="17"/>
          <w:kern w:val="2"/>
          <w:sz w:val="32"/>
          <w:szCs w:val="32"/>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FAB40A6">
      <w:pPr>
        <w:pStyle w:val="2"/>
        <w:ind w:firstLine="708" w:firstLineChars="200"/>
        <w:jc w:val="left"/>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此项权重分3分，得分3分。</w:t>
      </w:r>
    </w:p>
    <w:p w14:paraId="67F5C33B">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3.绩效目标合理性</w:t>
      </w:r>
    </w:p>
    <w:p w14:paraId="6BEAB788">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2023年特殊教育补助资金项目设立了项目绩效目标，与购置特殊教育设备有相关性，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EE9C237">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752E73F7">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4.绩效指标明确性</w:t>
      </w:r>
    </w:p>
    <w:p w14:paraId="4E16D663">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2" w:name="_Hlk68699917"/>
      <w:r>
        <w:rPr>
          <w:rFonts w:hint="eastAsia" w:ascii="Times New Roman" w:hAnsi="Times New Roman" w:eastAsia="仿宋_GB2312" w:cs="Times New Roman"/>
          <w:b w:val="0"/>
          <w:bCs w:val="0"/>
          <w:i w:val="0"/>
          <w:iCs w:val="0"/>
          <w:color w:val="auto"/>
          <w:spacing w:val="17"/>
          <w:kern w:val="2"/>
          <w:sz w:val="32"/>
          <w:szCs w:val="32"/>
          <w:lang w:val="en-US" w:eastAsia="zh-CN" w:bidi="ar-SA"/>
        </w:rPr>
        <w:t>2023年特殊教育补助资金项目绩效目标细化分解为具体的绩效指标，一级指标共4条，二级指标共</w:t>
      </w:r>
      <w:r>
        <w:rPr>
          <w:rFonts w:hint="eastAsia" w:eastAsia="仿宋_GB2312" w:cs="Times New Roman"/>
          <w:b w:val="0"/>
          <w:bCs w:val="0"/>
          <w:i w:val="0"/>
          <w:iCs w:val="0"/>
          <w:color w:val="auto"/>
          <w:spacing w:val="17"/>
          <w:kern w:val="2"/>
          <w:sz w:val="32"/>
          <w:szCs w:val="32"/>
          <w:lang w:val="en-US" w:eastAsia="zh-CN" w:bidi="ar-SA"/>
        </w:rPr>
        <w:t>7</w:t>
      </w:r>
      <w:r>
        <w:rPr>
          <w:rFonts w:hint="eastAsia" w:ascii="Times New Roman" w:hAnsi="Times New Roman" w:eastAsia="仿宋_GB2312" w:cs="Times New Roman"/>
          <w:b w:val="0"/>
          <w:bCs w:val="0"/>
          <w:i w:val="0"/>
          <w:iCs w:val="0"/>
          <w:color w:val="auto"/>
          <w:spacing w:val="17"/>
          <w:kern w:val="2"/>
          <w:sz w:val="32"/>
          <w:szCs w:val="32"/>
          <w:lang w:val="en-US" w:eastAsia="zh-CN" w:bidi="ar-SA"/>
        </w:rPr>
        <w:t>条，三级指标共15条，所有绩效指标均通过清晰、可衡量的指标值予以体现，并且做到了与项目目标任务数或计划数相对应。</w:t>
      </w:r>
      <w:bookmarkEnd w:id="2"/>
    </w:p>
    <w:p w14:paraId="2DBD3273">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此项权重分3分，得分3分。</w:t>
      </w:r>
    </w:p>
    <w:p w14:paraId="63A04CB6">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5.预算编制科学性</w:t>
      </w:r>
    </w:p>
    <w:p w14:paraId="0B9C9A2F">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项目预算编制经过项目负责人多次沟通，根据工作任务和职责制定工作计划，对项目进行充分测算，设定项目支出绩效项目，预算编制经过科学论证、预算内容与项目匹配，额度测算依据充分按照标准编制，投资额资金与工作任务匹配。</w:t>
      </w:r>
    </w:p>
    <w:p w14:paraId="1699060A">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1588B97B">
      <w:pPr>
        <w:pageBreakBefore w:val="0"/>
        <w:kinsoku/>
        <w:wordWrap/>
        <w:overflowPunct/>
        <w:topLinePunct w:val="0"/>
        <w:autoSpaceDE/>
        <w:autoSpaceDN/>
        <w:bidi w:val="0"/>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6.资金分配合理性</w:t>
      </w:r>
    </w:p>
    <w:p w14:paraId="65769080">
      <w:pPr>
        <w:pageBreakBefore w:val="0"/>
        <w:kinsoku/>
        <w:wordWrap/>
        <w:overflowPunct/>
        <w:topLinePunct w:val="0"/>
        <w:autoSpaceDE/>
        <w:autoSpaceDN/>
        <w:bidi w:val="0"/>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w:t>
      </w:r>
      <w:r>
        <w:rPr>
          <w:rFonts w:hint="eastAsia" w:eastAsia="仿宋_GB2312" w:cs="Times New Roman"/>
          <w:b w:val="0"/>
          <w:bCs w:val="0"/>
          <w:i w:val="0"/>
          <w:iCs w:val="0"/>
          <w:color w:val="auto"/>
          <w:spacing w:val="17"/>
          <w:kern w:val="2"/>
          <w:sz w:val="32"/>
          <w:szCs w:val="32"/>
          <w:lang w:val="en-US" w:eastAsia="zh-CN" w:bidi="ar-SA"/>
        </w:rPr>
        <w:t>项目预算资金分配按照下达的指标额度和《中华人民共和国预算法》进行编制，分配依据充分。资金分配额度合理，与项目实际发生工作内容相符合按</w:t>
      </w:r>
      <w:r>
        <w:rPr>
          <w:rFonts w:hint="eastAsia" w:ascii="Times New Roman" w:hAnsi="Times New Roman" w:eastAsia="仿宋_GB2312" w:cs="Times New Roman"/>
          <w:b w:val="0"/>
          <w:bCs w:val="0"/>
          <w:i w:val="0"/>
          <w:iCs w:val="0"/>
          <w:color w:val="auto"/>
          <w:spacing w:val="17"/>
          <w:kern w:val="2"/>
          <w:sz w:val="32"/>
          <w:szCs w:val="32"/>
          <w:lang w:val="en-US" w:eastAsia="zh-CN" w:bidi="ar-SA"/>
        </w:rPr>
        <w:t>文件</w:t>
      </w:r>
      <w:r>
        <w:rPr>
          <w:rFonts w:hint="default" w:ascii="Times New Roman" w:hAnsi="Times New Roman" w:eastAsia="仿宋_GB2312" w:cs="Times New Roman"/>
          <w:b w:val="0"/>
          <w:bCs w:val="0"/>
          <w:i w:val="0"/>
          <w:iCs w:val="0"/>
          <w:color w:val="auto"/>
          <w:spacing w:val="17"/>
          <w:kern w:val="2"/>
          <w:sz w:val="32"/>
          <w:szCs w:val="32"/>
          <w:lang w:val="en-US" w:eastAsia="zh-CN" w:bidi="ar-SA"/>
        </w:rPr>
        <w:t>分配</w:t>
      </w:r>
      <w:r>
        <w:rPr>
          <w:rFonts w:hint="eastAsia" w:ascii="Times New Roman" w:hAnsi="Times New Roman" w:eastAsia="仿宋_GB2312" w:cs="Times New Roman"/>
          <w:b w:val="0"/>
          <w:bCs w:val="0"/>
          <w:i w:val="0"/>
          <w:iCs w:val="0"/>
          <w:color w:val="auto"/>
          <w:spacing w:val="17"/>
          <w:kern w:val="2"/>
          <w:sz w:val="32"/>
          <w:szCs w:val="32"/>
          <w:lang w:val="en-US" w:eastAsia="zh-CN" w:bidi="ar-SA"/>
        </w:rPr>
        <w:t>50</w:t>
      </w:r>
      <w:r>
        <w:rPr>
          <w:rFonts w:hint="default" w:ascii="Times New Roman" w:hAnsi="Times New Roman" w:eastAsia="仿宋_GB2312" w:cs="Times New Roman"/>
          <w:b w:val="0"/>
          <w:bCs w:val="0"/>
          <w:i w:val="0"/>
          <w:iCs w:val="0"/>
          <w:color w:val="auto"/>
          <w:spacing w:val="17"/>
          <w:kern w:val="2"/>
          <w:sz w:val="32"/>
          <w:szCs w:val="32"/>
          <w:lang w:val="en-US" w:eastAsia="zh-CN" w:bidi="ar-SA"/>
        </w:rPr>
        <w:t>万元，</w:t>
      </w:r>
      <w:r>
        <w:rPr>
          <w:rFonts w:hint="eastAsia" w:ascii="Times New Roman" w:hAnsi="Times New Roman" w:eastAsia="仿宋_GB2312" w:cs="Times New Roman"/>
          <w:b w:val="0"/>
          <w:bCs w:val="0"/>
          <w:i w:val="0"/>
          <w:iCs w:val="0"/>
          <w:color w:val="auto"/>
          <w:spacing w:val="17"/>
          <w:kern w:val="2"/>
          <w:sz w:val="32"/>
          <w:szCs w:val="32"/>
          <w:lang w:val="en-US" w:eastAsia="zh-CN" w:bidi="ar-SA"/>
        </w:rPr>
        <w:t>全部用于特殊教育设备。</w:t>
      </w:r>
      <w:r>
        <w:rPr>
          <w:rFonts w:hint="default" w:ascii="Times New Roman" w:hAnsi="Times New Roman" w:eastAsia="仿宋_GB2312" w:cs="Times New Roman"/>
          <w:b w:val="0"/>
          <w:bCs w:val="0"/>
          <w:i w:val="0"/>
          <w:iCs w:val="0"/>
          <w:color w:val="auto"/>
          <w:spacing w:val="17"/>
          <w:kern w:val="2"/>
          <w:sz w:val="32"/>
          <w:szCs w:val="32"/>
          <w:lang w:val="en-US" w:eastAsia="zh-CN" w:bidi="ar-SA"/>
        </w:rPr>
        <w:t>预算资金分配依据充分，资金分配额度合理，与</w:t>
      </w:r>
      <w:r>
        <w:rPr>
          <w:rFonts w:hint="eastAsia" w:ascii="Times New Roman" w:hAnsi="Times New Roman" w:eastAsia="仿宋_GB2312" w:cs="Times New Roman"/>
          <w:b w:val="0"/>
          <w:bCs w:val="0"/>
          <w:i w:val="0"/>
          <w:iCs w:val="0"/>
          <w:color w:val="auto"/>
          <w:spacing w:val="17"/>
          <w:kern w:val="2"/>
          <w:sz w:val="32"/>
          <w:szCs w:val="32"/>
          <w:lang w:val="en-US" w:eastAsia="zh-CN" w:bidi="ar-SA"/>
        </w:rPr>
        <w:t>我校</w:t>
      </w:r>
      <w:r>
        <w:rPr>
          <w:rFonts w:hint="default" w:ascii="Times New Roman" w:hAnsi="Times New Roman" w:eastAsia="仿宋_GB2312" w:cs="Times New Roman"/>
          <w:b w:val="0"/>
          <w:bCs w:val="0"/>
          <w:i w:val="0"/>
          <w:iCs w:val="0"/>
          <w:color w:val="auto"/>
          <w:spacing w:val="17"/>
          <w:kern w:val="2"/>
          <w:sz w:val="32"/>
          <w:szCs w:val="32"/>
          <w:lang w:val="en-US" w:eastAsia="zh-CN" w:bidi="ar-SA"/>
        </w:rPr>
        <w:t>实际相适应。</w:t>
      </w:r>
    </w:p>
    <w:p w14:paraId="5CC17CE3">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此项权重分2分，得分2分。</w:t>
      </w:r>
    </w:p>
    <w:p w14:paraId="3E049C2B">
      <w:pPr>
        <w:spacing w:line="540" w:lineRule="exact"/>
        <w:ind w:firstLine="543" w:firstLineChars="181"/>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 xml:space="preserve"> </w:t>
      </w:r>
      <w:r>
        <w:rPr>
          <w:rFonts w:hint="eastAsia" w:ascii="楷体" w:hAnsi="楷体" w:eastAsia="楷体"/>
          <w:b w:val="0"/>
          <w:bCs/>
          <w:spacing w:val="-4"/>
          <w:sz w:val="32"/>
          <w:szCs w:val="32"/>
        </w:rPr>
        <w:t>（</w:t>
      </w:r>
      <w:r>
        <w:rPr>
          <w:rFonts w:hint="eastAsia" w:ascii="楷体" w:hAnsi="楷体" w:eastAsia="楷体"/>
          <w:b w:val="0"/>
          <w:bCs/>
          <w:spacing w:val="-4"/>
          <w:sz w:val="32"/>
          <w:szCs w:val="32"/>
          <w:lang w:val="en-US" w:eastAsia="zh-CN"/>
        </w:rPr>
        <w:t>二</w:t>
      </w:r>
      <w:r>
        <w:rPr>
          <w:rFonts w:hint="eastAsia" w:ascii="楷体" w:hAnsi="楷体" w:eastAsia="楷体"/>
          <w:b w:val="0"/>
          <w:bCs/>
          <w:spacing w:val="-4"/>
          <w:sz w:val="32"/>
          <w:szCs w:val="32"/>
        </w:rPr>
        <w:t>）</w:t>
      </w:r>
      <w:r>
        <w:rPr>
          <w:rStyle w:val="18"/>
          <w:rFonts w:hint="eastAsia" w:ascii="楷体" w:hAnsi="楷体" w:eastAsia="楷体"/>
          <w:b w:val="0"/>
          <w:bCs/>
          <w:spacing w:val="-4"/>
          <w:sz w:val="32"/>
          <w:szCs w:val="32"/>
        </w:rPr>
        <w:t>项目过程情况</w:t>
      </w:r>
    </w:p>
    <w:p w14:paraId="7FC6A528">
      <w:pPr>
        <w:pStyle w:val="47"/>
        <w:spacing w:line="520" w:lineRule="exact"/>
        <w:ind w:firstLine="699" w:firstLineChars="233"/>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1、</w:t>
      </w:r>
      <w:r>
        <w:rPr>
          <w:rFonts w:hint="eastAsia" w:ascii="Times New Roman" w:eastAsia="仿宋_GB2312" w:cs="Times New Roman"/>
          <w:b w:val="0"/>
          <w:bCs w:val="0"/>
          <w:color w:val="auto"/>
          <w:kern w:val="2"/>
          <w:sz w:val="30"/>
          <w:szCs w:val="24"/>
          <w:lang w:val="en-US" w:eastAsia="zh-CN" w:bidi="ar-SA"/>
        </w:rPr>
        <w:t>资金到位率</w:t>
      </w:r>
    </w:p>
    <w:p w14:paraId="6C1D51E3">
      <w:pPr>
        <w:spacing w:line="600" w:lineRule="exact"/>
        <w:ind w:firstLine="640"/>
        <w:rPr>
          <w:rFonts w:hint="eastAsia" w:eastAsia="仿宋_GB2312"/>
          <w:color w:val="auto"/>
          <w:spacing w:val="17"/>
          <w:sz w:val="32"/>
          <w:szCs w:val="32"/>
        </w:rPr>
      </w:pPr>
      <w:r>
        <w:rPr>
          <w:rFonts w:hint="eastAsia" w:eastAsia="仿宋_GB2312"/>
          <w:color w:val="auto"/>
          <w:spacing w:val="17"/>
          <w:sz w:val="32"/>
          <w:szCs w:val="32"/>
        </w:rPr>
        <w:t>资金使用情况：全年预算数</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w:t>
      </w:r>
      <w:r>
        <w:rPr>
          <w:rFonts w:hint="eastAsia" w:eastAsia="仿宋_GB2312"/>
          <w:color w:val="auto"/>
          <w:spacing w:val="17"/>
          <w:sz w:val="32"/>
          <w:szCs w:val="32"/>
          <w:lang w:eastAsia="zh-CN"/>
        </w:rPr>
        <w:t>实际到位资金</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w:t>
      </w:r>
      <w:r>
        <w:rPr>
          <w:rFonts w:hint="eastAsia" w:eastAsia="仿宋_GB2312"/>
          <w:color w:val="auto"/>
          <w:spacing w:val="17"/>
          <w:sz w:val="32"/>
          <w:szCs w:val="32"/>
          <w:lang w:eastAsia="zh-CN"/>
        </w:rPr>
        <w:t>资金到位</w:t>
      </w:r>
      <w:r>
        <w:rPr>
          <w:rFonts w:hint="eastAsia" w:eastAsia="仿宋_GB2312"/>
          <w:color w:val="auto"/>
          <w:spacing w:val="17"/>
          <w:sz w:val="32"/>
          <w:szCs w:val="32"/>
        </w:rPr>
        <w:t>率为</w:t>
      </w:r>
      <w:r>
        <w:rPr>
          <w:rFonts w:hint="eastAsia" w:eastAsia="仿宋_GB2312"/>
          <w:color w:val="auto"/>
          <w:spacing w:val="17"/>
          <w:sz w:val="32"/>
          <w:szCs w:val="32"/>
          <w:lang w:val="en-US" w:eastAsia="zh-CN"/>
        </w:rPr>
        <w:t>100</w:t>
      </w:r>
      <w:r>
        <w:rPr>
          <w:rFonts w:hint="eastAsia" w:eastAsia="仿宋_GB2312"/>
          <w:color w:val="auto"/>
          <w:spacing w:val="17"/>
          <w:sz w:val="32"/>
          <w:szCs w:val="32"/>
        </w:rPr>
        <w:t>%</w:t>
      </w:r>
    </w:p>
    <w:p w14:paraId="14562D45">
      <w:pPr>
        <w:pStyle w:val="47"/>
        <w:numPr>
          <w:ilvl w:val="0"/>
          <w:numId w:val="0"/>
        </w:numPr>
        <w:spacing w:line="520" w:lineRule="exact"/>
        <w:ind w:firstLine="708" w:firstLineChars="200"/>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3AC8C8A5">
      <w:pPr>
        <w:numPr>
          <w:ilvl w:val="0"/>
          <w:numId w:val="1"/>
        </w:numPr>
        <w:spacing w:line="600" w:lineRule="exact"/>
        <w:ind w:firstLine="640"/>
        <w:rPr>
          <w:rFonts w:hint="eastAsia"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预算执行率</w:t>
      </w:r>
    </w:p>
    <w:p w14:paraId="6C38C8B4">
      <w:pPr>
        <w:pStyle w:val="2"/>
        <w:numPr>
          <w:ilvl w:val="0"/>
          <w:numId w:val="0"/>
        </w:numPr>
        <w:ind w:firstLine="640"/>
        <w:jc w:val="both"/>
        <w:rPr>
          <w:rFonts w:hint="eastAsia" w:ascii="Times New Roman" w:hAnsi="Times New Roman"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预算资金50万元，实际到位资金50万元，资金到位率100%</w:t>
      </w:r>
      <w:r>
        <w:rPr>
          <w:rFonts w:hint="eastAsia" w:ascii="Times New Roman" w:hAnsi="Times New Roman" w:eastAsia="仿宋_GB2312" w:cs="Times New Roman"/>
          <w:b w:val="0"/>
          <w:bCs w:val="0"/>
          <w:color w:val="auto"/>
          <w:kern w:val="2"/>
          <w:sz w:val="30"/>
          <w:szCs w:val="24"/>
          <w:lang w:val="en-US" w:eastAsia="zh-CN" w:bidi="ar-SA"/>
        </w:rPr>
        <w:t>。</w:t>
      </w:r>
    </w:p>
    <w:p w14:paraId="14025A95">
      <w:pPr>
        <w:pStyle w:val="2"/>
        <w:ind w:firstLine="354" w:firstLineChars="100"/>
        <w:jc w:val="both"/>
        <w:rPr>
          <w:rFonts w:hint="eastAsia"/>
          <w:lang w:val="en-US" w:eastAsia="zh-CN"/>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5868C016">
      <w:pPr>
        <w:numPr>
          <w:ilvl w:val="0"/>
          <w:numId w:val="1"/>
        </w:numPr>
        <w:spacing w:line="600" w:lineRule="exact"/>
        <w:ind w:firstLine="640"/>
        <w:rPr>
          <w:rFonts w:hint="default"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资金使用合规性</w:t>
      </w:r>
    </w:p>
    <w:p w14:paraId="0B62B788">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巴财教【2022】42号关于提前下达2023年特殊教育补助资金项目资金使用遵循了国家相关法律法规和政策要求，资金管理主要尊循《中华人民共和国政府采购办法》、《中华人民共和国政府采购法实施条例》、等法律法规。对项目经费使用进行规范管理，财务制度健全、执行严格。项目资金有完整的审批程序和手续，在项目资金拨付和使用过程中，为确保项目资金的安全性，提高项目资金使用效率，严格遵循项目资金的拨付程序，认真审核项目实施各阶段的相关材料和手续，该项目资金不存在截留、挤占、挪用、虚列支出等情况。</w:t>
      </w:r>
    </w:p>
    <w:p w14:paraId="3168013C">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此项权重分4分，得分4分</w:t>
      </w:r>
    </w:p>
    <w:p w14:paraId="2510F16A">
      <w:pPr>
        <w:pStyle w:val="2"/>
        <w:numPr>
          <w:ilvl w:val="0"/>
          <w:numId w:val="1"/>
        </w:numPr>
        <w:ind w:left="0" w:leftChars="0" w:firstLine="640" w:firstLineChars="0"/>
        <w:jc w:val="both"/>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管理制度健全性</w:t>
      </w:r>
    </w:p>
    <w:p w14:paraId="6A781EF3">
      <w:pPr>
        <w:pStyle w:val="2"/>
        <w:ind w:firstLine="300" w:firstLineChars="100"/>
        <w:jc w:val="both"/>
        <w:rPr>
          <w:rFonts w:hint="eastAsia" w:eastAsia="仿宋_GB2312" w:cs="Times New Roman"/>
          <w:b w:val="0"/>
          <w:bCs w:val="0"/>
          <w:i w:val="0"/>
          <w:iCs w:val="0"/>
          <w:color w:val="auto"/>
          <w:spacing w:val="17"/>
          <w:kern w:val="2"/>
          <w:sz w:val="32"/>
          <w:szCs w:val="32"/>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项目资金使用遵循了国家相关法律法规和政策要求，资金管理主要尊循</w:t>
      </w:r>
      <w:r>
        <w:rPr>
          <w:rFonts w:hint="eastAsia" w:eastAsia="仿宋_GB2312" w:cs="Times New Roman"/>
          <w:b w:val="0"/>
          <w:bCs w:val="0"/>
          <w:i w:val="0"/>
          <w:iCs w:val="0"/>
          <w:color w:val="auto"/>
          <w:spacing w:val="17"/>
          <w:kern w:val="2"/>
          <w:sz w:val="32"/>
          <w:szCs w:val="32"/>
          <w:highlight w:val="none"/>
          <w:lang w:val="en-US" w:eastAsia="zh-CN" w:bidi="ar-SA"/>
        </w:rPr>
        <w:t>《巴州特教学校采购办法》、由学校采购领导小组成员进行资金严格管理。项目资金使用符合相关的财务管理制度规定，能够监督该项目顺利完成</w:t>
      </w:r>
      <w:r>
        <w:rPr>
          <w:rFonts w:hint="eastAsia" w:ascii="仿宋_GB2312" w:hAnsi="仿宋_GB2312" w:eastAsia="仿宋_GB2312" w:cs="仿宋_GB2312"/>
          <w:color w:val="auto"/>
          <w:sz w:val="32"/>
          <w:szCs w:val="32"/>
          <w:highlight w:val="none"/>
          <w:lang w:val="en-US" w:eastAsia="zh-CN"/>
        </w:rPr>
        <w:t>。</w:t>
      </w:r>
    </w:p>
    <w:p w14:paraId="2AED019A">
      <w:pPr>
        <w:pStyle w:val="2"/>
        <w:ind w:firstLine="354" w:firstLineChars="100"/>
        <w:jc w:val="both"/>
        <w:rPr>
          <w:rFonts w:hint="eastAsia"/>
          <w:lang w:val="en-US" w:eastAsia="zh-CN"/>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2D1BBDFC">
      <w:pPr>
        <w:pStyle w:val="2"/>
        <w:numPr>
          <w:ilvl w:val="0"/>
          <w:numId w:val="1"/>
        </w:numPr>
        <w:ind w:left="0" w:leftChars="0" w:firstLine="640" w:firstLineChars="0"/>
        <w:jc w:val="both"/>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制度执行有效性</w:t>
      </w:r>
    </w:p>
    <w:p w14:paraId="21FF7569">
      <w:pPr>
        <w:ind w:firstLine="708" w:firstLineChars="200"/>
        <w:rPr>
          <w:rFonts w:hint="eastAsia"/>
          <w:lang w:eastAsia="zh-CN"/>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w:t>
      </w:r>
      <w:r>
        <w:rPr>
          <w:rFonts w:hint="eastAsia" w:ascii="Times New Roman" w:hAnsi="Times New Roman" w:eastAsia="仿宋_GB2312" w:cs="Times New Roman"/>
          <w:b w:val="0"/>
          <w:bCs w:val="0"/>
          <w:color w:val="auto"/>
          <w:kern w:val="2"/>
          <w:sz w:val="30"/>
          <w:szCs w:val="24"/>
          <w:lang w:val="en-US" w:eastAsia="zh-CN" w:bidi="ar-SA"/>
        </w:rPr>
        <w:t>项目监管职责，对资金使用的合法性进行监督，年末对资金使用效果进行评价。项目落实到人，项目严格按照相关法律法规、实施方案实施，无调整或支出调整，项目合同书、验收单、项目总结等资料齐全并及时归档；在项目实施过程中的人员条件、场地实施落实到位</w:t>
      </w:r>
      <w:r>
        <w:rPr>
          <w:rFonts w:hint="eastAsia"/>
          <w:lang w:eastAsia="zh-CN"/>
        </w:rPr>
        <w:t>。</w:t>
      </w:r>
    </w:p>
    <w:p w14:paraId="1A2AD6E2">
      <w:pPr>
        <w:pStyle w:val="2"/>
        <w:ind w:firstLine="354" w:firstLineChars="100"/>
        <w:jc w:val="both"/>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4E176FD6">
      <w:pPr>
        <w:spacing w:line="540" w:lineRule="exact"/>
        <w:ind w:firstLine="640" w:firstLineChars="181"/>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（三）项目产出情况</w:t>
      </w:r>
    </w:p>
    <w:p w14:paraId="2F8AEB7D">
      <w:pPr>
        <w:pageBreakBefore w:val="0"/>
        <w:numPr>
          <w:ilvl w:val="0"/>
          <w:numId w:val="2"/>
        </w:numPr>
        <w:kinsoku/>
        <w:wordWrap/>
        <w:overflowPunct/>
        <w:topLinePunct w:val="0"/>
        <w:autoSpaceDE/>
        <w:autoSpaceDN/>
        <w:bidi w:val="0"/>
        <w:adjustRightInd/>
        <w:snapToGrid/>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数</w:t>
      </w:r>
      <w:r>
        <w:rPr>
          <w:rFonts w:hint="eastAsia" w:ascii="Times New Roman" w:hAnsi="Times New Roman" w:eastAsia="仿宋_GB2312" w:cs="Times New Roman"/>
          <w:b w:val="0"/>
          <w:bCs w:val="0"/>
          <w:i w:val="0"/>
          <w:iCs w:val="0"/>
          <w:color w:val="auto"/>
          <w:spacing w:val="17"/>
          <w:kern w:val="2"/>
          <w:sz w:val="32"/>
          <w:szCs w:val="32"/>
          <w:lang w:val="en-US" w:eastAsia="zh-CN" w:bidi="ar-SA"/>
        </w:rPr>
        <w:t>量指标完成情况：指标1：特殊教育设备，指标值：</w:t>
      </w:r>
      <w:r>
        <w:rPr>
          <w:rFonts w:hint="eastAsia" w:eastAsia="仿宋_GB2312" w:cs="Times New Roman"/>
          <w:b w:val="0"/>
          <w:bCs w:val="0"/>
          <w:i w:val="0"/>
          <w:iCs w:val="0"/>
          <w:color w:val="auto"/>
          <w:spacing w:val="17"/>
          <w:kern w:val="2"/>
          <w:sz w:val="32"/>
          <w:szCs w:val="32"/>
          <w:lang w:val="en-US" w:eastAsia="zh-CN" w:bidi="ar-SA"/>
        </w:rPr>
        <w:t>&gt;=3套</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w:t>
      </w:r>
      <w:r>
        <w:rPr>
          <w:rFonts w:hint="eastAsia" w:eastAsia="仿宋_GB2312" w:cs="Times New Roman"/>
          <w:b w:val="0"/>
          <w:bCs w:val="0"/>
          <w:i w:val="0"/>
          <w:iCs w:val="0"/>
          <w:color w:val="auto"/>
          <w:spacing w:val="17"/>
          <w:kern w:val="2"/>
          <w:sz w:val="32"/>
          <w:szCs w:val="32"/>
          <w:lang w:val="en-US" w:eastAsia="zh-CN" w:bidi="ar-SA"/>
        </w:rPr>
        <w:t>=3套</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，指标完成率100%；指标2：盲文学习辅具数量，指标值：&gt;=1套，实际完成值=</w:t>
      </w:r>
      <w:r>
        <w:rPr>
          <w:rFonts w:hint="eastAsia" w:eastAsia="仿宋_GB2312" w:cs="Times New Roman"/>
          <w:b w:val="0"/>
          <w:bCs w:val="0"/>
          <w:i w:val="0"/>
          <w:iCs w:val="0"/>
          <w:color w:val="auto"/>
          <w:spacing w:val="17"/>
          <w:kern w:val="2"/>
          <w:sz w:val="32"/>
          <w:szCs w:val="32"/>
          <w:lang w:val="en-US" w:eastAsia="zh-CN" w:bidi="ar-SA"/>
        </w:rPr>
        <w:t>3</w:t>
      </w:r>
      <w:r>
        <w:rPr>
          <w:rFonts w:hint="eastAsia" w:ascii="Times New Roman" w:hAnsi="Times New Roman" w:eastAsia="仿宋_GB2312" w:cs="Times New Roman"/>
          <w:b w:val="0"/>
          <w:bCs w:val="0"/>
          <w:i w:val="0"/>
          <w:iCs w:val="0"/>
          <w:color w:val="auto"/>
          <w:spacing w:val="17"/>
          <w:kern w:val="2"/>
          <w:sz w:val="32"/>
          <w:szCs w:val="32"/>
          <w:lang w:val="en-US" w:eastAsia="zh-CN" w:bidi="ar-SA"/>
        </w:rPr>
        <w:t>套，指标完成率</w:t>
      </w:r>
      <w:r>
        <w:rPr>
          <w:rFonts w:hint="eastAsia" w:eastAsia="仿宋_GB2312" w:cs="Times New Roman"/>
          <w:b w:val="0"/>
          <w:bCs w:val="0"/>
          <w:i w:val="0"/>
          <w:iCs w:val="0"/>
          <w:color w:val="auto"/>
          <w:spacing w:val="17"/>
          <w:kern w:val="2"/>
          <w:sz w:val="32"/>
          <w:szCs w:val="32"/>
          <w:lang w:val="en-US" w:eastAsia="zh-CN" w:bidi="ar-SA"/>
        </w:rPr>
        <w:t>3</w:t>
      </w:r>
      <w:r>
        <w:rPr>
          <w:rFonts w:hint="eastAsia" w:ascii="Times New Roman" w:hAnsi="Times New Roman" w:eastAsia="仿宋_GB2312" w:cs="Times New Roman"/>
          <w:b w:val="0"/>
          <w:bCs w:val="0"/>
          <w:i w:val="0"/>
          <w:iCs w:val="0"/>
          <w:color w:val="auto"/>
          <w:spacing w:val="17"/>
          <w:kern w:val="2"/>
          <w:sz w:val="32"/>
          <w:szCs w:val="32"/>
          <w:lang w:val="en-US" w:eastAsia="zh-CN" w:bidi="ar-SA"/>
        </w:rPr>
        <w:t>00%；</w:t>
      </w:r>
      <w:r>
        <w:rPr>
          <w:rFonts w:hint="eastAsia" w:eastAsia="仿宋_GB2312" w:cs="Times New Roman"/>
          <w:b w:val="0"/>
          <w:bCs w:val="0"/>
          <w:i w:val="0"/>
          <w:iCs w:val="0"/>
          <w:color w:val="auto"/>
          <w:spacing w:val="17"/>
          <w:kern w:val="2"/>
          <w:sz w:val="32"/>
          <w:szCs w:val="32"/>
          <w:lang w:val="en-US" w:eastAsia="zh-CN" w:bidi="ar-SA"/>
        </w:rPr>
        <w:t>偏差原因;因供货商对特殊教育的大力支持，以同等质量总价不变的基础上，比预算多购买两套辅具，以满足我校教师学生教育教学需要。</w:t>
      </w:r>
    </w:p>
    <w:p w14:paraId="0FCB0F4E">
      <w:pPr>
        <w:pageBreakBefore w:val="0"/>
        <w:numPr>
          <w:ilvl w:val="0"/>
          <w:numId w:val="2"/>
        </w:numPr>
        <w:kinsoku/>
        <w:wordWrap/>
        <w:overflowPunct/>
        <w:topLinePunct w:val="0"/>
        <w:autoSpaceDE/>
        <w:autoSpaceDN/>
        <w:bidi w:val="0"/>
        <w:adjustRightInd/>
        <w:snapToGrid/>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质量指标</w:t>
      </w:r>
      <w:r>
        <w:rPr>
          <w:rFonts w:hint="eastAsia" w:eastAsia="仿宋_GB2312" w:cs="Times New Roman"/>
          <w:b w:val="0"/>
          <w:bCs w:val="0"/>
          <w:i w:val="0"/>
          <w:iCs w:val="0"/>
          <w:color w:val="auto"/>
          <w:spacing w:val="17"/>
          <w:kern w:val="2"/>
          <w:sz w:val="32"/>
          <w:szCs w:val="32"/>
          <w:lang w:val="en-US" w:eastAsia="zh-CN" w:bidi="ar-SA"/>
        </w:rPr>
        <w:t>完成情况：指标1：仪器设备质量合格，指标值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实际完成值100%，指标完成率100%；指标2：仪器设备验收合格率</w:t>
      </w:r>
      <w:r>
        <w:rPr>
          <w:rFonts w:hint="eastAsia" w:eastAsia="仿宋_GB2312" w:cs="Times New Roman"/>
          <w:b w:val="0"/>
          <w:bCs w:val="0"/>
          <w:i w:val="0"/>
          <w:iCs w:val="0"/>
          <w:color w:val="auto"/>
          <w:spacing w:val="17"/>
          <w:kern w:val="2"/>
          <w:sz w:val="32"/>
          <w:szCs w:val="32"/>
          <w:lang w:val="en-US" w:eastAsia="zh-CN" w:bidi="ar-SA"/>
        </w:rPr>
        <w:t>，指标值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3;盲文学习辅具质量合格率;指标值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4;盲文学习辅具验收合格率，指标值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5：，政府采购率指标值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p>
    <w:p w14:paraId="59E1DD58">
      <w:pPr>
        <w:pageBreakBefore w:val="0"/>
        <w:numPr>
          <w:ilvl w:val="0"/>
          <w:numId w:val="2"/>
        </w:numPr>
        <w:kinsoku/>
        <w:wordWrap/>
        <w:overflowPunct/>
        <w:topLinePunct w:val="0"/>
        <w:autoSpaceDE/>
        <w:autoSpaceDN/>
        <w:bidi w:val="0"/>
        <w:adjustRightInd/>
        <w:snapToGrid/>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时效指标完成情况：指标1：仪器设备采购支付及时率，</w:t>
      </w:r>
      <w:r>
        <w:rPr>
          <w:rFonts w:hint="eastAsia" w:eastAsia="仿宋_GB2312" w:cs="Times New Roman"/>
          <w:b w:val="0"/>
          <w:bCs w:val="0"/>
          <w:i w:val="0"/>
          <w:iCs w:val="0"/>
          <w:color w:val="auto"/>
          <w:spacing w:val="17"/>
          <w:kern w:val="2"/>
          <w:sz w:val="32"/>
          <w:szCs w:val="32"/>
          <w:lang w:val="en-US" w:eastAsia="zh-CN" w:bidi="ar-SA"/>
        </w:rPr>
        <w:t>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；指标2：盲文学习辅具采购支付及时率，指标值：=100%，实际完成值100%，指标完成率100%，</w:t>
      </w:r>
    </w:p>
    <w:p w14:paraId="263BA991">
      <w:pPr>
        <w:pStyle w:val="2"/>
        <w:numPr>
          <w:ilvl w:val="0"/>
          <w:numId w:val="2"/>
        </w:numPr>
        <w:ind w:left="0" w:leftChars="0" w:firstLine="708" w:firstLineChars="200"/>
        <w:jc w:val="both"/>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经济成本指标情况;指标1;仪器设备采购成本控制数：指标值&lt;=49.7万元，实际完成值=49.7万元，指标完成率100%。指标2;盲文学习辅具采购成本控制数，指标值&lt;=0.30万元，实际完成值=0.3万元，指标完成率100%</w:t>
      </w:r>
      <w:r>
        <w:rPr>
          <w:rFonts w:hint="eastAsia" w:eastAsia="仿宋_GB2312" w:cs="Times New Roman"/>
          <w:b w:val="0"/>
          <w:bCs w:val="0"/>
          <w:i w:val="0"/>
          <w:iCs w:val="0"/>
          <w:color w:val="auto"/>
          <w:spacing w:val="17"/>
          <w:kern w:val="2"/>
          <w:sz w:val="32"/>
          <w:szCs w:val="32"/>
          <w:lang w:val="en-US" w:eastAsia="zh-CN" w:bidi="ar-SA"/>
        </w:rPr>
        <w:t>。</w:t>
      </w:r>
    </w:p>
    <w:p w14:paraId="129768A3">
      <w:pPr>
        <w:spacing w:line="540" w:lineRule="exact"/>
        <w:ind w:firstLine="640" w:firstLineChars="181"/>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（四）项目效益情况</w:t>
      </w:r>
    </w:p>
    <w:p w14:paraId="36FD3579">
      <w:pPr>
        <w:pageBreakBefore w:val="0"/>
        <w:numPr>
          <w:ilvl w:val="0"/>
          <w:numId w:val="0"/>
        </w:numPr>
        <w:kinsoku/>
        <w:wordWrap/>
        <w:overflowPunct/>
        <w:topLinePunct w:val="0"/>
        <w:autoSpaceDE/>
        <w:autoSpaceDN/>
        <w:bidi w:val="0"/>
        <w:adjustRightInd/>
        <w:snapToGrid/>
        <w:spacing w:line="560" w:lineRule="exact"/>
        <w:ind w:firstLine="708" w:firstLineChars="200"/>
        <w:textAlignment w:val="auto"/>
        <w:rPr>
          <w:rFonts w:hint="eastAsia"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1. 经济效益指标;</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指标1</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设备利用率</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指标值&gt;=85%</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指标完成率117.65%</w:t>
      </w:r>
      <w:r>
        <w:rPr>
          <w:rFonts w:hint="eastAsia" w:eastAsia="仿宋_GB2312" w:cs="Times New Roman"/>
          <w:b w:val="0"/>
          <w:bCs w:val="0"/>
          <w:i w:val="0"/>
          <w:iCs w:val="0"/>
          <w:color w:val="auto"/>
          <w:spacing w:val="17"/>
          <w:kern w:val="2"/>
          <w:sz w:val="32"/>
          <w:szCs w:val="32"/>
          <w:lang w:val="en-US" w:eastAsia="zh-CN" w:bidi="ar-SA"/>
        </w:rPr>
        <w:t>。偏差原因：前期目标值设置较低，设备全部投入使用，使用率达到100%，因此产生偏差。</w:t>
      </w:r>
    </w:p>
    <w:p w14:paraId="0D997692">
      <w:pPr>
        <w:pageBreakBefore w:val="0"/>
        <w:numPr>
          <w:ilvl w:val="0"/>
          <w:numId w:val="0"/>
        </w:numPr>
        <w:kinsoku/>
        <w:wordWrap/>
        <w:overflowPunct/>
        <w:topLinePunct w:val="0"/>
        <w:autoSpaceDE/>
        <w:autoSpaceDN/>
        <w:bidi w:val="0"/>
        <w:adjustRightInd/>
        <w:snapToGrid/>
        <w:spacing w:line="560" w:lineRule="exact"/>
        <w:ind w:firstLine="708" w:firstLineChars="200"/>
        <w:textAlignment w:val="auto"/>
        <w:rPr>
          <w:rFonts w:hint="default"/>
          <w:lang w:val="en-US" w:eastAsia="zh-CN"/>
        </w:rPr>
      </w:pPr>
      <w:r>
        <w:rPr>
          <w:rFonts w:hint="eastAsia" w:eastAsia="仿宋_GB2312" w:cs="Times New Roman"/>
          <w:b w:val="0"/>
          <w:bCs w:val="0"/>
          <w:i w:val="0"/>
          <w:iCs w:val="0"/>
          <w:color w:val="auto"/>
          <w:spacing w:val="17"/>
          <w:kern w:val="2"/>
          <w:sz w:val="32"/>
          <w:szCs w:val="32"/>
          <w:lang w:val="en-US" w:eastAsia="zh-CN" w:bidi="ar-SA"/>
        </w:rPr>
        <w:t>2.社会效益指标;</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1：受益特教学校学生</w:t>
      </w:r>
      <w:r>
        <w:rPr>
          <w:rFonts w:hint="eastAsia" w:ascii="Times New Roman" w:hAnsi="Times New Roman" w:eastAsia="仿宋_GB2312" w:cs="Times New Roman"/>
          <w:b w:val="0"/>
          <w:bCs w:val="0"/>
          <w:i w:val="0"/>
          <w:iCs w:val="0"/>
          <w:color w:val="auto"/>
          <w:spacing w:val="17"/>
          <w:kern w:val="2"/>
          <w:sz w:val="32"/>
          <w:szCs w:val="32"/>
          <w:lang w:val="en-US" w:eastAsia="zh-CN" w:bidi="ar-SA"/>
        </w:rPr>
        <w:t>&gt;=</w:t>
      </w:r>
      <w:r>
        <w:rPr>
          <w:rFonts w:hint="eastAsia" w:eastAsia="仿宋_GB2312" w:cs="Times New Roman"/>
          <w:b w:val="0"/>
          <w:bCs w:val="0"/>
          <w:i w:val="0"/>
          <w:iCs w:val="0"/>
          <w:color w:val="auto"/>
          <w:spacing w:val="17"/>
          <w:kern w:val="2"/>
          <w:sz w:val="32"/>
          <w:szCs w:val="32"/>
          <w:lang w:val="en-US" w:eastAsia="zh-CN" w:bidi="ar-SA"/>
        </w:rPr>
        <w:t>204人，</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w:t>
      </w:r>
      <w:r>
        <w:rPr>
          <w:rFonts w:hint="eastAsia" w:eastAsia="仿宋_GB2312" w:cs="Times New Roman"/>
          <w:b w:val="0"/>
          <w:bCs w:val="0"/>
          <w:i w:val="0"/>
          <w:iCs w:val="0"/>
          <w:color w:val="auto"/>
          <w:spacing w:val="17"/>
          <w:kern w:val="2"/>
          <w:sz w:val="32"/>
          <w:szCs w:val="32"/>
          <w:lang w:val="en-US" w:eastAsia="zh-CN" w:bidi="ar-SA"/>
        </w:rPr>
        <w:t>204人。</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指标完成率100%</w:t>
      </w:r>
      <w:r>
        <w:rPr>
          <w:rFonts w:hint="eastAsia" w:eastAsia="仿宋_GB2312" w:cs="Times New Roman"/>
          <w:b w:val="0"/>
          <w:bCs w:val="0"/>
          <w:i w:val="0"/>
          <w:iCs w:val="0"/>
          <w:color w:val="auto"/>
          <w:spacing w:val="17"/>
          <w:kern w:val="2"/>
          <w:sz w:val="32"/>
          <w:szCs w:val="32"/>
          <w:lang w:val="en-US" w:eastAsia="zh-CN" w:bidi="ar-SA"/>
        </w:rPr>
        <w:t>。</w:t>
      </w:r>
    </w:p>
    <w:p w14:paraId="063EBC70">
      <w:pPr>
        <w:pageBreakBefore w:val="0"/>
        <w:numPr>
          <w:ilvl w:val="0"/>
          <w:numId w:val="0"/>
        </w:numPr>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3</w:t>
      </w:r>
      <w:r>
        <w:rPr>
          <w:rFonts w:hint="eastAsia" w:ascii="Times New Roman" w:hAnsi="Times New Roman" w:eastAsia="仿宋_GB2312" w:cs="Times New Roman"/>
          <w:b w:val="0"/>
          <w:bCs w:val="0"/>
          <w:i w:val="0"/>
          <w:iCs w:val="0"/>
          <w:color w:val="auto"/>
          <w:spacing w:val="17"/>
          <w:kern w:val="2"/>
          <w:sz w:val="32"/>
          <w:szCs w:val="32"/>
          <w:lang w:val="en-US" w:eastAsia="zh-CN" w:bidi="ar-SA"/>
        </w:rPr>
        <w:t>满意度指标完成情况分析：指标1：</w:t>
      </w:r>
      <w:r>
        <w:rPr>
          <w:rFonts w:hint="eastAsia" w:eastAsia="仿宋_GB2312" w:cs="Times New Roman"/>
          <w:b w:val="0"/>
          <w:bCs w:val="0"/>
          <w:i w:val="0"/>
          <w:iCs w:val="0"/>
          <w:color w:val="auto"/>
          <w:spacing w:val="17"/>
          <w:kern w:val="2"/>
          <w:sz w:val="32"/>
          <w:szCs w:val="32"/>
          <w:lang w:val="en-US" w:eastAsia="zh-CN" w:bidi="ar-SA"/>
        </w:rPr>
        <w:t>残疾</w:t>
      </w:r>
      <w:r>
        <w:rPr>
          <w:rFonts w:hint="eastAsia" w:ascii="Times New Roman" w:hAnsi="Times New Roman" w:eastAsia="仿宋_GB2312" w:cs="Times New Roman"/>
          <w:b w:val="0"/>
          <w:bCs w:val="0"/>
          <w:i w:val="0"/>
          <w:iCs w:val="0"/>
          <w:color w:val="auto"/>
          <w:spacing w:val="17"/>
          <w:kern w:val="2"/>
          <w:sz w:val="32"/>
          <w:szCs w:val="32"/>
          <w:lang w:val="en-US" w:eastAsia="zh-CN" w:bidi="ar-SA"/>
        </w:rPr>
        <w:t>学生的综合满意度，指标值：&gt;=85%，实际完成值=</w:t>
      </w:r>
      <w:r>
        <w:rPr>
          <w:rFonts w:hint="eastAsia" w:eastAsia="仿宋_GB2312" w:cs="Times New Roman"/>
          <w:b w:val="0"/>
          <w:bCs w:val="0"/>
          <w:i w:val="0"/>
          <w:iCs w:val="0"/>
          <w:color w:val="auto"/>
          <w:spacing w:val="17"/>
          <w:kern w:val="2"/>
          <w:sz w:val="32"/>
          <w:szCs w:val="32"/>
          <w:lang w:val="en-US" w:eastAsia="zh-CN" w:bidi="ar-SA"/>
        </w:rPr>
        <w:t>85</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w:t>
      </w:r>
      <w:r>
        <w:rPr>
          <w:rFonts w:hint="eastAsia" w:eastAsia="仿宋_GB2312" w:cs="Times New Roman"/>
          <w:b w:val="0"/>
          <w:bCs w:val="0"/>
          <w:i w:val="0"/>
          <w:iCs w:val="0"/>
          <w:color w:val="auto"/>
          <w:spacing w:val="17"/>
          <w:kern w:val="2"/>
          <w:sz w:val="32"/>
          <w:szCs w:val="32"/>
          <w:lang w:val="en-US" w:eastAsia="zh-CN" w:bidi="ar-SA"/>
        </w:rPr>
        <w:t>00</w:t>
      </w:r>
      <w:r>
        <w:rPr>
          <w:rFonts w:hint="eastAsia" w:ascii="Times New Roman" w:hAnsi="Times New Roman" w:eastAsia="仿宋_GB2312" w:cs="Times New Roman"/>
          <w:b w:val="0"/>
          <w:bCs w:val="0"/>
          <w:i w:val="0"/>
          <w:iCs w:val="0"/>
          <w:color w:val="auto"/>
          <w:spacing w:val="17"/>
          <w:kern w:val="2"/>
          <w:sz w:val="32"/>
          <w:szCs w:val="32"/>
          <w:lang w:val="en-US" w:eastAsia="zh-CN" w:bidi="ar-SA"/>
        </w:rPr>
        <w:t>%</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2：特殊教育教师的综合满意度，</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指标值：&gt;=85%，实际完成值=</w:t>
      </w:r>
      <w:r>
        <w:rPr>
          <w:rFonts w:hint="eastAsia" w:eastAsia="仿宋_GB2312" w:cs="Times New Roman"/>
          <w:b w:val="0"/>
          <w:bCs w:val="0"/>
          <w:i w:val="0"/>
          <w:iCs w:val="0"/>
          <w:color w:val="auto"/>
          <w:spacing w:val="17"/>
          <w:kern w:val="2"/>
          <w:sz w:val="32"/>
          <w:szCs w:val="32"/>
          <w:lang w:val="en-US" w:eastAsia="zh-CN" w:bidi="ar-SA"/>
        </w:rPr>
        <w:t>85</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w:t>
      </w:r>
      <w:r>
        <w:rPr>
          <w:rFonts w:hint="eastAsia" w:eastAsia="仿宋_GB2312" w:cs="Times New Roman"/>
          <w:b w:val="0"/>
          <w:bCs w:val="0"/>
          <w:i w:val="0"/>
          <w:iCs w:val="0"/>
          <w:color w:val="auto"/>
          <w:spacing w:val="17"/>
          <w:kern w:val="2"/>
          <w:sz w:val="32"/>
          <w:szCs w:val="32"/>
          <w:lang w:val="en-US" w:eastAsia="zh-CN" w:bidi="ar-SA"/>
        </w:rPr>
        <w:t>00</w:t>
      </w:r>
      <w:r>
        <w:rPr>
          <w:rFonts w:hint="eastAsia" w:ascii="Times New Roman" w:hAnsi="Times New Roman" w:eastAsia="仿宋_GB2312" w:cs="Times New Roman"/>
          <w:b w:val="0"/>
          <w:bCs w:val="0"/>
          <w:i w:val="0"/>
          <w:iCs w:val="0"/>
          <w:color w:val="auto"/>
          <w:spacing w:val="17"/>
          <w:kern w:val="2"/>
          <w:sz w:val="32"/>
          <w:szCs w:val="32"/>
          <w:lang w:val="en-US" w:eastAsia="zh-CN" w:bidi="ar-SA"/>
        </w:rPr>
        <w:t>%</w:t>
      </w:r>
      <w:r>
        <w:rPr>
          <w:rFonts w:hint="eastAsia" w:eastAsia="仿宋_GB2312" w:cs="Times New Roman"/>
          <w:b w:val="0"/>
          <w:bCs w:val="0"/>
          <w:i w:val="0"/>
          <w:iCs w:val="0"/>
          <w:color w:val="auto"/>
          <w:spacing w:val="17"/>
          <w:kern w:val="2"/>
          <w:sz w:val="32"/>
          <w:szCs w:val="32"/>
          <w:lang w:val="en-US" w:eastAsia="zh-CN" w:bidi="ar-SA"/>
        </w:rPr>
        <w:t>。</w:t>
      </w:r>
    </w:p>
    <w:p w14:paraId="11F16DF4">
      <w:pPr>
        <w:spacing w:line="540" w:lineRule="exact"/>
        <w:ind w:firstLine="640"/>
        <w:rPr>
          <w:rFonts w:hint="eastAsia" w:ascii="Times New Roman" w:hAnsi="Times New Roman" w:eastAsia="仿宋_GB2312" w:cs="Times New Roman"/>
          <w:b/>
          <w:bCs/>
          <w:i w:val="0"/>
          <w:iCs w:val="0"/>
          <w:color w:val="auto"/>
          <w:spacing w:val="17"/>
          <w:kern w:val="2"/>
          <w:sz w:val="32"/>
          <w:szCs w:val="32"/>
          <w:lang w:val="en-US" w:eastAsia="zh-CN" w:bidi="ar-SA"/>
        </w:rPr>
      </w:pPr>
      <w:r>
        <w:rPr>
          <w:rFonts w:hint="eastAsia" w:ascii="Times New Roman" w:hAnsi="Times New Roman" w:eastAsia="仿宋_GB2312" w:cs="Times New Roman"/>
          <w:b/>
          <w:bCs/>
          <w:i w:val="0"/>
          <w:iCs w:val="0"/>
          <w:color w:val="auto"/>
          <w:spacing w:val="17"/>
          <w:kern w:val="2"/>
          <w:sz w:val="32"/>
          <w:szCs w:val="32"/>
          <w:lang w:val="en-US" w:eastAsia="zh-CN" w:bidi="ar-SA"/>
        </w:rPr>
        <w:t>五、预算执行进度与绩效指标偏差</w:t>
      </w:r>
    </w:p>
    <w:p w14:paraId="3B7B84F0">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bCs/>
          <w:i w:val="0"/>
          <w:iCs w:val="0"/>
          <w:color w:val="auto"/>
          <w:spacing w:val="17"/>
          <w:kern w:val="2"/>
          <w:sz w:val="32"/>
          <w:szCs w:val="32"/>
          <w:highlight w:val="yellow"/>
          <w:lang w:val="en-US" w:eastAsia="zh-CN" w:bidi="ar-SA"/>
        </w:rPr>
      </w:pPr>
      <w:r>
        <w:rPr>
          <w:rFonts w:hint="eastAsia" w:eastAsia="仿宋_GB2312"/>
          <w:color w:val="auto"/>
          <w:spacing w:val="17"/>
          <w:sz w:val="32"/>
          <w:szCs w:val="32"/>
        </w:rPr>
        <w:t>巴财教【2022】42号关于提前下达2023年特殊教育补助资金</w:t>
      </w:r>
      <w:r>
        <w:rPr>
          <w:rFonts w:hint="eastAsia" w:ascii="Times New Roman" w:hAnsi="Times New Roman" w:eastAsia="仿宋_GB2312" w:cs="Times New Roman"/>
          <w:b w:val="0"/>
          <w:bCs w:val="0"/>
          <w:color w:val="auto"/>
          <w:kern w:val="2"/>
          <w:sz w:val="30"/>
          <w:szCs w:val="24"/>
          <w:lang w:val="en-US" w:eastAsia="zh-CN" w:bidi="ar-SA"/>
        </w:rPr>
        <w:t>年初预算</w:t>
      </w:r>
      <w:r>
        <w:rPr>
          <w:rFonts w:hint="eastAsia" w:eastAsia="仿宋_GB2312" w:cs="Times New Roman"/>
          <w:b w:val="0"/>
          <w:bCs w:val="0"/>
          <w:color w:val="auto"/>
          <w:kern w:val="2"/>
          <w:sz w:val="30"/>
          <w:szCs w:val="24"/>
          <w:lang w:val="en-US" w:eastAsia="zh-CN" w:bidi="ar-SA"/>
        </w:rPr>
        <w:t>50</w:t>
      </w:r>
      <w:r>
        <w:rPr>
          <w:rFonts w:hint="eastAsia" w:ascii="Times New Roman" w:hAnsi="Times New Roman" w:eastAsia="仿宋_GB2312" w:cs="Times New Roman"/>
          <w:b w:val="0"/>
          <w:bCs w:val="0"/>
          <w:color w:val="auto"/>
          <w:kern w:val="2"/>
          <w:sz w:val="30"/>
          <w:szCs w:val="24"/>
          <w:lang w:val="en-US" w:eastAsia="zh-CN" w:bidi="ar-SA"/>
        </w:rPr>
        <w:t>万元，全年预算</w:t>
      </w:r>
      <w:r>
        <w:rPr>
          <w:rFonts w:hint="eastAsia" w:eastAsia="仿宋_GB2312" w:cs="Times New Roman"/>
          <w:b w:val="0"/>
          <w:bCs w:val="0"/>
          <w:color w:val="auto"/>
          <w:kern w:val="2"/>
          <w:sz w:val="30"/>
          <w:szCs w:val="24"/>
          <w:lang w:val="en-US" w:eastAsia="zh-CN" w:bidi="ar-SA"/>
        </w:rPr>
        <w:t>50</w:t>
      </w:r>
      <w:r>
        <w:rPr>
          <w:rFonts w:hint="eastAsia" w:ascii="Times New Roman" w:hAnsi="Times New Roman" w:eastAsia="仿宋_GB2312" w:cs="Times New Roman"/>
          <w:b w:val="0"/>
          <w:bCs w:val="0"/>
          <w:color w:val="auto"/>
          <w:kern w:val="2"/>
          <w:sz w:val="30"/>
          <w:szCs w:val="24"/>
          <w:lang w:val="en-US" w:eastAsia="zh-CN" w:bidi="ar-SA"/>
        </w:rPr>
        <w:t>万元，实际支出</w:t>
      </w:r>
      <w:r>
        <w:rPr>
          <w:rFonts w:hint="eastAsia" w:eastAsia="仿宋_GB2312" w:cs="Times New Roman"/>
          <w:b w:val="0"/>
          <w:bCs w:val="0"/>
          <w:color w:val="auto"/>
          <w:kern w:val="2"/>
          <w:sz w:val="30"/>
          <w:szCs w:val="24"/>
          <w:lang w:val="en-US" w:eastAsia="zh-CN" w:bidi="ar-SA"/>
        </w:rPr>
        <w:t>50</w:t>
      </w:r>
      <w:r>
        <w:rPr>
          <w:rFonts w:hint="eastAsia" w:ascii="Times New Roman" w:hAnsi="Times New Roman" w:eastAsia="仿宋_GB2312" w:cs="Times New Roman"/>
          <w:b w:val="0"/>
          <w:bCs w:val="0"/>
          <w:color w:val="auto"/>
          <w:kern w:val="2"/>
          <w:sz w:val="30"/>
          <w:szCs w:val="24"/>
          <w:lang w:val="en-US" w:eastAsia="zh-CN" w:bidi="ar-SA"/>
        </w:rPr>
        <w:t>万元，</w:t>
      </w:r>
      <w:r>
        <w:rPr>
          <w:rFonts w:hint="eastAsia" w:eastAsia="仿宋_GB2312" w:cs="Times New Roman"/>
          <w:b w:val="0"/>
          <w:bCs w:val="0"/>
          <w:color w:val="auto"/>
          <w:kern w:val="2"/>
          <w:sz w:val="30"/>
          <w:szCs w:val="24"/>
          <w:lang w:val="en-US" w:eastAsia="zh-CN" w:bidi="ar-SA"/>
        </w:rPr>
        <w:t>预算执行率100%</w:t>
      </w:r>
      <w:r>
        <w:rPr>
          <w:rFonts w:hint="eastAsia" w:ascii="Times New Roman" w:hAnsi="Times New Roman" w:eastAsia="仿宋_GB2312" w:cs="Times New Roman"/>
          <w:b w:val="0"/>
          <w:bCs w:val="0"/>
          <w:color w:val="auto"/>
          <w:kern w:val="2"/>
          <w:sz w:val="30"/>
          <w:szCs w:val="24"/>
          <w:lang w:val="en-US" w:eastAsia="zh-CN" w:bidi="ar-SA"/>
        </w:rPr>
        <w:t>，</w:t>
      </w:r>
      <w:r>
        <w:rPr>
          <w:rFonts w:hint="eastAsia" w:eastAsia="仿宋_GB2312" w:cs="Times New Roman"/>
          <w:b w:val="0"/>
          <w:bCs w:val="0"/>
          <w:color w:val="auto"/>
          <w:kern w:val="2"/>
          <w:sz w:val="30"/>
          <w:szCs w:val="24"/>
          <w:lang w:val="en-US" w:eastAsia="zh-CN" w:bidi="ar-SA"/>
        </w:rPr>
        <w:t>项目绩效指标总体完成率114.51%</w:t>
      </w:r>
      <w:r>
        <w:rPr>
          <w:rFonts w:hint="eastAsia" w:ascii="Times New Roman" w:hAnsi="Times New Roman" w:eastAsia="仿宋_GB2312" w:cs="Times New Roman"/>
          <w:b w:val="0"/>
          <w:bCs w:val="0"/>
          <w:color w:val="auto"/>
          <w:kern w:val="2"/>
          <w:sz w:val="30"/>
          <w:szCs w:val="24"/>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w:t>
      </w:r>
      <w:r>
        <w:rPr>
          <w:rFonts w:hint="eastAsia" w:eastAsia="仿宋_GB2312" w:cs="Times New Roman"/>
          <w:b w:val="0"/>
          <w:bCs w:val="0"/>
          <w:i w:val="0"/>
          <w:iCs w:val="0"/>
          <w:color w:val="auto"/>
          <w:spacing w:val="17"/>
          <w:kern w:val="2"/>
          <w:sz w:val="32"/>
          <w:szCs w:val="32"/>
          <w:highlight w:val="none"/>
          <w:lang w:val="en-US" w:eastAsia="zh-CN" w:bidi="ar-SA"/>
        </w:rPr>
        <w:t>偏差率14.51</w:t>
      </w:r>
      <w:r>
        <w:rPr>
          <w:rFonts w:hint="eastAsia" w:eastAsia="仿宋_GB2312" w:cs="Times New Roman"/>
          <w:b w:val="0"/>
          <w:bCs w:val="0"/>
          <w:color w:val="auto"/>
          <w:kern w:val="2"/>
          <w:sz w:val="30"/>
          <w:szCs w:val="24"/>
          <w:highlight w:val="none"/>
          <w:lang w:val="en-US" w:eastAsia="zh-CN" w:bidi="ar-SA"/>
        </w:rPr>
        <w:t>%</w:t>
      </w:r>
      <w:r>
        <w:rPr>
          <w:rFonts w:hint="eastAsia" w:ascii="Times New Roman" w:hAnsi="Times New Roman" w:eastAsia="仿宋_GB2312" w:cs="Times New Roman"/>
          <w:b w:val="0"/>
          <w:bCs w:val="0"/>
          <w:i w:val="0"/>
          <w:iCs w:val="0"/>
          <w:color w:val="auto"/>
          <w:spacing w:val="17"/>
          <w:kern w:val="2"/>
          <w:sz w:val="32"/>
          <w:szCs w:val="32"/>
          <w:highlight w:val="none"/>
          <w:lang w:val="en-US" w:eastAsia="zh-CN" w:bidi="ar-SA"/>
        </w:rPr>
        <w:t>，</w:t>
      </w:r>
      <w:r>
        <w:rPr>
          <w:rFonts w:hint="eastAsia" w:eastAsia="仿宋_GB2312" w:cs="Times New Roman"/>
          <w:b w:val="0"/>
          <w:bCs w:val="0"/>
          <w:i w:val="0"/>
          <w:iCs w:val="0"/>
          <w:color w:val="auto"/>
          <w:spacing w:val="17"/>
          <w:kern w:val="2"/>
          <w:sz w:val="32"/>
          <w:szCs w:val="32"/>
          <w:highlight w:val="none"/>
          <w:lang w:val="en-US" w:eastAsia="zh-CN" w:bidi="ar-SA"/>
        </w:rPr>
        <w:t>偏差原因;因供货商对特殊教育的大力支持，以同等质量总价不变的基础上，比预算多购买两套辅具，以满足我校教师学生教育教学需要。前期目标值设置较低，设备全部投入使用，因此产生偏差。改进措施：合理设置预算指标建立科学的预算制度和流程、加强预算的执行监督和跟踪，及时发现问题采取相应措施解决。</w:t>
      </w:r>
    </w:p>
    <w:p w14:paraId="22AD3DD6">
      <w:pPr>
        <w:spacing w:line="540" w:lineRule="exact"/>
        <w:ind w:firstLine="640"/>
        <w:rPr>
          <w:rFonts w:hint="eastAsia" w:ascii="Times New Roman" w:hAnsi="Times New Roman" w:eastAsia="仿宋_GB2312" w:cs="Times New Roman"/>
          <w:b/>
          <w:bCs/>
          <w:i w:val="0"/>
          <w:iCs w:val="0"/>
          <w:color w:val="auto"/>
          <w:spacing w:val="17"/>
          <w:kern w:val="2"/>
          <w:sz w:val="32"/>
          <w:szCs w:val="32"/>
          <w:lang w:val="en-US" w:eastAsia="zh-CN" w:bidi="ar-SA"/>
        </w:rPr>
      </w:pPr>
      <w:r>
        <w:rPr>
          <w:rFonts w:hint="eastAsia" w:ascii="Times New Roman" w:hAnsi="Times New Roman" w:eastAsia="仿宋_GB2312" w:cs="Times New Roman"/>
          <w:b/>
          <w:bCs/>
          <w:i w:val="0"/>
          <w:iCs w:val="0"/>
          <w:color w:val="auto"/>
          <w:spacing w:val="17"/>
          <w:kern w:val="2"/>
          <w:sz w:val="32"/>
          <w:szCs w:val="32"/>
          <w:lang w:val="en-US" w:eastAsia="zh-CN" w:bidi="ar-SA"/>
        </w:rPr>
        <w:t>六、主要经验及做法、存在的问题及原因分析</w:t>
      </w:r>
    </w:p>
    <w:p w14:paraId="163BB646">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3" w:name="_Toc68703843"/>
      <w:r>
        <w:rPr>
          <w:rFonts w:hint="eastAsia" w:ascii="Times New Roman" w:hAnsi="Times New Roman" w:eastAsia="仿宋_GB2312" w:cs="Times New Roman"/>
          <w:b w:val="0"/>
          <w:bCs w:val="0"/>
          <w:i w:val="0"/>
          <w:iCs w:val="0"/>
          <w:color w:val="auto"/>
          <w:spacing w:val="17"/>
          <w:kern w:val="2"/>
          <w:sz w:val="32"/>
          <w:szCs w:val="32"/>
          <w:lang w:val="en-US" w:eastAsia="zh-CN" w:bidi="ar-SA"/>
        </w:rPr>
        <w:t>（一）主要经验及做法</w:t>
      </w:r>
      <w:bookmarkEnd w:id="3"/>
    </w:p>
    <w:p w14:paraId="17EE9947">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仿宋_GB2312" w:eastAsia="仿宋_GB2312"/>
          <w:b w:val="0"/>
          <w:bCs w:val="0"/>
        </w:rPr>
      </w:pPr>
      <w:bookmarkStart w:id="4" w:name="_Toc68703844"/>
      <w:r>
        <w:rPr>
          <w:rFonts w:hint="eastAsia" w:ascii="Times New Roman" w:hAnsi="Times New Roman" w:eastAsia="仿宋_GB2312" w:cs="Times New Roman"/>
          <w:b w:val="0"/>
          <w:bCs w:val="0"/>
          <w:i w:val="0"/>
          <w:iCs w:val="0"/>
          <w:color w:val="auto"/>
          <w:spacing w:val="17"/>
          <w:kern w:val="2"/>
          <w:sz w:val="32"/>
          <w:szCs w:val="32"/>
          <w:lang w:val="en-US" w:eastAsia="zh-CN" w:bidi="ar-SA"/>
        </w:rPr>
        <w:t>学校根据相关文件等精神要求，在项目资金使用过程中全部按照相关法律法规及文件要求保证发挥资金的最大效益，资金使用过程中做到公开透明合理调配，更好的满足城乡义务教育的需求，将每一分钱用到残疾学生身上</w:t>
      </w:r>
    </w:p>
    <w:p w14:paraId="1C152253">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（二）存在的问题及原因分析</w:t>
      </w:r>
      <w:bookmarkEnd w:id="4"/>
    </w:p>
    <w:p w14:paraId="59937B8C">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特殊教育学校运营成本较高，不足于覆盖所有的必要的开支，从而影响到教育教学</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color w:val="auto"/>
          <w:kern w:val="2"/>
          <w:sz w:val="30"/>
          <w:szCs w:val="24"/>
          <w:lang w:val="en-US" w:eastAsia="zh-CN" w:bidi="ar-SA"/>
        </w:rPr>
        <w:t>加强绩效管理的理念，全面认识到绩效管理的重要性，工作中主动性落实绩效目标并对标监督执行。</w:t>
      </w:r>
    </w:p>
    <w:p w14:paraId="07686E8C">
      <w:pPr>
        <w:spacing w:line="540" w:lineRule="exact"/>
        <w:ind w:firstLine="640"/>
        <w:rPr>
          <w:rFonts w:hint="eastAsia" w:ascii="Times New Roman" w:hAnsi="Times New Roman" w:eastAsia="仿宋_GB2312" w:cs="Times New Roman"/>
          <w:b/>
          <w:bCs/>
          <w:i w:val="0"/>
          <w:iCs w:val="0"/>
          <w:color w:val="auto"/>
          <w:spacing w:val="17"/>
          <w:kern w:val="2"/>
          <w:sz w:val="32"/>
          <w:szCs w:val="32"/>
          <w:lang w:val="en-US" w:eastAsia="zh-CN" w:bidi="ar-SA"/>
        </w:rPr>
      </w:pPr>
      <w:r>
        <w:rPr>
          <w:rFonts w:hint="eastAsia" w:ascii="Times New Roman" w:hAnsi="Times New Roman" w:eastAsia="仿宋_GB2312" w:cs="Times New Roman"/>
          <w:b/>
          <w:bCs/>
          <w:i w:val="0"/>
          <w:iCs w:val="0"/>
          <w:color w:val="auto"/>
          <w:spacing w:val="17"/>
          <w:kern w:val="2"/>
          <w:sz w:val="32"/>
          <w:szCs w:val="32"/>
          <w:lang w:val="en-US" w:eastAsia="zh-CN" w:bidi="ar-SA"/>
        </w:rPr>
        <w:t>七、有关建议</w:t>
      </w:r>
    </w:p>
    <w:p w14:paraId="76B8707A">
      <w:pPr>
        <w:spacing w:line="540" w:lineRule="exact"/>
        <w:ind w:firstLine="567"/>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希望加大残疾学生教育康复预算资金投入，严格按照专项资金管理，公开公平公正使用确保过程透明度和规范性建立有效的反馈机制，对预算安排作出适时调整和优化，及时跟进支出进度，确保项目资金的合理使用和有效管理。</w:t>
      </w:r>
    </w:p>
    <w:p w14:paraId="358F4934">
      <w:pPr>
        <w:spacing w:line="540" w:lineRule="exact"/>
        <w:ind w:firstLine="567"/>
        <w:rPr>
          <w:rFonts w:hint="eastAsia" w:ascii="Times New Roman" w:hAnsi="Times New Roman" w:eastAsia="仿宋_GB2312" w:cs="Times New Roman"/>
          <w:color w:val="auto"/>
          <w:kern w:val="2"/>
          <w:sz w:val="30"/>
          <w:szCs w:val="24"/>
          <w:lang w:val="en-US" w:eastAsia="zh-CN" w:bidi="ar-SA"/>
        </w:rPr>
      </w:pPr>
    </w:p>
    <w:p w14:paraId="44B8323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72780A81">
      <w:pPr>
        <w:spacing w:line="540" w:lineRule="exact"/>
        <w:ind w:firstLine="567"/>
        <w:rPr>
          <w:rStyle w:val="18"/>
          <w:rFonts w:hint="eastAsia" w:ascii="楷体" w:hAnsi="楷体" w:eastAsia="楷体"/>
          <w:b w:val="0"/>
          <w:bCs w:val="0"/>
          <w:spacing w:val="-4"/>
          <w:sz w:val="32"/>
          <w:szCs w:val="32"/>
        </w:rPr>
      </w:pPr>
    </w:p>
    <w:p w14:paraId="0D29ED8A">
      <w:pPr>
        <w:spacing w:line="540" w:lineRule="exact"/>
        <w:ind w:firstLine="567"/>
        <w:rPr>
          <w:rStyle w:val="18"/>
          <w:rFonts w:ascii="仿宋" w:hAnsi="仿宋" w:eastAsia="仿宋"/>
          <w:b w:val="0"/>
          <w:spacing w:val="-4"/>
          <w:sz w:val="32"/>
          <w:szCs w:val="32"/>
        </w:rPr>
      </w:pPr>
      <w:r>
        <w:rPr>
          <w:rFonts w:hint="eastAsia" w:ascii="Times New Roman" w:hAnsi="Times New Roman" w:eastAsia="仿宋_GB2312" w:cs="Times New Roman"/>
          <w:color w:val="auto"/>
          <w:kern w:val="2"/>
          <w:sz w:val="30"/>
          <w:szCs w:val="24"/>
          <w:lang w:val="en-US" w:eastAsia="zh-CN" w:bidi="ar-SA"/>
        </w:rPr>
        <w:t>无</w:t>
      </w: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auto"/>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98010E9">
        <w:pPr>
          <w:pStyle w:val="13"/>
          <w:jc w:val="center"/>
        </w:pPr>
        <w:r>
          <w:fldChar w:fldCharType="begin"/>
        </w:r>
        <w:r>
          <w:instrText xml:space="preserve">PAGE   \* MERGEFORMAT</w:instrText>
        </w:r>
        <w:r>
          <w:fldChar w:fldCharType="separate"/>
        </w:r>
        <w:r>
          <w:rPr>
            <w:lang w:val="zh-CN"/>
          </w:rPr>
          <w:t>1</w:t>
        </w:r>
        <w:r>
          <w:fldChar w:fldCharType="end"/>
        </w:r>
      </w:p>
    </w:sdtContent>
  </w:sdt>
  <w:p w14:paraId="4121099A">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20CD236C"/>
    <w:multiLevelType w:val="singleLevel"/>
    <w:tmpl w:val="20CD236C"/>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ZGUwNWM5NjQxODUyZjhjYWVlMWZjZWZmNTI5Mzg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A0F5566"/>
    <w:rsid w:val="0BA46422"/>
    <w:rsid w:val="0BFB189F"/>
    <w:rsid w:val="11BD75F7"/>
    <w:rsid w:val="13BD421C"/>
    <w:rsid w:val="13BE561A"/>
    <w:rsid w:val="146B3FAD"/>
    <w:rsid w:val="14904234"/>
    <w:rsid w:val="15392994"/>
    <w:rsid w:val="17B869D2"/>
    <w:rsid w:val="18FE139B"/>
    <w:rsid w:val="1E1249C4"/>
    <w:rsid w:val="237C6DDB"/>
    <w:rsid w:val="23F04A2C"/>
    <w:rsid w:val="2ABB082D"/>
    <w:rsid w:val="3029612C"/>
    <w:rsid w:val="32A221C5"/>
    <w:rsid w:val="33327F2E"/>
    <w:rsid w:val="33F20F2A"/>
    <w:rsid w:val="34C44675"/>
    <w:rsid w:val="34CD35F5"/>
    <w:rsid w:val="3B5B5607"/>
    <w:rsid w:val="3CE21B3C"/>
    <w:rsid w:val="42E6150A"/>
    <w:rsid w:val="461C0566"/>
    <w:rsid w:val="48E65FB0"/>
    <w:rsid w:val="4D2606A1"/>
    <w:rsid w:val="51830480"/>
    <w:rsid w:val="53A616BE"/>
    <w:rsid w:val="54662BFB"/>
    <w:rsid w:val="5815092B"/>
    <w:rsid w:val="6029173E"/>
    <w:rsid w:val="61EA54EE"/>
    <w:rsid w:val="62051CA5"/>
    <w:rsid w:val="6C3A69EF"/>
    <w:rsid w:val="71767A22"/>
    <w:rsid w:val="71C96C22"/>
    <w:rsid w:val="7CFE376A"/>
    <w:rsid w:val="7DB12889"/>
    <w:rsid w:val="7FF71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alloon Text"/>
    <w:basedOn w:val="1"/>
    <w:link w:val="45"/>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3"/>
    <w:qFormat/>
    <w:uiPriority w:val="9"/>
    <w:rPr>
      <w:rFonts w:asciiTheme="majorHAnsi" w:hAnsiTheme="majorHAnsi" w:eastAsiaTheme="majorEastAsia"/>
      <w:b/>
      <w:bCs/>
      <w:kern w:val="32"/>
      <w:sz w:val="32"/>
      <w:szCs w:val="32"/>
    </w:rPr>
  </w:style>
  <w:style w:type="character" w:customStyle="1" w:styleId="21">
    <w:name w:val="标题 2 字符"/>
    <w:basedOn w:val="17"/>
    <w:link w:val="4"/>
    <w:semiHidden/>
    <w:qFormat/>
    <w:uiPriority w:val="9"/>
    <w:rPr>
      <w:rFonts w:asciiTheme="majorHAnsi" w:hAnsiTheme="majorHAnsi" w:eastAsiaTheme="majorEastAsia"/>
      <w:b/>
      <w:bCs/>
      <w:i/>
      <w:iCs/>
      <w:sz w:val="28"/>
      <w:szCs w:val="28"/>
    </w:rPr>
  </w:style>
  <w:style w:type="character" w:customStyle="1" w:styleId="22">
    <w:name w:val="标题 3 字符"/>
    <w:basedOn w:val="17"/>
    <w:link w:val="5"/>
    <w:semiHidden/>
    <w:qFormat/>
    <w:uiPriority w:val="9"/>
    <w:rPr>
      <w:rFonts w:asciiTheme="majorHAnsi" w:hAnsiTheme="majorHAnsi" w:eastAsiaTheme="majorEastAsia"/>
      <w:b/>
      <w:bCs/>
      <w:sz w:val="26"/>
      <w:szCs w:val="26"/>
    </w:rPr>
  </w:style>
  <w:style w:type="character" w:customStyle="1" w:styleId="23">
    <w:name w:val="标题 4 字符"/>
    <w:basedOn w:val="17"/>
    <w:link w:val="6"/>
    <w:semiHidden/>
    <w:qFormat/>
    <w:uiPriority w:val="9"/>
    <w:rPr>
      <w:b/>
      <w:bCs/>
      <w:sz w:val="28"/>
      <w:szCs w:val="28"/>
    </w:rPr>
  </w:style>
  <w:style w:type="character" w:customStyle="1" w:styleId="24">
    <w:name w:val="标题 5 字符"/>
    <w:basedOn w:val="17"/>
    <w:link w:val="7"/>
    <w:semiHidden/>
    <w:qFormat/>
    <w:uiPriority w:val="9"/>
    <w:rPr>
      <w:b/>
      <w:bCs/>
      <w:i/>
      <w:iCs/>
      <w:sz w:val="26"/>
      <w:szCs w:val="26"/>
    </w:rPr>
  </w:style>
  <w:style w:type="character" w:customStyle="1" w:styleId="25">
    <w:name w:val="标题 6 字符"/>
    <w:basedOn w:val="17"/>
    <w:link w:val="8"/>
    <w:semiHidden/>
    <w:qFormat/>
    <w:uiPriority w:val="9"/>
    <w:rPr>
      <w:b/>
      <w:bCs/>
    </w:rPr>
  </w:style>
  <w:style w:type="character" w:customStyle="1" w:styleId="26">
    <w:name w:val="标题 7 字符"/>
    <w:basedOn w:val="17"/>
    <w:link w:val="9"/>
    <w:semiHidden/>
    <w:qFormat/>
    <w:uiPriority w:val="9"/>
    <w:rPr>
      <w:sz w:val="24"/>
      <w:szCs w:val="24"/>
    </w:rPr>
  </w:style>
  <w:style w:type="character" w:customStyle="1" w:styleId="27">
    <w:name w:val="标题 8 字符"/>
    <w:basedOn w:val="17"/>
    <w:link w:val="10"/>
    <w:semiHidden/>
    <w:qFormat/>
    <w:uiPriority w:val="9"/>
    <w:rPr>
      <w:i/>
      <w:iCs/>
      <w:sz w:val="24"/>
      <w:szCs w:val="24"/>
    </w:rPr>
  </w:style>
  <w:style w:type="character" w:customStyle="1" w:styleId="28">
    <w:name w:val="标题 9 字符"/>
    <w:basedOn w:val="17"/>
    <w:link w:val="11"/>
    <w:semiHidden/>
    <w:qFormat/>
    <w:uiPriority w:val="9"/>
    <w:rPr>
      <w:rFonts w:asciiTheme="majorHAnsi" w:hAnsiTheme="majorHAnsi" w:eastAsiaTheme="majorEastAsia"/>
    </w:rPr>
  </w:style>
  <w:style w:type="character" w:customStyle="1" w:styleId="29">
    <w:name w:val="标题 字符"/>
    <w:basedOn w:val="17"/>
    <w:link w:val="2"/>
    <w:qFormat/>
    <w:uiPriority w:val="10"/>
    <w:rPr>
      <w:rFonts w:asciiTheme="majorHAnsi" w:hAnsiTheme="majorHAnsi" w:eastAsiaTheme="majorEastAsia"/>
      <w:b/>
      <w:bCs/>
      <w:kern w:val="28"/>
      <w:sz w:val="32"/>
      <w:szCs w:val="32"/>
    </w:rPr>
  </w:style>
  <w:style w:type="character" w:customStyle="1" w:styleId="30">
    <w:name w:val="副标题 字符"/>
    <w:basedOn w:val="17"/>
    <w:link w:val="15"/>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unhideWhenUsed/>
    <w:qFormat/>
    <w:uiPriority w:val="39"/>
    <w:pPr>
      <w:outlineLvl w:val="9"/>
    </w:pPr>
    <w:rPr>
      <w:lang w:eastAsia="en-US" w:bidi="en-US"/>
    </w:rPr>
  </w:style>
  <w:style w:type="character" w:customStyle="1" w:styleId="43">
    <w:name w:val="页眉 字符"/>
    <w:basedOn w:val="17"/>
    <w:link w:val="14"/>
    <w:qFormat/>
    <w:uiPriority w:val="99"/>
    <w:rPr>
      <w:rFonts w:ascii="Calibri" w:hAnsi="Calibri" w:eastAsia="宋体"/>
      <w:kern w:val="2"/>
      <w:sz w:val="18"/>
      <w:szCs w:val="18"/>
    </w:rPr>
  </w:style>
  <w:style w:type="character" w:customStyle="1" w:styleId="44">
    <w:name w:val="页脚 字符"/>
    <w:basedOn w:val="17"/>
    <w:link w:val="13"/>
    <w:qFormat/>
    <w:uiPriority w:val="99"/>
    <w:rPr>
      <w:rFonts w:ascii="Calibri" w:hAnsi="Calibri" w:eastAsia="宋体"/>
      <w:kern w:val="2"/>
      <w:sz w:val="18"/>
      <w:szCs w:val="18"/>
    </w:rPr>
  </w:style>
  <w:style w:type="character" w:customStyle="1" w:styleId="45">
    <w:name w:val="批注框文本 字符"/>
    <w:basedOn w:val="17"/>
    <w:link w:val="12"/>
    <w:semiHidden/>
    <w:qFormat/>
    <w:uiPriority w:val="99"/>
    <w:rPr>
      <w:rFonts w:ascii="Times New Roman" w:hAnsi="Times New Roman" w:eastAsia="宋体"/>
      <w:kern w:val="2"/>
      <w:sz w:val="18"/>
      <w:szCs w:val="18"/>
    </w:rPr>
  </w:style>
  <w:style w:type="paragraph" w:customStyle="1" w:styleId="46">
    <w:name w:val="闻政-正文段落文字"/>
    <w:basedOn w:val="1"/>
    <w:qFormat/>
    <w:uiPriority w:val="3"/>
    <w:pPr>
      <w:spacing w:line="500" w:lineRule="exact"/>
      <w:ind w:firstLine="200"/>
    </w:pPr>
    <w:rPr>
      <w:kern w:val="0"/>
      <w:szCs w:val="28"/>
    </w:rPr>
  </w:style>
  <w:style w:type="paragraph" w:customStyle="1" w:styleId="47">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6160</Words>
  <Characters>6567</Characters>
  <Lines>5</Lines>
  <Paragraphs>1</Paragraphs>
  <TotalTime>5</TotalTime>
  <ScaleCrop>false</ScaleCrop>
  <LinksUpToDate>false</LinksUpToDate>
  <CharactersWithSpaces>6599</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U</cp:lastModifiedBy>
  <cp:lastPrinted>2024-06-06T02:58:00Z</cp:lastPrinted>
  <dcterms:modified xsi:type="dcterms:W3CDTF">2024-09-30T09:34:30Z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5BD71F23F5734805AEEC6992EE883FC7</vt:lpwstr>
  </property>
</Properties>
</file>