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CC8B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6721897">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9CD650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C23FDBC">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11347809">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E6DADCE">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32CB17A1">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DDE29B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3126B5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63EE82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1FBB50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00FBF9F">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sz w:val="28"/>
          <w:szCs w:val="28"/>
        </w:rPr>
        <w:t>自治区2023年度文艺扶持激励项目资金</w:t>
      </w:r>
    </w:p>
    <w:p w14:paraId="35B37611">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仿宋_GB2312"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sz w:val="28"/>
          <w:szCs w:val="28"/>
        </w:rPr>
        <w:t>新疆</w:t>
      </w:r>
      <w:r>
        <w:rPr>
          <w:rFonts w:hint="eastAsia" w:ascii="宋体" w:hAnsi="宋体"/>
          <w:sz w:val="28"/>
          <w:szCs w:val="28"/>
          <w:lang w:eastAsia="zh-CN"/>
        </w:rPr>
        <w:t>巴音郭楞蒙古自治州歌舞团</w:t>
      </w:r>
    </w:p>
    <w:p w14:paraId="6487D145">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sz w:val="28"/>
          <w:szCs w:val="28"/>
        </w:rPr>
        <w:t>新疆巴州文化体育广播电视和旅游局</w:t>
      </w:r>
    </w:p>
    <w:p w14:paraId="5637B050">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sz w:val="28"/>
          <w:szCs w:val="28"/>
          <w:lang w:eastAsia="zh-CN"/>
        </w:rPr>
        <w:t>乌云其曼</w:t>
      </w:r>
    </w:p>
    <w:p w14:paraId="37CAD7F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13</w:t>
      </w:r>
      <w:r>
        <w:rPr>
          <w:rFonts w:hint="eastAsia" w:ascii="宋体" w:hAnsi="宋体" w:eastAsia="宋体" w:cs="仿宋_GB2312"/>
          <w:color w:val="000000"/>
          <w:kern w:val="0"/>
          <w:sz w:val="32"/>
          <w:szCs w:val="32"/>
        </w:rPr>
        <w:t xml:space="preserve"> 日</w:t>
      </w:r>
    </w:p>
    <w:p w14:paraId="5E3AC786">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61687C95">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2000B9D9">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r>
        <w:rPr>
          <w:rFonts w:hint="eastAsia" w:ascii="仿宋_GB2312"/>
        </w:rPr>
        <w:t>（参考提纲）</w:t>
      </w:r>
    </w:p>
    <w:p w14:paraId="7281D27F">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5A3F2E0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27D93B3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62F2D25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0D183B5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0F8BF01C">
      <w:pPr>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_GBK" w:hAnsi="方正仿宋_GBK" w:eastAsia="方正仿宋_GBK" w:cs="方正仿宋_GBK"/>
          <w:sz w:val="32"/>
          <w:szCs w:val="32"/>
          <w:rtl w:val="0"/>
          <w:lang w:val="zh-TW" w:eastAsia="zh-TW"/>
        </w:rPr>
      </w:pPr>
      <w:r>
        <w:rPr>
          <w:rFonts w:hint="eastAsia" w:ascii="仿宋_GB2312"/>
          <w:highlight w:val="none"/>
          <w:lang w:val="en-US" w:eastAsia="zh-CN"/>
        </w:rPr>
        <w:t xml:space="preserve"> </w:t>
      </w:r>
      <w:r>
        <w:rPr>
          <w:rFonts w:hint="eastAsia" w:ascii="方正仿宋_GBK" w:hAnsi="方正仿宋_GBK" w:eastAsia="方正仿宋_GBK" w:cs="方正仿宋_GBK"/>
          <w:sz w:val="32"/>
          <w:szCs w:val="32"/>
          <w:rtl w:val="0"/>
          <w:lang w:val="zh-TW" w:eastAsia="zh-TW"/>
        </w:rPr>
        <w:t>根据新疆巴音郭楞蒙古自治州</w:t>
      </w:r>
      <w:r>
        <w:rPr>
          <w:rFonts w:hint="default" w:ascii="Times New Roman" w:hAnsi="Times New Roman" w:eastAsia="方正仿宋_GBK" w:cs="Times New Roman"/>
          <w:sz w:val="32"/>
          <w:szCs w:val="32"/>
        </w:rPr>
        <w:t>克亚克库都克烽燧遗址</w:t>
      </w:r>
      <w:r>
        <w:rPr>
          <w:rFonts w:hint="eastAsia" w:ascii="方正仿宋_GBK" w:hAnsi="方正仿宋_GBK" w:eastAsia="方正仿宋_GBK" w:cs="方正仿宋_GBK"/>
          <w:sz w:val="32"/>
          <w:szCs w:val="32"/>
          <w:rtl w:val="0"/>
          <w:lang w:val="zh-TW" w:eastAsia="zh-TW"/>
        </w:rPr>
        <w:t>所揭示的内容材料撰写而成。</w:t>
      </w:r>
      <w:r>
        <w:rPr>
          <w:rFonts w:hint="eastAsia" w:ascii="Times New Roman" w:hAnsi="Times New Roman" w:eastAsia="方正仿宋_GBK" w:cs="Times New Roman"/>
          <w:sz w:val="32"/>
          <w:szCs w:val="32"/>
          <w:lang w:eastAsia="zh-CN"/>
        </w:rPr>
        <w:t>新疆境内的烽燧遗址是中国长城资源的重要组成部分，是国家记忆的重要代表。</w:t>
      </w:r>
      <w:r>
        <w:rPr>
          <w:rFonts w:hint="default" w:ascii="Times New Roman" w:hAnsi="Times New Roman" w:eastAsia="方正仿宋_GBK" w:cs="Times New Roman"/>
          <w:sz w:val="32"/>
          <w:szCs w:val="32"/>
        </w:rPr>
        <w:t>克亚克库都克烽燧遗址</w:t>
      </w:r>
      <w:r>
        <w:rPr>
          <w:rFonts w:hint="eastAsia" w:ascii="Times New Roman" w:hAnsi="Times New Roman" w:eastAsia="方正仿宋_GBK" w:cs="Times New Roman"/>
          <w:sz w:val="32"/>
          <w:szCs w:val="32"/>
          <w:lang w:eastAsia="zh-CN"/>
        </w:rPr>
        <w:t>考古成果是阐释中华民族多元一体的重要实物教材，增强了历史信度，活化了历史场景。</w:t>
      </w:r>
      <w:r>
        <w:rPr>
          <w:rFonts w:hint="default" w:ascii="Times New Roman" w:hAnsi="Times New Roman" w:eastAsia="方正仿宋_GBK" w:cs="Times New Roman"/>
          <w:sz w:val="32"/>
          <w:szCs w:val="32"/>
        </w:rPr>
        <w:t>通过舞蹈</w:t>
      </w:r>
      <w:r>
        <w:rPr>
          <w:rFonts w:hint="eastAsia" w:ascii="Times New Roman" w:hAnsi="Times New Roman" w:eastAsia="方正仿宋_GBK" w:cs="Times New Roman"/>
          <w:sz w:val="32"/>
          <w:szCs w:val="32"/>
          <w:lang w:eastAsia="zh-CN"/>
        </w:rPr>
        <w:t>作品的创作，用</w:t>
      </w:r>
      <w:r>
        <w:rPr>
          <w:rFonts w:hint="default" w:ascii="Times New Roman" w:hAnsi="Times New Roman" w:eastAsia="方正仿宋_GBK" w:cs="Times New Roman"/>
          <w:sz w:val="32"/>
          <w:szCs w:val="32"/>
        </w:rPr>
        <w:t>艺术的</w:t>
      </w:r>
      <w:r>
        <w:rPr>
          <w:rFonts w:hint="eastAsia" w:ascii="Times New Roman" w:hAnsi="Times New Roman" w:eastAsia="方正仿宋_GBK" w:cs="Times New Roman"/>
          <w:sz w:val="32"/>
          <w:szCs w:val="32"/>
          <w:lang w:eastAsia="zh-CN"/>
        </w:rPr>
        <w:t>表现</w:t>
      </w:r>
      <w:r>
        <w:rPr>
          <w:rFonts w:hint="default" w:ascii="Times New Roman" w:hAnsi="Times New Roman" w:eastAsia="方正仿宋_GBK" w:cs="Times New Roman"/>
          <w:sz w:val="32"/>
          <w:szCs w:val="32"/>
        </w:rPr>
        <w:t>形式</w:t>
      </w:r>
      <w:r>
        <w:rPr>
          <w:rFonts w:hint="eastAsia" w:ascii="Times New Roman" w:hAnsi="Times New Roman" w:eastAsia="方正仿宋_GBK" w:cs="Times New Roman"/>
          <w:sz w:val="32"/>
          <w:szCs w:val="32"/>
          <w:lang w:eastAsia="zh-CN"/>
        </w:rPr>
        <w:t>再现</w:t>
      </w:r>
      <w:r>
        <w:rPr>
          <w:rFonts w:hint="eastAsia" w:ascii="方正仿宋_GBK" w:hAnsi="方正仿宋_GBK" w:eastAsia="方正仿宋_GBK" w:cs="方正仿宋_GBK"/>
          <w:sz w:val="32"/>
          <w:szCs w:val="32"/>
          <w:lang w:val="en-US" w:eastAsia="zh-CN"/>
        </w:rPr>
        <w:t>唐代戍边将士军旅生活的场景</w:t>
      </w:r>
      <w:r>
        <w:rPr>
          <w:rFonts w:hint="eastAsia" w:ascii="Times New Roman" w:hAnsi="Times New Roman" w:eastAsia="方正仿宋_GBK" w:cs="Times New Roman"/>
          <w:sz w:val="32"/>
          <w:szCs w:val="32"/>
          <w:lang w:eastAsia="zh-CN"/>
        </w:rPr>
        <w:t>，对讲好中国故事，弘扬中华优秀传统文化，铸牢中华民族共同体意识具有十分重要的意义</w:t>
      </w:r>
      <w:r>
        <w:rPr>
          <w:rFonts w:hint="eastAsia" w:ascii="方正仿宋_GBK" w:hAnsi="方正仿宋_GBK" w:eastAsia="方正仿宋_GBK" w:cs="方正仿宋_GBK"/>
          <w:sz w:val="32"/>
          <w:szCs w:val="32"/>
          <w:rtl w:val="0"/>
          <w:lang w:val="zh-TW" w:eastAsia="zh-TW"/>
        </w:rPr>
        <w:t>。</w:t>
      </w:r>
      <w:r>
        <w:rPr>
          <w:rFonts w:hint="eastAsia" w:ascii="方正仿宋_GBK" w:hAnsi="方正仿宋_GBK" w:eastAsia="方正仿宋_GBK" w:cs="方正仿宋_GBK"/>
          <w:sz w:val="32"/>
          <w:szCs w:val="32"/>
          <w:rtl w:val="0"/>
          <w:lang w:val="zh-TW" w:eastAsia="zh-CN"/>
        </w:rPr>
        <w:t>独幕剧</w:t>
      </w:r>
      <w:r>
        <w:rPr>
          <w:rFonts w:hint="eastAsia" w:ascii="方正仿宋_GBK" w:hAnsi="方正仿宋_GBK" w:eastAsia="方正仿宋_GBK" w:cs="方正仿宋_GBK"/>
          <w:sz w:val="32"/>
          <w:szCs w:val="32"/>
          <w:rtl w:val="0"/>
          <w:lang w:val="zh-TW" w:eastAsia="zh-TW"/>
        </w:rPr>
        <w:t>《大唐烽燧》将有限的、碎片化的考古材料，进行舞台艺术的合理再构，力求用舞蹈的语汇，形象地表现烽卒戍边生活的精神样貌，展示爱国主义和中华民族共同体意识的历史价值。</w:t>
      </w:r>
    </w:p>
    <w:p w14:paraId="59A6A4D6">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7E25174B">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主要内容：</w:t>
      </w:r>
      <w:r>
        <w:rPr>
          <w:rFonts w:hint="eastAsia" w:ascii="仿宋_GB2312"/>
          <w:sz w:val="32"/>
          <w:szCs w:val="32"/>
          <w:lang w:val="en-US" w:eastAsia="zh-CN"/>
        </w:rPr>
        <w:t>2023年5月17日独幕舞剧《大唐烽燧》在塔里木石油影剧院成功首演，共演出4场次，惠及群众2000余人次。2023年</w:t>
      </w:r>
      <w:r>
        <w:rPr>
          <w:rFonts w:hint="default" w:ascii="Times New Roman" w:hAnsi="Times New Roman" w:eastAsia="方正仿宋_GB2312" w:cs="Times New Roman"/>
          <w:i w:val="0"/>
          <w:iCs w:val="0"/>
          <w:caps w:val="0"/>
          <w:color w:val="222222"/>
          <w:spacing w:val="0"/>
          <w:sz w:val="32"/>
          <w:szCs w:val="32"/>
          <w:shd w:val="clear" w:color="auto" w:fill="FFFFFF"/>
        </w:rPr>
        <w:t>巴州组织力量深入挖掘、系统研究丰厚的历史文化资源，依托西域都护府、楼兰故城和克亚克库都克烽燧遗址等考古研究成果，着力推出一批有吸引力、传播力的文化产品，让文物“活”起来，发挥好以史育人、以文化人作用，推动文化润疆工作走深走实，《大唐烽燧》舞台剧目就是其中最亮眼的一部文化产品。</w:t>
      </w:r>
    </w:p>
    <w:p w14:paraId="3DADCD2A">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sz w:val="32"/>
          <w:szCs w:val="32"/>
          <w:lang w:val="en-US" w:eastAsia="zh-CN"/>
        </w:rPr>
      </w:pPr>
      <w:r>
        <w:rPr>
          <w:rFonts w:hint="eastAsia" w:ascii="仿宋_GB2312"/>
          <w:highlight w:val="none"/>
        </w:rPr>
        <w:t>实施情况：</w:t>
      </w:r>
      <w:r>
        <w:rPr>
          <w:rFonts w:hint="eastAsia" w:ascii="仿宋_GB2312"/>
          <w:sz w:val="32"/>
          <w:szCs w:val="32"/>
        </w:rPr>
        <w:t>根据2023年度自治区文艺扶持激励项目资金，下达我单位20万元主要用于开展《大唐烽燧》剧目的打造及巡演，有效激发各族文艺工作的创作热忱，持续推动我州多民族社会主义文艺事荣繁荣发展。</w:t>
      </w:r>
      <w:r>
        <w:rPr>
          <w:rFonts w:hint="eastAsia" w:ascii="仿宋_GB2312"/>
          <w:sz w:val="32"/>
          <w:szCs w:val="32"/>
          <w:lang w:eastAsia="zh-CN"/>
        </w:rPr>
        <w:t>我团共巡演</w:t>
      </w:r>
      <w:r>
        <w:rPr>
          <w:rFonts w:hint="eastAsia" w:ascii="仿宋_GB2312"/>
          <w:sz w:val="32"/>
          <w:szCs w:val="32"/>
          <w:lang w:val="en-US" w:eastAsia="zh-CN"/>
        </w:rPr>
        <w:t>4场次，惠及群众2000余人次。</w:t>
      </w:r>
    </w:p>
    <w:p w14:paraId="4EE452A1">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0A1C5FFC">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sz w:val="32"/>
          <w:szCs w:val="32"/>
        </w:rPr>
        <w:t>该项目年初预算数</w:t>
      </w:r>
      <w:r>
        <w:rPr>
          <w:rFonts w:hint="eastAsia" w:ascii="仿宋_GB2312"/>
          <w:sz w:val="32"/>
          <w:szCs w:val="32"/>
          <w:lang w:val="en-US" w:eastAsia="zh-CN"/>
        </w:rPr>
        <w:t>20</w:t>
      </w:r>
      <w:r>
        <w:rPr>
          <w:rFonts w:hint="eastAsia" w:ascii="仿宋_GB2312"/>
          <w:sz w:val="32"/>
          <w:szCs w:val="32"/>
        </w:rPr>
        <w:t>万元，全年预算数</w:t>
      </w:r>
      <w:r>
        <w:rPr>
          <w:rFonts w:hint="eastAsia" w:ascii="仿宋_GB2312"/>
          <w:sz w:val="32"/>
          <w:szCs w:val="32"/>
          <w:lang w:val="en-US" w:eastAsia="zh-CN"/>
        </w:rPr>
        <w:t>20</w:t>
      </w:r>
      <w:r>
        <w:rPr>
          <w:rFonts w:hint="eastAsia" w:ascii="仿宋_GB2312"/>
          <w:sz w:val="32"/>
          <w:szCs w:val="32"/>
        </w:rPr>
        <w:t>万元，实际总投入</w:t>
      </w:r>
      <w:r>
        <w:rPr>
          <w:rFonts w:hint="eastAsia" w:ascii="仿宋_GB2312"/>
          <w:sz w:val="32"/>
          <w:szCs w:val="32"/>
          <w:lang w:val="en-US" w:eastAsia="zh-CN"/>
        </w:rPr>
        <w:t>20</w:t>
      </w:r>
      <w:r>
        <w:rPr>
          <w:rFonts w:hint="eastAsia"/>
          <w:sz w:val="32"/>
          <w:szCs w:val="32"/>
        </w:rPr>
        <w:t>万元</w:t>
      </w:r>
      <w:r>
        <w:rPr>
          <w:rFonts w:hint="eastAsia" w:ascii="仿宋_GB2312"/>
          <w:sz w:val="32"/>
          <w:szCs w:val="32"/>
        </w:rPr>
        <w:t>，该项目资金已全部落实到位，资金来源为自治区2023年度文艺扶持激励项目资金。</w:t>
      </w:r>
    </w:p>
    <w:p w14:paraId="4001F1F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sz w:val="32"/>
          <w:szCs w:val="32"/>
        </w:rPr>
      </w:pPr>
      <w:r>
        <w:rPr>
          <w:rFonts w:hint="eastAsia"/>
          <w:lang w:eastAsia="zh-CN"/>
        </w:rPr>
        <w:t>（</w:t>
      </w:r>
      <w:r>
        <w:rPr>
          <w:rFonts w:hint="eastAsia"/>
          <w:lang w:val="en-US" w:eastAsia="zh-CN"/>
        </w:rPr>
        <w:t>2</w:t>
      </w:r>
      <w:r>
        <w:rPr>
          <w:rFonts w:hint="eastAsia"/>
          <w:lang w:eastAsia="zh-CN"/>
        </w:rPr>
        <w:t>）</w:t>
      </w:r>
      <w:r>
        <w:rPr>
          <w:rFonts w:hint="eastAsia"/>
        </w:rPr>
        <w:t>资金使用情况：</w:t>
      </w:r>
      <w:bookmarkStart w:id="2" w:name="_Toc68703829"/>
      <w:r>
        <w:rPr>
          <w:rFonts w:hint="eastAsia" w:ascii="仿宋_GB2312"/>
          <w:sz w:val="32"/>
          <w:szCs w:val="32"/>
        </w:rPr>
        <w:t>该项目年初预算数</w:t>
      </w:r>
      <w:r>
        <w:rPr>
          <w:rFonts w:hint="eastAsia" w:ascii="仿宋_GB2312"/>
          <w:sz w:val="32"/>
          <w:szCs w:val="32"/>
          <w:lang w:val="en-US" w:eastAsia="zh-CN"/>
        </w:rPr>
        <w:t>20</w:t>
      </w:r>
      <w:r>
        <w:rPr>
          <w:rFonts w:hint="eastAsia" w:ascii="仿宋_GB2312"/>
          <w:sz w:val="32"/>
          <w:szCs w:val="32"/>
        </w:rPr>
        <w:t>万元，全年预算数</w:t>
      </w:r>
      <w:r>
        <w:rPr>
          <w:rFonts w:hint="eastAsia" w:ascii="仿宋_GB2312"/>
          <w:sz w:val="32"/>
          <w:szCs w:val="32"/>
          <w:lang w:val="en-US" w:eastAsia="zh-CN"/>
        </w:rPr>
        <w:t>20</w:t>
      </w:r>
      <w:r>
        <w:rPr>
          <w:rFonts w:hint="eastAsia" w:ascii="仿宋_GB2312"/>
          <w:sz w:val="32"/>
          <w:szCs w:val="32"/>
        </w:rPr>
        <w:t>万元，全年执行数</w:t>
      </w:r>
      <w:r>
        <w:rPr>
          <w:rFonts w:hint="eastAsia" w:ascii="仿宋_GB2312"/>
          <w:sz w:val="32"/>
          <w:szCs w:val="32"/>
          <w:lang w:val="en-US" w:eastAsia="zh-CN"/>
        </w:rPr>
        <w:t>20</w:t>
      </w:r>
      <w:r>
        <w:rPr>
          <w:rFonts w:hint="eastAsia" w:ascii="仿宋_GB2312"/>
          <w:sz w:val="32"/>
          <w:szCs w:val="32"/>
        </w:rPr>
        <w:t>万元，预算执行率为100%。</w:t>
      </w:r>
    </w:p>
    <w:p w14:paraId="0771D6A4">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14:paraId="67FFBFE9">
      <w:pPr>
        <w:pageBreakBefore w:val="0"/>
        <w:kinsoku/>
        <w:wordWrap/>
        <w:overflowPunct/>
        <w:topLinePunct w:val="0"/>
        <w:autoSpaceDE/>
        <w:autoSpaceDN/>
        <w:bidi w:val="0"/>
        <w:adjustRightInd/>
        <w:snapToGrid/>
        <w:spacing w:line="560" w:lineRule="exact"/>
        <w:ind w:firstLine="600" w:firstLineChars="200"/>
        <w:textAlignment w:val="auto"/>
        <w:rPr>
          <w:sz w:val="32"/>
          <w:szCs w:val="32"/>
        </w:rPr>
      </w:pPr>
      <w:r>
        <w:rPr>
          <w:rFonts w:hint="eastAsia"/>
        </w:rPr>
        <w:t>1</w:t>
      </w:r>
      <w:r>
        <w:rPr>
          <w:rFonts w:hint="eastAsia"/>
          <w:lang w:val="en-US" w:eastAsia="zh-CN"/>
        </w:rPr>
        <w:t>.</w:t>
      </w:r>
      <w:r>
        <w:rPr>
          <w:rFonts w:hint="eastAsia"/>
        </w:rPr>
        <w:t>总体目标：</w:t>
      </w:r>
      <w:r>
        <w:rPr>
          <w:rFonts w:hint="eastAsia"/>
          <w:sz w:val="32"/>
          <w:szCs w:val="32"/>
        </w:rPr>
        <w:t>根据2023年度自治区文艺扶持激励项目资金，下达我单位20万元主要用于开展《大唐烽燧》剧目的打造及巡演，有效激发各族文艺工作的创作热忱，持续推动我州多民族社会主义文艺事荣繁荣发展。</w:t>
      </w:r>
    </w:p>
    <w:p w14:paraId="32EC092A">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sz w:val="32"/>
          <w:szCs w:val="32"/>
          <w:lang w:val="en-US" w:eastAsia="zh-CN"/>
        </w:rPr>
      </w:pPr>
      <w:r>
        <w:t>2</w:t>
      </w:r>
      <w:r>
        <w:rPr>
          <w:rFonts w:hint="eastAsia"/>
          <w:lang w:val="en-US" w:eastAsia="zh-CN"/>
        </w:rPr>
        <w:t>.</w:t>
      </w:r>
      <w:r>
        <w:rPr>
          <w:rFonts w:hint="eastAsia"/>
        </w:rPr>
        <w:t>阶段性目标：</w:t>
      </w:r>
      <w:r>
        <w:rPr>
          <w:rFonts w:hint="eastAsia" w:ascii="Times New Roman" w:hAnsi="Times New Roman" w:eastAsia="方正仿宋_GBK" w:cs="Times New Roman"/>
          <w:sz w:val="32"/>
          <w:szCs w:val="32"/>
          <w:rtl w:val="0"/>
          <w:lang w:val="en-US" w:eastAsia="zh-CN"/>
        </w:rPr>
        <w:t>根据2023年度自治区文艺扶持激励项目资金，下达我单位20万元主要用于开展《大唐烽燧》剧目的打造及巡演，有效激发各族文艺工作的创作热忱，持续推动我州多民族社会主义文艺事荣繁荣发展。</w:t>
      </w:r>
      <w:r>
        <w:rPr>
          <w:rFonts w:hint="eastAsia" w:ascii="仿宋_GB2312"/>
          <w:sz w:val="32"/>
          <w:szCs w:val="32"/>
          <w:lang w:val="en-US" w:eastAsia="zh-CN"/>
        </w:rPr>
        <w:t>该剧</w:t>
      </w:r>
      <w:r>
        <w:rPr>
          <w:rFonts w:hint="eastAsia" w:ascii="Times New Roman" w:hAnsi="Times New Roman" w:eastAsia="方正仿宋_GBK" w:cs="Times New Roman"/>
          <w:sz w:val="32"/>
          <w:szCs w:val="32"/>
          <w:rtl w:val="0"/>
          <w:lang w:val="zh-TW" w:eastAsia="zh-CN"/>
        </w:rPr>
        <w:t>在“</w:t>
      </w:r>
      <w:r>
        <w:rPr>
          <w:rFonts w:hint="eastAsia" w:ascii="Times New Roman" w:hAnsi="Times New Roman" w:eastAsia="方正仿宋_GBK" w:cs="Times New Roman"/>
          <w:sz w:val="32"/>
          <w:szCs w:val="32"/>
          <w:rtl w:val="0"/>
          <w:lang w:val="en-US" w:eastAsia="zh-CN"/>
        </w:rPr>
        <w:t>5·18国际博物馆日</w:t>
      </w:r>
      <w:r>
        <w:rPr>
          <w:rFonts w:hint="eastAsia" w:ascii="Times New Roman" w:hAnsi="Times New Roman" w:eastAsia="方正仿宋_GBK" w:cs="Times New Roman"/>
          <w:sz w:val="32"/>
          <w:szCs w:val="32"/>
          <w:rtl w:val="0"/>
          <w:lang w:val="zh-TW" w:eastAsia="zh-CN"/>
        </w:rPr>
        <w:t>”和“</w:t>
      </w:r>
      <w:r>
        <w:rPr>
          <w:rFonts w:hint="eastAsia" w:ascii="Times New Roman" w:hAnsi="Times New Roman" w:eastAsia="方正仿宋_GBK" w:cs="Times New Roman"/>
          <w:sz w:val="32"/>
          <w:szCs w:val="32"/>
          <w:rtl w:val="0"/>
          <w:lang w:val="en-US" w:eastAsia="zh-CN"/>
        </w:rPr>
        <w:t>5·19中国旅游日</w:t>
      </w:r>
      <w:r>
        <w:rPr>
          <w:rFonts w:hint="eastAsia" w:ascii="Times New Roman" w:hAnsi="Times New Roman" w:eastAsia="方正仿宋_GBK" w:cs="Times New Roman"/>
          <w:sz w:val="32"/>
          <w:szCs w:val="32"/>
          <w:rtl w:val="0"/>
          <w:lang w:val="zh-TW" w:eastAsia="zh-CN"/>
        </w:rPr>
        <w:t>”新疆主会场活动在巴州举办之际，于</w:t>
      </w:r>
      <w:r>
        <w:rPr>
          <w:rFonts w:hint="eastAsia" w:ascii="Times New Roman" w:hAnsi="Times New Roman" w:eastAsia="方正仿宋_GBK" w:cs="Times New Roman"/>
          <w:sz w:val="32"/>
          <w:szCs w:val="32"/>
          <w:rtl w:val="0"/>
          <w:lang w:val="en-US" w:eastAsia="zh-CN"/>
        </w:rPr>
        <w:t>2023年5月17日在塔里木石油影剧院首演，该剧在今日头条、网易、新疆日报/石榴云、我的巴州、巴音郭楞日报、巴州文旅之声等多个APP平台报道。</w:t>
      </w:r>
      <w:r>
        <w:rPr>
          <w:rFonts w:hint="eastAsia" w:eastAsia="方正仿宋_GBK" w:cs="Times New Roman"/>
          <w:sz w:val="32"/>
          <w:szCs w:val="32"/>
          <w:rtl w:val="0"/>
          <w:lang w:val="en-US" w:eastAsia="zh-CN"/>
        </w:rPr>
        <w:t>5月18日在塔指影剧院又演出1场，5月19日赴尉犁县演出1场次。10月份在且末县旅发大会上演1场次，共巡演4场次，</w:t>
      </w:r>
      <w:r>
        <w:rPr>
          <w:rFonts w:hint="eastAsia" w:ascii="仿宋_GB2312"/>
          <w:sz w:val="32"/>
          <w:szCs w:val="32"/>
          <w:lang w:val="en-US" w:eastAsia="zh-CN"/>
        </w:rPr>
        <w:t>惠及群众2000余人次。</w:t>
      </w:r>
    </w:p>
    <w:p w14:paraId="728312DD">
      <w:pPr>
        <w:pageBreakBefore w:val="0"/>
        <w:kinsoku/>
        <w:wordWrap/>
        <w:overflowPunct/>
        <w:topLinePunct w:val="0"/>
        <w:autoSpaceDE/>
        <w:autoSpaceDN/>
        <w:bidi w:val="0"/>
        <w:adjustRightInd/>
        <w:snapToGrid/>
        <w:spacing w:line="560" w:lineRule="exact"/>
        <w:textAlignment w:val="auto"/>
      </w:pPr>
    </w:p>
    <w:p w14:paraId="52FC6E8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0444CA4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40E99ED7">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161DF9D4">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55E7811">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6DF80874">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sz w:val="32"/>
          <w:szCs w:val="32"/>
        </w:rPr>
      </w:pPr>
      <w:r>
        <w:rPr>
          <w:rFonts w:hint="eastAsia" w:ascii="Times New Roman" w:hAnsi="Times New Roman" w:cs="Times New Roman"/>
          <w:sz w:val="32"/>
          <w:szCs w:val="32"/>
        </w:rPr>
        <w:t>自治区2023年度文艺扶持激励项目资金</w:t>
      </w:r>
    </w:p>
    <w:p w14:paraId="72A776F3">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09C14238">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sz w:val="32"/>
          <w:szCs w:val="32"/>
        </w:rPr>
      </w:pPr>
      <w:r>
        <w:rPr>
          <w:rFonts w:hint="eastAsia" w:ascii="Times New Roman" w:hAnsi="Times New Roman" w:cs="Times New Roman"/>
          <w:sz w:val="32"/>
          <w:szCs w:val="32"/>
        </w:rPr>
        <w:t>本次评价从项目决策（包括绩效目标、决策过程）、项目管理（包括项目资金、项目实施）、项目产出（包括项目产出数量、产出质量、产出时效和产出成本）项目效益四个维度进行自治区2023年度文艺扶持激励项目资金评价评价，评价核心为资金的支出完成情况和效果。</w:t>
      </w:r>
    </w:p>
    <w:p w14:paraId="428DF08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5361F41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5B39E86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4D988525">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（一）科学公正。本次项目支出绩效评价运用科学合理的方法，按照规范的程序，对项目绩效进行客观、公正的反映。</w:t>
      </w:r>
    </w:p>
    <w:p w14:paraId="3DD164F0">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（二）统筹兼顾。本次项目支出绩效评价由本单位自主实施，即“谁支出、谁自评”。</w:t>
      </w:r>
    </w:p>
    <w:p w14:paraId="5805CAD9">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（三）激励约束。本次项目支出绩效评价结果与预算安排、政策调整、改进管理实质性挂钩，体现奖优罚劣和激励相容导向，有效要安排、低效要压减、无效要问责。</w:t>
      </w:r>
    </w:p>
    <w:p w14:paraId="306D9CDF">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（四）公开透明。本次项目支出绩效评价结果已依法依规公开在巴州人民政府网网站上，并自觉接受社会监督。</w:t>
      </w:r>
    </w:p>
    <w:p w14:paraId="5D0183A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3333C234">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060683A">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3BA0D6F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FDF039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6A1F031C">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ascii="Times New Roman" w:hAnsi="Times New Roman" w:eastAsia="仿宋_GB2312" w:cs="Times New Roman"/>
          <w:color w:val="000000"/>
          <w:spacing w:val="17"/>
          <w:sz w:val="32"/>
          <w:szCs w:val="32"/>
        </w:rPr>
        <w:t>项目决策权重为20分，项目过程权重为20分，项目产出权重为40分，项目效益权重为20分。</w:t>
      </w:r>
    </w:p>
    <w:p w14:paraId="6856F62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405D5883">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75BAE53">
      <w:pPr>
        <w:pStyle w:val="10"/>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871A947">
      <w:pPr>
        <w:pageBreakBefore w:val="0"/>
        <w:kinsoku/>
        <w:wordWrap/>
        <w:overflowPunct/>
        <w:topLinePunct w:val="0"/>
        <w:autoSpaceDE/>
        <w:autoSpaceDN/>
        <w:bidi w:val="0"/>
        <w:adjustRightInd/>
        <w:snapToGrid/>
        <w:spacing w:line="560" w:lineRule="exact"/>
        <w:ind w:firstLine="600" w:firstLineChars="200"/>
        <w:jc w:val="left"/>
        <w:textAlignment w:val="auto"/>
        <w:rPr>
          <w:bCs/>
          <w:color w:val="FF0000"/>
          <w:sz w:val="32"/>
          <w:szCs w:val="32"/>
        </w:rPr>
      </w:pPr>
      <w:r>
        <w:rPr>
          <w:rFonts w:hint="eastAsia"/>
        </w:rPr>
        <w:t>3、评价方法</w:t>
      </w:r>
    </w:p>
    <w:p w14:paraId="75345167">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绩效评价</w:t>
      </w:r>
      <w:r>
        <w:rPr>
          <w:rFonts w:hint="eastAsia"/>
          <w:sz w:val="32"/>
          <w:szCs w:val="32"/>
          <w:lang w:eastAsia="zh-CN"/>
        </w:rPr>
        <w:t>产出指标</w:t>
      </w:r>
      <w:r>
        <w:rPr>
          <w:rFonts w:hint="eastAsia"/>
          <w:sz w:val="32"/>
          <w:szCs w:val="32"/>
        </w:rPr>
        <w:t>、</w:t>
      </w:r>
      <w:r>
        <w:rPr>
          <w:rFonts w:hint="eastAsia"/>
          <w:sz w:val="32"/>
          <w:szCs w:val="32"/>
          <w:lang w:eastAsia="zh-CN"/>
        </w:rPr>
        <w:t>成本指标、效益指标</w:t>
      </w:r>
      <w:r>
        <w:rPr>
          <w:rFonts w:hint="eastAsia"/>
          <w:sz w:val="32"/>
          <w:szCs w:val="32"/>
        </w:rPr>
        <w:t>和</w:t>
      </w:r>
      <w:r>
        <w:rPr>
          <w:rFonts w:hint="eastAsia"/>
          <w:sz w:val="32"/>
          <w:szCs w:val="32"/>
          <w:lang w:eastAsia="zh-CN"/>
        </w:rPr>
        <w:t>满意度指标</w:t>
      </w:r>
      <w:r>
        <w:rPr>
          <w:rFonts w:hint="eastAsia"/>
          <w:sz w:val="32"/>
          <w:szCs w:val="32"/>
        </w:rPr>
        <w:t>四个</w:t>
      </w:r>
      <w:r>
        <w:rPr>
          <w:rFonts w:hint="eastAsia"/>
          <w:sz w:val="32"/>
          <w:szCs w:val="32"/>
          <w:lang w:eastAsia="zh-CN"/>
        </w:rPr>
        <w:t>维度</w:t>
      </w:r>
      <w:r>
        <w:rPr>
          <w:rFonts w:hint="eastAsia"/>
          <w:sz w:val="32"/>
          <w:szCs w:val="32"/>
        </w:rPr>
        <w:t>进行评价。评价对象为项目目标实施情况，评价核心为资金的支出完成情况和项目的产出效益。</w:t>
      </w:r>
    </w:p>
    <w:p w14:paraId="4E66370C">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lang w:eastAsia="zh-CN"/>
        </w:rPr>
      </w:pPr>
      <w:r>
        <w:rPr>
          <w:rFonts w:hint="eastAsia"/>
          <w:sz w:val="32"/>
          <w:szCs w:val="32"/>
        </w:rPr>
        <w:t>本次评价指标中，既有定性指标又有定量指标，各类指标因考核内容不同和客观标准不同存在较大差异，因此核定具体指标时采用了不同方法，具体评价方法为</w:t>
      </w:r>
      <w:r>
        <w:rPr>
          <w:rFonts w:hint="eastAsia"/>
          <w:sz w:val="32"/>
          <w:szCs w:val="32"/>
          <w:lang w:eastAsia="zh-CN"/>
        </w:rPr>
        <w:t>成本效益分析法，原因是确定项目的成本和效益，首先是巡演该剧目需要花费的成本，演出结束后带了社会效益，提高了群众的文化生活水平，提升了群众的精神享受，根据成本效益分析的结果，结合其他相关因素，做出实施该项目的决策。</w:t>
      </w:r>
    </w:p>
    <w:p w14:paraId="2753911F">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lang w:eastAsia="zh-CN"/>
        </w:rPr>
      </w:pPr>
    </w:p>
    <w:p w14:paraId="5AFE30E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01C64322">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cs="Times New Roman"/>
          <w:sz w:val="32"/>
          <w:szCs w:val="32"/>
        </w:rPr>
      </w:pPr>
      <w:r>
        <w:rPr>
          <w:rFonts w:hint="eastAsia" w:ascii="Times New Roman" w:hAnsi="Times New Roman" w:cs="Times New Roman"/>
          <w:sz w:val="32"/>
          <w:szCs w:val="32"/>
        </w:rPr>
        <w:t>绩效评价标准通常包括计划标准、行业标准、历史标准等，用于对绩效指标完成情况进行比较。</w:t>
      </w:r>
    </w:p>
    <w:p w14:paraId="65E9DEBB">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color w:val="000000"/>
          <w:spacing w:val="17"/>
          <w:sz w:val="32"/>
          <w:szCs w:val="32"/>
          <w:lang w:val="en-US" w:eastAsia="zh-CN"/>
        </w:rPr>
        <w:t>计划标准</w:t>
      </w:r>
      <w:r>
        <w:rPr>
          <w:rFonts w:hint="eastAsia" w:eastAsia="仿宋_GB2312"/>
          <w:color w:val="000000"/>
          <w:spacing w:val="17"/>
          <w:sz w:val="32"/>
          <w:szCs w:val="32"/>
        </w:rPr>
        <w:t>。</w:t>
      </w:r>
      <w:r>
        <w:rPr>
          <w:rFonts w:hint="eastAsia"/>
          <w:color w:val="000000"/>
          <w:spacing w:val="17"/>
          <w:sz w:val="32"/>
          <w:szCs w:val="32"/>
          <w:lang w:eastAsia="zh-CN"/>
        </w:rPr>
        <w:t>原因为：按照</w:t>
      </w:r>
      <w:r>
        <w:rPr>
          <w:rFonts w:hint="eastAsia" w:eastAsia="仿宋_GB2312"/>
          <w:color w:val="000000"/>
          <w:spacing w:val="17"/>
          <w:sz w:val="32"/>
          <w:szCs w:val="32"/>
        </w:rPr>
        <w:t>项目</w:t>
      </w:r>
      <w:r>
        <w:rPr>
          <w:rFonts w:hint="eastAsia"/>
          <w:color w:val="000000"/>
          <w:spacing w:val="17"/>
          <w:sz w:val="32"/>
          <w:szCs w:val="32"/>
          <w:lang w:eastAsia="zh-CN"/>
        </w:rPr>
        <w:t>计划</w:t>
      </w:r>
      <w:r>
        <w:rPr>
          <w:rFonts w:hint="eastAsia" w:eastAsia="仿宋_GB2312"/>
          <w:color w:val="000000"/>
          <w:spacing w:val="17"/>
          <w:sz w:val="32"/>
          <w:szCs w:val="32"/>
        </w:rPr>
        <w:t>时间</w:t>
      </w:r>
      <w:r>
        <w:rPr>
          <w:rFonts w:hint="eastAsia"/>
          <w:color w:val="000000"/>
          <w:spacing w:val="17"/>
          <w:sz w:val="32"/>
          <w:szCs w:val="32"/>
          <w:lang w:eastAsia="zh-CN"/>
        </w:rPr>
        <w:t>，</w:t>
      </w:r>
      <w:r>
        <w:rPr>
          <w:rFonts w:hint="eastAsia" w:eastAsia="仿宋_GB2312"/>
          <w:color w:val="000000"/>
          <w:spacing w:val="17"/>
          <w:sz w:val="32"/>
          <w:szCs w:val="32"/>
        </w:rPr>
        <w:t>完成项目的各个阶段</w:t>
      </w:r>
      <w:r>
        <w:rPr>
          <w:rFonts w:hint="eastAsia"/>
          <w:color w:val="000000"/>
          <w:spacing w:val="17"/>
          <w:sz w:val="32"/>
          <w:szCs w:val="32"/>
          <w:lang w:eastAsia="zh-CN"/>
        </w:rPr>
        <w:t>组织实施排练和准备工作</w:t>
      </w:r>
      <w:r>
        <w:rPr>
          <w:rFonts w:hint="eastAsia" w:eastAsia="仿宋_GB2312"/>
          <w:color w:val="000000"/>
          <w:spacing w:val="17"/>
          <w:sz w:val="32"/>
          <w:szCs w:val="32"/>
        </w:rPr>
        <w:t>。将项目成本控制在预算范围内，达到</w:t>
      </w:r>
      <w:r>
        <w:rPr>
          <w:rFonts w:hint="eastAsia"/>
          <w:color w:val="000000"/>
          <w:spacing w:val="17"/>
          <w:sz w:val="32"/>
          <w:szCs w:val="32"/>
          <w:lang w:val="en-US" w:eastAsia="zh-CN"/>
        </w:rPr>
        <w:t>20万元</w:t>
      </w:r>
      <w:r>
        <w:rPr>
          <w:rFonts w:hint="eastAsia" w:eastAsia="仿宋_GB2312"/>
          <w:color w:val="000000"/>
          <w:spacing w:val="17"/>
          <w:sz w:val="32"/>
          <w:szCs w:val="32"/>
        </w:rPr>
        <w:t>的成本目标。</w:t>
      </w:r>
      <w:r>
        <w:rPr>
          <w:rFonts w:hint="eastAsia"/>
          <w:color w:val="000000"/>
          <w:spacing w:val="17"/>
          <w:sz w:val="32"/>
          <w:szCs w:val="32"/>
          <w:lang w:eastAsia="zh-CN"/>
        </w:rPr>
        <w:t>该项目</w:t>
      </w:r>
      <w:r>
        <w:rPr>
          <w:rFonts w:hint="eastAsia" w:eastAsia="仿宋_GB2312"/>
          <w:color w:val="000000"/>
          <w:spacing w:val="17"/>
          <w:sz w:val="32"/>
          <w:szCs w:val="32"/>
        </w:rPr>
        <w:t>满足特定的质量要求</w:t>
      </w:r>
      <w:r>
        <w:rPr>
          <w:rFonts w:hint="eastAsia"/>
          <w:color w:val="000000"/>
          <w:spacing w:val="17"/>
          <w:sz w:val="32"/>
          <w:szCs w:val="32"/>
          <w:lang w:eastAsia="zh-CN"/>
        </w:rPr>
        <w:t>，该剧目演出效果达到较高的水准</w:t>
      </w:r>
      <w:r>
        <w:rPr>
          <w:rFonts w:hint="eastAsia" w:eastAsia="仿宋_GB2312"/>
          <w:color w:val="000000"/>
          <w:spacing w:val="17"/>
          <w:sz w:val="32"/>
          <w:szCs w:val="32"/>
        </w:rPr>
        <w:t>，</w:t>
      </w:r>
      <w:r>
        <w:rPr>
          <w:rFonts w:hint="eastAsia"/>
          <w:color w:val="000000"/>
          <w:spacing w:val="17"/>
          <w:sz w:val="32"/>
          <w:szCs w:val="32"/>
          <w:lang w:eastAsia="zh-CN"/>
        </w:rPr>
        <w:t>观众观看独幕舞剧《大唐烽燧》</w:t>
      </w:r>
      <w:r>
        <w:rPr>
          <w:rFonts w:hint="eastAsia" w:eastAsia="仿宋_GB2312"/>
          <w:color w:val="000000"/>
          <w:spacing w:val="17"/>
          <w:sz w:val="32"/>
          <w:szCs w:val="32"/>
        </w:rPr>
        <w:t>满意度</w:t>
      </w:r>
      <w:r>
        <w:rPr>
          <w:rFonts w:hint="eastAsia"/>
          <w:color w:val="000000"/>
          <w:spacing w:val="17"/>
          <w:sz w:val="32"/>
          <w:szCs w:val="32"/>
          <w:lang w:eastAsia="zh-CN"/>
        </w:rPr>
        <w:t>较高</w:t>
      </w:r>
      <w:r>
        <w:rPr>
          <w:rFonts w:hint="eastAsia" w:eastAsia="仿宋_GB2312"/>
          <w:color w:val="000000"/>
          <w:spacing w:val="17"/>
          <w:sz w:val="32"/>
          <w:szCs w:val="32"/>
        </w:rPr>
        <w:t>。</w:t>
      </w:r>
    </w:p>
    <w:p w14:paraId="30ACF1B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3E51046B">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bookmarkStart w:id="7" w:name="_Toc68703834"/>
      <w:r>
        <w:rPr>
          <w:rFonts w:hint="eastAsia"/>
          <w:sz w:val="32"/>
          <w:szCs w:val="32"/>
        </w:rPr>
        <w:t>1.前期准备。首先成立评价工作组，开展前期调研；其次明确项目绩效目标，设计绩效评价指标体系并确定绩效评价方法；接着确定评价范围，设计资料清单；最后制定评价实施方案并进行论证。</w:t>
      </w:r>
    </w:p>
    <w:p w14:paraId="12E55821">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498885C4">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5CC425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FF0000"/>
          <w:sz w:val="32"/>
          <w:szCs w:val="32"/>
        </w:rPr>
      </w:pPr>
    </w:p>
    <w:p w14:paraId="36A5757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377250F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41A1E6BE">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F1FAC15">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bookmarkStart w:id="9" w:name="_Toc68703836"/>
      <w:r>
        <w:rPr>
          <w:rFonts w:hint="eastAsia"/>
          <w:sz w:val="32"/>
          <w:szCs w:val="32"/>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3EEB717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34FD1E4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cs="Times New Roman"/>
          <w:b w:val="0"/>
          <w:bCs w:val="0"/>
        </w:rPr>
        <w:t xml:space="preserve">总得分为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w:t>
      </w:r>
    </w:p>
    <w:p w14:paraId="626969C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7B28C734">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296EAF90">
      <w:pPr>
        <w:pageBreakBefore w:val="0"/>
        <w:kinsoku/>
        <w:wordWrap/>
        <w:overflowPunct/>
        <w:topLinePunct w:val="0"/>
        <w:autoSpaceDE/>
        <w:autoSpaceDN/>
        <w:bidi w:val="0"/>
        <w:adjustRightInd/>
        <w:snapToGrid/>
        <w:spacing w:line="560" w:lineRule="exact"/>
        <w:ind w:firstLine="1200" w:firstLineChars="400"/>
        <w:textAlignment w:val="auto"/>
        <w:rPr>
          <w:rFonts w:hint="eastAsia"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rPr>
        <w:t>自治区2023年度文艺扶持激励项目评价得分情况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19D288C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5061EC9">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EF0B6B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36830E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475314D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D4F10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8596B0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c>
          <w:tcPr>
            <w:tcW w:w="2278" w:type="dxa"/>
            <w:tcBorders>
              <w:top w:val="nil"/>
              <w:left w:val="nil"/>
              <w:bottom w:val="single" w:color="auto" w:sz="4" w:space="0"/>
              <w:right w:val="single" w:color="auto" w:sz="4" w:space="0"/>
            </w:tcBorders>
            <w:shd w:val="clear" w:color="auto" w:fill="auto"/>
            <w:vAlign w:val="center"/>
          </w:tcPr>
          <w:p w14:paraId="25BDDAA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r>
      <w:tr w14:paraId="7821987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DAED18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D3798A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c>
          <w:tcPr>
            <w:tcW w:w="2278" w:type="dxa"/>
            <w:tcBorders>
              <w:top w:val="nil"/>
              <w:left w:val="nil"/>
              <w:bottom w:val="single" w:color="auto" w:sz="4" w:space="0"/>
              <w:right w:val="single" w:color="auto" w:sz="4" w:space="0"/>
            </w:tcBorders>
            <w:shd w:val="clear" w:color="auto" w:fill="auto"/>
            <w:vAlign w:val="center"/>
          </w:tcPr>
          <w:p w14:paraId="473D4DE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20分</w:t>
            </w:r>
          </w:p>
        </w:tc>
      </w:tr>
      <w:tr w14:paraId="50F911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BFD57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BDA581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40分</w:t>
            </w:r>
          </w:p>
        </w:tc>
        <w:tc>
          <w:tcPr>
            <w:tcW w:w="2278" w:type="dxa"/>
            <w:tcBorders>
              <w:top w:val="nil"/>
              <w:left w:val="nil"/>
              <w:bottom w:val="single" w:color="auto" w:sz="4" w:space="0"/>
              <w:right w:val="single" w:color="auto" w:sz="4" w:space="0"/>
            </w:tcBorders>
            <w:shd w:val="clear" w:color="auto" w:fill="auto"/>
            <w:vAlign w:val="center"/>
          </w:tcPr>
          <w:p w14:paraId="66B00F51">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40分</w:t>
            </w:r>
          </w:p>
        </w:tc>
      </w:tr>
      <w:tr w14:paraId="62AE159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55CD10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CE0DF6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c>
          <w:tcPr>
            <w:tcW w:w="2278" w:type="dxa"/>
            <w:tcBorders>
              <w:top w:val="nil"/>
              <w:left w:val="nil"/>
              <w:bottom w:val="single" w:color="auto" w:sz="4" w:space="0"/>
              <w:right w:val="single" w:color="auto" w:sz="4" w:space="0"/>
            </w:tcBorders>
            <w:shd w:val="clear" w:color="auto" w:fill="auto"/>
            <w:vAlign w:val="center"/>
          </w:tcPr>
          <w:p w14:paraId="533A615F">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20分</w:t>
            </w:r>
          </w:p>
        </w:tc>
      </w:tr>
      <w:tr w14:paraId="4A65DDD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3FCB9D2">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4003F37">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100分</w:t>
            </w:r>
          </w:p>
        </w:tc>
        <w:tc>
          <w:tcPr>
            <w:tcW w:w="2278" w:type="dxa"/>
            <w:tcBorders>
              <w:top w:val="nil"/>
              <w:left w:val="nil"/>
              <w:bottom w:val="single" w:color="auto" w:sz="4" w:space="0"/>
              <w:right w:val="single" w:color="auto" w:sz="4" w:space="0"/>
            </w:tcBorders>
            <w:shd w:val="clear" w:color="auto" w:fill="auto"/>
            <w:vAlign w:val="center"/>
          </w:tcPr>
          <w:p w14:paraId="07759C8E">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100分</w:t>
            </w:r>
          </w:p>
        </w:tc>
      </w:tr>
    </w:tbl>
    <w:p w14:paraId="5994F89D">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14:paraId="5AE739D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7598F5D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33B8DD4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1885D9E0">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FF0000"/>
          <w:lang w:val="en-US" w:eastAsia="zh-CN"/>
        </w:rPr>
      </w:pPr>
      <w:r>
        <w:rPr>
          <w:rFonts w:hint="eastAsia" w:ascii="Times New Roman" w:hAnsi="Times New Roman" w:cs="Times New Roman"/>
          <w:sz w:val="32"/>
          <w:szCs w:val="32"/>
        </w:rPr>
        <w:t>项目立项依据</w:t>
      </w:r>
      <w:r>
        <w:rPr>
          <w:rFonts w:hint="eastAsia"/>
          <w:sz w:val="32"/>
          <w:szCs w:val="32"/>
        </w:rPr>
        <w:t>自治区2023年度文艺扶持激励项目资金的通知巴财教〔2023〕17号</w:t>
      </w:r>
      <w:r>
        <w:rPr>
          <w:rFonts w:hint="eastAsia"/>
          <w:sz w:val="32"/>
          <w:szCs w:val="32"/>
          <w:lang w:eastAsia="zh-CN"/>
        </w:rPr>
        <w:t>，</w:t>
      </w:r>
      <w:r>
        <w:rPr>
          <w:rFonts w:hint="eastAsia" w:ascii="Times New Roman" w:hAnsi="Times New Roman" w:cs="Times New Roman"/>
          <w:sz w:val="32"/>
          <w:szCs w:val="32"/>
        </w:rPr>
        <w:t>符合国家法律法规、国民经济发展规划和相关政策</w:t>
      </w:r>
      <w:r>
        <w:rPr>
          <w:rFonts w:hint="eastAsia" w:cs="Times New Roman"/>
          <w:sz w:val="32"/>
          <w:szCs w:val="32"/>
          <w:lang w:eastAsia="zh-CN"/>
        </w:rPr>
        <w:t>，</w:t>
      </w:r>
      <w:r>
        <w:rPr>
          <w:rFonts w:hint="eastAsia" w:ascii="Times New Roman" w:hAnsi="Times New Roman" w:cs="Times New Roman"/>
          <w:sz w:val="32"/>
          <w:szCs w:val="32"/>
        </w:rPr>
        <w:t>符合行业发展规划和政策要求</w:t>
      </w:r>
      <w:r>
        <w:rPr>
          <w:rFonts w:hint="eastAsia" w:cs="Times New Roman"/>
          <w:sz w:val="32"/>
          <w:szCs w:val="32"/>
          <w:lang w:eastAsia="zh-CN"/>
        </w:rPr>
        <w:t>，</w:t>
      </w:r>
      <w:r>
        <w:rPr>
          <w:rFonts w:hint="eastAsia" w:ascii="Times New Roman" w:hAnsi="Times New Roman" w:cs="Times New Roman"/>
          <w:sz w:val="32"/>
          <w:szCs w:val="32"/>
        </w:rPr>
        <w:t>与部门职责范围相符，属于部门履职所需</w:t>
      </w:r>
      <w:r>
        <w:rPr>
          <w:rFonts w:hint="eastAsia" w:cs="Times New Roman"/>
          <w:sz w:val="32"/>
          <w:szCs w:val="32"/>
          <w:lang w:eastAsia="zh-CN"/>
        </w:rPr>
        <w:t>，</w:t>
      </w:r>
      <w:r>
        <w:rPr>
          <w:rFonts w:hint="eastAsia" w:ascii="Times New Roman" w:hAnsi="Times New Roman" w:cs="Times New Roman"/>
          <w:sz w:val="32"/>
          <w:szCs w:val="32"/>
        </w:rPr>
        <w:t>项目属于公共财政支持范围，是否符合中央、地方事权支出责任划分原则</w:t>
      </w:r>
      <w:r>
        <w:rPr>
          <w:rFonts w:hint="eastAsia" w:cs="Times New Roman"/>
          <w:sz w:val="32"/>
          <w:szCs w:val="32"/>
          <w:lang w:eastAsia="zh-CN"/>
        </w:rPr>
        <w:t>。</w:t>
      </w:r>
    </w:p>
    <w:p w14:paraId="757B71B2">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631ADDD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98AE39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项目申请、设立过程符合相关要求，</w:t>
      </w:r>
      <w:r>
        <w:rPr>
          <w:rFonts w:hint="eastAsia" w:ascii="Times New Roman" w:hAnsi="Times New Roman" w:cs="Times New Roman"/>
          <w:color w:val="auto"/>
          <w:lang w:val="en-US" w:eastAsia="zh-Hans"/>
        </w:rPr>
        <w:t>严格按照审批流程准备符合要求的文件、材料；</w:t>
      </w:r>
      <w:r>
        <w:rPr>
          <w:rFonts w:hint="eastAsia" w:ascii="Times New Roman" w:hAnsi="Times New Roman" w:cs="Times New Roman"/>
          <w:color w:val="auto"/>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3254490A">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67E88AC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2A0FE3BC">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rPr>
      </w:pPr>
      <w:r>
        <w:rPr>
          <w:rFonts w:hint="default" w:ascii="Times New Roman" w:hAnsi="Times New Roman" w:eastAsia="方正仿宋_GBK" w:cs="Times New Roman"/>
          <w:color w:val="auto"/>
          <w:sz w:val="32"/>
          <w:szCs w:val="32"/>
        </w:rPr>
        <w:t>自治区2023年度文艺扶持激励项目</w:t>
      </w:r>
      <w:r>
        <w:rPr>
          <w:rFonts w:hint="default" w:ascii="Times New Roman" w:hAnsi="Times New Roman" w:eastAsia="方正仿宋_GBK" w:cs="Times New Roman"/>
          <w:color w:val="auto"/>
        </w:rPr>
        <w:t>设立了项目绩效目标，与</w:t>
      </w:r>
      <w:r>
        <w:rPr>
          <w:rFonts w:hint="default" w:ascii="Times New Roman" w:hAnsi="Times New Roman" w:eastAsia="方正仿宋_GBK" w:cs="Times New Roman"/>
          <w:color w:val="auto"/>
          <w:lang w:eastAsia="zh-CN"/>
        </w:rPr>
        <w:t>我团完成独幕舞剧《大唐烽燧》巡演</w:t>
      </w:r>
      <w:r>
        <w:rPr>
          <w:rFonts w:hint="default" w:ascii="Times New Roman" w:hAnsi="Times New Roman" w:eastAsia="方正仿宋_GBK" w:cs="Times New Roman"/>
          <w:color w:val="auto"/>
        </w:rPr>
        <w:t>具有相关性，项目的预期产出效益和效果也均能符合正常的业绩水平，并且与预算确定的项目投资额或资金量相匹配。</w:t>
      </w:r>
    </w:p>
    <w:p w14:paraId="31C02238">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此项权重分5分，得分5分。</w:t>
      </w:r>
    </w:p>
    <w:p w14:paraId="2F60812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686B1650">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sz w:val="32"/>
          <w:szCs w:val="32"/>
          <w:lang w:eastAsia="zh-CN"/>
        </w:rPr>
      </w:pPr>
      <w:bookmarkStart w:id="12" w:name="_Hlk68699917"/>
      <w:r>
        <w:rPr>
          <w:rFonts w:hint="eastAsia"/>
          <w:sz w:val="32"/>
          <w:szCs w:val="32"/>
        </w:rPr>
        <w:t>2023年</w:t>
      </w:r>
      <w:r>
        <w:rPr>
          <w:rFonts w:hint="eastAsia"/>
          <w:sz w:val="32"/>
          <w:szCs w:val="32"/>
          <w:lang w:eastAsia="zh-CN"/>
        </w:rPr>
        <w:t>度文艺扶持激励项目</w:t>
      </w:r>
      <w:r>
        <w:rPr>
          <w:rFonts w:hint="eastAsia" w:ascii="Times New Roman" w:hAnsi="Times New Roman" w:cs="Times New Roman"/>
          <w:sz w:val="32"/>
          <w:szCs w:val="32"/>
          <w:lang w:eastAsia="zh-CN"/>
        </w:rPr>
        <w:t>将项目绩效目标细化分解为具体的绩效指标，一级指标共</w:t>
      </w:r>
      <w:r>
        <w:rPr>
          <w:rFonts w:hint="eastAsia" w:ascii="Times New Roman" w:hAnsi="Times New Roman" w:cs="Times New Roman"/>
          <w:sz w:val="32"/>
          <w:szCs w:val="32"/>
          <w:lang w:val="en-US" w:eastAsia="zh-CN"/>
        </w:rPr>
        <w:t>4</w:t>
      </w:r>
      <w:r>
        <w:rPr>
          <w:rFonts w:hint="eastAsia" w:ascii="Times New Roman" w:hAnsi="Times New Roman" w:cs="Times New Roman"/>
          <w:sz w:val="32"/>
          <w:szCs w:val="32"/>
          <w:lang w:eastAsia="zh-CN"/>
        </w:rPr>
        <w:t>条，二级指标共</w:t>
      </w:r>
      <w:r>
        <w:rPr>
          <w:rFonts w:hint="eastAsia" w:cs="Times New Roman"/>
          <w:sz w:val="32"/>
          <w:szCs w:val="32"/>
          <w:lang w:val="en-US" w:eastAsia="zh-CN"/>
        </w:rPr>
        <w:t>6</w:t>
      </w:r>
      <w:r>
        <w:rPr>
          <w:rFonts w:hint="eastAsia" w:ascii="Times New Roman" w:hAnsi="Times New Roman" w:cs="Times New Roman"/>
          <w:sz w:val="32"/>
          <w:szCs w:val="32"/>
          <w:lang w:eastAsia="zh-CN"/>
        </w:rPr>
        <w:t>条，三级指标共</w:t>
      </w:r>
      <w:r>
        <w:rPr>
          <w:rFonts w:hint="eastAsia" w:cs="Times New Roman"/>
          <w:sz w:val="32"/>
          <w:szCs w:val="32"/>
          <w:lang w:val="en-US" w:eastAsia="zh-CN"/>
        </w:rPr>
        <w:t>10</w:t>
      </w:r>
      <w:r>
        <w:rPr>
          <w:rFonts w:hint="eastAsia" w:ascii="Times New Roman" w:hAnsi="Times New Roman" w:cs="Times New Roman"/>
          <w:sz w:val="32"/>
          <w:szCs w:val="32"/>
          <w:lang w:eastAsia="zh-CN"/>
        </w:rPr>
        <w:t>条，其中量化指标条数共</w:t>
      </w:r>
      <w:r>
        <w:rPr>
          <w:rFonts w:hint="eastAsia" w:cs="Times New Roman"/>
          <w:sz w:val="32"/>
          <w:szCs w:val="32"/>
          <w:lang w:val="en-US" w:eastAsia="zh-CN"/>
        </w:rPr>
        <w:t>8</w:t>
      </w:r>
      <w:r>
        <w:rPr>
          <w:rFonts w:hint="eastAsia" w:ascii="Times New Roman" w:hAnsi="Times New Roman" w:cs="Times New Roman"/>
          <w:sz w:val="32"/>
          <w:szCs w:val="32"/>
          <w:lang w:eastAsia="zh-CN"/>
        </w:rPr>
        <w:t>条，所有绩效指标均通过清晰、可衡量的指标值予以体现，并且做到了与项目目标任务数或计划数相对应。</w:t>
      </w:r>
      <w:bookmarkEnd w:id="12"/>
    </w:p>
    <w:p w14:paraId="06A3E64E">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14:paraId="29EDBEC7">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预算编制科学性</w:t>
      </w:r>
    </w:p>
    <w:p w14:paraId="117A311E">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预算编制经过科学论证</w:t>
      </w:r>
      <w:r>
        <w:rPr>
          <w:rFonts w:hint="eastAsia"/>
          <w:color w:val="auto"/>
          <w:lang w:eastAsia="zh-CN"/>
        </w:rPr>
        <w:t>，</w:t>
      </w:r>
      <w:r>
        <w:rPr>
          <w:rFonts w:hint="eastAsia"/>
          <w:color w:val="auto"/>
        </w:rPr>
        <w:t>内容与项目内容匹配</w:t>
      </w:r>
      <w:r>
        <w:rPr>
          <w:rFonts w:hint="eastAsia"/>
          <w:color w:val="auto"/>
          <w:lang w:eastAsia="zh-CN"/>
        </w:rPr>
        <w:t>，</w:t>
      </w:r>
      <w:r>
        <w:rPr>
          <w:rFonts w:hint="eastAsia"/>
          <w:color w:val="auto"/>
        </w:rPr>
        <w:t>预算额度测算依据充分，按照标准编制</w:t>
      </w:r>
      <w:r>
        <w:rPr>
          <w:rFonts w:hint="eastAsia"/>
          <w:color w:val="auto"/>
          <w:lang w:eastAsia="zh-CN"/>
        </w:rPr>
        <w:t>，</w:t>
      </w:r>
      <w:r>
        <w:rPr>
          <w:rFonts w:hint="eastAsia"/>
          <w:color w:val="auto"/>
        </w:rPr>
        <w:t>预算确定的项目投资额或资金量与工作任务相匹配。</w:t>
      </w:r>
    </w:p>
    <w:p w14:paraId="679740C7">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14:paraId="0594443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0BD703C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rPr>
        <w:t>预算资金分配依据充分</w:t>
      </w:r>
      <w:r>
        <w:rPr>
          <w:rFonts w:hint="eastAsia"/>
          <w:color w:val="auto"/>
          <w:lang w:eastAsia="zh-CN"/>
        </w:rPr>
        <w:t>，</w:t>
      </w:r>
      <w:r>
        <w:rPr>
          <w:rFonts w:hint="eastAsia"/>
          <w:color w:val="auto"/>
        </w:rPr>
        <w:t>资金分配额度合理，与项目单位实际相适应。</w:t>
      </w:r>
    </w:p>
    <w:p w14:paraId="7DBAAC47">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14:paraId="5CD10D5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184805E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2BA3FF77">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预算资金20万元，实际到位资金20万元，资金到位率100%。</w:t>
      </w:r>
    </w:p>
    <w:p w14:paraId="218ED892">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14:paraId="0EA9467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2B17068A">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年初预算数</w:t>
      </w:r>
      <w:r>
        <w:rPr>
          <w:rFonts w:hint="eastAsia"/>
          <w:sz w:val="32"/>
          <w:szCs w:val="32"/>
          <w:lang w:val="en-US" w:eastAsia="zh-CN"/>
        </w:rPr>
        <w:t>20</w:t>
      </w:r>
      <w:r>
        <w:rPr>
          <w:rFonts w:hint="eastAsia"/>
          <w:sz w:val="32"/>
          <w:szCs w:val="32"/>
        </w:rPr>
        <w:t>万元，全年预算数</w:t>
      </w:r>
      <w:r>
        <w:rPr>
          <w:rFonts w:hint="eastAsia"/>
          <w:sz w:val="32"/>
          <w:szCs w:val="32"/>
          <w:lang w:val="en-US" w:eastAsia="zh-CN"/>
        </w:rPr>
        <w:t>20</w:t>
      </w:r>
      <w:r>
        <w:rPr>
          <w:rFonts w:hint="eastAsia"/>
          <w:sz w:val="32"/>
          <w:szCs w:val="32"/>
        </w:rPr>
        <w:t>万元，全年执行数</w:t>
      </w:r>
      <w:r>
        <w:rPr>
          <w:rFonts w:hint="eastAsia"/>
          <w:sz w:val="32"/>
          <w:szCs w:val="32"/>
          <w:lang w:val="en-US" w:eastAsia="zh-CN"/>
        </w:rPr>
        <w:t>20</w:t>
      </w:r>
      <w:r>
        <w:rPr>
          <w:rFonts w:hint="eastAsia"/>
          <w:sz w:val="32"/>
          <w:szCs w:val="32"/>
        </w:rPr>
        <w:t>万元，预算执行率为100%。</w:t>
      </w:r>
    </w:p>
    <w:p w14:paraId="7573517C">
      <w:pPr>
        <w:pStyle w:val="10"/>
        <w:pageBreakBefore w:val="0"/>
        <w:kinsoku/>
        <w:wordWrap/>
        <w:overflowPunct/>
        <w:topLinePunct w:val="0"/>
        <w:autoSpaceDE/>
        <w:autoSpaceDN/>
        <w:bidi w:val="0"/>
        <w:adjustRightInd/>
        <w:snapToGrid/>
        <w:spacing w:line="560" w:lineRule="exact"/>
        <w:ind w:firstLine="640" w:firstLineChars="200"/>
        <w:jc w:val="left"/>
        <w:textAlignment w:val="auto"/>
        <w:rPr>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4</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4</w:t>
      </w:r>
      <w:r>
        <w:rPr>
          <w:rFonts w:hint="eastAsia" w:ascii="Times New Roman" w:hAnsi="Times New Roman" w:eastAsia="仿宋_GB2312"/>
          <w:b w:val="0"/>
          <w:bCs w:val="0"/>
          <w:kern w:val="2"/>
          <w:sz w:val="32"/>
          <w:szCs w:val="32"/>
        </w:rPr>
        <w:t>分。</w:t>
      </w:r>
    </w:p>
    <w:p w14:paraId="7842B55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71F72BE5">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88FFFEB">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6C1396A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41224476">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A1C2615">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4E0F69D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10325502">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遵守相关法律法规和相关管理规定，项目调整及支出调整手续完备，项目合同书、验收报告、技术鉴定等资料是否齐全并及时归档项目实施的人员条件、场地设备、信息支撑等落实到位。</w:t>
      </w:r>
    </w:p>
    <w:p w14:paraId="6DF0E213">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14:paraId="555C379B">
      <w:pPr>
        <w:rPr>
          <w:rFonts w:hint="default"/>
          <w:lang w:val="en-US"/>
        </w:rPr>
      </w:pPr>
      <w:r>
        <w:rPr>
          <w:rFonts w:hint="eastAsia" w:cs="Times New Roman"/>
          <w:b w:val="0"/>
          <w:bCs w:val="0"/>
          <w:kern w:val="2"/>
          <w:sz w:val="30"/>
          <w:szCs w:val="24"/>
          <w:lang w:val="en-US" w:eastAsia="zh-CN" w:bidi="ar-SA"/>
        </w:rPr>
        <w:t xml:space="preserve">    </w:t>
      </w:r>
    </w:p>
    <w:p w14:paraId="0B71E60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highlight w:val="none"/>
        </w:rPr>
        <w:t>项目产出情况。</w:t>
      </w:r>
      <w:bookmarkEnd w:id="14"/>
    </w:p>
    <w:p w14:paraId="6D8AF79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cs="仿宋_GB2312"/>
          <w:sz w:val="32"/>
          <w:szCs w:val="32"/>
        </w:rPr>
      </w:pPr>
      <w:r>
        <w:rPr>
          <w:rFonts w:hint="eastAsia" w:ascii="Times New Roman" w:hAnsi="Times New Roman" w:cs="Times New Roman"/>
          <w:b w:val="0"/>
          <w:bCs w:val="0"/>
          <w:kern w:val="2"/>
          <w:sz w:val="30"/>
          <w:szCs w:val="24"/>
          <w:lang w:val="en-US" w:eastAsia="zh-CN" w:bidi="ar-SA"/>
        </w:rPr>
        <w:t>1.</w:t>
      </w:r>
      <w:r>
        <w:rPr>
          <w:rFonts w:hint="eastAsia" w:ascii="Times New Roman" w:hAnsi="Times New Roman" w:eastAsia="仿宋_GB2312" w:cs="Times New Roman"/>
          <w:b w:val="0"/>
          <w:bCs w:val="0"/>
          <w:kern w:val="2"/>
          <w:sz w:val="30"/>
          <w:szCs w:val="24"/>
          <w:lang w:val="en-US" w:eastAsia="zh-CN" w:bidi="ar-SA"/>
        </w:rPr>
        <w:t>数量指标完成情况</w:t>
      </w:r>
      <w:r>
        <w:rPr>
          <w:rFonts w:hint="eastAsia"/>
          <w:color w:val="FF0000"/>
        </w:rPr>
        <w:t>：</w:t>
      </w:r>
      <w:r>
        <w:rPr>
          <w:rFonts w:hint="eastAsia" w:ascii="仿宋_GB2312" w:hAnsi="仿宋_GB2312" w:cs="仿宋_GB2312"/>
          <w:sz w:val="32"/>
          <w:szCs w:val="32"/>
        </w:rPr>
        <w:t>指标1：</w:t>
      </w:r>
      <w:r>
        <w:rPr>
          <w:rFonts w:hint="eastAsia" w:ascii="仿宋_GB2312" w:hAnsi="仿宋_GB2312" w:cs="仿宋_GB2312"/>
          <w:sz w:val="32"/>
          <w:szCs w:val="32"/>
          <w:lang w:eastAsia="zh-CN"/>
        </w:rPr>
        <w:t>扶持激励的项目演出场次，指标值=4场</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4场次</w:t>
      </w:r>
      <w:r>
        <w:rPr>
          <w:rFonts w:hint="eastAsia" w:ascii="仿宋_GB2312" w:hAnsi="仿宋_GB2312" w:cs="仿宋_GB2312"/>
          <w:sz w:val="32"/>
          <w:szCs w:val="32"/>
        </w:rPr>
        <w:t>，指标完成率</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p>
    <w:p w14:paraId="4FC31107">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37903D63">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 w:val="0"/>
          <w:bCs w:val="0"/>
          <w:kern w:val="2"/>
          <w:sz w:val="32"/>
          <w:szCs w:val="32"/>
        </w:rPr>
      </w:pPr>
      <w:r>
        <w:rPr>
          <w:rFonts w:hint="eastAsia"/>
          <w:b w:val="0"/>
          <w:bCs w:val="0"/>
          <w:kern w:val="2"/>
          <w:sz w:val="32"/>
          <w:szCs w:val="32"/>
          <w:lang w:val="en-US" w:eastAsia="zh-CN"/>
        </w:rPr>
        <w:t>2.质量指标完成情况：指标1：扶持项目作品合格率，指标值</w:t>
      </w:r>
      <w:r>
        <w:rPr>
          <w:rFonts w:hint="eastAsia" w:ascii="仿宋_GB2312" w:hAnsi="仿宋_GB2312" w:cs="仿宋_GB2312"/>
          <w:sz w:val="32"/>
          <w:szCs w:val="32"/>
        </w:rPr>
        <w:t>&gt;=9</w:t>
      </w:r>
      <w:r>
        <w:rPr>
          <w:rFonts w:hint="eastAsia" w:ascii="仿宋_GB2312" w:hAnsi="仿宋_GB2312" w:cs="仿宋_GB2312"/>
          <w:sz w:val="32"/>
          <w:szCs w:val="32"/>
          <w:lang w:val="en-US" w:eastAsia="zh-CN"/>
        </w:rPr>
        <w:t>0</w:t>
      </w:r>
      <w:r>
        <w:rPr>
          <w:rFonts w:hint="eastAsia" w:ascii="仿宋_GB2312" w:hAnsi="仿宋_GB2312" w:cs="仿宋_GB2312"/>
          <w:sz w:val="32"/>
          <w:szCs w:val="32"/>
        </w:rPr>
        <w:t>%</w:t>
      </w:r>
      <w:r>
        <w:rPr>
          <w:rFonts w:hint="eastAsia" w:ascii="仿宋_GB2312" w:hAnsi="仿宋_GB2312" w:cs="仿宋_GB2312"/>
          <w:sz w:val="32"/>
          <w:szCs w:val="32"/>
          <w:lang w:eastAsia="zh-CN"/>
        </w:rPr>
        <w:t>，实际完成值</w:t>
      </w:r>
      <w:r>
        <w:rPr>
          <w:rFonts w:hint="eastAsia" w:ascii="仿宋_GB2312" w:hAnsi="仿宋_GB2312" w:cs="仿宋_GB2312"/>
          <w:sz w:val="32"/>
          <w:szCs w:val="32"/>
          <w:lang w:val="en-US" w:eastAsia="zh-CN"/>
        </w:rPr>
        <w:t>100%，指标完成率111.11%。偏差原因：《大唐烽燧》是一部具有深厚历史底蕴和文化内涵的独幕剧。该剧以其精彩的剧情、精湛的表演和深刻的主题，赢得了观众的高度评价。此次获得自治区扶持激励项目资金 20 万元，是对我团全体演职人员辛勤努力的肯定和鼓励。</w:t>
      </w:r>
    </w:p>
    <w:p w14:paraId="57B777C2">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Times New Roman" w:hAnsi="Times New Roman" w:eastAsia="仿宋_GB2312"/>
          <w:b w:val="0"/>
          <w:bCs w:val="0"/>
          <w:kern w:val="2"/>
          <w:sz w:val="32"/>
          <w:szCs w:val="32"/>
        </w:rPr>
        <w:t>此项权重分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41549E22">
      <w:pPr>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cs="仿宋_GB2312"/>
          <w:sz w:val="32"/>
          <w:szCs w:val="32"/>
          <w:lang w:val="en-US" w:eastAsia="zh-CN"/>
        </w:rPr>
      </w:pPr>
      <w:r>
        <w:rPr>
          <w:rFonts w:hint="eastAsia" w:ascii="Times New Roman" w:hAnsi="Times New Roman" w:cs="Times New Roman"/>
          <w:b w:val="0"/>
          <w:bCs w:val="0"/>
          <w:kern w:val="2"/>
          <w:sz w:val="32"/>
          <w:szCs w:val="32"/>
          <w:lang w:val="en-US" w:eastAsia="zh-CN"/>
        </w:rPr>
        <w:t>3.</w:t>
      </w:r>
      <w:r>
        <w:rPr>
          <w:rFonts w:hint="eastAsia"/>
          <w:color w:val="auto"/>
        </w:rPr>
        <w:t>时效指标</w:t>
      </w:r>
      <w:r>
        <w:rPr>
          <w:rFonts w:hint="eastAsia"/>
          <w:color w:val="auto"/>
          <w:lang w:eastAsia="zh-CN"/>
        </w:rPr>
        <w:t>完成情况</w:t>
      </w:r>
      <w:r>
        <w:rPr>
          <w:rFonts w:hint="eastAsia"/>
          <w:color w:val="auto"/>
        </w:rPr>
        <w:t>：</w:t>
      </w:r>
      <w:r>
        <w:rPr>
          <w:rFonts w:hint="eastAsia" w:ascii="Times New Roman" w:hAnsi="Times New Roman" w:cs="Times New Roman"/>
          <w:b w:val="0"/>
          <w:bCs w:val="0"/>
          <w:kern w:val="2"/>
          <w:sz w:val="32"/>
          <w:szCs w:val="32"/>
          <w:lang w:val="en-US" w:eastAsia="zh-CN"/>
        </w:rPr>
        <w:t>指标1：资金拨付及时率，指标值</w:t>
      </w:r>
      <w:r>
        <w:rPr>
          <w:rFonts w:hint="eastAsia" w:ascii="仿宋_GB2312" w:hAnsi="仿宋_GB2312" w:cs="仿宋_GB2312"/>
          <w:sz w:val="32"/>
          <w:szCs w:val="32"/>
        </w:rPr>
        <w:t>&gt;=9</w:t>
      </w:r>
      <w:r>
        <w:rPr>
          <w:rFonts w:hint="eastAsia" w:ascii="仿宋_GB2312" w:hAnsi="仿宋_GB2312" w:cs="仿宋_GB2312"/>
          <w:sz w:val="32"/>
          <w:szCs w:val="32"/>
          <w:lang w:val="en-US" w:eastAsia="zh-CN"/>
        </w:rPr>
        <w:t>5</w:t>
      </w:r>
      <w:r>
        <w:rPr>
          <w:rFonts w:hint="eastAsia" w:ascii="仿宋_GB2312" w:hAnsi="仿宋_GB2312" w:cs="仿宋_GB2312"/>
          <w:sz w:val="32"/>
          <w:szCs w:val="32"/>
        </w:rPr>
        <w:t>%</w:t>
      </w:r>
      <w:r>
        <w:rPr>
          <w:rFonts w:hint="eastAsia" w:ascii="仿宋_GB2312" w:hAnsi="仿宋_GB2312" w:cs="仿宋_GB2312"/>
          <w:sz w:val="32"/>
          <w:szCs w:val="32"/>
          <w:lang w:eastAsia="zh-CN"/>
        </w:rPr>
        <w:t>，实际完成值</w:t>
      </w:r>
      <w:r>
        <w:rPr>
          <w:rFonts w:hint="eastAsia" w:ascii="仿宋_GB2312" w:hAnsi="仿宋_GB2312" w:cs="仿宋_GB2312"/>
          <w:sz w:val="32"/>
          <w:szCs w:val="32"/>
          <w:lang w:val="en-US" w:eastAsia="zh-CN"/>
        </w:rPr>
        <w:t>100%，指标完成率105.26%。偏差原因：独幕剧《大唐烽燧》赴库尔勒市、且末县、尉犁县巡演4场次，差旅费：5万元；用于独幕剧《大唐烽燧》道具运输及车辆租赁费：5万元；办公费：10万元。资金按时拨付率达100%，项目按时完成率100%。</w:t>
      </w:r>
    </w:p>
    <w:p w14:paraId="01FC5D45">
      <w:pPr>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cs="仿宋_GB2312"/>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指标</w:t>
      </w:r>
      <w:r>
        <w:rPr>
          <w:rFonts w:hint="eastAsia" w:ascii="Times New Roman" w:hAnsi="Times New Roman"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：项目按时完成率</w:t>
      </w:r>
      <w:r>
        <w:rPr>
          <w:rFonts w:hint="eastAsia" w:ascii="Times New Roman" w:hAnsi="Times New Roman" w:cs="Times New Roman"/>
          <w:b w:val="0"/>
          <w:bCs w:val="0"/>
          <w:kern w:val="2"/>
          <w:sz w:val="32"/>
          <w:szCs w:val="32"/>
          <w:lang w:val="en-US" w:eastAsia="zh-CN" w:bidi="ar-SA"/>
        </w:rPr>
        <w:t>，</w:t>
      </w:r>
      <w:r>
        <w:rPr>
          <w:rFonts w:hint="eastAsia"/>
          <w:b w:val="0"/>
          <w:bCs w:val="0"/>
          <w:kern w:val="2"/>
          <w:sz w:val="32"/>
          <w:szCs w:val="32"/>
          <w:lang w:val="en-US" w:eastAsia="zh-CN"/>
        </w:rPr>
        <w:t>指标值</w:t>
      </w:r>
      <w:r>
        <w:rPr>
          <w:rFonts w:hint="eastAsia" w:ascii="仿宋_GB2312" w:hAnsi="仿宋_GB2312" w:cs="仿宋_GB2312"/>
          <w:sz w:val="32"/>
          <w:szCs w:val="32"/>
        </w:rPr>
        <w:t>&gt;=9</w:t>
      </w:r>
      <w:r>
        <w:rPr>
          <w:rFonts w:hint="eastAsia" w:ascii="仿宋_GB2312" w:hAnsi="仿宋_GB2312" w:cs="仿宋_GB2312"/>
          <w:sz w:val="32"/>
          <w:szCs w:val="32"/>
          <w:lang w:val="en-US" w:eastAsia="zh-CN"/>
        </w:rPr>
        <w:t>0</w:t>
      </w:r>
      <w:r>
        <w:rPr>
          <w:rFonts w:hint="eastAsia" w:ascii="仿宋_GB2312" w:hAnsi="仿宋_GB2312" w:cs="仿宋_GB2312"/>
          <w:sz w:val="32"/>
          <w:szCs w:val="32"/>
        </w:rPr>
        <w:t>%</w:t>
      </w:r>
      <w:r>
        <w:rPr>
          <w:rFonts w:hint="eastAsia" w:ascii="仿宋_GB2312" w:hAnsi="仿宋_GB2312" w:cs="仿宋_GB2312"/>
          <w:sz w:val="32"/>
          <w:szCs w:val="32"/>
          <w:lang w:eastAsia="zh-CN"/>
        </w:rPr>
        <w:t>，实际完成值</w:t>
      </w:r>
      <w:r>
        <w:rPr>
          <w:rFonts w:hint="eastAsia" w:ascii="仿宋_GB2312" w:hAnsi="仿宋_GB2312" w:cs="仿宋_GB2312"/>
          <w:sz w:val="32"/>
          <w:szCs w:val="32"/>
          <w:lang w:val="en-US" w:eastAsia="zh-CN"/>
        </w:rPr>
        <w:t>100%，指标完成率111.11%。偏差原因：独幕剧《大唐烽燧》赴库尔勒市、且末县、尉犁县巡演4场次，差旅费：5万元；用于独幕剧《大唐烽燧》道具运输及车辆租赁费：5万元；办公费：10万元。资金按时拨付率达100%，项目按时完成率100%。</w:t>
      </w:r>
    </w:p>
    <w:p w14:paraId="1713BA29">
      <w:pPr>
        <w:pStyle w:val="1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b w:val="0"/>
          <w:bCs w:val="0"/>
          <w:kern w:val="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1D388B1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b w:val="0"/>
          <w:bCs w:val="0"/>
          <w:kern w:val="2"/>
          <w:sz w:val="32"/>
          <w:szCs w:val="32"/>
          <w:lang w:val="en-US" w:eastAsia="zh-CN"/>
        </w:rPr>
        <w:t>4.</w:t>
      </w:r>
      <w:r>
        <w:rPr>
          <w:rFonts w:hint="eastAsia"/>
          <w:color w:val="auto"/>
          <w:highlight w:val="none"/>
          <w:lang w:val="en-US" w:eastAsia="zh-CN"/>
        </w:rPr>
        <w:t>经济成本指标完成情况</w:t>
      </w:r>
      <w:r>
        <w:rPr>
          <w:rFonts w:hint="eastAsia"/>
          <w:color w:val="auto"/>
          <w:highlight w:val="none"/>
          <w:lang w:eastAsia="zh-CN"/>
        </w:rPr>
        <w:t>：</w:t>
      </w:r>
      <w:r>
        <w:rPr>
          <w:rFonts w:hint="eastAsia" w:ascii="仿宋_GB2312" w:hAnsi="仿宋_GB2312" w:cs="仿宋_GB2312"/>
          <w:sz w:val="32"/>
          <w:szCs w:val="32"/>
        </w:rPr>
        <w:t>指标1：</w:t>
      </w:r>
      <w:r>
        <w:rPr>
          <w:rFonts w:hint="eastAsia" w:ascii="仿宋_GB2312" w:hAnsi="仿宋_GB2312" w:cs="仿宋_GB2312"/>
          <w:sz w:val="32"/>
          <w:szCs w:val="32"/>
          <w:lang w:eastAsia="zh-CN"/>
        </w:rPr>
        <w:t>演出租赁费</w:t>
      </w:r>
      <w:r>
        <w:rPr>
          <w:rFonts w:hint="eastAsia" w:ascii="仿宋_GB2312" w:hAnsi="仿宋_GB2312" w:cs="仿宋_GB2312"/>
          <w:sz w:val="32"/>
          <w:szCs w:val="32"/>
        </w:rPr>
        <w:t>，指标值：</w:t>
      </w:r>
      <w:r>
        <w:rPr>
          <w:rFonts w:hint="eastAsia" w:ascii="仿宋_GB2312" w:hAnsi="仿宋_GB2312" w:cs="仿宋_GB2312"/>
          <w:sz w:val="32"/>
          <w:szCs w:val="32"/>
          <w:lang w:val="en-US" w:eastAsia="zh-CN"/>
        </w:rPr>
        <w:t>&lt;=5万元</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=5万元</w:t>
      </w:r>
      <w:r>
        <w:rPr>
          <w:rFonts w:hint="eastAsia" w:ascii="仿宋_GB2312" w:hAnsi="仿宋_GB2312" w:cs="仿宋_GB2312"/>
          <w:sz w:val="32"/>
          <w:szCs w:val="32"/>
        </w:rPr>
        <w:t>，指标完成率100%；指标2：</w:t>
      </w:r>
      <w:r>
        <w:rPr>
          <w:rFonts w:hint="eastAsia" w:ascii="仿宋_GB2312" w:hAnsi="仿宋_GB2312" w:cs="仿宋_GB2312"/>
          <w:sz w:val="32"/>
          <w:szCs w:val="32"/>
          <w:lang w:eastAsia="zh-CN"/>
        </w:rPr>
        <w:t>演出差旅费</w:t>
      </w:r>
      <w:r>
        <w:rPr>
          <w:rFonts w:hint="eastAsia" w:ascii="仿宋_GB2312" w:hAnsi="仿宋_GB2312" w:cs="仿宋_GB2312"/>
          <w:sz w:val="32"/>
          <w:szCs w:val="32"/>
        </w:rPr>
        <w:t>，指标值：</w:t>
      </w:r>
      <w:r>
        <w:rPr>
          <w:rFonts w:hint="eastAsia" w:ascii="仿宋_GB2312" w:hAnsi="仿宋_GB2312" w:cs="仿宋_GB2312"/>
          <w:sz w:val="32"/>
          <w:szCs w:val="32"/>
          <w:lang w:val="en-US" w:eastAsia="zh-CN"/>
        </w:rPr>
        <w:t>&lt;=5万元</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=5万元</w:t>
      </w:r>
      <w:r>
        <w:rPr>
          <w:rFonts w:hint="eastAsia" w:ascii="仿宋_GB2312" w:hAnsi="仿宋_GB2312" w:cs="仿宋_GB2312"/>
          <w:sz w:val="32"/>
          <w:szCs w:val="32"/>
        </w:rPr>
        <w:t>，指标完成率100%；</w:t>
      </w:r>
      <w:r>
        <w:rPr>
          <w:rFonts w:hint="eastAsia" w:ascii="仿宋_GB2312" w:hAnsi="仿宋_GB2312" w:cs="仿宋_GB2312"/>
          <w:sz w:val="32"/>
          <w:szCs w:val="32"/>
          <w:lang w:eastAsia="zh-CN"/>
        </w:rPr>
        <w:t>指标</w:t>
      </w:r>
      <w:r>
        <w:rPr>
          <w:rFonts w:hint="eastAsia" w:ascii="仿宋_GB2312" w:hAnsi="仿宋_GB2312" w:cs="仿宋_GB2312"/>
          <w:sz w:val="32"/>
          <w:szCs w:val="32"/>
          <w:lang w:val="en-US" w:eastAsia="zh-CN"/>
        </w:rPr>
        <w:t>3：巡演期间办公费，</w:t>
      </w:r>
      <w:r>
        <w:rPr>
          <w:rFonts w:hint="eastAsia" w:ascii="仿宋_GB2312" w:hAnsi="仿宋_GB2312" w:cs="仿宋_GB2312"/>
          <w:sz w:val="32"/>
          <w:szCs w:val="32"/>
        </w:rPr>
        <w:t>指标值：</w:t>
      </w:r>
      <w:r>
        <w:rPr>
          <w:rFonts w:hint="eastAsia" w:ascii="仿宋_GB2312" w:hAnsi="仿宋_GB2312" w:cs="仿宋_GB2312"/>
          <w:sz w:val="32"/>
          <w:szCs w:val="32"/>
          <w:lang w:val="en-US" w:eastAsia="zh-CN"/>
        </w:rPr>
        <w:t>&lt;=10万元</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=10万元</w:t>
      </w:r>
      <w:r>
        <w:rPr>
          <w:rFonts w:hint="eastAsia" w:ascii="仿宋_GB2312" w:hAnsi="仿宋_GB2312" w:cs="仿宋_GB2312"/>
          <w:sz w:val="32"/>
          <w:szCs w:val="32"/>
        </w:rPr>
        <w:t>，指标完成率100%</w:t>
      </w:r>
      <w:r>
        <w:rPr>
          <w:rFonts w:hint="eastAsia" w:ascii="仿宋_GB2312" w:hAnsi="仿宋_GB2312" w:cs="仿宋_GB2312"/>
          <w:sz w:val="32"/>
          <w:szCs w:val="32"/>
          <w:lang w:eastAsia="zh-CN"/>
        </w:rPr>
        <w:t>。</w:t>
      </w:r>
    </w:p>
    <w:p w14:paraId="22923BF3">
      <w:pPr>
        <w:ind w:firstLine="640" w:firstLineChars="200"/>
        <w:rPr>
          <w:rFonts w:hint="eastAsia" w:ascii="Times New Roman" w:hAnsi="Times New Roman" w:eastAsia="仿宋_GB2312"/>
          <w:b w:val="0"/>
          <w:bCs w:val="0"/>
          <w:kern w:val="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3CAD8149">
      <w:pPr>
        <w:pStyle w:val="2"/>
        <w:rPr>
          <w:rFonts w:hint="default" w:eastAsia="仿宋_GB2312"/>
          <w:lang w:val="en-US" w:eastAsia="zh-CN"/>
        </w:rPr>
      </w:pPr>
      <w:r>
        <w:rPr>
          <w:rFonts w:hint="eastAsia" w:ascii="Times New Roman" w:hAnsi="Times New Roman" w:eastAsia="仿宋_GB2312"/>
          <w:b w:val="0"/>
          <w:bCs w:val="0"/>
          <w:kern w:val="2"/>
          <w:sz w:val="32"/>
          <w:szCs w:val="32"/>
          <w:lang w:val="en-US" w:eastAsia="zh-CN"/>
        </w:rPr>
        <w:t xml:space="preserve">   （四）项目效益情况</w:t>
      </w:r>
    </w:p>
    <w:p w14:paraId="0DD04D7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val="en-US" w:eastAsia="zh-CN"/>
        </w:rPr>
        <w:t>1</w:t>
      </w:r>
      <w:r>
        <w:rPr>
          <w:rFonts w:hint="eastAsia" w:ascii="仿宋_GB2312" w:hAnsi="仿宋_GB2312" w:cs="仿宋_GB2312"/>
          <w:sz w:val="32"/>
          <w:szCs w:val="32"/>
        </w:rPr>
        <w:t>.</w:t>
      </w:r>
      <w:r>
        <w:rPr>
          <w:rFonts w:hint="eastAsia" w:ascii="仿宋_GB2312" w:hAnsi="仿宋_GB2312" w:cs="仿宋_GB2312"/>
          <w:sz w:val="32"/>
          <w:szCs w:val="32"/>
          <w:lang w:eastAsia="zh-CN"/>
        </w:rPr>
        <w:t>社会效益</w:t>
      </w:r>
      <w:r>
        <w:rPr>
          <w:rFonts w:hint="eastAsia" w:ascii="仿宋_GB2312" w:hAnsi="仿宋_GB2312" w:cs="仿宋_GB2312"/>
          <w:sz w:val="32"/>
          <w:szCs w:val="32"/>
        </w:rPr>
        <w:t>完成情况：指标1：</w:t>
      </w:r>
      <w:r>
        <w:rPr>
          <w:rFonts w:hint="eastAsia" w:ascii="仿宋_GB2312" w:hAnsi="仿宋_GB2312" w:cs="仿宋_GB2312"/>
          <w:sz w:val="32"/>
          <w:szCs w:val="32"/>
          <w:lang w:eastAsia="zh-CN"/>
        </w:rPr>
        <w:t>激发各族作家、艺术家和创作单位的创作，营造深厚的社会氛围</w:t>
      </w:r>
      <w:r>
        <w:rPr>
          <w:rFonts w:hint="eastAsia" w:ascii="仿宋_GB2312" w:hAnsi="仿宋_GB2312" w:cs="仿宋_GB2312"/>
          <w:sz w:val="32"/>
          <w:szCs w:val="32"/>
        </w:rPr>
        <w:t>，指标值：</w:t>
      </w:r>
      <w:r>
        <w:rPr>
          <w:rFonts w:hint="eastAsia" w:ascii="仿宋_GB2312" w:hAnsi="仿宋_GB2312" w:cs="仿宋_GB2312"/>
          <w:sz w:val="32"/>
          <w:szCs w:val="32"/>
          <w:lang w:eastAsia="zh-CN"/>
        </w:rPr>
        <w:t>有效激发</w:t>
      </w:r>
      <w:r>
        <w:rPr>
          <w:rFonts w:hint="eastAsia" w:ascii="仿宋_GB2312" w:hAnsi="仿宋_GB2312" w:cs="仿宋_GB2312"/>
          <w:sz w:val="32"/>
          <w:szCs w:val="32"/>
        </w:rPr>
        <w:t>，实际完成值</w:t>
      </w:r>
      <w:r>
        <w:rPr>
          <w:rFonts w:hint="eastAsia" w:ascii="仿宋_GB2312" w:hAnsi="仿宋_GB2312" w:cs="仿宋_GB2312"/>
          <w:sz w:val="32"/>
          <w:szCs w:val="32"/>
          <w:lang w:eastAsia="zh-CN"/>
        </w:rPr>
        <w:t>达成目标</w:t>
      </w:r>
      <w:r>
        <w:rPr>
          <w:rFonts w:hint="eastAsia" w:ascii="仿宋_GB2312" w:hAnsi="仿宋_GB2312" w:cs="仿宋_GB2312"/>
          <w:sz w:val="32"/>
          <w:szCs w:val="32"/>
        </w:rPr>
        <w:t>，指标完成率100%；指标2：</w:t>
      </w:r>
      <w:r>
        <w:rPr>
          <w:rFonts w:hint="eastAsia" w:ascii="仿宋_GB2312" w:hAnsi="仿宋_GB2312" w:cs="仿宋_GB2312"/>
          <w:sz w:val="32"/>
          <w:szCs w:val="32"/>
          <w:lang w:eastAsia="zh-CN"/>
        </w:rPr>
        <w:t>推动新疆多民族社会主义文艺事业繁荣发展</w:t>
      </w:r>
      <w:r>
        <w:rPr>
          <w:rFonts w:hint="eastAsia" w:ascii="仿宋_GB2312" w:hAnsi="仿宋_GB2312" w:cs="仿宋_GB2312"/>
          <w:sz w:val="32"/>
          <w:szCs w:val="32"/>
        </w:rPr>
        <w:t>，指标值：</w:t>
      </w:r>
      <w:r>
        <w:rPr>
          <w:rFonts w:hint="eastAsia" w:ascii="仿宋_GB2312" w:hAnsi="仿宋_GB2312" w:cs="仿宋_GB2312"/>
          <w:sz w:val="32"/>
          <w:szCs w:val="32"/>
          <w:lang w:eastAsia="zh-CN"/>
        </w:rPr>
        <w:t>持续推动</w:t>
      </w:r>
      <w:r>
        <w:rPr>
          <w:rFonts w:hint="eastAsia" w:ascii="仿宋_GB2312" w:hAnsi="仿宋_GB2312" w:cs="仿宋_GB2312"/>
          <w:sz w:val="32"/>
          <w:szCs w:val="32"/>
        </w:rPr>
        <w:t>，实际完成值</w:t>
      </w:r>
      <w:r>
        <w:rPr>
          <w:rFonts w:hint="eastAsia" w:ascii="仿宋_GB2312" w:hAnsi="仿宋_GB2312" w:cs="仿宋_GB2312"/>
          <w:sz w:val="32"/>
          <w:szCs w:val="32"/>
          <w:lang w:eastAsia="zh-CN"/>
        </w:rPr>
        <w:t>达成目标</w:t>
      </w:r>
      <w:r>
        <w:rPr>
          <w:rFonts w:hint="eastAsia" w:ascii="仿宋_GB2312" w:hAnsi="仿宋_GB2312" w:cs="仿宋_GB2312"/>
          <w:sz w:val="32"/>
          <w:szCs w:val="32"/>
        </w:rPr>
        <w:t>，指标完成率100%</w:t>
      </w:r>
      <w:r>
        <w:rPr>
          <w:rFonts w:hint="eastAsia" w:ascii="仿宋_GB2312" w:hAnsi="仿宋_GB2312" w:cs="仿宋_GB2312"/>
          <w:sz w:val="32"/>
          <w:szCs w:val="32"/>
          <w:lang w:eastAsia="zh-CN"/>
        </w:rPr>
        <w:t>。</w:t>
      </w:r>
    </w:p>
    <w:p w14:paraId="3893B6FE">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cs="仿宋_GB231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19183E75">
      <w:pPr>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b w:val="0"/>
          <w:bCs w:val="0"/>
          <w:kern w:val="2"/>
          <w:sz w:val="32"/>
          <w:szCs w:val="32"/>
          <w:lang w:val="en-US" w:eastAsia="zh-CN"/>
        </w:rPr>
        <w:t>2.满意度指标完成情况：</w:t>
      </w:r>
      <w:r>
        <w:rPr>
          <w:rFonts w:hint="eastAsia"/>
          <w:sz w:val="32"/>
          <w:szCs w:val="32"/>
          <w:lang w:eastAsia="zh-CN"/>
        </w:rPr>
        <w:t>观众满意度，指标值：</w:t>
      </w:r>
      <w:r>
        <w:rPr>
          <w:rFonts w:hint="eastAsia"/>
          <w:sz w:val="32"/>
          <w:szCs w:val="32"/>
          <w:lang w:val="en-US" w:eastAsia="zh-CN"/>
        </w:rPr>
        <w:t>&gt;=95%，实际完成值=100%，指标完成率105.26%，偏差原因：《大唐烽燧》是一部具有深厚历史底蕴和文化内涵的独幕剧。该剧以其精彩的剧情、精湛的表演和深刻的主题，赢得了观众的高度评价。</w:t>
      </w:r>
    </w:p>
    <w:p w14:paraId="3188944D">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 w:val="0"/>
          <w:bCs w:val="0"/>
          <w:kern w:val="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43BBA353">
      <w:pPr>
        <w:pageBreakBefore w:val="0"/>
        <w:kinsoku/>
        <w:wordWrap/>
        <w:overflowPunct/>
        <w:topLinePunct w:val="0"/>
        <w:autoSpaceDE/>
        <w:autoSpaceDN/>
        <w:bidi w:val="0"/>
        <w:adjustRightInd/>
        <w:snapToGrid/>
        <w:spacing w:line="560" w:lineRule="exact"/>
        <w:textAlignment w:val="auto"/>
        <w:rPr>
          <w:rFonts w:hint="eastAsia"/>
          <w:b w:val="0"/>
          <w:bCs w:val="0"/>
          <w:kern w:val="2"/>
          <w:sz w:val="32"/>
          <w:szCs w:val="32"/>
          <w:lang w:val="en-US" w:eastAsia="zh-CN"/>
        </w:rPr>
      </w:pPr>
    </w:p>
    <w:p w14:paraId="2C6F1109">
      <w:pPr>
        <w:pageBreakBefore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五、预算执行进度与绩效指标总体完成率偏差</w:t>
      </w:r>
    </w:p>
    <w:p w14:paraId="3CCBCAFC">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2023年</w:t>
      </w:r>
      <w:r>
        <w:rPr>
          <w:rFonts w:hint="eastAsia"/>
          <w:sz w:val="32"/>
          <w:szCs w:val="32"/>
          <w:lang w:eastAsia="zh-CN"/>
        </w:rPr>
        <w:t>度文艺扶持激励项目资金</w:t>
      </w:r>
      <w:r>
        <w:rPr>
          <w:rFonts w:hint="eastAsia"/>
          <w:sz w:val="32"/>
          <w:szCs w:val="32"/>
        </w:rPr>
        <w:t>年初预算</w:t>
      </w:r>
      <w:r>
        <w:rPr>
          <w:rFonts w:hint="eastAsia"/>
          <w:sz w:val="32"/>
          <w:szCs w:val="32"/>
          <w:lang w:val="en-US" w:eastAsia="zh-CN"/>
        </w:rPr>
        <w:t>20</w:t>
      </w:r>
      <w:r>
        <w:rPr>
          <w:rFonts w:hint="eastAsia"/>
          <w:sz w:val="32"/>
          <w:szCs w:val="32"/>
        </w:rPr>
        <w:t>万元，全年预算</w:t>
      </w:r>
      <w:r>
        <w:rPr>
          <w:rFonts w:hint="eastAsia"/>
          <w:sz w:val="32"/>
          <w:szCs w:val="32"/>
          <w:lang w:val="en-US" w:eastAsia="zh-CN"/>
        </w:rPr>
        <w:t>20</w:t>
      </w:r>
      <w:r>
        <w:rPr>
          <w:rFonts w:hint="eastAsia"/>
          <w:sz w:val="32"/>
          <w:szCs w:val="32"/>
        </w:rPr>
        <w:t>万元，实际支出</w:t>
      </w:r>
      <w:r>
        <w:rPr>
          <w:rFonts w:hint="eastAsia"/>
          <w:sz w:val="32"/>
          <w:szCs w:val="32"/>
          <w:lang w:val="en-US" w:eastAsia="zh-CN"/>
        </w:rPr>
        <w:t>20</w:t>
      </w:r>
      <w:r>
        <w:rPr>
          <w:rFonts w:hint="eastAsia"/>
          <w:sz w:val="32"/>
          <w:szCs w:val="32"/>
        </w:rPr>
        <w:t>万元，预算执行率为100%，项目绩效指标总体完成率为</w:t>
      </w:r>
      <w:r>
        <w:rPr>
          <w:rFonts w:hint="eastAsia"/>
          <w:sz w:val="32"/>
          <w:szCs w:val="32"/>
          <w:lang w:val="en-US" w:eastAsia="zh-CN"/>
        </w:rPr>
        <w:t>103.27</w:t>
      </w:r>
      <w:r>
        <w:rPr>
          <w:rFonts w:hint="eastAsia"/>
          <w:sz w:val="32"/>
          <w:szCs w:val="32"/>
        </w:rPr>
        <w:t>%，按照财政部设定的绩效目标均已全部完成，</w:t>
      </w:r>
      <w:r>
        <w:rPr>
          <w:rFonts w:hint="eastAsia"/>
          <w:sz w:val="32"/>
          <w:szCs w:val="32"/>
          <w:lang w:eastAsia="zh-CN"/>
        </w:rPr>
        <w:t>我单位超额圆满完成独幕舞剧《大唐烽燧》演出任务，受到各级一直好评</w:t>
      </w:r>
      <w:r>
        <w:rPr>
          <w:rFonts w:hint="eastAsia"/>
          <w:sz w:val="32"/>
          <w:szCs w:val="32"/>
        </w:rPr>
        <w:t>。</w:t>
      </w:r>
    </w:p>
    <w:p w14:paraId="189456C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六、主要经验及做法、存在的问题及原因分析</w:t>
      </w:r>
    </w:p>
    <w:p w14:paraId="7CEC4A2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sz w:val="32"/>
          <w:szCs w:val="32"/>
        </w:rPr>
      </w:pPr>
      <w:r>
        <w:rPr>
          <w:rFonts w:hint="eastAsia" w:ascii="仿宋_GB2312" w:eastAsia="仿宋_GB2312"/>
          <w:b w:val="0"/>
          <w:bCs w:val="0"/>
          <w:sz w:val="32"/>
          <w:szCs w:val="32"/>
        </w:rPr>
        <w:t>（一）主要经验及做法</w:t>
      </w:r>
    </w:p>
    <w:p w14:paraId="7AFE995E">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sz w:val="32"/>
          <w:szCs w:val="32"/>
        </w:rPr>
        <w:t>每年年度末，根据</w:t>
      </w:r>
      <w:r>
        <w:rPr>
          <w:rFonts w:hint="eastAsia"/>
          <w:sz w:val="32"/>
          <w:szCs w:val="32"/>
        </w:rPr>
        <w:t>本</w:t>
      </w:r>
      <w:r>
        <w:rPr>
          <w:sz w:val="32"/>
          <w:szCs w:val="32"/>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p>
    <w:p w14:paraId="074467B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sz w:val="32"/>
          <w:szCs w:val="32"/>
        </w:rPr>
      </w:pPr>
      <w:r>
        <w:rPr>
          <w:rFonts w:hint="eastAsia" w:ascii="仿宋_GB2312" w:eastAsia="仿宋_GB2312"/>
          <w:b w:val="0"/>
          <w:bCs w:val="0"/>
          <w:sz w:val="32"/>
          <w:szCs w:val="32"/>
        </w:rPr>
        <w:t>（二）存在的问题及原因分析</w:t>
      </w:r>
    </w:p>
    <w:p w14:paraId="6504E4A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sz w:val="32"/>
          <w:szCs w:val="32"/>
        </w:rPr>
      </w:pPr>
      <w:r>
        <w:rPr>
          <w:rFonts w:hint="eastAsia" w:ascii="仿宋_GB2312" w:eastAsia="仿宋_GB2312"/>
          <w:b w:val="0"/>
          <w:bCs w:val="0"/>
          <w:sz w:val="32"/>
          <w:szCs w:val="32"/>
        </w:rPr>
        <w:t>缺乏对比和基准：绩效报告中没有与过往数据、行业标准或类似项目进行对比，难以评估项目的相对绩效和发现改进的方向。</w:t>
      </w:r>
    </w:p>
    <w:p w14:paraId="300E3B3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七、有关建议</w:t>
      </w:r>
    </w:p>
    <w:p w14:paraId="320FD3D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0B8306FB">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6BE258D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八、其他需要说明的问题</w:t>
      </w:r>
    </w:p>
    <w:p w14:paraId="259281C5">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无</w:t>
      </w:r>
    </w:p>
    <w:p w14:paraId="3CEE5928">
      <w:pPr>
        <w:pageBreakBefore w:val="0"/>
        <w:kinsoku/>
        <w:wordWrap/>
        <w:overflowPunct/>
        <w:topLinePunct w:val="0"/>
        <w:autoSpaceDE/>
        <w:autoSpaceDN/>
        <w:bidi w:val="0"/>
        <w:adjustRightInd/>
        <w:snapToGrid/>
        <w:spacing w:line="560" w:lineRule="exact"/>
        <w:textAlignment w:val="auto"/>
      </w:pPr>
      <w:bookmarkStart w:id="15" w:name="_GoBack"/>
      <w:bookmarkEnd w:id="15"/>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72C19FB-6EB7-4515-98DB-BD9EBF35C356}"/>
  </w:font>
  <w:font w:name="黑体">
    <w:panose1 w:val="02010609060101010101"/>
    <w:charset w:val="86"/>
    <w:family w:val="auto"/>
    <w:pitch w:val="default"/>
    <w:sig w:usb0="800002BF" w:usb1="38CF7CFA" w:usb2="00000016" w:usb3="00000000" w:csb0="00040001" w:csb1="00000000"/>
    <w:embedRegular r:id="rId2" w:fontKey="{68995C67-78A7-47F5-9891-534267C6B1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7BFD940A-4116-45EA-A1C5-C0A956E610E4}"/>
  </w:font>
  <w:font w:name="仿宋_GB2312">
    <w:panose1 w:val="02010609030101010101"/>
    <w:charset w:val="86"/>
    <w:family w:val="modern"/>
    <w:pitch w:val="default"/>
    <w:sig w:usb0="00000001" w:usb1="080E0000" w:usb2="00000000" w:usb3="00000000" w:csb0="00040000" w:csb1="00000000"/>
    <w:embedRegular r:id="rId4" w:fontKey="{68C5A389-AEE3-48C6-AF81-1CE3E8D471CD}"/>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embedRegular r:id="rId5" w:fontKey="{13BDC98C-3866-4D42-A38A-F52A0590D023}"/>
  </w:font>
  <w:font w:name="方正仿宋_GBK">
    <w:panose1 w:val="02000000000000000000"/>
    <w:charset w:val="86"/>
    <w:family w:val="auto"/>
    <w:pitch w:val="default"/>
    <w:sig w:usb0="A00002BF" w:usb1="38CF7CFA" w:usb2="00082016" w:usb3="00000000" w:csb0="00040001" w:csb1="00000000"/>
    <w:embedRegular r:id="rId6" w:fontKey="{C40299A1-111B-4FDC-947D-D46B7D7BB500}"/>
  </w:font>
  <w:font w:name="方正仿宋_GB2312">
    <w:panose1 w:val="02000000000000000000"/>
    <w:charset w:val="86"/>
    <w:family w:val="auto"/>
    <w:pitch w:val="default"/>
    <w:sig w:usb0="A00002BF" w:usb1="184F6CFA" w:usb2="00000012" w:usb3="00000000" w:csb0="00040001" w:csb1="00000000"/>
    <w:embedRegular r:id="rId7" w:fontKey="{6CFD77E8-57E0-4F49-A924-0316EA4C546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55BFDB"/>
    <w:multiLevelType w:val="singleLevel"/>
    <w:tmpl w:val="1055BFD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495E0F"/>
    <w:rsid w:val="05227DA5"/>
    <w:rsid w:val="075B36E0"/>
    <w:rsid w:val="08162D6A"/>
    <w:rsid w:val="08D20D13"/>
    <w:rsid w:val="0C4D0F1B"/>
    <w:rsid w:val="0E03207E"/>
    <w:rsid w:val="0F2A6BF7"/>
    <w:rsid w:val="18057602"/>
    <w:rsid w:val="1A835C44"/>
    <w:rsid w:val="1D723F37"/>
    <w:rsid w:val="1D785367"/>
    <w:rsid w:val="1DFE46A3"/>
    <w:rsid w:val="32AE0DEC"/>
    <w:rsid w:val="36B72533"/>
    <w:rsid w:val="4057649F"/>
    <w:rsid w:val="43182414"/>
    <w:rsid w:val="46507BB3"/>
    <w:rsid w:val="4A7C25BE"/>
    <w:rsid w:val="4C22332E"/>
    <w:rsid w:val="4D0F13C9"/>
    <w:rsid w:val="4FDB53F9"/>
    <w:rsid w:val="56796849"/>
    <w:rsid w:val="5DA95371"/>
    <w:rsid w:val="68F11999"/>
    <w:rsid w:val="763A0251"/>
    <w:rsid w:val="78A029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footer"/>
    <w:basedOn w:val="1"/>
    <w:link w:val="18"/>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autoRedefine/>
    <w:unhideWhenUsed/>
    <w:qFormat/>
    <w:uiPriority w:val="99"/>
    <w:rPr>
      <w:color w:val="0563C1" w:themeColor="hyperlink"/>
      <w:u w:val="single"/>
    </w:rPr>
  </w:style>
  <w:style w:type="character" w:customStyle="1" w:styleId="14">
    <w:name w:val="标题 1 Char"/>
    <w:basedOn w:val="12"/>
    <w:link w:val="3"/>
    <w:autoRedefine/>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autoRedefine/>
    <w:qFormat/>
    <w:uiPriority w:val="9"/>
    <w:rPr>
      <w:rFonts w:asciiTheme="majorHAnsi" w:hAnsiTheme="majorHAnsi" w:eastAsiaTheme="majorEastAsia" w:cstheme="majorBidi"/>
      <w:b/>
      <w:bCs/>
      <w:sz w:val="32"/>
      <w:szCs w:val="32"/>
    </w:rPr>
  </w:style>
  <w:style w:type="paragraph" w:customStyle="1" w:styleId="16">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autoRedefine/>
    <w:semiHidden/>
    <w:qFormat/>
    <w:uiPriority w:val="99"/>
    <w:rPr>
      <w:rFonts w:ascii="Times New Roman" w:hAnsi="Times New Roman" w:eastAsia="仿宋_GB2312" w:cs="Times New Roman"/>
      <w:sz w:val="18"/>
      <w:szCs w:val="18"/>
    </w:rPr>
  </w:style>
  <w:style w:type="character" w:customStyle="1" w:styleId="18">
    <w:name w:val="页脚 Char"/>
    <w:basedOn w:val="12"/>
    <w:link w:val="6"/>
    <w:autoRedefine/>
    <w:semiHidden/>
    <w:qFormat/>
    <w:uiPriority w:val="99"/>
    <w:rPr>
      <w:rFonts w:ascii="Times New Roman" w:hAnsi="Times New Roman" w:eastAsia="仿宋_GB2312" w:cs="Times New Roman"/>
      <w:sz w:val="18"/>
      <w:szCs w:val="18"/>
    </w:rPr>
  </w:style>
  <w:style w:type="paragraph" w:customStyle="1" w:styleId="19">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6402</Words>
  <Characters>6715</Characters>
  <Lines>37</Lines>
  <Paragraphs>10</Paragraphs>
  <TotalTime>16</TotalTime>
  <ScaleCrop>false</ScaleCrop>
  <LinksUpToDate>false</LinksUpToDate>
  <CharactersWithSpaces>6732</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2024-09-30T09:19:52Z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