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新疆巴音郭楞蒙古自治州博斯腾湖科学研究所2023年度部门决算公开说明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pStyle w:val="7"/>
        <w:tabs>
          <w:tab w:val="right" w:pos="8306"/>
        </w:tabs>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（一）为确保博斯腾湖流域经济、社会的协调发展，在调查研究和基础科研的基础上，就流域可持续发展、产业发展等诸方面为州党委和州人民政府提出科学建议；</w:t>
      </w:r>
      <w:r>
        <w:rPr>
          <w:rFonts w:ascii="仿宋_GB2312" w:eastAsia="仿宋_GB2312"/>
          <w:sz w:val="32"/>
          <w:szCs w:val="32"/>
        </w:rPr>
        <w:br w:type="textWrapping"/>
      </w:r>
      <w:r>
        <w:rPr>
          <w:rFonts w:ascii="仿宋_GB2312" w:eastAsia="仿宋_GB2312"/>
          <w:sz w:val="32"/>
          <w:szCs w:val="32"/>
        </w:rPr>
        <w:t>　　（二）通过加强博斯腾湖流域水污染特征、变化规律，提出博斯腾湖流域水环境保护技术政策；</w:t>
      </w:r>
      <w:r>
        <w:rPr>
          <w:rFonts w:ascii="仿宋_GB2312" w:eastAsia="仿宋_GB2312"/>
          <w:sz w:val="32"/>
          <w:szCs w:val="32"/>
        </w:rPr>
        <w:br w:type="textWrapping"/>
      </w:r>
      <w:r>
        <w:rPr>
          <w:rFonts w:ascii="仿宋_GB2312" w:eastAsia="仿宋_GB2312"/>
          <w:sz w:val="32"/>
          <w:szCs w:val="32"/>
        </w:rPr>
        <w:t>　　（三）进行水生生物、浮游动植物和底质的研究，制定水产养殖及生物安全技术政策；</w:t>
      </w:r>
      <w:r>
        <w:rPr>
          <w:rFonts w:ascii="仿宋_GB2312" w:eastAsia="仿宋_GB2312"/>
          <w:sz w:val="32"/>
          <w:szCs w:val="32"/>
        </w:rPr>
        <w:br w:type="textWrapping"/>
      </w:r>
      <w:r>
        <w:rPr>
          <w:rFonts w:ascii="仿宋_GB2312" w:eastAsia="仿宋_GB2312"/>
          <w:sz w:val="32"/>
          <w:szCs w:val="32"/>
        </w:rPr>
        <w:t>　　（四）芦苇科学种植技术研究；</w:t>
      </w:r>
      <w:r>
        <w:rPr>
          <w:rFonts w:ascii="仿宋_GB2312" w:eastAsia="仿宋_GB2312"/>
          <w:sz w:val="32"/>
          <w:szCs w:val="32"/>
        </w:rPr>
        <w:br w:type="textWrapping"/>
      </w:r>
      <w:r>
        <w:rPr>
          <w:rFonts w:ascii="仿宋_GB2312" w:eastAsia="仿宋_GB2312"/>
          <w:sz w:val="32"/>
          <w:szCs w:val="32"/>
        </w:rPr>
        <w:t>　　（五）博斯腾湖流域工程项目对湖泊保护影响研究；</w:t>
      </w:r>
      <w:r>
        <w:rPr>
          <w:rFonts w:ascii="仿宋_GB2312" w:eastAsia="仿宋_GB2312"/>
          <w:sz w:val="32"/>
          <w:szCs w:val="32"/>
        </w:rPr>
        <w:br w:type="textWrapping"/>
      </w:r>
      <w:r>
        <w:rPr>
          <w:rFonts w:ascii="仿宋_GB2312" w:eastAsia="仿宋_GB2312"/>
          <w:sz w:val="32"/>
          <w:szCs w:val="32"/>
        </w:rPr>
        <w:t>　　（六）研究农业面源污染及有关控制技术；</w:t>
      </w:r>
      <w:r>
        <w:rPr>
          <w:rFonts w:ascii="仿宋_GB2312" w:eastAsia="仿宋_GB2312"/>
          <w:sz w:val="32"/>
          <w:szCs w:val="32"/>
        </w:rPr>
        <w:br w:type="textWrapping"/>
      </w:r>
      <w:r>
        <w:rPr>
          <w:rFonts w:ascii="仿宋_GB2312" w:eastAsia="仿宋_GB2312"/>
          <w:sz w:val="32"/>
          <w:szCs w:val="32"/>
        </w:rPr>
        <w:t>　　（七）研究旅游污染对博斯腾湖的影响及管理技术；</w:t>
      </w:r>
      <w:r>
        <w:rPr>
          <w:rFonts w:ascii="仿宋_GB2312" w:eastAsia="仿宋_GB2312"/>
          <w:sz w:val="32"/>
          <w:szCs w:val="32"/>
        </w:rPr>
        <w:br w:type="textWrapping"/>
      </w:r>
      <w:r>
        <w:rPr>
          <w:rFonts w:ascii="仿宋_GB2312" w:eastAsia="仿宋_GB2312"/>
          <w:sz w:val="32"/>
          <w:szCs w:val="32"/>
        </w:rPr>
        <w:t>　　（八）湖泊底质开发研究，及时发现问题并提出解决方案，供州党委和州人民政府决策参考。</w:t>
      </w:r>
      <w:r>
        <w:rPr>
          <w:rFonts w:ascii="仿宋_GB2312" w:eastAsia="仿宋_GB2312"/>
          <w:sz w:val="32"/>
          <w:szCs w:val="32"/>
        </w:rPr>
        <w:br w:type="textWrapping"/>
      </w:r>
      <w:r>
        <w:rPr>
          <w:rFonts w:ascii="仿宋_GB2312" w:eastAsia="仿宋_GB2312"/>
          <w:sz w:val="32"/>
          <w:szCs w:val="32"/>
        </w:rPr>
        <w:t>　　（九）在基础科研</w:t>
      </w:r>
      <w:r>
        <w:rPr>
          <w:rFonts w:hint="eastAsia" w:ascii="仿宋_GB2312" w:eastAsia="仿宋_GB2312"/>
          <w:sz w:val="32"/>
          <w:szCs w:val="32"/>
          <w:lang w:eastAsia="zh-CN"/>
        </w:rPr>
        <w:t>的基础上</w:t>
      </w:r>
      <w:r>
        <w:rPr>
          <w:rFonts w:ascii="仿宋_GB2312" w:eastAsia="仿宋_GB2312"/>
          <w:sz w:val="32"/>
          <w:szCs w:val="32"/>
        </w:rPr>
        <w:t>，整合各方面的研究成果，从资源开发、利用、保护角度出发，提出可持续发展思路；</w:t>
      </w:r>
      <w:r>
        <w:rPr>
          <w:rFonts w:ascii="仿宋_GB2312" w:eastAsia="仿宋_GB2312"/>
          <w:sz w:val="32"/>
          <w:szCs w:val="32"/>
        </w:rPr>
        <w:br w:type="textWrapping"/>
      </w:r>
      <w:r>
        <w:rPr>
          <w:rFonts w:ascii="仿宋_GB2312" w:eastAsia="仿宋_GB2312"/>
          <w:sz w:val="32"/>
          <w:szCs w:val="32"/>
        </w:rPr>
        <w:t>　　（十）制定流域发展规划和</w:t>
      </w:r>
      <w:r>
        <w:rPr>
          <w:rFonts w:hint="eastAsia" w:ascii="仿宋_GB2312" w:eastAsia="仿宋_GB2312"/>
          <w:sz w:val="32"/>
          <w:szCs w:val="32"/>
          <w:lang w:eastAsia="zh-CN"/>
        </w:rPr>
        <w:t>流域近期</w:t>
      </w:r>
      <w:r>
        <w:rPr>
          <w:rFonts w:ascii="仿宋_GB2312" w:eastAsia="仿宋_GB2312"/>
          <w:sz w:val="32"/>
          <w:szCs w:val="32"/>
        </w:rPr>
        <w:t>远期发展目标。做好博斯腾湖各类项目储备，争取国际，国内项目资金支持。外引内联，联系国内研究机构，引进国外先进技术和项目资金，致力于博斯腾湖流域经济和环境的共同发展，技术引进，提高芦苇产量，处理土壤盐碱化</w:t>
      </w:r>
      <w:r>
        <w:rPr>
          <w:rFonts w:hint="eastAsia" w:ascii="仿宋_GB2312" w:eastAsia="仿宋_GB2312"/>
          <w:sz w:val="32"/>
          <w:szCs w:val="32"/>
          <w:lang w:eastAsia="zh-CN"/>
        </w:rPr>
        <w:t>问题</w:t>
      </w:r>
      <w:r>
        <w:rPr>
          <w:rFonts w:ascii="仿宋_GB2312" w:eastAsia="仿宋_GB2312"/>
          <w:sz w:val="32"/>
          <w:szCs w:val="32"/>
        </w:rPr>
        <w:t>；</w:t>
      </w:r>
      <w:r>
        <w:rPr>
          <w:rFonts w:ascii="仿宋_GB2312" w:eastAsia="仿宋_GB2312"/>
          <w:sz w:val="32"/>
          <w:szCs w:val="32"/>
        </w:rPr>
        <w:br w:type="textWrapping"/>
      </w:r>
      <w:r>
        <w:rPr>
          <w:rFonts w:ascii="仿宋_GB2312" w:eastAsia="仿宋_GB2312"/>
          <w:sz w:val="32"/>
          <w:szCs w:val="32"/>
        </w:rPr>
        <w:t>　　（十一）发展渔业技术，形成水陆并举的立体发展模式</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新疆巴音郭楞蒙古自治州博斯腾湖科学研究所</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rPr>
        <w:t>19</w:t>
      </w:r>
      <w:r>
        <w:rPr>
          <w:rFonts w:hint="eastAsia" w:ascii="仿宋_GB2312" w:eastAsia="仿宋_GB2312"/>
          <w:sz w:val="32"/>
          <w:szCs w:val="32"/>
        </w:rPr>
        <w:t>人，其中：在职人员</w:t>
      </w:r>
      <w:r>
        <w:rPr>
          <w:rFonts w:ascii="仿宋_GB2312" w:eastAsia="仿宋_GB2312"/>
          <w:sz w:val="32"/>
          <w:szCs w:val="32"/>
        </w:rPr>
        <w:t>17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个处室，分别是：办公室、水质分析室</w:t>
      </w:r>
      <w:r>
        <w:rPr>
          <w:rFonts w:hint="eastAsia" w:ascii="仿宋_GB2312" w:hAnsi="宋体" w:eastAsia="仿宋_GB2312" w:cs="宋体"/>
          <w:kern w:val="0"/>
          <w:sz w:val="32"/>
          <w:szCs w:val="32"/>
        </w:rPr>
        <w:t>。</w:t>
      </w:r>
    </w:p>
    <w:p>
      <w:pPr>
        <w:rPr>
          <w:rFonts w:ascii="黑体" w:hAnsi="黑体" w:eastAsia="黑体"/>
          <w:sz w:val="32"/>
          <w:szCs w:val="32"/>
        </w:rPr>
        <w:sectPr>
          <w:footerReference r:id="rId3" w:type="default"/>
          <w:pgSz w:w="11906" w:h="16838"/>
          <w:pgMar w:top="1440" w:right="1800" w:bottom="1440" w:left="1800" w:header="851" w:footer="992" w:gutter="0"/>
          <w:cols w:space="720" w:num="1"/>
          <w:docGrid w:type="lines" w:linePitch="312" w:charSpace="0"/>
        </w:sectPr>
      </w:pPr>
      <w:bookmarkStart w:id="6" w:name="_Toc3092"/>
      <w:bookmarkStart w:id="7" w:name="_Toc29374"/>
    </w:p>
    <w:p>
      <w:bookmarkStart w:id="8" w:name="_Toc7643"/>
      <w:bookmarkStart w:id="9" w:name="_Toc5453"/>
    </w:p>
    <w:bookmarkEnd w:id="8"/>
    <w:bookmarkEnd w:id="9"/>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10" w:name="_Toc12566"/>
      <w:bookmarkStart w:id="11" w:name="_Toc25314"/>
      <w:r>
        <w:rPr>
          <w:rFonts w:hint="eastAsia" w:ascii="黑体" w:hAnsi="黑体" w:eastAsia="黑体" w:cs="宋体"/>
          <w:bCs/>
          <w:kern w:val="0"/>
          <w:sz w:val="32"/>
          <w:szCs w:val="32"/>
        </w:rPr>
        <w:t>一、收入支出决算总体情况说明</w:t>
      </w:r>
      <w:bookmarkEnd w:id="10"/>
      <w:bookmarkEnd w:id="11"/>
    </w:p>
    <w:p>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年度收入总计621.60万元，</w:t>
      </w:r>
      <w:r>
        <w:rPr>
          <w:rFonts w:hint="eastAsia" w:ascii="仿宋_GB2312" w:eastAsia="仿宋_GB2312"/>
          <w:sz w:val="32"/>
          <w:szCs w:val="32"/>
        </w:rPr>
        <w:t>其中：本年收入合计</w:t>
      </w:r>
      <w:r>
        <w:rPr>
          <w:rFonts w:ascii="仿宋_GB2312" w:eastAsia="仿宋_GB2312"/>
          <w:sz w:val="32"/>
          <w:szCs w:val="32"/>
        </w:rPr>
        <w:t>621.57</w:t>
      </w:r>
      <w:r>
        <w:rPr>
          <w:rFonts w:hint="eastAsia" w:ascii="仿宋_GB2312" w:eastAsia="仿宋_GB2312"/>
          <w:sz w:val="32"/>
          <w:szCs w:val="32"/>
        </w:rPr>
        <w:t>万元，使用非财政拨款结余0.00万元，年初结转和结余0.03万元。</w:t>
      </w:r>
    </w:p>
    <w:p>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年度支出总计621.60万元，</w:t>
      </w:r>
      <w:r>
        <w:rPr>
          <w:rFonts w:hint="eastAsia" w:ascii="仿宋_GB2312" w:eastAsia="仿宋_GB2312"/>
          <w:sz w:val="32"/>
          <w:szCs w:val="32"/>
        </w:rPr>
        <w:t>其中：本年支出合计</w:t>
      </w:r>
      <w:r>
        <w:rPr>
          <w:rFonts w:ascii="仿宋_GB2312" w:eastAsia="仿宋_GB2312"/>
          <w:sz w:val="32"/>
          <w:szCs w:val="32"/>
        </w:rPr>
        <w:t>621.57</w:t>
      </w:r>
      <w:r>
        <w:rPr>
          <w:rFonts w:hint="eastAsia" w:ascii="仿宋_GB2312" w:eastAsia="仿宋_GB2312"/>
          <w:sz w:val="32"/>
          <w:szCs w:val="32"/>
        </w:rPr>
        <w:t>万元，结余分配0.00万元，年末结转和结余0.03万元。</w:t>
      </w:r>
    </w:p>
    <w:p>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增加449.70万元，</w:t>
      </w:r>
      <w:r>
        <w:rPr>
          <w:rFonts w:ascii="仿宋_GB2312" w:eastAsia="仿宋_GB2312"/>
          <w:sz w:val="32"/>
          <w:szCs w:val="32"/>
        </w:rPr>
        <w:t>增长261.61</w:t>
      </w:r>
      <w:r>
        <w:rPr>
          <w:rFonts w:hint="eastAsia" w:ascii="仿宋_GB2312" w:eastAsia="仿宋_GB2312"/>
          <w:sz w:val="32"/>
          <w:szCs w:val="32"/>
        </w:rPr>
        <w:t>%，主要原因是：</w:t>
      </w:r>
      <w:r>
        <w:rPr>
          <w:rFonts w:hint="eastAsia" w:ascii="仿宋_GB2312" w:eastAsia="仿宋_GB2312"/>
          <w:sz w:val="32"/>
          <w:szCs w:val="32"/>
          <w:lang w:val="en-US" w:eastAsia="zh-CN"/>
        </w:rPr>
        <w:t>一是本年增加</w:t>
      </w:r>
      <w:r>
        <w:rPr>
          <w:rFonts w:hint="eastAsia" w:ascii="仿宋_GB2312" w:eastAsia="仿宋_GB2312"/>
          <w:sz w:val="32"/>
          <w:szCs w:val="32"/>
        </w:rPr>
        <w:t>2023年度应对气候变化研究经费项目、2023年度重点污染源监督管理经费项目、2023年度巴音郭楞蒙古自治州塔中镇环境空气自动</w:t>
      </w:r>
      <w:r>
        <w:rPr>
          <w:rFonts w:hint="eastAsia" w:ascii="仿宋_GB2312" w:eastAsia="仿宋_GB2312"/>
          <w:sz w:val="32"/>
          <w:szCs w:val="32"/>
          <w:lang w:eastAsia="zh-CN"/>
        </w:rPr>
        <w:t>监测站建设项目</w:t>
      </w:r>
      <w:r>
        <w:rPr>
          <w:rFonts w:hint="eastAsia" w:ascii="仿宋_GB2312" w:eastAsia="仿宋_GB2312"/>
          <w:sz w:val="32"/>
          <w:szCs w:val="32"/>
        </w:rPr>
        <w:t>和2023年度重型柴油车OBD远程在线监控试点项目</w:t>
      </w:r>
      <w:r>
        <w:rPr>
          <w:rFonts w:hint="eastAsia" w:ascii="仿宋_GB2312" w:eastAsia="仿宋_GB2312"/>
          <w:sz w:val="32"/>
          <w:szCs w:val="32"/>
          <w:lang w:eastAsia="zh-CN"/>
        </w:rPr>
        <w:t>；</w:t>
      </w:r>
      <w:r>
        <w:rPr>
          <w:rFonts w:hint="eastAsia" w:ascii="仿宋_GB2312" w:eastAsia="仿宋_GB2312"/>
          <w:sz w:val="32"/>
          <w:szCs w:val="32"/>
          <w:lang w:val="en-US" w:eastAsia="zh-CN"/>
        </w:rPr>
        <w:t>二是</w:t>
      </w:r>
      <w:r>
        <w:rPr>
          <w:rFonts w:hint="eastAsia" w:ascii="仿宋_GB2312" w:eastAsia="仿宋_GB2312"/>
          <w:sz w:val="32"/>
          <w:szCs w:val="32"/>
        </w:rPr>
        <w:t>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，相应增加了人员和公用经费。</w:t>
      </w:r>
    </w:p>
    <w:p>
      <w:pPr>
        <w:ind w:firstLine="640" w:firstLineChars="200"/>
        <w:outlineLvl w:val="1"/>
        <w:rPr>
          <w:rFonts w:ascii="黑体" w:hAnsi="黑体" w:eastAsia="黑体" w:cs="宋体"/>
          <w:bCs/>
          <w:kern w:val="0"/>
          <w:sz w:val="32"/>
          <w:szCs w:val="32"/>
        </w:rPr>
      </w:pPr>
      <w:bookmarkStart w:id="12" w:name="_Toc1979"/>
      <w:bookmarkStart w:id="13" w:name="_Toc12142"/>
      <w:r>
        <w:rPr>
          <w:rFonts w:hint="eastAsia" w:ascii="黑体" w:hAnsi="黑体" w:eastAsia="黑体" w:cs="宋体"/>
          <w:bCs/>
          <w:kern w:val="0"/>
          <w:sz w:val="32"/>
          <w:szCs w:val="32"/>
        </w:rPr>
        <w:t>二、收入决算情况说明</w:t>
      </w:r>
      <w:bookmarkEnd w:id="12"/>
      <w:bookmarkEnd w:id="13"/>
    </w:p>
    <w:p>
      <w:pPr>
        <w:ind w:firstLine="643" w:firstLineChars="200"/>
        <w:rPr>
          <w:rFonts w:ascii="仿宋_GB2312" w:eastAsia="仿宋_GB2312"/>
          <w:sz w:val="32"/>
          <w:szCs w:val="32"/>
        </w:rPr>
      </w:pPr>
      <w:r>
        <w:rPr>
          <w:rFonts w:hint="eastAsia" w:ascii="仿宋_GB2312" w:eastAsia="仿宋_GB2312"/>
          <w:b/>
          <w:bCs/>
          <w:sz w:val="32"/>
          <w:szCs w:val="32"/>
        </w:rPr>
        <w:t>本年收入621.57万元，</w:t>
      </w:r>
      <w:r>
        <w:rPr>
          <w:rFonts w:hint="eastAsia" w:ascii="仿宋_GB2312" w:eastAsia="仿宋_GB2312"/>
          <w:sz w:val="32"/>
          <w:szCs w:val="32"/>
        </w:rPr>
        <w:t>其中：财政拨款收入</w:t>
      </w:r>
      <w:r>
        <w:rPr>
          <w:rFonts w:ascii="仿宋_GB2312" w:eastAsia="仿宋_GB2312"/>
          <w:sz w:val="32"/>
          <w:szCs w:val="32"/>
        </w:rPr>
        <w:t>621.57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4" w:name="_Toc13201"/>
      <w:bookmarkStart w:id="15" w:name="_Toc27961"/>
      <w:r>
        <w:rPr>
          <w:rFonts w:hint="eastAsia" w:ascii="黑体" w:hAnsi="黑体" w:eastAsia="黑体" w:cs="宋体"/>
          <w:bCs/>
          <w:kern w:val="0"/>
          <w:sz w:val="32"/>
          <w:szCs w:val="32"/>
        </w:rPr>
        <w:t>三、支出决算情况说明</w:t>
      </w:r>
      <w:bookmarkEnd w:id="14"/>
      <w:bookmarkEnd w:id="15"/>
    </w:p>
    <w:p>
      <w:pPr>
        <w:ind w:firstLine="643" w:firstLineChars="200"/>
        <w:rPr>
          <w:rFonts w:ascii="仿宋_GB2312" w:eastAsia="仿宋_GB2312"/>
          <w:sz w:val="32"/>
          <w:szCs w:val="32"/>
        </w:rPr>
      </w:pPr>
      <w:r>
        <w:rPr>
          <w:rFonts w:hint="eastAsia" w:ascii="仿宋_GB2312" w:eastAsia="仿宋_GB2312"/>
          <w:b/>
          <w:bCs/>
          <w:sz w:val="32"/>
          <w:szCs w:val="32"/>
        </w:rPr>
        <w:t>本年支出621.57万元，</w:t>
      </w:r>
      <w:r>
        <w:rPr>
          <w:rFonts w:hint="eastAsia" w:ascii="仿宋_GB2312" w:eastAsia="仿宋_GB2312"/>
          <w:sz w:val="32"/>
          <w:szCs w:val="32"/>
        </w:rPr>
        <w:t>其中：基本支出</w:t>
      </w:r>
      <w:r>
        <w:rPr>
          <w:rFonts w:ascii="仿宋_GB2312" w:eastAsia="仿宋_GB2312"/>
          <w:sz w:val="32"/>
          <w:szCs w:val="32"/>
        </w:rPr>
        <w:t>291.07</w:t>
      </w:r>
      <w:r>
        <w:rPr>
          <w:rFonts w:hint="eastAsia" w:ascii="仿宋_GB2312" w:eastAsia="仿宋_GB2312"/>
          <w:sz w:val="32"/>
          <w:szCs w:val="32"/>
        </w:rPr>
        <w:t>万元，占46.83%；项目支出</w:t>
      </w:r>
      <w:r>
        <w:rPr>
          <w:rFonts w:ascii="仿宋_GB2312" w:eastAsia="仿宋_GB2312"/>
          <w:sz w:val="32"/>
          <w:szCs w:val="32"/>
        </w:rPr>
        <w:t>330.50</w:t>
      </w:r>
      <w:r>
        <w:rPr>
          <w:rFonts w:hint="eastAsia" w:ascii="仿宋_GB2312" w:eastAsia="仿宋_GB2312"/>
          <w:sz w:val="32"/>
          <w:szCs w:val="32"/>
        </w:rPr>
        <w:t>万元，占53.17%；上缴上级支出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6" w:name="_Toc4393"/>
      <w:bookmarkStart w:id="17" w:name="_Toc26564"/>
      <w:r>
        <w:rPr>
          <w:rFonts w:hint="eastAsia" w:ascii="黑体" w:hAnsi="黑体" w:eastAsia="黑体" w:cs="宋体"/>
          <w:bCs/>
          <w:kern w:val="0"/>
          <w:sz w:val="32"/>
          <w:szCs w:val="32"/>
        </w:rPr>
        <w:t>四、财政拨款收入支出决算总体情况说明</w:t>
      </w:r>
      <w:bookmarkEnd w:id="16"/>
      <w:bookmarkEnd w:id="17"/>
    </w:p>
    <w:p>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2023年度财政拨款收入总计621.57万元，</w:t>
      </w:r>
      <w:r>
        <w:rPr>
          <w:rFonts w:hint="eastAsia" w:ascii="仿宋_GB2312" w:eastAsia="仿宋_GB2312"/>
          <w:sz w:val="32"/>
          <w:szCs w:val="32"/>
        </w:rPr>
        <w:t>其中：年初财政拨款结转和结余0.00万元，本年财政拨款收入621.57万元。</w:t>
      </w:r>
      <w:r>
        <w:rPr>
          <w:rFonts w:hint="eastAsia" w:ascii="仿宋_GB2312" w:eastAsia="仿宋_GB2312"/>
          <w:b/>
          <w:bCs/>
          <w:sz w:val="32"/>
          <w:szCs w:val="32"/>
        </w:rPr>
        <w:t>财政拨款支出总计621.57万元，</w:t>
      </w:r>
      <w:r>
        <w:rPr>
          <w:rFonts w:hint="eastAsia" w:ascii="仿宋_GB2312" w:eastAsia="仿宋_GB2312"/>
          <w:sz w:val="32"/>
          <w:szCs w:val="32"/>
        </w:rPr>
        <w:t>其中：年末财政拨款结转和结余0.00万元，本年财政拨款支出621.57万元。</w:t>
      </w:r>
    </w:p>
    <w:p>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增加449.70万元，增长261.65%，主要原因是：</w:t>
      </w:r>
      <w:r>
        <w:rPr>
          <w:rFonts w:hint="eastAsia" w:ascii="仿宋_GB2312" w:eastAsia="仿宋_GB2312"/>
          <w:sz w:val="32"/>
          <w:szCs w:val="32"/>
          <w:lang w:val="en-US" w:eastAsia="zh-CN"/>
        </w:rPr>
        <w:t>一是本年增加</w:t>
      </w:r>
      <w:r>
        <w:rPr>
          <w:rFonts w:hint="eastAsia" w:ascii="仿宋_GB2312" w:eastAsia="仿宋_GB2312"/>
          <w:sz w:val="32"/>
          <w:szCs w:val="32"/>
        </w:rPr>
        <w:t>2023年度应对气候变化研究经费项目、2023年度重点污染源监督管理经费项目、2023年度巴音郭楞蒙古自治州塔中镇环境空气自动</w:t>
      </w:r>
      <w:r>
        <w:rPr>
          <w:rFonts w:hint="eastAsia" w:ascii="仿宋_GB2312" w:eastAsia="仿宋_GB2312"/>
          <w:sz w:val="32"/>
          <w:szCs w:val="32"/>
          <w:lang w:eastAsia="zh-CN"/>
        </w:rPr>
        <w:t>监测站建设项目</w:t>
      </w:r>
      <w:r>
        <w:rPr>
          <w:rFonts w:hint="eastAsia" w:ascii="仿宋_GB2312" w:eastAsia="仿宋_GB2312"/>
          <w:sz w:val="32"/>
          <w:szCs w:val="32"/>
        </w:rPr>
        <w:t>和2023年度重型柴油车OBD远程在线监控试点项目</w:t>
      </w:r>
      <w:r>
        <w:rPr>
          <w:rFonts w:hint="eastAsia" w:ascii="仿宋_GB2312" w:eastAsia="仿宋_GB2312"/>
          <w:sz w:val="32"/>
          <w:szCs w:val="32"/>
          <w:lang w:eastAsia="zh-CN"/>
        </w:rPr>
        <w:t>；</w:t>
      </w:r>
      <w:r>
        <w:rPr>
          <w:rFonts w:hint="eastAsia" w:ascii="仿宋_GB2312" w:eastAsia="仿宋_GB2312"/>
          <w:sz w:val="32"/>
          <w:szCs w:val="32"/>
          <w:lang w:val="en-US" w:eastAsia="zh-CN"/>
        </w:rPr>
        <w:t>二是</w:t>
      </w:r>
      <w:r>
        <w:rPr>
          <w:rFonts w:hint="eastAsia" w:ascii="仿宋_GB2312" w:eastAsia="仿宋_GB2312"/>
          <w:sz w:val="32"/>
          <w:szCs w:val="32"/>
        </w:rPr>
        <w:t>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，相应增加了人员和公用经费。</w:t>
      </w:r>
      <w:bookmarkStart w:id="18" w:name="_Toc20360"/>
      <w:bookmarkStart w:id="19" w:name="_Toc13833"/>
      <w:r>
        <w:rPr>
          <w:rFonts w:hint="eastAsia" w:ascii="仿宋_GB2312" w:eastAsia="仿宋_GB2312"/>
          <w:b/>
          <w:bCs/>
          <w:sz w:val="32"/>
          <w:szCs w:val="32"/>
        </w:rPr>
        <w:t>与年初预算相比，</w:t>
      </w:r>
      <w:r>
        <w:rPr>
          <w:rFonts w:hint="eastAsia" w:ascii="仿宋_GB2312" w:eastAsia="仿宋_GB2312"/>
          <w:sz w:val="32"/>
          <w:szCs w:val="32"/>
        </w:rPr>
        <w:t>年初预算数636.38万元，决算数621.57万元，预决算差异率-2.33%，主要原因是：严格执行中央八项规定，厉行节约，年中调减相关经费。</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18"/>
      <w:bookmarkEnd w:id="19"/>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2023年度一般公共预算财政拨款支出621.57万元，</w:t>
      </w:r>
      <w:r>
        <w:rPr>
          <w:rFonts w:hint="eastAsia" w:ascii="仿宋_GB2312" w:eastAsia="仿宋_GB2312"/>
          <w:sz w:val="32"/>
          <w:szCs w:val="32"/>
        </w:rPr>
        <w:t>占本年支出合计的</w:t>
      </w:r>
      <w:r>
        <w:rPr>
          <w:rFonts w:ascii="仿宋_GB2312" w:eastAsia="仿宋_GB2312"/>
          <w:sz w:val="32"/>
          <w:szCs w:val="32"/>
        </w:rPr>
        <w:t>100.00</w:t>
      </w:r>
      <w:r>
        <w:rPr>
          <w:rFonts w:hint="eastAsia" w:ascii="仿宋_GB2312" w:eastAsia="仿宋_GB2312"/>
          <w:sz w:val="32"/>
          <w:szCs w:val="32"/>
        </w:rPr>
        <w:t>%。</w:t>
      </w:r>
      <w:r>
        <w:rPr>
          <w:rFonts w:hint="eastAsia" w:ascii="仿宋_GB2312" w:eastAsia="仿宋_GB2312"/>
          <w:b/>
          <w:bCs/>
          <w:sz w:val="32"/>
          <w:szCs w:val="32"/>
        </w:rPr>
        <w:t>与上年相比，</w:t>
      </w:r>
      <w:r>
        <w:rPr>
          <w:rFonts w:ascii="仿宋_GB2312" w:eastAsia="仿宋_GB2312"/>
          <w:sz w:val="32"/>
          <w:szCs w:val="32"/>
        </w:rPr>
        <w:t>增加449.70</w:t>
      </w:r>
      <w:r>
        <w:rPr>
          <w:rFonts w:hint="eastAsia" w:ascii="仿宋_GB2312" w:eastAsia="仿宋_GB2312"/>
          <w:sz w:val="32"/>
          <w:szCs w:val="32"/>
        </w:rPr>
        <w:t>万元，</w:t>
      </w:r>
      <w:r>
        <w:rPr>
          <w:rFonts w:ascii="仿宋_GB2312" w:eastAsia="仿宋_GB2312"/>
          <w:sz w:val="32"/>
          <w:szCs w:val="32"/>
        </w:rPr>
        <w:t>增长261.65</w:t>
      </w:r>
      <w:r>
        <w:rPr>
          <w:rFonts w:hint="eastAsia" w:ascii="仿宋_GB2312" w:eastAsia="仿宋_GB2312"/>
          <w:sz w:val="32"/>
          <w:szCs w:val="32"/>
        </w:rPr>
        <w:t>%，主要原因是：</w:t>
      </w:r>
      <w:r>
        <w:rPr>
          <w:rFonts w:hint="eastAsia" w:ascii="仿宋_GB2312" w:eastAsia="仿宋_GB2312"/>
          <w:sz w:val="32"/>
          <w:szCs w:val="32"/>
          <w:lang w:val="en-US" w:eastAsia="zh-CN"/>
        </w:rPr>
        <w:t>一是本年增加</w:t>
      </w:r>
      <w:r>
        <w:rPr>
          <w:rFonts w:hint="eastAsia" w:ascii="仿宋_GB2312" w:eastAsia="仿宋_GB2312"/>
          <w:sz w:val="32"/>
          <w:szCs w:val="32"/>
        </w:rPr>
        <w:t>2023年度应对气候变化研究经费项目、2023年度重点污染源监督管理经费项目、2023年度巴音郭楞蒙古自治州塔中镇环境空气自动</w:t>
      </w:r>
      <w:r>
        <w:rPr>
          <w:rFonts w:hint="eastAsia" w:ascii="仿宋_GB2312" w:eastAsia="仿宋_GB2312"/>
          <w:sz w:val="32"/>
          <w:szCs w:val="32"/>
          <w:lang w:eastAsia="zh-CN"/>
        </w:rPr>
        <w:t>监测站建设项目</w:t>
      </w:r>
      <w:r>
        <w:rPr>
          <w:rFonts w:hint="eastAsia" w:ascii="仿宋_GB2312" w:eastAsia="仿宋_GB2312"/>
          <w:sz w:val="32"/>
          <w:szCs w:val="32"/>
        </w:rPr>
        <w:t>和2023年度重型柴油车OBD远程在线监控试点项目</w:t>
      </w:r>
      <w:r>
        <w:rPr>
          <w:rFonts w:hint="eastAsia" w:ascii="仿宋_GB2312" w:eastAsia="仿宋_GB2312"/>
          <w:sz w:val="32"/>
          <w:szCs w:val="32"/>
          <w:lang w:eastAsia="zh-CN"/>
        </w:rPr>
        <w:t>；</w:t>
      </w:r>
      <w:r>
        <w:rPr>
          <w:rFonts w:hint="eastAsia" w:ascii="仿宋_GB2312" w:eastAsia="仿宋_GB2312"/>
          <w:sz w:val="32"/>
          <w:szCs w:val="32"/>
          <w:lang w:val="en-US" w:eastAsia="zh-CN"/>
        </w:rPr>
        <w:t>二是</w:t>
      </w:r>
      <w:r>
        <w:rPr>
          <w:rFonts w:hint="eastAsia" w:ascii="仿宋_GB2312" w:eastAsia="仿宋_GB2312"/>
          <w:sz w:val="32"/>
          <w:szCs w:val="32"/>
        </w:rPr>
        <w:t>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，相应增加了人员和公用经费。</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ascii="仿宋_GB2312" w:eastAsia="仿宋_GB2312"/>
          <w:sz w:val="32"/>
          <w:szCs w:val="32"/>
        </w:rPr>
        <w:t>636.38</w:t>
      </w:r>
      <w:r>
        <w:rPr>
          <w:rFonts w:hint="eastAsia" w:ascii="仿宋_GB2312" w:eastAsia="仿宋_GB2312"/>
          <w:sz w:val="32"/>
          <w:szCs w:val="32"/>
        </w:rPr>
        <w:t>万元，决算数</w:t>
      </w:r>
      <w:r>
        <w:rPr>
          <w:rFonts w:ascii="仿宋_GB2312" w:eastAsia="仿宋_GB2312"/>
          <w:sz w:val="32"/>
          <w:szCs w:val="32"/>
        </w:rPr>
        <w:t>621.57</w:t>
      </w:r>
      <w:r>
        <w:rPr>
          <w:rFonts w:hint="eastAsia" w:ascii="仿宋_GB2312" w:eastAsia="仿宋_GB2312"/>
          <w:sz w:val="32"/>
          <w:szCs w:val="32"/>
        </w:rPr>
        <w:t>万元，预决算差异率</w:t>
      </w:r>
      <w:r>
        <w:rPr>
          <w:rFonts w:ascii="仿宋_GB2312" w:eastAsia="仿宋_GB2312"/>
          <w:sz w:val="32"/>
          <w:szCs w:val="32"/>
        </w:rPr>
        <w:t>-2.33</w:t>
      </w:r>
      <w:r>
        <w:rPr>
          <w:rFonts w:hint="eastAsia" w:ascii="仿宋_GB2312" w:eastAsia="仿宋_GB2312"/>
          <w:sz w:val="32"/>
          <w:szCs w:val="32"/>
        </w:rPr>
        <w:t>%，主要原因是：严格执行中央八项规定，厉行节约，减压经费，年中调减相关经费。</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1.教育支出(类)0.14万元,占0.02%。</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2.社会保障和就业支出(类)28.23万元,占4.54%。</w:t>
      </w:r>
    </w:p>
    <w:p>
      <w:pPr>
        <w:ind w:firstLine="640" w:firstLineChars="200"/>
        <w:outlineLvl w:val="2"/>
        <w:rPr>
          <w:rFonts w:ascii="黑体" w:hAnsi="黑体" w:eastAsia="黑体"/>
          <w:sz w:val="32"/>
          <w:szCs w:val="32"/>
        </w:rPr>
      </w:pPr>
      <w:r>
        <w:rPr>
          <w:rFonts w:hint="eastAsia" w:ascii="仿宋_GB2312" w:eastAsia="仿宋_GB2312"/>
          <w:sz w:val="32"/>
          <w:szCs w:val="32"/>
        </w:rPr>
        <w:t>3.卫生健康支出(类)12.12万元,占1.95%。</w:t>
      </w:r>
    </w:p>
    <w:p>
      <w:pPr>
        <w:ind w:firstLine="640" w:firstLineChars="200"/>
        <w:outlineLvl w:val="2"/>
        <w:rPr>
          <w:rFonts w:ascii="黑体" w:hAnsi="黑体" w:eastAsia="黑体"/>
          <w:sz w:val="32"/>
          <w:szCs w:val="32"/>
        </w:rPr>
      </w:pPr>
      <w:r>
        <w:rPr>
          <w:rFonts w:hint="eastAsia" w:ascii="仿宋_GB2312" w:eastAsia="仿宋_GB2312"/>
          <w:sz w:val="32"/>
          <w:szCs w:val="32"/>
        </w:rPr>
        <w:t>4.节能环保支出(类)561.46万元,占90.33%。</w:t>
      </w:r>
    </w:p>
    <w:p>
      <w:pPr>
        <w:ind w:firstLine="640" w:firstLineChars="200"/>
        <w:outlineLvl w:val="2"/>
        <w:rPr>
          <w:rFonts w:ascii="黑体" w:hAnsi="黑体" w:eastAsia="黑体"/>
          <w:sz w:val="32"/>
          <w:szCs w:val="32"/>
        </w:rPr>
      </w:pPr>
      <w:r>
        <w:rPr>
          <w:rFonts w:hint="eastAsia" w:ascii="仿宋_GB2312" w:eastAsia="仿宋_GB2312"/>
          <w:sz w:val="32"/>
          <w:szCs w:val="32"/>
        </w:rPr>
        <w:t>5.住房保障支出(类)19.63万元,占3.16%。</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1.教育支出(类)进修及培训(款)培训支出(项):支出决算数为0.14万元，比上年决算增加0.14万元，增长100.00%</w:t>
      </w:r>
      <w:r>
        <w:rPr>
          <w:rFonts w:ascii="仿宋_GB2312" w:eastAsia="仿宋_GB2312"/>
          <w:sz w:val="32"/>
          <w:szCs w:val="32"/>
        </w:rPr>
        <w:t>,</w:t>
      </w:r>
      <w:r>
        <w:rPr>
          <w:rFonts w:hint="eastAsia" w:ascii="仿宋_GB2312" w:eastAsia="仿宋_GB2312"/>
          <w:sz w:val="32"/>
          <w:szCs w:val="32"/>
        </w:rPr>
        <w:t>主要原因是:因机构改革，原巴州环境监测站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，在职人员增加，导致培训支出增加。</w:t>
      </w:r>
    </w:p>
    <w:p>
      <w:pPr>
        <w:ind w:firstLine="640" w:firstLineChars="200"/>
        <w:outlineLvl w:val="1"/>
        <w:rPr>
          <w:rFonts w:ascii="黑体" w:hAnsi="黑体" w:eastAsia="黑体" w:cs="宋体"/>
          <w:bCs/>
          <w:kern w:val="0"/>
          <w:sz w:val="32"/>
          <w:szCs w:val="32"/>
        </w:rPr>
      </w:pPr>
      <w:bookmarkStart w:id="20" w:name="_Toc30870"/>
      <w:bookmarkStart w:id="21" w:name="_Toc11146"/>
      <w:r>
        <w:rPr>
          <w:rFonts w:hint="eastAsia" w:ascii="仿宋_GB2312" w:eastAsia="仿宋_GB2312"/>
          <w:sz w:val="32"/>
          <w:szCs w:val="32"/>
        </w:rPr>
        <w:t>2.社会保障和就业支出(类)行政事业单位养老支出(款)事业单位离退休(项):支出决算数为1.63万元，比上年决算增加0.68万元，增长71.58%</w:t>
      </w:r>
      <w:r>
        <w:rPr>
          <w:rFonts w:ascii="仿宋_GB2312" w:eastAsia="仿宋_GB2312"/>
          <w:sz w:val="32"/>
          <w:szCs w:val="32"/>
        </w:rPr>
        <w:t>,</w:t>
      </w:r>
      <w:r>
        <w:rPr>
          <w:rFonts w:hint="eastAsia" w:ascii="仿宋_GB2312" w:eastAsia="仿宋_GB2312"/>
          <w:sz w:val="32"/>
          <w:szCs w:val="32"/>
        </w:rPr>
        <w:t>主要原因是:本年退休人员绩效增加，导致退休费较上年增加。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3.社会保障和就业支出(类)行政事业单位养老支出(款)机关事业单位基本养老保险缴费支出(项):支出决算数为26.60万元，比上年决算增加14.04万元，增长111.78%</w:t>
      </w:r>
      <w:r>
        <w:rPr>
          <w:rFonts w:ascii="仿宋_GB2312" w:eastAsia="仿宋_GB2312"/>
          <w:sz w:val="32"/>
          <w:szCs w:val="32"/>
        </w:rPr>
        <w:t>,</w:t>
      </w:r>
      <w:r>
        <w:rPr>
          <w:rFonts w:hint="eastAsia" w:ascii="仿宋_GB2312" w:eastAsia="仿宋_GB2312"/>
          <w:sz w:val="32"/>
          <w:szCs w:val="32"/>
        </w:rPr>
        <w:t>主要原因是:因机构改革，原巴州环境监测站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，在职人员增加</w:t>
      </w:r>
      <w:r>
        <w:rPr>
          <w:rFonts w:hint="eastAsia" w:ascii="仿宋_GB2312" w:eastAsia="仿宋_GB2312"/>
          <w:sz w:val="32"/>
          <w:szCs w:val="32"/>
          <w:lang w:eastAsia="zh-CN"/>
        </w:rPr>
        <w:t>，</w:t>
      </w:r>
      <w:r>
        <w:rPr>
          <w:rFonts w:hint="eastAsia" w:ascii="仿宋_GB2312" w:eastAsia="仿宋_GB2312"/>
          <w:sz w:val="32"/>
          <w:szCs w:val="32"/>
        </w:rPr>
        <w:t>导致机关事业单位基本养老保险缴费支出增加。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4.卫生健康支出(类)行政事业单位医疗(款)事业单位医疗(项):支出决算数为11.63万元，比上年决算增加4.99万元，增长75.15%</w:t>
      </w:r>
      <w:r>
        <w:rPr>
          <w:rFonts w:ascii="仿宋_GB2312" w:eastAsia="仿宋_GB2312"/>
          <w:sz w:val="32"/>
          <w:szCs w:val="32"/>
        </w:rPr>
        <w:t>,</w:t>
      </w:r>
      <w:r>
        <w:rPr>
          <w:rFonts w:hint="eastAsia" w:ascii="仿宋_GB2312" w:eastAsia="仿宋_GB2312"/>
          <w:sz w:val="32"/>
          <w:szCs w:val="32"/>
        </w:rPr>
        <w:t>主要原因是:因机构改革，原巴州环境监测站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，在职人员增加，导致事业单位医疗支出增加。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5.卫生健康支出(类)行政事业单位医疗(款)其他行政事业单位医疗支出(项):支出决算数为0.49万元，比上年决算增加0.32万元，增长188.24%</w:t>
      </w:r>
      <w:r>
        <w:rPr>
          <w:rFonts w:ascii="仿宋_GB2312" w:eastAsia="仿宋_GB2312"/>
          <w:sz w:val="32"/>
          <w:szCs w:val="32"/>
        </w:rPr>
        <w:t>,</w:t>
      </w:r>
      <w:r>
        <w:rPr>
          <w:rFonts w:hint="eastAsia" w:ascii="仿宋_GB2312" w:eastAsia="仿宋_GB2312"/>
          <w:sz w:val="32"/>
          <w:szCs w:val="32"/>
        </w:rPr>
        <w:t>主要原因是:因机构改革，原巴州环境监测站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，在职人员增加，导致其他行政事业单位医疗支出增加。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6.节能环保支出(类)环境保护管理事务(款)应对气候变化管理事务(项):支出决算数为41.80万元，比上年决算增加41.80万元，增长100.00%</w:t>
      </w:r>
      <w:r>
        <w:rPr>
          <w:rFonts w:ascii="仿宋_GB2312" w:eastAsia="仿宋_GB2312"/>
          <w:sz w:val="32"/>
          <w:szCs w:val="32"/>
        </w:rPr>
        <w:t>,</w:t>
      </w:r>
      <w:r>
        <w:rPr>
          <w:rFonts w:hint="eastAsia" w:ascii="仿宋_GB2312" w:eastAsia="仿宋_GB2312"/>
          <w:sz w:val="32"/>
          <w:szCs w:val="32"/>
        </w:rPr>
        <w:t>主要原因是:本年度我单位增加了2023年度应对气候变化研究经费项目，导致应对气候变化管理事务支出增加。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7.节能环保支出(类)环境保护管理事务(款)其他环境保护管理事务支出(项):支出决算数为259.76万元，比上年决算增加130.63万元，增长101.16%</w:t>
      </w:r>
      <w:r>
        <w:rPr>
          <w:rFonts w:ascii="仿宋_GB2312" w:eastAsia="仿宋_GB2312"/>
          <w:sz w:val="32"/>
          <w:szCs w:val="32"/>
        </w:rPr>
        <w:t>,</w:t>
      </w:r>
      <w:r>
        <w:rPr>
          <w:rFonts w:hint="eastAsia" w:ascii="仿宋_GB2312" w:eastAsia="仿宋_GB2312"/>
          <w:sz w:val="32"/>
          <w:szCs w:val="32"/>
        </w:rPr>
        <w:t>主要原因是:本年度我单位增加了2023年度重点污染源监督管理经费、2023年度应对气候变化研究经费项目，导致其他环境保护管理事务支出增加。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8.节能环保支出(类)污染防治(款)大气(项):支出决算数为199.70万元，比上年决算增加199.70万元，增长100.00%</w:t>
      </w:r>
      <w:r>
        <w:rPr>
          <w:rFonts w:ascii="仿宋_GB2312" w:eastAsia="仿宋_GB2312"/>
          <w:sz w:val="32"/>
          <w:szCs w:val="32"/>
        </w:rPr>
        <w:t>,</w:t>
      </w:r>
      <w:r>
        <w:rPr>
          <w:rFonts w:hint="eastAsia" w:ascii="仿宋_GB2312" w:eastAsia="仿宋_GB2312"/>
          <w:sz w:val="32"/>
          <w:szCs w:val="32"/>
        </w:rPr>
        <w:t>主要原因是:本年度我单位增加了2023年度巴音郭楞蒙古自治州塔中镇环境空气自动监督站建设项目，导致大气支出增加。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9.节能环保支出(类)污染减排(款)减排专项支出(项):支出决算数为60.20万元，比上年决算增加60.20万元，增长100.00%</w:t>
      </w:r>
      <w:r>
        <w:rPr>
          <w:rFonts w:ascii="仿宋_GB2312" w:eastAsia="仿宋_GB2312"/>
          <w:sz w:val="32"/>
          <w:szCs w:val="32"/>
        </w:rPr>
        <w:t>,</w:t>
      </w:r>
      <w:r>
        <w:rPr>
          <w:rFonts w:hint="eastAsia" w:ascii="仿宋_GB2312" w:eastAsia="仿宋_GB2312"/>
          <w:sz w:val="32"/>
          <w:szCs w:val="32"/>
        </w:rPr>
        <w:t>主要原因是:本年度我单位增加了2023年度重型柴油车OBD远程在线监控试点项目，导致减排专项支出增加。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10.住房保障支出(类)住房改革支出(款)住房公积金(项):支出决算数为19.63万元，比上年决算增加9.81万元，增长99.90%</w:t>
      </w:r>
      <w:r>
        <w:rPr>
          <w:rFonts w:ascii="仿宋_GB2312" w:eastAsia="仿宋_GB2312"/>
          <w:sz w:val="32"/>
          <w:szCs w:val="32"/>
        </w:rPr>
        <w:t>,</w:t>
      </w:r>
      <w:r>
        <w:rPr>
          <w:rFonts w:hint="eastAsia" w:ascii="仿宋_GB2312" w:eastAsia="仿宋_GB2312"/>
          <w:sz w:val="32"/>
          <w:szCs w:val="32"/>
        </w:rPr>
        <w:t>主要原因是:因机构改革，原巴州环境监测站</w:t>
      </w:r>
      <w:r>
        <w:rPr>
          <w:rFonts w:hint="eastAsia" w:ascii="仿宋_GB2312" w:eastAsia="仿宋_GB2312"/>
          <w:sz w:val="32"/>
          <w:szCs w:val="32"/>
          <w:lang w:val="en-US" w:eastAsia="zh-CN"/>
        </w:rPr>
        <w:t>部分</w:t>
      </w:r>
      <w:r>
        <w:rPr>
          <w:rFonts w:hint="eastAsia" w:ascii="仿宋_GB2312" w:eastAsia="仿宋_GB2312"/>
          <w:sz w:val="32"/>
          <w:szCs w:val="32"/>
        </w:rPr>
        <w:t>人员8人，全部划</w:t>
      </w:r>
      <w:r>
        <w:rPr>
          <w:rFonts w:hint="eastAsia" w:ascii="仿宋_GB2312" w:eastAsia="仿宋_GB2312"/>
          <w:sz w:val="32"/>
          <w:szCs w:val="32"/>
          <w:lang w:val="en-US" w:eastAsia="zh-CN"/>
        </w:rPr>
        <w:t>至我单位</w:t>
      </w:r>
      <w:r>
        <w:rPr>
          <w:rFonts w:hint="eastAsia" w:ascii="仿宋_GB2312" w:eastAsia="仿宋_GB2312"/>
          <w:sz w:val="32"/>
          <w:szCs w:val="32"/>
        </w:rPr>
        <w:t>，在职人员增加，相应增加了住房公积金支出。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11.节能环保支出(类)污染防治(款)其他污染防治支出(项):支出决算数为0.00万元，比上年决算减少12.59万元，下降100%</w:t>
      </w:r>
      <w:r>
        <w:rPr>
          <w:rFonts w:ascii="仿宋_GB2312" w:eastAsia="仿宋_GB2312"/>
          <w:sz w:val="32"/>
          <w:szCs w:val="32"/>
        </w:rPr>
        <w:t>,</w:t>
      </w:r>
      <w:r>
        <w:rPr>
          <w:rFonts w:hint="eastAsia" w:ascii="仿宋_GB2312" w:eastAsia="仿宋_GB2312"/>
          <w:sz w:val="32"/>
          <w:szCs w:val="32"/>
        </w:rPr>
        <w:t>主要原因是:本年无河流、湖泊、农田排水科研性生态监测经费项目支出。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291.07</w:t>
      </w:r>
      <w:r>
        <w:rPr>
          <w:rFonts w:hint="eastAsia" w:ascii="仿宋_GB2312" w:eastAsia="仿宋_GB2312"/>
          <w:sz w:val="32"/>
          <w:szCs w:val="32"/>
        </w:rPr>
        <w:t>万元，其中：</w:t>
      </w:r>
      <w:r>
        <w:rPr>
          <w:rFonts w:hint="eastAsia" w:ascii="仿宋_GB2312" w:eastAsia="仿宋_GB2312"/>
          <w:b/>
          <w:bCs/>
          <w:sz w:val="32"/>
          <w:szCs w:val="32"/>
        </w:rPr>
        <w:t>人员经费273.98万元，</w:t>
      </w:r>
      <w:r>
        <w:rPr>
          <w:rFonts w:hint="eastAsia" w:ascii="仿宋_GB2312" w:eastAsia="仿宋_GB2312"/>
          <w:sz w:val="32"/>
          <w:szCs w:val="32"/>
        </w:rPr>
        <w:t>包括：基本工资、津贴补贴、奖金、伙食补助费、绩效工资、机关事业单位基本养老保险缴费、职工基本医疗保险缴费、其他社会保障缴费、住房公积金、医疗费、退休费、奖励金。</w:t>
      </w:r>
    </w:p>
    <w:p>
      <w:pPr>
        <w:ind w:firstLine="643" w:firstLineChars="200"/>
        <w:rPr>
          <w:rFonts w:ascii="仿宋_GB2312" w:hAnsi="宋体" w:eastAsia="仿宋_GB2312" w:cs="宋体"/>
          <w:kern w:val="0"/>
          <w:sz w:val="32"/>
          <w:szCs w:val="32"/>
        </w:rPr>
      </w:pPr>
      <w:r>
        <w:rPr>
          <w:rFonts w:hint="eastAsia" w:ascii="仿宋_GB2312" w:eastAsia="仿宋_GB2312"/>
          <w:b/>
          <w:bCs/>
          <w:sz w:val="32"/>
          <w:szCs w:val="32"/>
        </w:rPr>
        <w:t>公用经费17.09万元，</w:t>
      </w:r>
      <w:r>
        <w:rPr>
          <w:rFonts w:hint="eastAsia" w:ascii="仿宋_GB2312" w:eastAsia="仿宋_GB2312"/>
          <w:sz w:val="32"/>
          <w:szCs w:val="32"/>
        </w:rPr>
        <w:t>包括：办公费、水费、取暖费、差旅费、培训费、劳务费、委托业务费、工会经费、福利费、公务用车运行维护费、其他商品和服务支出、办公设备购置。</w:t>
      </w:r>
    </w:p>
    <w:p>
      <w:pPr>
        <w:ind w:firstLine="640" w:firstLineChars="200"/>
        <w:outlineLvl w:val="1"/>
        <w:rPr>
          <w:rFonts w:ascii="黑体" w:hAnsi="黑体" w:eastAsia="黑体" w:cs="宋体"/>
          <w:bCs/>
          <w:kern w:val="0"/>
          <w:sz w:val="32"/>
          <w:szCs w:val="32"/>
        </w:rPr>
      </w:pPr>
      <w:bookmarkStart w:id="22" w:name="_Toc21518"/>
      <w:bookmarkStart w:id="23" w:name="_Toc7190"/>
      <w:r>
        <w:rPr>
          <w:rFonts w:hint="eastAsia" w:ascii="黑体" w:hAnsi="黑体" w:eastAsia="黑体" w:cs="宋体"/>
          <w:bCs/>
          <w:kern w:val="0"/>
          <w:sz w:val="32"/>
          <w:szCs w:val="32"/>
        </w:rPr>
        <w:t>七、财政拨款“三公”经费支出决算情况说明</w:t>
      </w:r>
      <w:bookmarkEnd w:id="22"/>
      <w:bookmarkEnd w:id="23"/>
    </w:p>
    <w:p>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年度财政拨款“三公”经费支出</w:t>
      </w:r>
      <w:r>
        <w:rPr>
          <w:rFonts w:ascii="仿宋_GB2312" w:eastAsia="仿宋_GB2312"/>
          <w:b/>
          <w:bCs/>
          <w:sz w:val="32"/>
          <w:szCs w:val="32"/>
        </w:rPr>
        <w:t>2.80</w:t>
      </w:r>
      <w:r>
        <w:rPr>
          <w:rFonts w:hint="eastAsia" w:ascii="仿宋_GB2312" w:eastAsia="仿宋_GB2312"/>
          <w:b/>
          <w:bCs/>
          <w:sz w:val="32"/>
          <w:szCs w:val="32"/>
        </w:rPr>
        <w:t>万元，</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本年三公经费较上年无变化</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2.80</w:t>
      </w:r>
      <w:r>
        <w:rPr>
          <w:rFonts w:hint="eastAsia" w:ascii="仿宋_GB2312" w:eastAsia="仿宋_GB2312"/>
          <w:sz w:val="32"/>
          <w:szCs w:val="32"/>
        </w:rPr>
        <w:t>万元，占</w:t>
      </w:r>
      <w:r>
        <w:rPr>
          <w:rFonts w:ascii="仿宋_GB2312" w:eastAsia="仿宋_GB2312"/>
          <w:sz w:val="32"/>
          <w:szCs w:val="32"/>
        </w:rPr>
        <w:t>100.00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本年公车运行维护费较上年无变化</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w:t>
      </w:r>
    </w:p>
    <w:p>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2.80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2.80</w:t>
      </w:r>
      <w:r>
        <w:rPr>
          <w:rFonts w:hint="eastAsia" w:ascii="仿宋_GB2312" w:eastAsia="仿宋_GB2312"/>
          <w:sz w:val="32"/>
          <w:szCs w:val="32"/>
        </w:rPr>
        <w:t>万元。公务用车运行维护费开支内容包括车辆加油费、保险费、过路费、维修费。公务用车购置数</w:t>
      </w:r>
      <w:r>
        <w:rPr>
          <w:rFonts w:ascii="仿宋_GB2312" w:eastAsia="仿宋_GB2312"/>
          <w:sz w:val="32"/>
          <w:szCs w:val="32"/>
        </w:rPr>
        <w:t>0</w:t>
      </w:r>
      <w:r>
        <w:rPr>
          <w:rFonts w:hint="eastAsia" w:ascii="仿宋_GB2312" w:eastAsia="仿宋_GB2312"/>
          <w:sz w:val="32"/>
          <w:szCs w:val="32"/>
        </w:rPr>
        <w:t>辆，公务用车保有量1辆。国有资产占用情况中固定资产车辆</w:t>
      </w:r>
      <w:r>
        <w:rPr>
          <w:rFonts w:ascii="仿宋_GB2312" w:eastAsia="仿宋_GB2312"/>
          <w:sz w:val="32"/>
          <w:szCs w:val="32"/>
        </w:rPr>
        <w:t>1</w:t>
      </w:r>
      <w:r>
        <w:rPr>
          <w:rFonts w:hint="eastAsia" w:ascii="仿宋_GB2312" w:eastAsia="仿宋_GB2312"/>
          <w:sz w:val="32"/>
          <w:szCs w:val="32"/>
        </w:rPr>
        <w:t>辆，与公务用车保有量差异原因是：我单位车辆与公务用车保有量一致无差异。</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3" w:firstLineChars="200"/>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财政拨款“三公”经费支出全年预算数2.80万元，决算数</w:t>
      </w:r>
      <w:r>
        <w:rPr>
          <w:rFonts w:ascii="仿宋_GB2312" w:eastAsia="仿宋_GB2312"/>
          <w:sz w:val="32"/>
          <w:szCs w:val="32"/>
        </w:rPr>
        <w:t>2.80</w:t>
      </w:r>
      <w:r>
        <w:rPr>
          <w:rFonts w:hint="eastAsia" w:ascii="仿宋_GB2312" w:eastAsia="仿宋_GB2312"/>
          <w:sz w:val="32"/>
          <w:szCs w:val="32"/>
        </w:rPr>
        <w:t>万元，预决算差异率0.00%，主要原因是：严格按照预算执行，无差异。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预算数2.80万元，决算数2.80万元，预决算差异率0.00%，主要原因是：严格按照预算执行，无差异；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4" w:name="_Toc7927"/>
      <w:bookmarkStart w:id="25" w:name="_Toc5810"/>
      <w:r>
        <w:rPr>
          <w:rFonts w:hint="eastAsia" w:ascii="黑体" w:hAnsi="黑体" w:eastAsia="黑体" w:cs="宋体"/>
          <w:bCs/>
          <w:kern w:val="0"/>
          <w:sz w:val="32"/>
          <w:szCs w:val="32"/>
        </w:rPr>
        <w:t>八、政府性基金预算财政拨款收入支出决算情况说明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2023年度新疆巴音郭楞蒙古自治州博斯腾湖科学研究所（事业单位）公用经费17.09万元，比上年增加5.51万元，增长47.58%，主要原因是：本年办公经费增加，相应公用经费增加。</w:t>
      </w:r>
    </w:p>
    <w:p>
      <w:pPr>
        <w:ind w:firstLine="800" w:firstLineChars="250"/>
        <w:outlineLvl w:val="2"/>
        <w:rPr>
          <w:rFonts w:ascii="黑体" w:hAnsi="黑体" w:eastAsia="黑体"/>
          <w:sz w:val="32"/>
          <w:szCs w:val="32"/>
        </w:rPr>
      </w:pPr>
      <w:bookmarkStart w:id="26" w:name="_Toc26704"/>
      <w:bookmarkStart w:id="27" w:name="_Toc227"/>
      <w:r>
        <w:rPr>
          <w:rFonts w:hint="eastAsia" w:ascii="黑体" w:hAnsi="黑体" w:eastAsia="黑体"/>
          <w:sz w:val="32"/>
          <w:szCs w:val="32"/>
        </w:rPr>
        <w:t>（二）政府采购情况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2023年度政府采购支出总额</w:t>
      </w:r>
      <w:r>
        <w:rPr>
          <w:rFonts w:ascii="仿宋_GB2312" w:eastAsia="仿宋_GB2312"/>
          <w:sz w:val="32"/>
          <w:szCs w:val="32"/>
        </w:rPr>
        <w:t>73.30</w:t>
      </w:r>
      <w:r>
        <w:rPr>
          <w:rFonts w:hint="eastAsia" w:ascii="仿宋_GB2312" w:eastAsia="仿宋_GB2312"/>
          <w:sz w:val="32"/>
          <w:szCs w:val="32"/>
        </w:rPr>
        <w:t>万元，其中：政府采购货物支出</w:t>
      </w:r>
      <w:r>
        <w:rPr>
          <w:rFonts w:ascii="仿宋_GB2312" w:eastAsia="仿宋_GB2312"/>
          <w:sz w:val="32"/>
          <w:szCs w:val="32"/>
        </w:rPr>
        <w:t>71.70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1.60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71.25</w:t>
      </w:r>
      <w:r>
        <w:rPr>
          <w:rFonts w:hint="eastAsia" w:ascii="仿宋_GB2312" w:eastAsia="仿宋_GB2312"/>
          <w:sz w:val="32"/>
          <w:szCs w:val="32"/>
        </w:rPr>
        <w:t>万元，占政府采购支出总额的</w:t>
      </w:r>
      <w:r>
        <w:rPr>
          <w:rFonts w:ascii="仿宋_GB2312" w:eastAsia="仿宋_GB2312"/>
          <w:sz w:val="32"/>
          <w:szCs w:val="32"/>
        </w:rPr>
        <w:t>97.20</w:t>
      </w:r>
      <w:r>
        <w:rPr>
          <w:rFonts w:hint="eastAsia" w:ascii="仿宋_GB2312" w:eastAsia="仿宋_GB2312"/>
          <w:sz w:val="32"/>
          <w:szCs w:val="32"/>
        </w:rPr>
        <w:t>%，其中：授予小微企业合同金额</w:t>
      </w:r>
      <w:r>
        <w:rPr>
          <w:rFonts w:ascii="仿宋_GB2312" w:eastAsia="仿宋_GB2312"/>
          <w:sz w:val="32"/>
          <w:szCs w:val="32"/>
        </w:rPr>
        <w:t>71.25</w:t>
      </w:r>
      <w:r>
        <w:rPr>
          <w:rFonts w:hint="eastAsia" w:ascii="仿宋_GB2312" w:eastAsia="仿宋_GB2312"/>
          <w:sz w:val="32"/>
          <w:szCs w:val="32"/>
        </w:rPr>
        <w:t>万元，占政府采购支出总额的</w:t>
      </w:r>
      <w:r>
        <w:rPr>
          <w:rFonts w:ascii="仿宋_GB2312" w:eastAsia="仿宋_GB2312"/>
          <w:sz w:val="32"/>
          <w:szCs w:val="32"/>
        </w:rPr>
        <w:t>97.20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8" w:name="_Toc8391"/>
      <w:bookmarkStart w:id="29" w:name="_Toc45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截至2023年12月31日，固定资产原值415.73万元，房屋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13.87</w:t>
      </w:r>
      <w:r>
        <w:rPr>
          <w:rFonts w:hint="eastAsia" w:ascii="仿宋_GB2312" w:eastAsia="仿宋_GB2312"/>
          <w:sz w:val="32"/>
          <w:szCs w:val="32"/>
        </w:rPr>
        <w:t>万元，其中：副部（省）级及以上领导用车0辆、主要负责人用车0辆、机要通信用车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辆、离退休干部服务用车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辆，其他用车主要是：一般公务用车；单价100万元（含）以上设备（不含车辆）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pPr>
        <w:ind w:firstLine="640" w:firstLineChars="200"/>
        <w:rPr>
          <w:rFonts w:ascii="仿宋_GB2312" w:eastAsia="仿宋_GB2312"/>
          <w:sz w:val="32"/>
          <w:szCs w:val="32"/>
        </w:rPr>
      </w:pPr>
      <w:bookmarkStart w:id="32" w:name="_Toc24143"/>
      <w:bookmarkStart w:id="33" w:name="_Toc3250"/>
      <w:r>
        <w:rPr>
          <w:rFonts w:hint="eastAsia" w:ascii="仿宋_GB2312" w:eastAsia="仿宋_GB2312"/>
          <w:sz w:val="32"/>
          <w:szCs w:val="32"/>
        </w:rPr>
        <w:t>根据预算绩效管理要求，我单位</w:t>
      </w:r>
      <w:r>
        <w:rPr>
          <w:rFonts w:ascii="仿宋_GB2312" w:eastAsia="仿宋_GB2312"/>
          <w:sz w:val="32"/>
          <w:szCs w:val="32"/>
        </w:rPr>
        <w:t>2023</w:t>
      </w:r>
      <w:r>
        <w:rPr>
          <w:rFonts w:hint="eastAsia" w:ascii="仿宋_GB2312" w:eastAsia="仿宋_GB2312"/>
          <w:sz w:val="32"/>
          <w:szCs w:val="32"/>
        </w:rPr>
        <w:t>年度预算绩效管理整体支出绩效自评表</w:t>
      </w:r>
      <w:r>
        <w:rPr>
          <w:rFonts w:hint="eastAsia" w:ascii="仿宋_GB2312" w:eastAsia="仿宋_GB2312"/>
          <w:sz w:val="32"/>
          <w:szCs w:val="32"/>
          <w:lang w:val="en-US" w:eastAsia="zh-CN"/>
        </w:rPr>
        <w:t>0</w:t>
      </w:r>
      <w:r>
        <w:rPr>
          <w:rFonts w:hint="eastAsia" w:ascii="仿宋_GB2312" w:eastAsia="仿宋_GB2312"/>
          <w:sz w:val="32"/>
          <w:szCs w:val="32"/>
        </w:rPr>
        <w:t>个，全年预算总额0.00万元，实际执行总额0.00万元，本年度部门整体绩效自评表由主管部门编报并公开；预算绩效评价项目</w:t>
      </w:r>
      <w:r>
        <w:rPr>
          <w:rFonts w:ascii="仿宋_GB2312" w:eastAsia="仿宋_GB2312"/>
          <w:sz w:val="32"/>
          <w:szCs w:val="32"/>
        </w:rPr>
        <w:t>4</w:t>
      </w:r>
      <w:r>
        <w:rPr>
          <w:rFonts w:hint="eastAsia" w:ascii="仿宋_GB2312" w:eastAsia="仿宋_GB2312"/>
          <w:sz w:val="32"/>
          <w:szCs w:val="32"/>
        </w:rPr>
        <w:t>个，全年预算数352.10万元，全年执行数330.50万元。预算绩效管理取得的成效：</w:t>
      </w:r>
      <w:r>
        <w:rPr>
          <w:rFonts w:ascii="仿宋_GB2312" w:eastAsia="仿宋_GB2312"/>
          <w:sz w:val="32"/>
          <w:szCs w:val="32"/>
        </w:rPr>
        <w:t>一是绩效目标设立科学合理、目标明确、充分考虑到我单位日常工作要求及任务细化程度，为实现绩效目标制定制度、采取措施，确保各项资产的安全有效使用、资金的安全运行，提高资金的使用效率，保障部门财务会计管理的合法合规，财务报告及相关信息真实完整，单位安排开展了相关培训宣传工作；二是全年按照部门预算进行成本控制，全部控制在厉行节约指标数内。其他支出按财政部门下达的计划实施，全年没有项目超支</w:t>
      </w:r>
      <w:r>
        <w:rPr>
          <w:rFonts w:hint="eastAsia" w:ascii="仿宋_GB2312" w:eastAsia="仿宋_GB2312"/>
          <w:sz w:val="32"/>
          <w:szCs w:val="32"/>
        </w:rPr>
        <w:t>。发现的问题及原因：</w:t>
      </w:r>
      <w:r>
        <w:rPr>
          <w:rFonts w:ascii="仿宋_GB2312" w:eastAsia="仿宋_GB2312"/>
          <w:sz w:val="32"/>
          <w:szCs w:val="32"/>
        </w:rPr>
        <w:t>一是项目资金执行率存在加强与上升空间，需要有关部门提升工作效率，在重点工作的完成上需要进一步提高；二是项目资金执行力度需进一步加强</w:t>
      </w:r>
      <w:r>
        <w:rPr>
          <w:rFonts w:hint="eastAsia" w:ascii="仿宋_GB2312" w:eastAsia="仿宋_GB2312"/>
          <w:sz w:val="32"/>
          <w:szCs w:val="32"/>
        </w:rPr>
        <w:t>。下一步改进措施：</w:t>
      </w:r>
      <w:r>
        <w:rPr>
          <w:rFonts w:ascii="仿宋_GB2312" w:eastAsia="仿宋_GB2312"/>
          <w:sz w:val="32"/>
          <w:szCs w:val="32"/>
        </w:rPr>
        <w:t>全面编制预算项目，优先保障固定的、相对刚性的费用支出项目，尽量压缩变动的、有控制空间的费用项目，进一步提高预算编制的科学性、严谨性和可控性；二是加强财务管理，严格财务审批。在费用保障支付时，按照预算规定的费用项目和用途进行资金使用、审核、列报支付，财务核算杜绝超预算支付的发生。三是加强项目实时监控，严格按照相关要求对相关项目的资金进行使用，确保资金专款专用及时有效</w:t>
      </w:r>
      <w:r>
        <w:rPr>
          <w:rFonts w:hint="eastAsia" w:ascii="仿宋_GB2312" w:eastAsia="仿宋_GB2312"/>
          <w:sz w:val="32"/>
          <w:szCs w:val="32"/>
        </w:rPr>
        <w:t>。具体项目自评情况附绩效自评表及自评报告。</w:t>
      </w:r>
    </w:p>
    <w:p>
      <w:pPr>
        <w:rPr>
          <w:rFonts w:ascii="仿宋_GB2312" w:hAnsi="宋体" w:eastAsia="仿宋_GB2312" w:cs="宋体"/>
          <w:kern w:val="0"/>
          <w:sz w:val="24"/>
          <w:szCs w:val="32"/>
        </w:rPr>
      </w:pPr>
      <w:r>
        <w:rPr>
          <w:rFonts w:hint="eastAsia" w:ascii="仿宋_GB2312" w:hAnsi="宋体" w:eastAsia="仿宋_GB2312" w:cs="宋体"/>
          <w:kern w:val="0"/>
          <w:sz w:val="24"/>
          <w:szCs w:val="32"/>
        </w:rPr>
        <w:br w:type="page"/>
      </w:r>
    </w:p>
    <w:p>
      <w:pPr>
        <w:rPr>
          <w:rFonts w:ascii="黑体" w:hAnsi="黑体" w:eastAsia="黑体"/>
          <w:sz w:val="32"/>
          <w:szCs w:val="32"/>
        </w:rPr>
      </w:pP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2023年度巴州应对气候变化专项研究</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r>
      <w:tr>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落实积极应对气候变化国家战略，推动我州经济社会全面绿色低碳转型，奠定我州碳达峰、碳中和目标实现基础，组织不少于22家企业参加巴州重点企业碳交易培训，提高企业碳排放管控能力；形成巴州发电企业碳排放控制研究报告1份，巴州“十四五”应对气候变化专项规划1份，推进我州落实应对气候变化国家战略目标。对柴油货车及非道路移动机械监督抽测项目开展相关工作，可以为环境污染治理工作提供第一要素的实时数据。通过对区域的季节性特征开展科学、系统的网格化走航，全面、快速、精准诊断大气污染的整体分布情况，锁定重点污染区域。通过利用先进科技手段，掌握第一手资料，为打好大气污染防治攻坚战做准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对生态环境局八楼会议室进行改造，改造内容包括会议室、视频</w:t>
            </w:r>
            <w:r>
              <w:rPr>
                <w:rFonts w:hint="eastAsia" w:ascii="宋体" w:hAnsi="宋体" w:cs="宋体"/>
                <w:color w:val="000000"/>
                <w:kern w:val="0"/>
                <w:sz w:val="20"/>
                <w:szCs w:val="20"/>
                <w:lang w:eastAsia="zh-CN"/>
              </w:rPr>
              <w:t>网络</w:t>
            </w:r>
            <w:r>
              <w:rPr>
                <w:rFonts w:hint="eastAsia" w:ascii="宋体" w:hAnsi="宋体" w:cs="宋体"/>
                <w:color w:val="000000"/>
                <w:kern w:val="0"/>
                <w:sz w:val="20"/>
                <w:szCs w:val="20"/>
              </w:rPr>
              <w:t>系统、电子大屏等，现已改造完成并投入使用。通过政采云平台公开采购2023年度机动车尾气遥感监测平台1个，共监督抽测非道路移动机械及柴油货车601台。</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污染源源头治理工作，聘请第三方进行绩效分级初步评定</w:t>
            </w:r>
            <w:r>
              <w:rPr>
                <w:rFonts w:hint="eastAsia" w:ascii="宋体" w:hAnsi="宋体" w:cs="宋体"/>
                <w:color w:val="000000"/>
                <w:kern w:val="0"/>
                <w:sz w:val="20"/>
                <w:szCs w:val="20"/>
                <w:lang w:eastAsia="zh-CN"/>
              </w:rPr>
              <w:t>，以</w:t>
            </w:r>
            <w:r>
              <w:rPr>
                <w:rFonts w:hint="eastAsia" w:ascii="宋体" w:hAnsi="宋体" w:cs="宋体"/>
                <w:color w:val="000000"/>
                <w:kern w:val="0"/>
                <w:sz w:val="20"/>
                <w:szCs w:val="20"/>
              </w:rPr>
              <w:t>及柴油货车路检路查工作，为环境污染治理工作提供第一要素的实时数据。通过对区域的季节性特征开展科学、系统的网格化走航，全面、快速、精准诊断大气污染的整体分布情况，锁定重点污染区域。</w:t>
            </w:r>
            <w:r>
              <w:rPr>
                <w:rFonts w:hint="eastAsia" w:ascii="宋体" w:hAnsi="宋体" w:cs="宋体"/>
                <w:color w:val="000000"/>
                <w:kern w:val="0"/>
                <w:sz w:val="20"/>
                <w:szCs w:val="20"/>
              </w:rPr>
              <w:br w:type="textWrapping"/>
            </w:r>
          </w:p>
        </w:tc>
      </w:tr>
      <w:tr>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非道路移动机械及柴油货车监督抽测台数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&gt;=500辆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bookmarkStart w:id="34" w:name="OLE_LINK11"/>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bookmarkStart w:id="35" w:name="OLE_LINK12"/>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=607辆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121.4%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在现有资金下，抽检了更多的车辆，年初设置的指标值较低，进一步准确核算抽测台数。</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大气环境走航监测次数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系统更新改造</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机动车尾气遥感监测平台维护个数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报告合格率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108.59%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抽检车辆增加，抽检率相应有所增加，进一步准确估算报告合格情况。</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系统正常使用率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系统维护次数较多，系统正常使用率较高。</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年度工作任务及时完成率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按照计划及时完成年度工作任务。</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平台故障排除率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平台维护及检定经费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大气环境走航监测成本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非道路移动机械及柴油货车监督抽测成本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系统改造成本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因该项目前期预算成本为13万，在项目进行过程中，实际安装系统费用大于预算数。</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为大气污染防治工作提供依据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管理水平提高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因为此项目工作人员配合度较高，所以满意度测评满意度高于预期。</w:t>
            </w:r>
          </w:p>
        </w:tc>
      </w:tr>
      <w:tr>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2023年度巴音郭楞蒙古自治州塔中镇环境空气自动监</w:t>
            </w:r>
            <w:r>
              <w:rPr>
                <w:rFonts w:hint="eastAsia" w:ascii="宋体" w:hAnsi="宋体" w:cs="宋体"/>
                <w:color w:val="000000"/>
                <w:kern w:val="0"/>
                <w:sz w:val="20"/>
                <w:szCs w:val="20"/>
                <w:lang w:eastAsia="zh-CN"/>
              </w:rPr>
              <w:t>测站</w:t>
            </w:r>
            <w:r>
              <w:rPr>
                <w:rFonts w:hint="eastAsia" w:ascii="宋体" w:hAnsi="宋体" w:cs="宋体"/>
                <w:color w:val="000000"/>
                <w:kern w:val="0"/>
                <w:sz w:val="20"/>
                <w:szCs w:val="20"/>
              </w:rPr>
              <w:t>建设项目</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r>
      <w:tr>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219.50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219.50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199.70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90.98%</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9.10分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219.50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219.50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199.70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围绕持续“打赢蓝天保卫战”工作管理要求，紧密结合大气污染现状，通过建设塔中镇自治区级环境空气监测站，获得塔克拉玛干沙漠长期连续的空气质量监测数据，进一步明确沙尘传输影响情况，为沙尘污染趋势分析，为沙尘预报及强度评价、沙尘污染控制措施有效程度评估等提供依据，为南疆地区沙尘源解析工作提供数据支撑，并进一步发挥辐射带动作用，为南疆地区应对重污染天气和区域大气污染联防联控提供精准数据，推动区域环境空气质量持续改善，推进生态环境治理体系和治理能力的现代化进程。</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在塔中区域新建设空气自动监测站一座。购置专用设备7套，配套建设站房及辅助设施，网络</w:t>
            </w:r>
            <w:r>
              <w:rPr>
                <w:rFonts w:hint="eastAsia" w:ascii="宋体" w:hAnsi="宋体" w:cs="宋体"/>
                <w:color w:val="000000"/>
                <w:kern w:val="0"/>
                <w:sz w:val="20"/>
                <w:szCs w:val="20"/>
                <w:lang w:eastAsia="zh-CN"/>
              </w:rPr>
              <w:t>申办</w:t>
            </w:r>
            <w:r>
              <w:rPr>
                <w:rFonts w:hint="eastAsia" w:ascii="宋体" w:hAnsi="宋体" w:cs="宋体"/>
                <w:color w:val="000000"/>
                <w:kern w:val="0"/>
                <w:sz w:val="20"/>
                <w:szCs w:val="20"/>
              </w:rPr>
              <w:t>服务等。</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在塔中区域新建设空气自动监测站一座。已购置专用设备12套，已配套建设站房及辅助设施，网络县办服务,项目已于2023年12月建设完工并投入试运行,通过建设塔中镇自治区级环境空气监测站，获得塔克拉玛干沙漠长期连续的空气质量监测数据，进一步明确沙尘传输影响情况，为沙尘污染趋势分析，为沙尘预报及强度评价、沙尘污染控制措施有效程度评估等提供依据，为南疆地区沙尘源解析工作提供数据支撑，并进一步发挥辐射带动作用，为南疆地区应对重污染天气和区域大气污染联防联控提供精准数据，推动区域环境空气质量持续改善，推进生态环境治理体系和治理能力的现代化进程。</w:t>
            </w:r>
          </w:p>
        </w:tc>
      </w:tr>
      <w:tr>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站点选址服务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=1份</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＝1份</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设备运维服务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购置站房及配套设施建设</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购置二氧化硫分析仪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购置氮氧化物分析仪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购置一氧化碳分析仪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购置臭氧分析仪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购置PM10分析仪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购置PM2.5分析仪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购置气象五参数仪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购置数据采集与传输</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配套采样系统、机架、稳压电源等辅助设备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购置质控设备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购置VPN</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购置工控机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根据招投标合同按规定对项目进行采购。</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项目验收通过率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2023年10月前完成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2023年9月</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根据招投标合同按规定对资金进行支付。</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投入成本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&lt;=219.50万元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＝199.7万元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18.20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根据招投标确定中标金额，进一步</w:t>
            </w:r>
            <w:r>
              <w:rPr>
                <w:rFonts w:hint="eastAsia" w:ascii="宋体" w:hAnsi="宋体" w:cs="宋体"/>
                <w:color w:val="000000"/>
                <w:kern w:val="0"/>
                <w:sz w:val="20"/>
                <w:szCs w:val="20"/>
                <w:lang w:eastAsia="zh-CN"/>
              </w:rPr>
              <w:t>加大</w:t>
            </w:r>
            <w:r>
              <w:rPr>
                <w:rFonts w:hint="eastAsia" w:ascii="宋体" w:hAnsi="宋体" w:cs="宋体"/>
                <w:color w:val="000000"/>
                <w:kern w:val="0"/>
                <w:sz w:val="20"/>
                <w:szCs w:val="20"/>
              </w:rPr>
              <w:t>资金预算力度。</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大气污染防治管理水平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促进应对重污染天气和区域大气污染联防联控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管理部门对该项目的满意度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因为此项目工作人员配合度较高，所以满意度测评满意度高于预期。</w:t>
            </w:r>
          </w:p>
        </w:tc>
      </w:tr>
      <w:tr>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97.30分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2023年度重型柴油车OBD远程在线监控试点项目</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r>
      <w:tr>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60.20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97.10%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9.71分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60.20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巴州作为首批试点地区，选取部分合适的国四、国五重型柴油车加装OBD监控设备，实时监控油箱和尿素箱液位变化，以及氮氧化物、颗粒物排放情况。通过安装OBD远程在线监控，动态掌握柴油车排放，了解全区柴油车排放水平，重点关注排放不达标的柴油车治理后上路排放情况，积累柴油车排放数据，通过大数据分析，对柴油车治理提供良好的数据支撑和决策</w:t>
            </w:r>
            <w:r>
              <w:rPr>
                <w:rFonts w:hint="eastAsia" w:ascii="宋体" w:hAnsi="宋体" w:cs="宋体"/>
                <w:color w:val="000000"/>
                <w:kern w:val="0"/>
                <w:sz w:val="20"/>
                <w:szCs w:val="20"/>
                <w:lang w:eastAsia="zh-CN"/>
              </w:rPr>
              <w:t>导向</w:t>
            </w:r>
            <w:r>
              <w:rPr>
                <w:rFonts w:hint="eastAsia" w:ascii="宋体" w:hAnsi="宋体" w:cs="宋体"/>
                <w:color w:val="000000"/>
                <w:kern w:val="0"/>
                <w:sz w:val="20"/>
                <w:szCs w:val="20"/>
              </w:rPr>
              <w:t>，有效降低我区空气污染。</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照自治区试点要求，选取国五柴油车安装OBD监控设备301台，运维维护为期4年，可以实时监控油箱和尿素箱液位变化，以及氮氧化物、颗粒物排放情况。该项目于2023年12月2日完成验收并与自治区生态环境厅联网，目前可以通过柴油车辆数据，对柴油车治理提供良好的数据支撑和决策</w:t>
            </w:r>
            <w:r>
              <w:rPr>
                <w:rFonts w:hint="eastAsia" w:ascii="宋体" w:hAnsi="宋体" w:cs="宋体"/>
                <w:color w:val="000000"/>
                <w:kern w:val="0"/>
                <w:sz w:val="20"/>
                <w:szCs w:val="20"/>
                <w:lang w:eastAsia="zh-CN"/>
              </w:rPr>
              <w:t>导向</w:t>
            </w:r>
            <w:r>
              <w:rPr>
                <w:rFonts w:hint="eastAsia" w:ascii="宋体" w:hAnsi="宋体" w:cs="宋体"/>
                <w:color w:val="000000"/>
                <w:kern w:val="0"/>
                <w:sz w:val="20"/>
                <w:szCs w:val="20"/>
              </w:rPr>
              <w:t>，有效降低我区空气污染。</w:t>
            </w:r>
          </w:p>
        </w:tc>
      </w:tr>
      <w:tr>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网络链路费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133.33%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在现有资金下，支付时间更长的网络费，下一步更准确测算合同签订网络链路费的期限。</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巴州重型柴油车安装OBD数量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&gt;=270套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111.48%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在现有资金下，安装了更多的OBD数量，下一步更准确测算OBD安装数量。</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运维服务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133.33%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在现有资金下，开展时间更长的运维服务，下一步更准确测算合同签订运维服务的时间。</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项目验收通过率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项目资金使用控制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19.42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根据招标控制价，供应商以58.2万元中标，同时该项目的差旅费为2万元，进一步准确测算项目资金额。</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通过对排放水平的观测，对柴油车实施有效管控，可达到减排作用。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基本达到预期效果</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提供良好的数据支撑和决策</w:t>
            </w:r>
            <w:r>
              <w:rPr>
                <w:rFonts w:hint="eastAsia" w:ascii="宋体" w:hAnsi="宋体" w:cs="宋体"/>
                <w:color w:val="000000"/>
                <w:kern w:val="0"/>
                <w:sz w:val="20"/>
                <w:szCs w:val="20"/>
                <w:lang w:eastAsia="zh-CN"/>
              </w:rPr>
              <w:t>导向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改善</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因为该项目用更少资金完成更多工作量，所以工作人员满意度高。</w:t>
            </w:r>
          </w:p>
        </w:tc>
      </w:tr>
      <w:tr>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99.13分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2023年度重点污染源监督检查、考核评估项目</w:t>
            </w:r>
          </w:p>
        </w:tc>
      </w:tr>
      <w:tr>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新疆巴州博斯腾湖科学研究所</w:t>
            </w:r>
          </w:p>
        </w:tc>
      </w:tr>
      <w:tr>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根据单位机构改革工作需要，承接巴州生态环境系统政策性研究和相关工作，2023年重点对涉及土壤污染方面开展相关工作，地州生态环境局应当每年对土壤污染重点监管单位周边土壤进行监测，以便及时掌握全州土壤重点监管单位厂区及周边土壤变化情况，一旦发现土壤污染重点监管单位监测数据异常，可及时进行依法调查，并采取有效措施及时进行土壤环境风险管控或治理修复，保护土壤生态环境。此外通过开展危险废物规范化评估工作，可依法依规、全面系统加强自治州危险废物产生单位、经营单位规范化管理工作；另一方面通过邀请疆内专家对全州危险废物经营单位、产废单位、固体废物环境管理部门工作人员、环境执法人员开展培训，不断提高危险废物环境管理水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2023年度危险废物规范化环境管理评估项目已全部完成样品采集、制样工作，实验室测试工作，已于12月完工，共开展培训１次，参加培训人数36人，出具报告１份，通过开展危险废物规范化评估工作，进一步依法依规、全面系统加强自治州危险废物产生单位、经营单位规范化</w:t>
            </w:r>
            <w:r>
              <w:rPr>
                <w:rFonts w:hint="eastAsia" w:ascii="宋体" w:hAnsi="宋体" w:cs="宋体"/>
                <w:color w:val="000000"/>
                <w:kern w:val="0"/>
                <w:sz w:val="20"/>
                <w:szCs w:val="20"/>
                <w:lang w:eastAsia="zh-CN"/>
              </w:rPr>
              <w:t>管理</w:t>
            </w:r>
            <w:r>
              <w:rPr>
                <w:rFonts w:hint="eastAsia" w:ascii="宋体" w:hAnsi="宋体" w:cs="宋体"/>
                <w:color w:val="000000"/>
                <w:kern w:val="0"/>
                <w:sz w:val="20"/>
                <w:szCs w:val="20"/>
              </w:rPr>
              <w:t>。2、2023年度土壤重点单位监督性监测已完成48家企业现场评估和考核，进一步掌握全州土壤重点监管单位厂区及周边</w:t>
            </w:r>
            <w:r>
              <w:rPr>
                <w:rFonts w:hint="eastAsia" w:ascii="宋体" w:hAnsi="宋体" w:cs="宋体"/>
                <w:color w:val="000000"/>
                <w:kern w:val="0"/>
                <w:sz w:val="20"/>
                <w:szCs w:val="20"/>
                <w:lang w:eastAsia="zh-CN"/>
              </w:rPr>
              <w:t>土壤熟化</w:t>
            </w:r>
            <w:r>
              <w:rPr>
                <w:rFonts w:hint="eastAsia" w:ascii="宋体" w:hAnsi="宋体" w:cs="宋体"/>
                <w:color w:val="000000"/>
                <w:kern w:val="0"/>
                <w:sz w:val="20"/>
                <w:szCs w:val="20"/>
              </w:rPr>
              <w:t>情况。3、2023年共发放公益性岗位人员补助5人次，按时发放15次，进一步规范了考勤制度。</w:t>
            </w:r>
          </w:p>
        </w:tc>
      </w:tr>
      <w:tr>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发放补助人数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3.13</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人员比预期减少3人，预期测算数较高，进一步加强发放补助人员测算数据。</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危险废物评估报告数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危险废物环境管理培训次数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=1期</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=1期</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土壤重点单位监督性监测报告</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&gt;=27家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177.78%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用现有资金检查更多的单位，出具更完善的项目报告，进一步准确测算土壤重点单位数量，准确提交监测报告数量。</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参加培训人数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2.16</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部分人员通过参加视频会方式进行参会，所以现场参会人员未达到目标值，进一步准确测算参会人数。</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发放工资次数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由于发放劳务费涉及三家劳务派遣公司，所以发放次数为15次,进一步准确测算资金发放次数。</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部分人员通过参加视频会方式进行参会，所以现场参会人员未达到目标值，进一步准确测算参会人数。</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监测报告利用率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监测报告利用率达到预期以上效果。</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培训工作完成及时率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在预期期限内更高效</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完成培训工作。</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年度评估报告及时完成率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在预期期限内更及时</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完成年度评估报告。</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按照合同及时进行资金发放。</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土壤环境监测成本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每次发放补助成本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75.24%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3.76</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由于发放劳务费涉及三家劳务派遣公司，所以发放次数为15次，每次发放补助成本低于预期，进一步准确测算补助发放成本。</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废物规范化环境管理评估成本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评估报告公开率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在预期期限内更完整</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公开评估报告。</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问题整改率（%）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109.22%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该项目完成度较高，企业配合较好，问题整改率较高，进一步提高整改率测算数。</w:t>
            </w:r>
          </w:p>
        </w:tc>
      </w:tr>
      <w:tr>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调查工作人员满意度（%）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bookmarkEnd w:id="34"/>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bookmarkEnd w:id="35"/>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因为此项目工作人员配合度较高，所以满意度测评满意度高于预期，进一步提高满意度测算值。</w:t>
            </w:r>
          </w:p>
        </w:tc>
      </w:tr>
      <w:tr>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95.45分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cs="宋体"/>
          <w:bCs/>
          <w:kern w:val="0"/>
          <w:sz w:val="32"/>
          <w:szCs w:val="32"/>
        </w:rPr>
        <w:t>十二、</w:t>
      </w:r>
      <w:bookmarkStart w:id="36" w:name="OLE_LINK1"/>
      <w:r>
        <w:rPr>
          <w:rFonts w:hint="eastAsia" w:ascii="黑体" w:hAnsi="黑体" w:eastAsia="黑体" w:cs="宋体"/>
          <w:bCs/>
          <w:kern w:val="0"/>
          <w:sz w:val="32"/>
          <w:szCs w:val="32"/>
        </w:rPr>
        <w:t>其他需说明的事项</w:t>
      </w:r>
      <w:bookmarkEnd w:id="36"/>
    </w:p>
    <w:p>
      <w:pPr>
        <w:ind w:firstLine="640" w:firstLineChars="200"/>
        <w:rPr>
          <w:rFonts w:ascii="黑体" w:hAnsi="黑体" w:eastAsia="黑体"/>
          <w:sz w:val="32"/>
          <w:szCs w:val="32"/>
        </w:rPr>
      </w:pPr>
      <w:bookmarkStart w:id="51" w:name="_GoBack"/>
      <w:bookmarkEnd w:id="51"/>
      <w:r>
        <w:rPr>
          <w:rFonts w:hint="eastAsia" w:ascii="仿宋_GB2312" w:eastAsia="仿宋_GB2312"/>
          <w:sz w:val="32"/>
          <w:szCs w:val="32"/>
        </w:rPr>
        <w:t>本年度部门整体绩效自评表由主管部门编报并公开。</w:t>
      </w:r>
    </w:p>
    <w:p>
      <w:pPr>
        <w:rPr>
          <w:rFonts w:ascii="黑体" w:hAnsi="黑体" w:eastAsia="黑体"/>
          <w:sz w:val="32"/>
          <w:szCs w:val="32"/>
        </w:rPr>
      </w:pPr>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2"/>
      <w:bookmarkEnd w:id="33"/>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
    <w:p/>
    <w:p/>
    <w:p/>
    <w:p/>
    <w:p/>
    <w:p/>
    <w:p>
      <w:pPr>
        <w:autoSpaceDE w:val="0"/>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pPr>
        <w:ind w:firstLine="640" w:firstLineChars="200"/>
        <w:outlineLvl w:val="1"/>
        <w:rPr>
          <w:rFonts w:ascii="仿宋_GB2312" w:hAnsi="仿宋_GB2312" w:eastAsia="仿宋_GB2312" w:cs="仿宋_GB2312"/>
          <w:bCs/>
          <w:kern w:val="0"/>
          <w:sz w:val="32"/>
          <w:szCs w:val="32"/>
        </w:rPr>
      </w:pPr>
      <w:bookmarkStart w:id="37" w:name="_Toc6062"/>
      <w:bookmarkStart w:id="38" w:name="_Toc2183"/>
      <w:r>
        <w:rPr>
          <w:rFonts w:hint="eastAsia" w:ascii="仿宋_GB2312" w:hAnsi="仿宋_GB2312" w:eastAsia="仿宋_GB2312" w:cs="仿宋_GB2312"/>
          <w:bCs/>
          <w:kern w:val="0"/>
          <w:sz w:val="32"/>
          <w:szCs w:val="32"/>
        </w:rPr>
        <w:t>一、《收入支出决算总表》</w:t>
      </w:r>
      <w:bookmarkEnd w:id="37"/>
      <w:bookmarkEnd w:id="38"/>
    </w:p>
    <w:p>
      <w:pPr>
        <w:ind w:firstLine="640" w:firstLineChars="200"/>
        <w:outlineLvl w:val="1"/>
        <w:rPr>
          <w:rFonts w:ascii="仿宋_GB2312" w:hAnsi="仿宋_GB2312" w:eastAsia="仿宋_GB2312" w:cs="仿宋_GB2312"/>
          <w:bCs/>
          <w:kern w:val="0"/>
          <w:sz w:val="32"/>
          <w:szCs w:val="32"/>
        </w:rPr>
      </w:pPr>
      <w:bookmarkStart w:id="39" w:name="_Toc30364"/>
      <w:bookmarkStart w:id="40" w:name="_Toc24532"/>
      <w:r>
        <w:rPr>
          <w:rFonts w:hint="eastAsia" w:ascii="仿宋_GB2312" w:hAnsi="仿宋_GB2312" w:eastAsia="仿宋_GB2312" w:cs="仿宋_GB2312"/>
          <w:bCs/>
          <w:kern w:val="0"/>
          <w:sz w:val="32"/>
          <w:szCs w:val="32"/>
        </w:rPr>
        <w:t>二、《收入决算表》</w:t>
      </w:r>
      <w:bookmarkEnd w:id="39"/>
      <w:bookmarkEnd w:id="40"/>
    </w:p>
    <w:p>
      <w:pPr>
        <w:ind w:firstLine="640" w:firstLineChars="200"/>
        <w:outlineLvl w:val="1"/>
        <w:rPr>
          <w:rFonts w:ascii="仿宋_GB2312" w:hAnsi="仿宋_GB2312" w:eastAsia="仿宋_GB2312" w:cs="仿宋_GB2312"/>
          <w:bCs/>
          <w:kern w:val="0"/>
          <w:sz w:val="32"/>
          <w:szCs w:val="32"/>
        </w:rPr>
      </w:pPr>
      <w:bookmarkStart w:id="41" w:name="_Toc21304"/>
      <w:bookmarkStart w:id="42" w:name="_Toc32434"/>
      <w:r>
        <w:rPr>
          <w:rFonts w:hint="eastAsia" w:ascii="仿宋_GB2312" w:hAnsi="仿宋_GB2312" w:eastAsia="仿宋_GB2312" w:cs="仿宋_GB2312"/>
          <w:bCs/>
          <w:kern w:val="0"/>
          <w:sz w:val="32"/>
          <w:szCs w:val="32"/>
        </w:rPr>
        <w:t>三、《支出决算表》</w:t>
      </w:r>
      <w:bookmarkEnd w:id="41"/>
      <w:bookmarkEnd w:id="42"/>
    </w:p>
    <w:p>
      <w:pPr>
        <w:ind w:firstLine="640" w:firstLineChars="200"/>
        <w:outlineLvl w:val="1"/>
        <w:rPr>
          <w:rFonts w:ascii="仿宋_GB2312" w:hAnsi="仿宋_GB2312" w:eastAsia="仿宋_GB2312" w:cs="仿宋_GB2312"/>
          <w:bCs/>
          <w:kern w:val="0"/>
          <w:sz w:val="32"/>
          <w:szCs w:val="32"/>
        </w:rPr>
      </w:pPr>
      <w:bookmarkStart w:id="43" w:name="_Toc28786"/>
      <w:bookmarkStart w:id="44" w:name="_Toc14238"/>
      <w:r>
        <w:rPr>
          <w:rFonts w:hint="eastAsia" w:ascii="仿宋_GB2312" w:hAnsi="仿宋_GB2312" w:eastAsia="仿宋_GB2312" w:cs="仿宋_GB2312"/>
          <w:bCs/>
          <w:kern w:val="0"/>
          <w:sz w:val="32"/>
          <w:szCs w:val="32"/>
        </w:rPr>
        <w:t>四、《财政拨款收入支出决算总表》</w:t>
      </w:r>
      <w:bookmarkEnd w:id="43"/>
      <w:bookmarkEnd w:id="44"/>
    </w:p>
    <w:p>
      <w:pPr>
        <w:ind w:firstLine="640" w:firstLineChars="200"/>
        <w:outlineLvl w:val="1"/>
        <w:rPr>
          <w:rFonts w:ascii="仿宋_GB2312" w:hAnsi="仿宋_GB2312" w:eastAsia="仿宋_GB2312" w:cs="仿宋_GB2312"/>
          <w:bCs/>
          <w:kern w:val="0"/>
          <w:sz w:val="32"/>
          <w:szCs w:val="32"/>
        </w:rPr>
      </w:pPr>
      <w:bookmarkStart w:id="45" w:name="_Toc10347"/>
      <w:bookmarkStart w:id="46" w:name="_Toc14869"/>
      <w:r>
        <w:rPr>
          <w:rFonts w:hint="eastAsia" w:ascii="仿宋_GB2312" w:hAnsi="仿宋_GB2312" w:eastAsia="仿宋_GB2312" w:cs="仿宋_GB2312"/>
          <w:bCs/>
          <w:kern w:val="0"/>
          <w:sz w:val="32"/>
          <w:szCs w:val="32"/>
        </w:rPr>
        <w:t>五、《一般公共预算财政拨款支出决算表》</w:t>
      </w:r>
      <w:bookmarkEnd w:id="45"/>
      <w:bookmarkEnd w:id="46"/>
    </w:p>
    <w:p>
      <w:pPr>
        <w:ind w:firstLine="640" w:firstLineChars="200"/>
        <w:outlineLvl w:val="1"/>
        <w:rPr>
          <w:rFonts w:ascii="仿宋_GB2312" w:hAnsi="仿宋_GB2312" w:eastAsia="仿宋_GB2312" w:cs="仿宋_GB2312"/>
          <w:bCs/>
          <w:kern w:val="0"/>
          <w:sz w:val="32"/>
          <w:szCs w:val="32"/>
        </w:rPr>
      </w:pPr>
      <w:bookmarkStart w:id="47" w:name="_Toc5626"/>
      <w:bookmarkStart w:id="48" w:name="_Toc8884"/>
      <w:r>
        <w:rPr>
          <w:rFonts w:hint="eastAsia" w:ascii="仿宋_GB2312" w:hAnsi="仿宋_GB2312" w:eastAsia="仿宋_GB2312" w:cs="仿宋_GB2312"/>
          <w:bCs/>
          <w:kern w:val="0"/>
          <w:sz w:val="32"/>
          <w:szCs w:val="32"/>
        </w:rPr>
        <w:t>六、《一般公共预算财政拨款基本支出决算表》</w:t>
      </w:r>
      <w:bookmarkEnd w:id="47"/>
      <w:bookmarkEnd w:id="48"/>
    </w:p>
    <w:p>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9" w:name="_Toc29106"/>
      <w:bookmarkStart w:id="50" w:name="_Toc32663"/>
      <w:r>
        <w:rPr>
          <w:rFonts w:hint="eastAsia" w:ascii="仿宋_GB2312" w:hAnsi="仿宋_GB2312" w:eastAsia="仿宋_GB2312" w:cs="仿宋_GB2312"/>
          <w:bCs/>
          <w:kern w:val="0"/>
          <w:sz w:val="32"/>
          <w:szCs w:val="32"/>
        </w:rPr>
        <w:t>《财政拨款“三公”经费支出决算表》</w:t>
      </w:r>
      <w:bookmarkEnd w:id="49"/>
      <w:bookmarkEnd w:id="50"/>
    </w:p>
    <w:p>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八、《政府性基金预算财政拨款收入支出决算表》</w:t>
      </w:r>
    </w:p>
    <w:p>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
    <w:p/>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A885104-82AB-4CB6-B277-ADEEDF19523D}"/>
  </w:font>
  <w:font w:name="黑体">
    <w:panose1 w:val="02010609060101010101"/>
    <w:charset w:val="86"/>
    <w:family w:val="auto"/>
    <w:pitch w:val="default"/>
    <w:sig w:usb0="800002BF" w:usb1="38CF7CFA" w:usb2="00000016" w:usb3="00000000" w:csb0="00040001" w:csb1="00000000"/>
    <w:embedRegular r:id="rId2" w:fontKey="{88EDEDBD-0191-45C1-8E88-36117E12FF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3" w:fontKey="{71370BD4-5947-40DE-AABB-CCD874A4AEB9}"/>
  </w:font>
  <w:font w:name="仿宋_GB2312">
    <w:panose1 w:val="02010609030101010101"/>
    <w:charset w:val="86"/>
    <w:family w:val="modern"/>
    <w:pitch w:val="default"/>
    <w:sig w:usb0="00000001" w:usb1="080E0000" w:usb2="00000000" w:usb3="00000000" w:csb0="00040000" w:csb1="00000000"/>
    <w:embedRegular r:id="rId4" w:fontKey="{9B26E477-E5C1-44D8-B06E-79725951ED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pETonXAQAAsgMAAA4AAAAAAAAAAQAgAAAA&#10;HgEAAGRycy9lMm9Eb2MueG1sUEsFBgAAAAAGAAYAWQEAAGc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ZDMyZTI5N2YxZmFjNzFkNGEyYTExM2QwOWRkYmMifQ=="/>
  </w:docVars>
  <w:rsids>
    <w:rsidRoot w:val="00312C27"/>
    <w:rsid w:val="00003E25"/>
    <w:rsid w:val="00012F23"/>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40AA1"/>
    <w:rsid w:val="0026230C"/>
    <w:rsid w:val="00263A31"/>
    <w:rsid w:val="00263A81"/>
    <w:rsid w:val="00271C68"/>
    <w:rsid w:val="00294495"/>
    <w:rsid w:val="0029483B"/>
    <w:rsid w:val="002A2698"/>
    <w:rsid w:val="002B179F"/>
    <w:rsid w:val="002B6C9C"/>
    <w:rsid w:val="002D1584"/>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6B7F"/>
    <w:rsid w:val="00F7210D"/>
    <w:rsid w:val="00F8314A"/>
    <w:rsid w:val="00F876D7"/>
    <w:rsid w:val="00F91E81"/>
    <w:rsid w:val="00F95054"/>
    <w:rsid w:val="00FC7D62"/>
    <w:rsid w:val="00FD4050"/>
    <w:rsid w:val="00FF6A37"/>
    <w:rsid w:val="032D315A"/>
    <w:rsid w:val="034D4FEF"/>
    <w:rsid w:val="040F1E8F"/>
    <w:rsid w:val="0417317B"/>
    <w:rsid w:val="043E5B56"/>
    <w:rsid w:val="04732647"/>
    <w:rsid w:val="04CF4391"/>
    <w:rsid w:val="052D280B"/>
    <w:rsid w:val="05A625A8"/>
    <w:rsid w:val="05F504EF"/>
    <w:rsid w:val="05FE4064"/>
    <w:rsid w:val="06792773"/>
    <w:rsid w:val="08147C9D"/>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A014E7"/>
    <w:rsid w:val="0DB32518"/>
    <w:rsid w:val="0DC42297"/>
    <w:rsid w:val="0E714607"/>
    <w:rsid w:val="0E7E2314"/>
    <w:rsid w:val="0EC3241C"/>
    <w:rsid w:val="0F3317C1"/>
    <w:rsid w:val="0F5237D2"/>
    <w:rsid w:val="0F802ABC"/>
    <w:rsid w:val="0F8333F0"/>
    <w:rsid w:val="0FA062BA"/>
    <w:rsid w:val="10492164"/>
    <w:rsid w:val="106E6DC6"/>
    <w:rsid w:val="1192733C"/>
    <w:rsid w:val="120C4FBF"/>
    <w:rsid w:val="12386E6F"/>
    <w:rsid w:val="129A3341"/>
    <w:rsid w:val="13442466"/>
    <w:rsid w:val="14155180"/>
    <w:rsid w:val="14221705"/>
    <w:rsid w:val="142B6836"/>
    <w:rsid w:val="14351B39"/>
    <w:rsid w:val="14863CD0"/>
    <w:rsid w:val="152A0518"/>
    <w:rsid w:val="15C26F8A"/>
    <w:rsid w:val="15F06E99"/>
    <w:rsid w:val="164948B5"/>
    <w:rsid w:val="169A7F07"/>
    <w:rsid w:val="17C4692E"/>
    <w:rsid w:val="17F631BE"/>
    <w:rsid w:val="18461A14"/>
    <w:rsid w:val="189866C8"/>
    <w:rsid w:val="19063631"/>
    <w:rsid w:val="19B71470"/>
    <w:rsid w:val="19C01A32"/>
    <w:rsid w:val="19CC1E23"/>
    <w:rsid w:val="1A0B7381"/>
    <w:rsid w:val="1A330456"/>
    <w:rsid w:val="1AE17EB2"/>
    <w:rsid w:val="1B0E3BF7"/>
    <w:rsid w:val="1C043A04"/>
    <w:rsid w:val="1C0518BA"/>
    <w:rsid w:val="1C4C0424"/>
    <w:rsid w:val="1C7A04C1"/>
    <w:rsid w:val="1CC932F4"/>
    <w:rsid w:val="1D7C4924"/>
    <w:rsid w:val="1DAF458D"/>
    <w:rsid w:val="1E677EA7"/>
    <w:rsid w:val="1EA330CC"/>
    <w:rsid w:val="1EB61656"/>
    <w:rsid w:val="1F4D3D68"/>
    <w:rsid w:val="1FED210E"/>
    <w:rsid w:val="203B0065"/>
    <w:rsid w:val="20DD6197"/>
    <w:rsid w:val="21A91B81"/>
    <w:rsid w:val="21C63C89"/>
    <w:rsid w:val="222A65E3"/>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10E568A"/>
    <w:rsid w:val="319D5866"/>
    <w:rsid w:val="31C63837"/>
    <w:rsid w:val="337F5E08"/>
    <w:rsid w:val="33CF6FEA"/>
    <w:rsid w:val="349B3370"/>
    <w:rsid w:val="3567606C"/>
    <w:rsid w:val="35743217"/>
    <w:rsid w:val="35BE5248"/>
    <w:rsid w:val="35FB19DD"/>
    <w:rsid w:val="361B360C"/>
    <w:rsid w:val="377D0BFD"/>
    <w:rsid w:val="37B163A5"/>
    <w:rsid w:val="3914510A"/>
    <w:rsid w:val="39A97FBD"/>
    <w:rsid w:val="3B12207E"/>
    <w:rsid w:val="3B1540E8"/>
    <w:rsid w:val="3B3C07D5"/>
    <w:rsid w:val="3B643DE0"/>
    <w:rsid w:val="3C745C12"/>
    <w:rsid w:val="3D2A665C"/>
    <w:rsid w:val="3D5275AC"/>
    <w:rsid w:val="3DC94AAA"/>
    <w:rsid w:val="3DC96858"/>
    <w:rsid w:val="3E3F6B1A"/>
    <w:rsid w:val="3FA9316F"/>
    <w:rsid w:val="3FEB5DEA"/>
    <w:rsid w:val="40834692"/>
    <w:rsid w:val="416A2335"/>
    <w:rsid w:val="41A84A67"/>
    <w:rsid w:val="41BD2B78"/>
    <w:rsid w:val="42913A5C"/>
    <w:rsid w:val="42B5731B"/>
    <w:rsid w:val="434F5A51"/>
    <w:rsid w:val="439B381A"/>
    <w:rsid w:val="43D97719"/>
    <w:rsid w:val="43F3098B"/>
    <w:rsid w:val="44425296"/>
    <w:rsid w:val="44822D93"/>
    <w:rsid w:val="448437A4"/>
    <w:rsid w:val="44D205B1"/>
    <w:rsid w:val="44F4368F"/>
    <w:rsid w:val="454126C2"/>
    <w:rsid w:val="454B2248"/>
    <w:rsid w:val="45833FED"/>
    <w:rsid w:val="45E16709"/>
    <w:rsid w:val="462B661A"/>
    <w:rsid w:val="463F16B9"/>
    <w:rsid w:val="46901EEE"/>
    <w:rsid w:val="469C74D2"/>
    <w:rsid w:val="47281438"/>
    <w:rsid w:val="47376A2B"/>
    <w:rsid w:val="47791D37"/>
    <w:rsid w:val="47A53BB1"/>
    <w:rsid w:val="496D4D42"/>
    <w:rsid w:val="49B933AA"/>
    <w:rsid w:val="49F963F6"/>
    <w:rsid w:val="4A6B0F8B"/>
    <w:rsid w:val="4B4C0111"/>
    <w:rsid w:val="4C72630D"/>
    <w:rsid w:val="4D23397E"/>
    <w:rsid w:val="4D270BA8"/>
    <w:rsid w:val="4D4759EB"/>
    <w:rsid w:val="4E3C6544"/>
    <w:rsid w:val="4E6414EC"/>
    <w:rsid w:val="4F9A0054"/>
    <w:rsid w:val="500B2EA9"/>
    <w:rsid w:val="50A62A29"/>
    <w:rsid w:val="50DB5F45"/>
    <w:rsid w:val="52926DE7"/>
    <w:rsid w:val="52B159A3"/>
    <w:rsid w:val="52F92565"/>
    <w:rsid w:val="539A32BF"/>
    <w:rsid w:val="53B84F4D"/>
    <w:rsid w:val="54E12281"/>
    <w:rsid w:val="551E5284"/>
    <w:rsid w:val="55911164"/>
    <w:rsid w:val="55CE6BE9"/>
    <w:rsid w:val="56B72612"/>
    <w:rsid w:val="575171B4"/>
    <w:rsid w:val="57E43B01"/>
    <w:rsid w:val="583059FA"/>
    <w:rsid w:val="5A8D7D9D"/>
    <w:rsid w:val="5ABB586A"/>
    <w:rsid w:val="5BD14DFE"/>
    <w:rsid w:val="5D6F5ADE"/>
    <w:rsid w:val="5F9C3975"/>
    <w:rsid w:val="5FA17648"/>
    <w:rsid w:val="600734E4"/>
    <w:rsid w:val="60513E90"/>
    <w:rsid w:val="607466A0"/>
    <w:rsid w:val="60BD64EB"/>
    <w:rsid w:val="60D801D1"/>
    <w:rsid w:val="6177129C"/>
    <w:rsid w:val="61A46A97"/>
    <w:rsid w:val="61F1635D"/>
    <w:rsid w:val="62206ADF"/>
    <w:rsid w:val="62DD7D21"/>
    <w:rsid w:val="63005324"/>
    <w:rsid w:val="630F26B0"/>
    <w:rsid w:val="65D97752"/>
    <w:rsid w:val="65ED4F2A"/>
    <w:rsid w:val="66911D59"/>
    <w:rsid w:val="66B07250"/>
    <w:rsid w:val="67B50D99"/>
    <w:rsid w:val="686C014B"/>
    <w:rsid w:val="68DB0208"/>
    <w:rsid w:val="692A3D9F"/>
    <w:rsid w:val="695011B1"/>
    <w:rsid w:val="69926A38"/>
    <w:rsid w:val="69AD798C"/>
    <w:rsid w:val="69BF098B"/>
    <w:rsid w:val="69C62985"/>
    <w:rsid w:val="69E116E9"/>
    <w:rsid w:val="6A1227E3"/>
    <w:rsid w:val="6B655327"/>
    <w:rsid w:val="6B68175F"/>
    <w:rsid w:val="6B9C7099"/>
    <w:rsid w:val="6C085287"/>
    <w:rsid w:val="6C0D23FB"/>
    <w:rsid w:val="6CA85897"/>
    <w:rsid w:val="6DE6616A"/>
    <w:rsid w:val="6E0F7A08"/>
    <w:rsid w:val="6F2B707F"/>
    <w:rsid w:val="70F70B24"/>
    <w:rsid w:val="71473612"/>
    <w:rsid w:val="718F7F65"/>
    <w:rsid w:val="71BA2F54"/>
    <w:rsid w:val="73F7554E"/>
    <w:rsid w:val="73FB6630"/>
    <w:rsid w:val="741B5F93"/>
    <w:rsid w:val="74E76DCD"/>
    <w:rsid w:val="75AA10CA"/>
    <w:rsid w:val="75DD70A5"/>
    <w:rsid w:val="75F80CF3"/>
    <w:rsid w:val="76BC266F"/>
    <w:rsid w:val="76E00627"/>
    <w:rsid w:val="76E71522"/>
    <w:rsid w:val="770F2355"/>
    <w:rsid w:val="774B046B"/>
    <w:rsid w:val="77ED6F44"/>
    <w:rsid w:val="77F2017E"/>
    <w:rsid w:val="78F03F96"/>
    <w:rsid w:val="79232399"/>
    <w:rsid w:val="794D4DD4"/>
    <w:rsid w:val="796E7CD8"/>
    <w:rsid w:val="7A121319"/>
    <w:rsid w:val="7A67777E"/>
    <w:rsid w:val="7A902BE2"/>
    <w:rsid w:val="7AEA5A84"/>
    <w:rsid w:val="7B34797E"/>
    <w:rsid w:val="7C3E50B0"/>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6">
    <w:name w:val="WPSOffice手动目录 1"/>
    <w:qFormat/>
    <w:uiPriority w:val="0"/>
    <w:rPr>
      <w:rFonts w:ascii="Times New Roman" w:hAnsi="Times New Roman" w:eastAsia="宋体" w:cs="Times New Roman"/>
      <w:lang w:val="en-US" w:eastAsia="zh-CN" w:bidi="ug-CN"/>
    </w:rPr>
  </w:style>
  <w:style w:type="character" w:customStyle="1" w:styleId="17">
    <w:name w:val="批注框文本 字符"/>
    <w:basedOn w:val="12"/>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18FF0E-E8C9-4DFF-A749-3A2BCE3508B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41</Pages>
  <Words>12720</Words>
  <Characters>14569</Characters>
  <Lines>197</Lines>
  <Paragraphs>55</Paragraphs>
  <TotalTime>11</TotalTime>
  <ScaleCrop>false</ScaleCrop>
  <LinksUpToDate>false</LinksUpToDate>
  <CharactersWithSpaces>14665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宋宋~</cp:lastModifiedBy>
  <dcterms:modified xsi:type="dcterms:W3CDTF">2024-10-13T18:22:20Z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7CC12A05E5C6481684D54C21AAB8FEC0_13</vt:lpwstr>
  </property>
</Properties>
</file>