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522" w:firstLineChars="100"/>
        <w:jc w:val="both"/>
        <w:textAlignment w:val="auto"/>
        <w:rPr>
          <w:rFonts w:hint="eastAsia" w:ascii="宋体" w:hAnsi="宋体" w:eastAsia="宋体" w:cs="Arial"/>
          <w:b/>
          <w:bCs/>
          <w:sz w:val="52"/>
          <w:szCs w:val="52"/>
        </w:rPr>
      </w:pPr>
      <w:r>
        <w:rPr>
          <w:rFonts w:hint="eastAsia" w:ascii="宋体" w:hAnsi="宋体" w:eastAsia="宋体" w:cs="Arial"/>
          <w:b/>
          <w:bCs/>
          <w:sz w:val="52"/>
          <w:szCs w:val="52"/>
        </w:rPr>
        <w:t>信息网络软件购置更新及业务保障</w:t>
      </w:r>
    </w:p>
    <w:p>
      <w:pPr>
        <w:pageBreakBefore w:val="0"/>
        <w:kinsoku/>
        <w:wordWrap/>
        <w:overflowPunct/>
        <w:topLinePunct w:val="0"/>
        <w:autoSpaceDE/>
        <w:autoSpaceDN/>
        <w:bidi w:val="0"/>
        <w:adjustRightInd/>
        <w:snapToGrid/>
        <w:spacing w:line="560" w:lineRule="exact"/>
        <w:ind w:firstLine="2088" w:firstLineChars="400"/>
        <w:jc w:val="both"/>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项目名称：信息网络软件购置更新及业务保障项目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实施单位（公章）：新疆巴音郭楞蒙古自治州住房公积金管理中心</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主管部门（公章）：新疆巴音郭楞蒙古自治州住房公积金管理中心</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邢静</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7</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0" w:name="_Toc68703827"/>
      <w:r>
        <w:rPr>
          <w:rFonts w:hint="eastAsia" w:ascii="宋体" w:hAnsi="宋体" w:eastAsia="宋体" w:cs="Times New Roman"/>
          <w:sz w:val="32"/>
          <w:szCs w:val="32"/>
          <w:lang w:val="en-US" w:eastAsia="zh-CN"/>
        </w:rPr>
        <w:t>一、基本情况</w:t>
      </w:r>
      <w:bookmarkEnd w:id="0"/>
    </w:p>
    <w:p>
      <w:pPr>
        <w:spacing w:line="560" w:lineRule="exact"/>
        <w:ind w:firstLine="643" w:firstLineChars="200"/>
        <w:rPr>
          <w:rFonts w:hint="eastAsia" w:eastAsia="楷体_GB2312"/>
          <w:b/>
          <w:bCs/>
          <w:sz w:val="32"/>
          <w:szCs w:val="32"/>
          <w:lang w:val="en-US" w:eastAsia="zh-CN"/>
        </w:rPr>
      </w:pPr>
      <w:bookmarkStart w:id="1" w:name="_Toc68703828"/>
      <w:r>
        <w:rPr>
          <w:rFonts w:hint="eastAsia" w:eastAsia="楷体_GB2312"/>
          <w:b/>
          <w:bCs/>
          <w:sz w:val="32"/>
          <w:szCs w:val="32"/>
          <w:lang w:val="en-US" w:eastAsia="zh-CN"/>
        </w:rPr>
        <w:t>（一）项目概况</w:t>
      </w:r>
      <w:bookmarkEnd w:id="1"/>
    </w:p>
    <w:p>
      <w:pPr>
        <w:spacing w:line="560" w:lineRule="exact"/>
        <w:ind w:firstLine="643" w:firstLineChars="200"/>
        <w:rPr>
          <w:rFonts w:hint="eastAsia" w:eastAsia="仿宋_GB2312"/>
          <w:b/>
          <w:bCs/>
          <w:sz w:val="32"/>
          <w:szCs w:val="32"/>
          <w:lang w:val="en-US" w:eastAsia="zh-CN"/>
        </w:rPr>
      </w:pPr>
      <w:r>
        <w:rPr>
          <w:rFonts w:hint="eastAsia" w:eastAsia="仿宋_GB2312"/>
          <w:b/>
          <w:bCs/>
          <w:sz w:val="32"/>
          <w:szCs w:val="32"/>
          <w:lang w:val="en-US" w:eastAsia="zh-CN"/>
        </w:rPr>
        <w:t>1.项目背景，主要内容及实施情况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（1）项目背景</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自治区住建厅监管处统一住房公积金服务系统“双贯标”建设要求，自治区住建厅进行全疆公积金系统统招分签，用于住房公积金缴存职工对住房公积金政策咨询、办理业务等方面及中心网络安全和日常维护。为广大缴存职工提供了便捷、优质、高效的服务，实现全疆数据共享。</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（2）主要内容及实施情况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内容：通过开展住房公积金信息系统和综合服务平台的上线，实现政策、业务、资金、系统四统一，通过网络安全建设，提升巴州住房公积金信息化建设水平和风险防控能力，促进全州住房公积金业务数据体系的科学化、标准化、规范化建设，提高了巴州住房公积金服务水平和管理效率。为保障日常工作的运行，住房公积金与人力资源公司签订了派遣服务协议，以确保日常工作顺利进行。</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实施情况：</w:t>
      </w:r>
      <w:r>
        <w:rPr>
          <w:rFonts w:hint="eastAsia" w:ascii="仿宋_GB2312" w:hAnsi="仿宋_GB2312" w:eastAsia="仿宋_GB2312" w:cs="仿宋_GB2312"/>
          <w:sz w:val="32"/>
          <w:szCs w:val="32"/>
          <w:lang w:val="zh-CN" w:eastAsia="zh-CN"/>
        </w:rPr>
        <w:t>新疆巴音郭楞蒙古自治州住房公积金管理中心已更新维护系统平台数量</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zh-CN" w:eastAsia="zh-CN"/>
        </w:rPr>
        <w:t>个、信息业务专线数量2条，行业内宣传材料制作</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zh-CN" w:eastAsia="zh-CN"/>
        </w:rPr>
        <w:t>批次，及时发放</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lang w:val="zh-CN" w:eastAsia="zh-CN"/>
        </w:rPr>
        <w:t>位聘用人员工资，以确保工作效率；系统平台故障修复处理及时且验收合格，系统和网络正常运行，提升巴州住房公积金信息化建设水平和风险防控能力，促进全州住房公积金业务数据体系的科学化、标准化、规范化建设，提高了巴州住房公积金服务水平和管理效率</w:t>
      </w:r>
      <w:r>
        <w:rPr>
          <w:rFonts w:hint="eastAsia" w:ascii="仿宋_GB2312" w:hAnsi="仿宋_GB2312" w:eastAsia="仿宋_GB2312" w:cs="仿宋_GB2312"/>
          <w:sz w:val="32"/>
          <w:szCs w:val="32"/>
          <w:lang w:val="en-US" w:eastAsia="zh-CN"/>
        </w:rPr>
        <w:t>。</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2.资金投入和使用情况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（1）资金投入情况：该项目年初预算数911.7万元，全年预算数911.7万元，实际总投入911.7万元，该项目资金已全部落实到位，资金来源为本级财政拨款。</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（2）资金使用情况：该项目年初预算数911.7万元，全年预算数911.7万元，全年执行数852.14万元，预算执行率为93.47%，用于：</w:t>
      </w:r>
      <w:r>
        <w:rPr>
          <w:rFonts w:hint="eastAsia" w:ascii="仿宋_GB2312" w:hAnsi="仿宋_GB2312" w:eastAsia="仿宋_GB2312" w:cs="仿宋_GB2312"/>
          <w:sz w:val="32"/>
          <w:szCs w:val="32"/>
          <w:lang w:val="zh-CN" w:eastAsia="zh-CN"/>
        </w:rPr>
        <w:t>401.64万元用于更新维护系统平台；50万元行业内宣传；400.</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val="zh-CN" w:eastAsia="zh-CN"/>
        </w:rPr>
        <w:t>万元用于发放住房公积金管理中心聘用人员工资费用</w:t>
      </w:r>
      <w:r>
        <w:rPr>
          <w:rFonts w:hint="eastAsia" w:ascii="仿宋_GB2312" w:hAnsi="仿宋_GB2312" w:eastAsia="仿宋_GB2312" w:cs="仿宋_GB2312"/>
          <w:sz w:val="32"/>
          <w:szCs w:val="32"/>
          <w:lang w:val="en-US" w:eastAsia="zh-CN"/>
        </w:rPr>
        <w:t>。</w:t>
      </w:r>
    </w:p>
    <w:p>
      <w:pPr>
        <w:spacing w:line="560" w:lineRule="exact"/>
        <w:ind w:firstLine="643" w:firstLineChars="200"/>
        <w:rPr>
          <w:rFonts w:hint="default" w:eastAsia="楷体_GB2312"/>
          <w:b/>
          <w:bCs/>
          <w:sz w:val="32"/>
          <w:szCs w:val="32"/>
          <w:lang w:val="en-US" w:eastAsia="zh-CN"/>
        </w:rPr>
      </w:pPr>
      <w:bookmarkStart w:id="2" w:name="_Toc68703829"/>
      <w:r>
        <w:rPr>
          <w:rFonts w:hint="eastAsia" w:eastAsia="楷体_GB2312"/>
          <w:b/>
          <w:bCs/>
          <w:sz w:val="32"/>
          <w:szCs w:val="32"/>
          <w:lang w:val="en-US" w:eastAsia="zh-CN"/>
        </w:rPr>
        <w:t>（二）项目绩效目标</w:t>
      </w:r>
      <w:bookmarkEnd w:id="2"/>
      <w:r>
        <w:rPr>
          <w:rFonts w:hint="eastAsia" w:eastAsia="楷体_GB2312"/>
          <w:b/>
          <w:bCs/>
          <w:sz w:val="32"/>
          <w:szCs w:val="32"/>
          <w:lang w:val="en-US" w:eastAsia="zh-CN"/>
        </w:rPr>
        <w:t>，包括总体目标和阶段性目标</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1.总体目标：</w:t>
      </w:r>
      <w:r>
        <w:rPr>
          <w:rFonts w:hint="eastAsia" w:ascii="仿宋_GB2312" w:hAnsi="仿宋_GB2312" w:eastAsia="仿宋_GB2312" w:cs="仿宋_GB2312"/>
          <w:sz w:val="32"/>
          <w:szCs w:val="32"/>
          <w:lang w:val="zh-CN" w:eastAsia="zh-CN"/>
        </w:rPr>
        <w:t>目标</w:t>
      </w:r>
      <w:r>
        <w:rPr>
          <w:rFonts w:hint="eastAsia" w:ascii="仿宋_GB2312" w:hAnsi="仿宋_GB2312" w:eastAsia="仿宋_GB2312" w:cs="仿宋_GB2312"/>
          <w:sz w:val="32"/>
          <w:szCs w:val="32"/>
          <w:lang w:val="en-US" w:eastAsia="zh-CN"/>
        </w:rPr>
        <w:t>1.为实现全疆住房公积金管理、服务、监督三大系统的统一，为广大缴存职工提供便捷、优质、高效的服务，我中心更新维护系统平台4个，信息业务专线数量2条，支付各个平台及软件驻场人员费用，更新维护系统平台资金额不超过453.7万元，系统平台故障及时修复，确保系统、平台、软件及设备正常运行，提升了风险防控能力。行业内宣传材料制作1批次，宣传成本控制在50万元，提高行业宣传知晓率。</w:t>
      </w:r>
      <w:r>
        <w:rPr>
          <w:rFonts w:hint="eastAsia" w:ascii="仿宋_GB2312" w:hAnsi="仿宋_GB2312" w:eastAsia="仿宋_GB2312" w:cs="仿宋_GB2312"/>
          <w:sz w:val="32"/>
          <w:szCs w:val="32"/>
          <w:lang w:val="zh-CN" w:eastAsia="zh-CN"/>
        </w:rPr>
        <w:t>目标</w:t>
      </w:r>
      <w:r>
        <w:rPr>
          <w:rFonts w:hint="eastAsia" w:ascii="仿宋_GB2312" w:hAnsi="仿宋_GB2312" w:eastAsia="仿宋_GB2312" w:cs="仿宋_GB2312"/>
          <w:sz w:val="32"/>
          <w:szCs w:val="32"/>
          <w:lang w:val="en-US" w:eastAsia="zh-CN"/>
        </w:rPr>
        <w:t>2.为保障日常工作的运行，住房公积金管理中心与人力资源公司签订了派遣服务协议，本年度聘用人员在50人以上，及时发放聘用人员工资12次，聘用人员资金数控制在408万元，以提高单位工作效率。</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2.阶段性目标：</w:t>
      </w:r>
      <w:r>
        <w:rPr>
          <w:rFonts w:hint="eastAsia" w:ascii="仿宋_GB2312" w:hAnsi="仿宋_GB2312" w:eastAsia="仿宋_GB2312" w:cs="仿宋_GB2312"/>
          <w:sz w:val="32"/>
          <w:szCs w:val="32"/>
          <w:lang w:val="zh-CN" w:eastAsia="zh-CN"/>
        </w:rPr>
        <w:t>住房公积金管理中心为缴存职工对住房公积金政策咨询、办理业务等方面；</w:t>
      </w:r>
      <w:r>
        <w:rPr>
          <w:rFonts w:hint="eastAsia" w:ascii="仿宋_GB2312" w:hAnsi="仿宋_GB2312" w:eastAsia="仿宋_GB2312" w:cs="仿宋_GB2312"/>
          <w:sz w:val="32"/>
          <w:szCs w:val="32"/>
          <w:lang w:val="en-US" w:eastAsia="zh-CN"/>
        </w:rPr>
        <w:t>制作行业内宣传材料，</w:t>
      </w:r>
      <w:r>
        <w:rPr>
          <w:rFonts w:hint="eastAsia" w:ascii="仿宋_GB2312" w:hAnsi="仿宋_GB2312" w:eastAsia="仿宋_GB2312" w:cs="仿宋_GB2312"/>
          <w:sz w:val="32"/>
          <w:szCs w:val="32"/>
          <w:lang w:val="zh-CN" w:eastAsia="zh-CN"/>
        </w:rPr>
        <w:t>上半年完成更新维护系统平台和信息业务专线，并及时发放</w:t>
      </w:r>
      <w:r>
        <w:rPr>
          <w:rFonts w:hint="eastAsia" w:ascii="仿宋_GB2312" w:hAnsi="仿宋_GB2312" w:eastAsia="仿宋_GB2312" w:cs="仿宋_GB2312"/>
          <w:sz w:val="32"/>
          <w:szCs w:val="32"/>
          <w:lang w:val="en-US" w:eastAsia="zh-CN"/>
        </w:rPr>
        <w:t>1-6月份</w:t>
      </w:r>
      <w:r>
        <w:rPr>
          <w:rFonts w:hint="eastAsia" w:ascii="仿宋_GB2312" w:hAnsi="仿宋_GB2312" w:eastAsia="仿宋_GB2312" w:cs="仿宋_GB2312"/>
          <w:sz w:val="32"/>
          <w:szCs w:val="32"/>
          <w:lang w:val="zh-CN" w:eastAsia="zh-CN"/>
        </w:rPr>
        <w:t>聘用人员工资；下半年维护平台正常运行，发放</w:t>
      </w:r>
      <w:r>
        <w:rPr>
          <w:rFonts w:hint="eastAsia" w:ascii="仿宋_GB2312" w:hAnsi="仿宋_GB2312" w:eastAsia="仿宋_GB2312" w:cs="仿宋_GB2312"/>
          <w:sz w:val="32"/>
          <w:szCs w:val="32"/>
          <w:lang w:val="en-US" w:eastAsia="zh-CN"/>
        </w:rPr>
        <w:t>7-12月份</w:t>
      </w:r>
      <w:r>
        <w:rPr>
          <w:rFonts w:hint="eastAsia" w:ascii="仿宋_GB2312" w:hAnsi="仿宋_GB2312" w:eastAsia="仿宋_GB2312" w:cs="仿宋_GB2312"/>
          <w:sz w:val="32"/>
          <w:szCs w:val="32"/>
          <w:lang w:val="zh-CN" w:eastAsia="zh-CN"/>
        </w:rPr>
        <w:t>聘用人员工资。需保障系统、设备和网络正常运行，信息共享，提升巴州住房公积金信息化建设水平和风险防控能力，促进全州住房公积金业务数据体系的科学化、标准化、规范化建设</w:t>
      </w:r>
      <w:r>
        <w:rPr>
          <w:rFonts w:hint="eastAsia" w:ascii="仿宋_GB2312" w:hAnsi="仿宋_GB2312" w:eastAsia="仿宋_GB2312" w:cs="仿宋_GB2312"/>
          <w:sz w:val="32"/>
          <w:szCs w:val="32"/>
          <w:lang w:val="en-US"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3" w:name="_Toc68703830"/>
      <w:r>
        <w:rPr>
          <w:rFonts w:hint="eastAsia" w:ascii="宋体" w:hAnsi="宋体" w:eastAsia="宋体" w:cs="Times New Roman"/>
          <w:sz w:val="32"/>
          <w:szCs w:val="32"/>
          <w:lang w:val="en-US" w:eastAsia="zh-CN"/>
        </w:rPr>
        <w:t>二、绩效评价工作开展情况</w:t>
      </w:r>
      <w:bookmarkEnd w:id="3"/>
    </w:p>
    <w:p>
      <w:pPr>
        <w:spacing w:line="560" w:lineRule="exact"/>
        <w:ind w:firstLine="643" w:firstLineChars="200"/>
        <w:rPr>
          <w:rFonts w:hint="default" w:eastAsia="楷体_GB2312"/>
          <w:b/>
          <w:bCs/>
          <w:sz w:val="32"/>
          <w:szCs w:val="32"/>
          <w:lang w:val="en-US" w:eastAsia="zh-CN"/>
        </w:rPr>
      </w:pPr>
      <w:bookmarkStart w:id="4" w:name="_Toc68703831"/>
      <w:r>
        <w:rPr>
          <w:rFonts w:hint="eastAsia" w:eastAsia="楷体_GB2312"/>
          <w:b/>
          <w:bCs/>
          <w:sz w:val="32"/>
          <w:szCs w:val="32"/>
          <w:lang w:val="en-US" w:eastAsia="zh-CN"/>
        </w:rPr>
        <w:t>（一）绩效评价目的、对象和范围</w:t>
      </w:r>
      <w:bookmarkEnd w:id="4"/>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1.绩效评价目的：</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新疆巴音郭楞蒙古自治州住房公积金管理中心</w:t>
      </w:r>
      <w:r>
        <w:rPr>
          <w:rFonts w:hint="eastAsia" w:ascii="仿宋_GB2312" w:hAnsi="仿宋_GB2312" w:eastAsia="仿宋_GB2312" w:cs="仿宋_GB2312"/>
          <w:sz w:val="32"/>
          <w:szCs w:val="32"/>
          <w:lang w:val="zh-CN" w:eastAsia="zh-CN"/>
        </w:rPr>
        <w:t>通过绩效评价，客观地评判项目的管理绩效，了解和掌握信息网络软件购置更新及业务保障项目经费的具体情况，评价该项目资金安排的科学性、合理性、规范性和资金的使用成效，及时总结项目管理经验，完善项目管理办法，提高项目管理水平和资金使用效益。促使我</w:t>
      </w:r>
      <w:r>
        <w:rPr>
          <w:rFonts w:hint="eastAsia" w:ascii="仿宋_GB2312" w:hAnsi="仿宋_GB2312" w:eastAsia="仿宋_GB2312" w:cs="仿宋_GB2312"/>
          <w:sz w:val="32"/>
          <w:szCs w:val="32"/>
          <w:lang w:val="en-US" w:eastAsia="zh-CN"/>
        </w:rPr>
        <w:t>中心</w:t>
      </w:r>
      <w:r>
        <w:rPr>
          <w:rFonts w:hint="eastAsia" w:ascii="仿宋_GB2312" w:hAnsi="仿宋_GB2312" w:eastAsia="仿宋_GB2312" w:cs="仿宋_GB2312"/>
          <w:sz w:val="32"/>
          <w:szCs w:val="32"/>
          <w:lang w:val="zh-CN" w:eastAsia="zh-CN"/>
        </w:rPr>
        <w:t>根据绩效评价中发现的问题，认真加以整改，及时调整和完善单位的工作计划并加强项目</w:t>
      </w:r>
      <w:r>
        <w:rPr>
          <w:rFonts w:hint="eastAsia" w:ascii="仿宋_GB2312" w:hAnsi="仿宋_GB2312" w:eastAsia="仿宋_GB2312" w:cs="仿宋_GB2312"/>
          <w:sz w:val="32"/>
          <w:szCs w:val="32"/>
          <w:lang w:val="en-US" w:eastAsia="zh-CN"/>
        </w:rPr>
        <w:t>绩效</w:t>
      </w:r>
      <w:r>
        <w:rPr>
          <w:rFonts w:hint="eastAsia" w:ascii="仿宋_GB2312" w:hAnsi="仿宋_GB2312" w:eastAsia="仿宋_GB2312" w:cs="仿宋_GB2312"/>
          <w:sz w:val="32"/>
          <w:szCs w:val="32"/>
          <w:lang w:val="zh-CN" w:eastAsia="zh-CN"/>
        </w:rPr>
        <w:t>管理，同时为项目后续资金投入、分配和管理提供决策依据。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2.绩效评价对象：</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3.绩效评价范围：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从项目决策（包括绩效目标、决策过程）、项目管理（包括项目资金、项目实施）、项目产出（包括项目产出数量、产出质量、产出时效和产出成本）项目效益四个维度进行信息网络软件购置更新及业务保障项目评价，评价核心为资金的支出完成情况和效果。</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5" w:name="_Toc68703832"/>
      <w:r>
        <w:rPr>
          <w:rFonts w:hint="eastAsia" w:ascii="Times New Roman" w:hAnsi="Times New Roman" w:eastAsia="楷体_GB2312" w:cs="Times New Roman"/>
          <w:b/>
          <w:bCs/>
          <w:sz w:val="32"/>
          <w:szCs w:val="32"/>
          <w:lang w:val="en-US" w:eastAsia="zh-CN"/>
        </w:rPr>
        <w:t>（二）绩效评价原则、评价指标体系（附表说明）、评价方法、评价标准</w:t>
      </w:r>
      <w:bookmarkEnd w:id="5"/>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1.绩效评价原则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本次项目绩效评价遵循以下基本原则：</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（一）科学公正。本次项目支出绩效评价运用科学合理的方法，按照规范的程序，对项目绩效进行客观、公正的反映。新疆巴音郭楞蒙古自治州住房公积金管理中心在信息网络软件购置更新及业务保障项目评价中</w:t>
      </w:r>
      <w:r>
        <w:rPr>
          <w:rFonts w:hint="eastAsia" w:ascii="仿宋_GB2312" w:hAnsi="仿宋_GB2312" w:eastAsia="仿宋_GB2312" w:cs="仿宋_GB2312"/>
          <w:sz w:val="32"/>
          <w:szCs w:val="32"/>
          <w:lang w:val="zh-CN" w:eastAsia="zh-CN"/>
        </w:rPr>
        <w:t>根据相关政策、我单位发展规划、部门职责及年初预算资金分配测算依据等方面分析可得项目设立合理、实施过程规范。评价过程科学合理、公平公正</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统筹兼顾。本次项目支出绩效评价由本单位自主实施，即“谁支出、谁自评”。信息网络软件购置更新及业务保障项目由新疆巴音郭楞蒙古自治州住房公积金管理中心实施，并对项目实施情况进行单位自评，与相关科室的管理人员进行了沟通和交流，深入了解信息网络软件购置更新及业务保障项目资金的使用情况和项目完成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（三）激励约束。本次项目支出绩效评价结果与预算安排、政策调整、改进管理实质性挂钩，体现奖优罚劣和激励相容导向，有效要安排、低效要压减、无效要问责。</w:t>
      </w:r>
      <w:r>
        <w:rPr>
          <w:rFonts w:hint="eastAsia" w:ascii="仿宋_GB2312" w:hAnsi="仿宋_GB2312" w:eastAsia="仿宋_GB2312" w:cs="仿宋_GB2312"/>
          <w:sz w:val="32"/>
          <w:szCs w:val="32"/>
          <w:lang w:val="zh-CN" w:eastAsia="zh-CN"/>
        </w:rPr>
        <w:t>信息网络软件购置更新及业务保障项目严格按照预算安排实施，各科室部门从项目实施方案、项目预算、项目建设进度、项目成本、项目验收等环节，全过程对项目进行监管，明确分工，各司其职，抓好工作目标任务的落实完成，并向本单位主要领导报告，同时年中要求各科室对本科室绩效工作进行自查自评，存在问题及时整改，以推进项目建设和提高项目质量，以发挥资金使用效益。</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（四）公开透明。本次项目支出绩效评价结果已依法依规公开在巴音郭楞蒙古自治州人民政府网站上，并自觉接受社会监督。</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2、评价指标体系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绩效评价框架是开展绩效评价的核心。绩效评价框架包括评价准则、关键评价问题、评价指标、数据来源、数据收集方法等。指标体系建立过程如下：</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（1）确定评价指标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（2）确定权重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确定各个指标相对于项目总体绩效的权重分值。在绩效评价指标体系中，项目决策权重为25分，项目过程权重为15分，项目产出权重为40分，项目效益权重为20分。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（3）确定指标标准值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指标标准值是绩效评价指标的尺度，既要反映同类项目的先进水平，又要符合项目的实际绩效水平。具体采用计划标准等确定此次绩效评价指标标准值。</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zh-CN" w:eastAsia="zh-CN"/>
        </w:rPr>
        <w:t>具体评价指标体系详情见附件。</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3、评价方法</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绩效评价从项目决策、项目过程、项目产出、项目效益四个维度进行评价。评价对象为项目目标实施情况，评价核心为资金的支出完成情况和项目的产出效益。</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本次评价指标中，既有定性指标又有定量指标，各类指标因考核内容不同和客观标准不同存在较大差异，因此核定具体指标时采用了不同方法，具体评价方法如下：</w:t>
      </w:r>
      <w:r>
        <w:rPr>
          <w:rFonts w:hint="eastAsia" w:ascii="仿宋_GB2312" w:hAnsi="仿宋_GB2312" w:eastAsia="仿宋_GB2312" w:cs="仿宋_GB2312"/>
          <w:sz w:val="32"/>
          <w:szCs w:val="32"/>
          <w:lang w:val="en-US" w:eastAsia="zh-CN"/>
        </w:rPr>
        <w:t>本次信息网络软件购置更新及业务保障项目支出绩效自评采用比较法和公众评判法方法。原因是：比较法能通过对年初设置的三级指标内容与完成情况进行时对比，可以清楚明了体现出信息网络软件购置更新及业务保障项目实施情况，在此基础上进行评价。公众评判法通过公众问卷及抽样调查，了解平台使用人员、聘用人员满意度对项目实施的满意程度，通过这种直观的方式对信息网络软件购置更新及业务保障项目实施效果进行评判，评价绩效目标实现程度</w:t>
      </w:r>
      <w:r>
        <w:rPr>
          <w:rFonts w:hint="eastAsia" w:ascii="仿宋_GB2312" w:hAnsi="仿宋_GB2312" w:eastAsia="仿宋_GB2312" w:cs="仿宋_GB2312"/>
          <w:sz w:val="32"/>
          <w:szCs w:val="32"/>
          <w:lang w:val="zh-CN" w:eastAsia="zh-CN"/>
        </w:rPr>
        <w:t>。</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4.评价标准</w:t>
      </w:r>
    </w:p>
    <w:p>
      <w:pPr>
        <w:shd w:val="clear"/>
        <w:spacing w:line="600" w:lineRule="exact"/>
        <w:ind w:firstLine="640" w:firstLineChars="200"/>
        <w:outlineLvl w:val="0"/>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zh-CN" w:eastAsia="zh-CN"/>
        </w:rPr>
        <w:t>绩效评价标准通常包括计划标准、行业标准、历史标准等，用于对绩效指标完成情况进行比较、分析、评价。本次评价主要采用了</w:t>
      </w:r>
      <w:r>
        <w:rPr>
          <w:rFonts w:hint="eastAsia" w:ascii="仿宋_GB2312" w:hAnsi="仿宋_GB2312" w:eastAsia="仿宋_GB2312" w:cs="仿宋_GB2312"/>
          <w:sz w:val="32"/>
          <w:szCs w:val="32"/>
          <w:lang w:val="en-US" w:eastAsia="zh-CN"/>
        </w:rPr>
        <w:t>计划标准和历史标准，原因是：该项目设置年初绩效目标申报表时预先制定工作计划，同时参照历史数据，根据该项目的年度计划确定三级指标。采用计划标准、历史标准</w:t>
      </w:r>
      <w:r>
        <w:rPr>
          <w:rFonts w:hint="eastAsia" w:ascii="仿宋_GB2312" w:hAnsi="仿宋_GB2312" w:eastAsia="仿宋_GB2312" w:cs="仿宋_GB2312"/>
          <w:sz w:val="32"/>
          <w:szCs w:val="32"/>
          <w:lang w:val="zh-CN" w:eastAsia="zh-CN"/>
        </w:rPr>
        <w:t>对项目实施带来的产出和效益进行对比核实，</w:t>
      </w:r>
      <w:r>
        <w:rPr>
          <w:rFonts w:hint="eastAsia" w:ascii="仿宋_GB2312" w:hAnsi="仿宋_GB2312" w:eastAsia="仿宋_GB2312" w:cs="仿宋_GB2312"/>
          <w:sz w:val="32"/>
          <w:szCs w:val="32"/>
          <w:lang w:val="en-US" w:eastAsia="zh-CN"/>
        </w:rPr>
        <w:t>可提高预算编制和预算额度测算准确率，使评价结果更加科学真实</w:t>
      </w:r>
      <w:r>
        <w:rPr>
          <w:rFonts w:hint="eastAsia" w:ascii="仿宋_GB2312" w:hAnsi="仿宋_GB2312" w:eastAsia="仿宋_GB2312" w:cs="仿宋_GB2312"/>
          <w:sz w:val="32"/>
          <w:szCs w:val="32"/>
          <w:lang w:val="zh-CN" w:eastAsia="zh-CN"/>
        </w:rPr>
        <w:t>。</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6" w:name="_Toc68703833"/>
      <w:r>
        <w:rPr>
          <w:rFonts w:hint="eastAsia" w:ascii="Times New Roman" w:hAnsi="Times New Roman" w:eastAsia="楷体_GB2312" w:cs="Times New Roman"/>
          <w:b/>
          <w:bCs/>
          <w:sz w:val="32"/>
          <w:szCs w:val="32"/>
          <w:lang w:val="en-US" w:eastAsia="zh-CN"/>
        </w:rPr>
        <w:t>（三）绩效评价工作过程</w:t>
      </w:r>
      <w:bookmarkEnd w:id="6"/>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bookmarkStart w:id="7" w:name="_Toc68703834"/>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sz w:val="32"/>
          <w:szCs w:val="32"/>
          <w:lang w:val="zh-CN" w:eastAsia="zh-CN"/>
        </w:rPr>
        <w:t>前期准备。</w:t>
      </w:r>
      <w:r>
        <w:rPr>
          <w:rFonts w:hint="eastAsia" w:ascii="仿宋_GB2312" w:hAnsi="仿宋_GB2312" w:eastAsia="仿宋_GB2312" w:cs="仿宋_GB2312"/>
          <w:sz w:val="32"/>
          <w:szCs w:val="32"/>
          <w:lang w:val="zh-CN" w:eastAsia="zh-CN"/>
        </w:rPr>
        <w:t>新疆巴音郭楞蒙古自治州住房公积金管理中心成立评价工作组，</w:t>
      </w:r>
      <w:r>
        <w:rPr>
          <w:rFonts w:hint="eastAsia" w:ascii="仿宋_GB2312" w:hAnsi="仿宋_GB2312" w:eastAsia="仿宋_GB2312" w:cs="仿宋_GB2312"/>
          <w:sz w:val="32"/>
          <w:szCs w:val="32"/>
          <w:lang w:val="en-US" w:eastAsia="zh-CN"/>
        </w:rPr>
        <w:t>做好</w:t>
      </w:r>
      <w:r>
        <w:rPr>
          <w:rFonts w:hint="eastAsia" w:ascii="仿宋_GB2312" w:hAnsi="仿宋_GB2312" w:eastAsia="仿宋_GB2312" w:cs="仿宋_GB2312"/>
          <w:sz w:val="32"/>
          <w:szCs w:val="32"/>
          <w:lang w:val="zh-CN" w:eastAsia="zh-CN"/>
        </w:rPr>
        <w:t>前期准备工作，评价组通过前期调研确定绩效评价信息网络软件购置更新及业务保障项目，本次评价范围从决策、过程、产出和效益四个方面，包括项目具体的数量指标、质量指标、时效指标、成本指标、社会效益指标、可持续影响指标及满意度指标。确定了评价的目的，确保系统、平台及软件正常运行，提升风险防控能力，提高新疆住房公积金服务水平和管理效率提供了强有力的技术支撑。绩效自评采用比较法和公众评判法方法，以及科学公正、统筹兼顾、激励约束和公开透明的评价原则，根据项目的内容制定了信息网络软件购置更新及业务保障项目评价指标体系，接着确定现场和非现场评价范围，最后制定评价实施方案并进行论证。</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sz w:val="32"/>
          <w:szCs w:val="32"/>
          <w:lang w:val="zh-CN" w:eastAsia="zh-CN"/>
        </w:rPr>
        <w:t>组织实施。</w:t>
      </w:r>
      <w:r>
        <w:rPr>
          <w:rFonts w:hint="eastAsia" w:ascii="仿宋_GB2312" w:hAnsi="仿宋_GB2312" w:eastAsia="仿宋_GB2312" w:cs="仿宋_GB2312"/>
          <w:sz w:val="32"/>
          <w:szCs w:val="32"/>
          <w:lang w:val="zh-CN" w:eastAsia="zh-CN"/>
        </w:rPr>
        <w:t>信息网络软件购置更新及业务保障项目评价工作进入实施阶段，评价组收集绩效评价相关的合同、财务资料和档案资料，并通过现场访谈，与项目实施负责人沟通，了解资金的内容、资金使用方向和项目的实施带来的效益以及是否达到预期目标等情况，评价组通过整理分析形成初步结论。</w:t>
      </w:r>
    </w:p>
    <w:p>
      <w:pPr>
        <w:shd w:val="clear"/>
        <w:spacing w:line="600" w:lineRule="exact"/>
        <w:ind w:firstLine="643" w:firstLineChars="200"/>
        <w:outlineLvl w:val="0"/>
        <w:rPr>
          <w:rFonts w:hint="eastAsia" w:ascii="仿宋_GB2312" w:hAnsi="仿宋_GB2312" w:eastAsia="仿宋_GB2312" w:cs="仿宋_GB2312"/>
          <w:sz w:val="32"/>
          <w:szCs w:val="32"/>
          <w:lang w:val="zh-CN" w:eastAsia="zh-CN"/>
        </w:rPr>
      </w:pP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sz w:val="32"/>
          <w:szCs w:val="32"/>
          <w:lang w:val="zh-CN" w:eastAsia="zh-CN"/>
        </w:rPr>
        <w:t>分析评价。</w:t>
      </w:r>
      <w:r>
        <w:rPr>
          <w:rFonts w:hint="eastAsia" w:ascii="仿宋_GB2312" w:hAnsi="仿宋_GB2312" w:eastAsia="仿宋_GB2312" w:cs="仿宋_GB2312"/>
          <w:sz w:val="32"/>
          <w:szCs w:val="32"/>
          <w:lang w:val="zh-CN" w:eastAsia="zh-CN"/>
        </w:rPr>
        <w:t>根据收集梳理的资料围绕信息网络软件购置更新及业务保障项目立项、资金落实、业务管理、财务管理、项目产出、项目效益等内容，按照绩效科学公正、统筹兼顾、激励约束和公开透明评价原则，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r>
        <w:rPr>
          <w:rFonts w:hint="eastAsia" w:ascii="宋体" w:hAnsi="宋体" w:eastAsia="宋体" w:cs="Times New Roman"/>
          <w:sz w:val="32"/>
          <w:szCs w:val="32"/>
          <w:lang w:val="en-US" w:eastAsia="zh-CN"/>
        </w:rPr>
        <w:t>三、综合评价情况及评价结论</w:t>
      </w:r>
      <w:bookmarkEnd w:id="7"/>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8" w:name="_Toc68703835"/>
      <w:r>
        <w:rPr>
          <w:rFonts w:hint="eastAsia" w:ascii="Times New Roman" w:hAnsi="Times New Roman" w:eastAsia="楷体_GB2312" w:cs="Times New Roman"/>
          <w:b/>
          <w:bCs/>
          <w:sz w:val="32"/>
          <w:szCs w:val="32"/>
          <w:lang w:val="en-US" w:eastAsia="zh-CN"/>
        </w:rPr>
        <w:t>（一）综合评价情况</w:t>
      </w:r>
      <w:bookmarkEnd w:id="8"/>
      <w:r>
        <w:rPr>
          <w:rFonts w:hint="eastAsia" w:ascii="Times New Roman" w:hAnsi="Times New Roman" w:eastAsia="楷体_GB2312" w:cs="Times New Roman"/>
          <w:b/>
          <w:bCs/>
          <w:sz w:val="32"/>
          <w:szCs w:val="32"/>
          <w:lang w:val="en-US" w:eastAsia="zh-CN"/>
        </w:rPr>
        <w:t>及评价结论</w:t>
      </w:r>
    </w:p>
    <w:p>
      <w:pPr>
        <w:shd w:val="clear"/>
        <w:spacing w:line="600" w:lineRule="exact"/>
        <w:ind w:firstLine="643" w:firstLineChars="200"/>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1.综合评价情况：</w:t>
      </w:r>
      <w:r>
        <w:rPr>
          <w:rFonts w:hint="eastAsia" w:ascii="仿宋_GB2312" w:hAnsi="仿宋_GB2312" w:eastAsia="仿宋_GB2312" w:cs="仿宋_GB2312"/>
          <w:sz w:val="32"/>
          <w:szCs w:val="32"/>
          <w:lang w:val="en-US" w:eastAsia="zh-CN"/>
        </w:rPr>
        <w:t>信息网络软件购置更新及业务保障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严格按照科学公正、统筹兼顾、激励约束、公开透明的绩效评价原则，采用比较法和公众评判法方法，坚持计划标准和历史标准，对本项目的立项、绩效目标、资金投入、资金管理、组织实施、产出数量、产出质量、产出时效、产出成本、项目效益进行了综合评价。</w:t>
      </w:r>
    </w:p>
    <w:p>
      <w:pPr>
        <w:spacing w:line="560" w:lineRule="exact"/>
        <w:ind w:firstLine="643" w:firstLineChars="200"/>
        <w:rPr>
          <w:rFonts w:hint="eastAsia" w:ascii="Times New Roman" w:hAnsi="Times New Roman" w:eastAsia="仿宋_GB2312" w:cs="Times New Roman"/>
          <w:b/>
          <w:bCs/>
          <w:sz w:val="32"/>
          <w:szCs w:val="32"/>
          <w:lang w:val="en-US" w:eastAsia="zh-CN"/>
        </w:rPr>
      </w:pPr>
      <w:bookmarkStart w:id="9" w:name="_Toc68703836"/>
      <w:r>
        <w:rPr>
          <w:rFonts w:hint="eastAsia" w:ascii="Times New Roman" w:hAnsi="Times New Roman" w:eastAsia="仿宋_GB2312" w:cs="Times New Roman"/>
          <w:b/>
          <w:bCs/>
          <w:sz w:val="32"/>
          <w:szCs w:val="32"/>
          <w:lang w:val="en-US" w:eastAsia="zh-CN"/>
        </w:rPr>
        <w:t>2.评价结论</w:t>
      </w:r>
      <w:bookmarkEnd w:id="9"/>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96.3分，属于“优”。其中，项目决策类指标权重为25分，得分为25分，得分率为 100%。项目过程类指标权重为15分，得分为14.8分，得分率为98.67%。项目产出类指标权重为40分，得分为36.5分，得分率为91.25%。项目效益类指标权重为20分，得分为20分，得分率为100%。</w:t>
      </w:r>
    </w:p>
    <w:p>
      <w:pPr>
        <w:spacing w:line="560" w:lineRule="exact"/>
        <w:ind w:firstLine="643" w:firstLineChars="200"/>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（二）相关评分表</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具体打分情况详见：附件1综合评分表。</w:t>
      </w:r>
    </w:p>
    <w:p>
      <w:pPr>
        <w:pageBreakBefore w:val="0"/>
        <w:kinsoku/>
        <w:wordWrap/>
        <w:overflowPunct/>
        <w:topLinePunct w:val="0"/>
        <w:autoSpaceDE/>
        <w:autoSpaceDN/>
        <w:bidi w:val="0"/>
        <w:adjustRightInd/>
        <w:snapToGrid/>
        <w:spacing w:line="560" w:lineRule="exact"/>
        <w:ind w:firstLine="640" w:firstLineChars="200"/>
        <w:jc w:val="both"/>
        <w:textAlignment w:val="auto"/>
        <w:rPr>
          <w:color w:val="auto"/>
          <w:sz w:val="32"/>
          <w:szCs w:val="32"/>
        </w:rPr>
      </w:pPr>
      <w:r>
        <w:rPr>
          <w:rFonts w:hint="eastAsia"/>
          <w:color w:val="auto"/>
          <w:sz w:val="32"/>
          <w:szCs w:val="32"/>
        </w:rPr>
        <w:t>信息网络软件购置更新及业务保障项目评价得分情况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15</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eastAsia="zh-CN"/>
              </w:rPr>
            </w:pPr>
            <w:r>
              <w:rPr>
                <w:rFonts w:hint="eastAsia"/>
                <w:color w:val="000000"/>
                <w:sz w:val="22"/>
              </w:rPr>
              <w:t>14.</w:t>
            </w:r>
            <w:r>
              <w:rPr>
                <w:rFonts w:hint="eastAsia"/>
                <w:color w:val="000000"/>
                <w:sz w:val="22"/>
                <w:lang w:val="en-US" w:eastAsia="zh-CN"/>
              </w:rPr>
              <w:t>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eastAsia="zh-CN"/>
              </w:rPr>
            </w:pPr>
            <w:r>
              <w:rPr>
                <w:rFonts w:hint="eastAsia"/>
                <w:color w:val="000000"/>
                <w:sz w:val="22"/>
              </w:rPr>
              <w:t>36.</w:t>
            </w:r>
            <w:r>
              <w:rPr>
                <w:rFonts w:hint="eastAsia"/>
                <w:color w:val="000000"/>
                <w:sz w:val="22"/>
                <w:lang w:val="en-US" w:eastAsia="zh-CN"/>
              </w:rPr>
              <w:t>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96.3</w:t>
            </w:r>
          </w:p>
        </w:tc>
      </w:tr>
    </w:tbl>
    <w:p>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0" w:name="_Toc68703837"/>
      <w:r>
        <w:rPr>
          <w:rFonts w:hint="eastAsia" w:ascii="宋体" w:hAnsi="宋体" w:eastAsia="宋体" w:cs="Times New Roman"/>
          <w:sz w:val="32"/>
          <w:szCs w:val="32"/>
          <w:lang w:val="en-US" w:eastAsia="zh-CN"/>
        </w:rPr>
        <w:t>四、绩效评价指标分析</w:t>
      </w:r>
      <w:bookmarkEnd w:id="10"/>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1" w:name="_Toc68703838"/>
      <w:r>
        <w:rPr>
          <w:rFonts w:hint="eastAsia" w:ascii="Times New Roman" w:hAnsi="Times New Roman" w:eastAsia="楷体_GB2312" w:cs="Times New Roman"/>
          <w:b/>
          <w:bCs/>
          <w:sz w:val="32"/>
          <w:szCs w:val="32"/>
          <w:lang w:val="en-US" w:eastAsia="zh-CN"/>
        </w:rPr>
        <w:t>（一）项目决策情况</w:t>
      </w:r>
      <w:bookmarkEnd w:id="11"/>
    </w:p>
    <w:p>
      <w:pPr>
        <w:spacing w:line="560" w:lineRule="exact"/>
        <w:ind w:firstLine="643" w:firstLineChars="200"/>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立项依据《关于加快推进全区住房公积金信息化建设工作的通知》新建金〔2017〕3号、《住房城乡建设部关于加快建设住房公积金综合服务平台的通知》建金〔2016〕14号、《住房城乡建设部办公厅关于保持住房公积金业务平稳运行有关问题的通知》建办金〔2017〕47号和住建部、自治区住建厅关于住房公积金系统”双贯标”要求，符合国家法律法规、国民经济发展规划，符合行业发展规划和政策要求。符合部门职责范围，属于部门履职所需，且属于公共财政支持范围，符合中央、地方事权支出责任划分原则，且不与相关部门同类项目或部门内部相关项目重复。</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此项权重分5分，得分5分。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信息网络软件购置更新及业务保障项目申请、设立过程符合相关要求，</w:t>
      </w:r>
      <w:r>
        <w:rPr>
          <w:rFonts w:hint="eastAsia" w:ascii="仿宋_GB2312" w:hAnsi="仿宋_GB2312" w:eastAsia="仿宋_GB2312" w:cs="仿宋_GB2312"/>
          <w:sz w:val="32"/>
          <w:szCs w:val="32"/>
          <w:lang w:val="en-US"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年初设立了项目绩效目标，与开展住房公积金信息系统和综合服务平台的上线，实现政策、业务、资金、系统四统一，通过网络安全建设，提升巴州住房公积金信息化建设水平和风险防控能力，促进全州住房公积金业务数据体系的科学化、标准化、规范化建设，提高巴州住房公积金服务水平和管理效率具有相关性，项目的预期产出效益和效果也均能符合正常的业绩水平，并且与预算确定的项目投资额或资金量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2" w:name="_Hlk68699917"/>
      <w:r>
        <w:rPr>
          <w:rFonts w:hint="eastAsia" w:ascii="仿宋_GB2312" w:hAnsi="仿宋_GB2312" w:eastAsia="仿宋_GB2312" w:cs="仿宋_GB2312"/>
          <w:sz w:val="32"/>
          <w:szCs w:val="32"/>
          <w:lang w:val="en-US" w:eastAsia="zh-CN"/>
        </w:rPr>
        <w:t>信息网络软件购置更新及业务保障项目将项目绩效目标细化分解为具体的绩效指标，一级指标共4条，二级指标共6条，三级指标共20条，其中量化指标条数共19条，所有绩效指标均通过清晰、可衡量的指标值予以体现，并且做到了与项目目标任务数或计划数相对应。</w:t>
      </w:r>
      <w:bookmarkEnd w:id="12"/>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5.预算编制科学性</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预算编制经过项目相关科室提供更新维护系统、平台数量和聘用人员人数科学测算。预算内容与项目内容匹配，预算额度测算依据充分，按照标准编制；预算确定的项目投资额或资金量与工作任务相匹配。</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pPr>
        <w:spacing w:line="560" w:lineRule="exact"/>
        <w:ind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6.资金分配合理性</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信息网络软件购置更新及业务保障项目预算资金分配依据充分，</w:t>
      </w:r>
      <w:r>
        <w:rPr>
          <w:rFonts w:hint="eastAsia" w:ascii="仿宋_GB2312" w:hAnsi="仿宋_GB2312" w:eastAsia="仿宋_GB2312" w:cs="仿宋_GB2312"/>
          <w:sz w:val="32"/>
          <w:szCs w:val="32"/>
          <w:lang w:val="zh-CN" w:eastAsia="zh-CN"/>
        </w:rPr>
        <w:t>453.7万元用于更新维护系统平台、50万元用于宣传、</w:t>
      </w:r>
      <w:r>
        <w:rPr>
          <w:rFonts w:hint="eastAsia" w:ascii="仿宋_GB2312" w:hAnsi="仿宋_GB2312" w:eastAsia="仿宋_GB2312" w:cs="仿宋_GB2312"/>
          <w:sz w:val="32"/>
          <w:szCs w:val="32"/>
          <w:lang w:val="en-US" w:eastAsia="zh-CN"/>
        </w:rPr>
        <w:t>408</w:t>
      </w:r>
      <w:r>
        <w:rPr>
          <w:rFonts w:hint="eastAsia" w:ascii="仿宋_GB2312" w:hAnsi="仿宋_GB2312" w:eastAsia="仿宋_GB2312" w:cs="仿宋_GB2312"/>
          <w:sz w:val="32"/>
          <w:szCs w:val="32"/>
          <w:lang w:val="zh-CN" w:eastAsia="zh-CN"/>
        </w:rPr>
        <w:t>万元用于发放住房公积金管理中心聘用人员工资费用。</w:t>
      </w:r>
      <w:r>
        <w:rPr>
          <w:rFonts w:hint="eastAsia" w:ascii="仿宋_GB2312" w:hAnsi="仿宋_GB2312" w:eastAsia="仿宋_GB2312" w:cs="仿宋_GB2312"/>
          <w:sz w:val="32"/>
          <w:szCs w:val="32"/>
          <w:lang w:val="en-US" w:eastAsia="zh-CN"/>
        </w:rPr>
        <w:t>资金分配额度合理，与项目单位或地方实际相适应。</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此项权重分4分，得分3分。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3" w:name="_Toc68703839"/>
      <w:r>
        <w:rPr>
          <w:rFonts w:hint="eastAsia" w:ascii="Times New Roman" w:hAnsi="Times New Roman" w:eastAsia="楷体_GB2312" w:cs="Times New Roman"/>
          <w:b/>
          <w:bCs/>
          <w:sz w:val="32"/>
          <w:szCs w:val="32"/>
          <w:lang w:val="en-US" w:eastAsia="zh-CN"/>
        </w:rPr>
        <w:t>（二）项目过程情况</w:t>
      </w:r>
      <w:bookmarkEnd w:id="13"/>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1.资金到位率：</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预算资金911.7万元，实际到位资金911.7万元，资金到位率100%。</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2.预算执行率</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年初预算数911.7万元，全年预算数911.7万元，全年执行数852.14万元，预算执行率为93.47%。</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此项权重分3分，得分2.8分。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3.资金使用合规性</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4.管理制度健全性</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疆巴音郭楞蒙古自治州住房公积金管理中心制定了相关管理办法，对财政资金进行严格管理，做到专款专用，项目资金使用符合相关的财务管理制度规定，能够反映和考核项目资金的规范运行情况；新疆巴音郭楞蒙古自治州住房公积金管理中心的财务和业务管理制度健全，能够反映和考核财务和业务管理制度对项目顺利实施的保障情况。</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5.制度执行有效性</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项目实施的人员条件、场地设备、信息支撑等落实到位。</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此项权重分3分，得分3分。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4" w:name="_Toc68703840"/>
      <w:r>
        <w:rPr>
          <w:rFonts w:hint="eastAsia" w:ascii="Times New Roman" w:hAnsi="Times New Roman" w:eastAsia="楷体_GB2312" w:cs="Times New Roman"/>
          <w:b/>
          <w:bCs/>
          <w:sz w:val="32"/>
          <w:szCs w:val="32"/>
          <w:lang w:val="en-US" w:eastAsia="zh-CN"/>
        </w:rPr>
        <w:t>（三）项目产出情况</w:t>
      </w:r>
      <w:bookmarkEnd w:id="14"/>
    </w:p>
    <w:p>
      <w:pPr>
        <w:shd w:val="clear"/>
        <w:spacing w:line="600" w:lineRule="exact"/>
        <w:ind w:firstLine="643" w:firstLineChars="200"/>
        <w:jc w:val="both"/>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1.数量指标完成情况：</w:t>
      </w:r>
      <w:r>
        <w:rPr>
          <w:rFonts w:hint="eastAsia" w:ascii="仿宋_GB2312" w:hAnsi="仿宋_GB2312" w:eastAsia="仿宋_GB2312" w:cs="仿宋_GB2312"/>
          <w:sz w:val="32"/>
          <w:szCs w:val="32"/>
          <w:lang w:val="en-US" w:eastAsia="zh-CN"/>
        </w:rPr>
        <w:t>指标1：更新维护系统平台数量，指标值：≥4个，实际完成值4个，指标完成率100%，偏差原因：无；指标2：信息业务专线数量，指标值：≥2条，实际完成值2条，指标完成率100%，偏差原因：无；指标3：行业内宣传材料制作批次，指标值：≥1批，实际完成值1批，指标完成率100%，偏差原因：无；指标4：发放聘用人员工资人数，指标值：≥50人，实际完成值48人，指标完成率96%，偏差原因：由于个人原因，年中2人辞职，导致与指标值有偏差；指标5：发放聘用人员工资次数，指标值：≥12次，实际完成值12次，指标完成率100%，偏差原因：无。</w:t>
      </w:r>
    </w:p>
    <w:p>
      <w:pPr>
        <w:shd w:val="clear"/>
        <w:spacing w:line="600" w:lineRule="exact"/>
        <w:ind w:firstLine="640" w:firstLineChars="200"/>
        <w:jc w:val="both"/>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此项权重分10分，得分8分。</w:t>
      </w:r>
    </w:p>
    <w:p>
      <w:pPr>
        <w:shd w:val="clear"/>
        <w:spacing w:line="600" w:lineRule="exact"/>
        <w:ind w:firstLine="643" w:firstLineChars="200"/>
        <w:jc w:val="both"/>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2.质量指标完成情况：</w:t>
      </w:r>
      <w:r>
        <w:rPr>
          <w:rFonts w:hint="eastAsia" w:ascii="仿宋_GB2312" w:hAnsi="仿宋_GB2312" w:eastAsia="仿宋_GB2312" w:cs="仿宋_GB2312"/>
          <w:sz w:val="32"/>
          <w:szCs w:val="32"/>
          <w:lang w:val="en-US" w:eastAsia="zh-CN"/>
        </w:rPr>
        <w:t>指标1：系统平台故障率，指标值：≤10%，实际完成值10%，指标完成率100%，偏差原因：无；指标2：系统平台验收合格率，指标值：≥95%，实际完成值100%，指标完成率105.26%，偏差原因：系统平台稳定，验收合格；指标3：发放聘用人员工资准确率，指标值：=100%，实际完成值100%，指标完成率100%，偏差原因：无。</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jc w:val="both"/>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3.时效指标完成情况：</w:t>
      </w:r>
      <w:r>
        <w:rPr>
          <w:rFonts w:hint="eastAsia" w:ascii="仿宋_GB2312" w:hAnsi="仿宋_GB2312" w:eastAsia="仿宋_GB2312" w:cs="仿宋_GB2312"/>
          <w:sz w:val="32"/>
          <w:szCs w:val="32"/>
          <w:lang w:val="en-US" w:eastAsia="zh-CN"/>
        </w:rPr>
        <w:t>指标1：系统平台故障修复处理时间，指标值：≤3天，实际完成值3天，指标完成率100%，偏差原因：无；指标2：系统平台运行维护响应时间，指标值：≤24小时，实际完成值24小时，指标完成率100%，偏差原因：无；指标3：发放聘用人员工资及时率，指标值：≥95%，实际完成值100%，指标完成率105.26%，偏差原因：每次均按时发放聘用人员工资。</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jc w:val="both"/>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4.经济成本指标完成情况：</w:t>
      </w:r>
      <w:r>
        <w:rPr>
          <w:rFonts w:hint="eastAsia" w:ascii="仿宋_GB2312" w:hAnsi="仿宋_GB2312" w:eastAsia="仿宋_GB2312" w:cs="仿宋_GB2312"/>
          <w:sz w:val="32"/>
          <w:szCs w:val="32"/>
          <w:lang w:val="en-US" w:eastAsia="zh-CN"/>
        </w:rPr>
        <w:t>指标1：更新维护系统平台资金额，指标值：≤453.7万元，实际完成值401.64万元，指标完成率88.53%，偏差原因：</w:t>
      </w:r>
      <w:r>
        <w:rPr>
          <w:rFonts w:hint="eastAsia" w:ascii="仿宋_GB2312" w:hAnsi="仿宋_GB2312" w:cs="仿宋_GB2312"/>
          <w:sz w:val="32"/>
          <w:szCs w:val="32"/>
          <w:lang w:val="en-US" w:eastAsia="zh-CN"/>
        </w:rPr>
        <w:t>本单位根据对平台服务公司考核，考核未达到满分，按照考核结果扣除相应比例合同金额</w:t>
      </w:r>
      <w:r>
        <w:rPr>
          <w:rFonts w:hint="eastAsia" w:ascii="仿宋_GB2312" w:hAnsi="仿宋_GB2312" w:eastAsia="仿宋_GB2312" w:cs="仿宋_GB2312"/>
          <w:sz w:val="32"/>
          <w:szCs w:val="32"/>
          <w:lang w:val="en-US" w:eastAsia="zh-CN"/>
        </w:rPr>
        <w:t>；指标2：宣传成本控制数，指标值：≤50万元，实际完成值50万元，指标完成率100%，偏差原因：无；指标3：年度维护成本增长率，指标值：≤5%，实际完成值0%，指标完成率100%，偏差原因：无；指标4：每次发放聘用人员资金数，指标值：≤34万元，实际完成值33.37万元，指标完成率98.15%，偏差原因：年中人员减少，导致实际工资支出与预算存在偏差。</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此项权重分10分，得分8.5分。</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5" w:name="_Toc68703841"/>
      <w:r>
        <w:rPr>
          <w:rFonts w:hint="eastAsia" w:ascii="Times New Roman" w:hAnsi="Times New Roman" w:eastAsia="楷体_GB2312" w:cs="Times New Roman"/>
          <w:b/>
          <w:bCs/>
          <w:sz w:val="32"/>
          <w:szCs w:val="32"/>
          <w:lang w:val="en-US" w:eastAsia="zh-CN"/>
        </w:rPr>
        <w:t>（四）项目效益情况</w:t>
      </w:r>
      <w:bookmarkEnd w:id="15"/>
    </w:p>
    <w:p>
      <w:pPr>
        <w:shd w:val="clear"/>
        <w:spacing w:line="600" w:lineRule="exact"/>
        <w:ind w:firstLine="643" w:firstLineChars="200"/>
        <w:jc w:val="both"/>
        <w:outlineLvl w:val="0"/>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bCs/>
          <w:sz w:val="32"/>
          <w:szCs w:val="32"/>
          <w:lang w:val="en-US" w:eastAsia="zh-CN"/>
        </w:rPr>
        <w:t>1.社会效益指标完成情况：</w:t>
      </w:r>
      <w:r>
        <w:rPr>
          <w:rFonts w:hint="eastAsia" w:ascii="仿宋_GB2312" w:hAnsi="仿宋_GB2312" w:eastAsia="仿宋_GB2312" w:cs="仿宋_GB2312"/>
          <w:sz w:val="32"/>
          <w:szCs w:val="32"/>
          <w:lang w:val="en-US" w:eastAsia="zh-CN"/>
        </w:rPr>
        <w:t>指标1：业务保障能力，指标值：提升，实际完成值达成目标，指标完成率100%，偏差原因：无；指标2：宣传知晓率，指标值：≥95%，实际完成值100%，指标完成率105.26%，偏差原因：单位人员知晓</w:t>
      </w:r>
      <w:r>
        <w:rPr>
          <w:rFonts w:hint="eastAsia" w:ascii="仿宋_GB2312" w:hAnsi="仿宋_GB2312" w:cs="仿宋_GB2312"/>
          <w:sz w:val="32"/>
          <w:szCs w:val="32"/>
          <w:lang w:val="en-US" w:eastAsia="zh-CN"/>
        </w:rPr>
        <w:t>率高，超出年初预期值</w:t>
      </w:r>
      <w:r>
        <w:rPr>
          <w:rFonts w:hint="eastAsia" w:ascii="仿宋_GB2312" w:hAnsi="仿宋_GB2312" w:eastAsia="仿宋_GB2312" w:cs="仿宋_GB2312"/>
          <w:sz w:val="32"/>
          <w:szCs w:val="32"/>
          <w:lang w:val="en-US" w:eastAsia="zh-CN"/>
        </w:rPr>
        <w:t>；指标3：系统正常使用年限，指标值：≥1年，实际完成值1年，指标完成率100%，偏差原因：无。</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shd w:val="clear"/>
        <w:spacing w:line="600" w:lineRule="exact"/>
        <w:ind w:firstLine="643" w:firstLineChars="200"/>
        <w:jc w:val="both"/>
        <w:outlineLvl w:val="0"/>
        <w:rPr>
          <w:rFonts w:hint="eastAsia" w:ascii="仿宋_GB2312" w:hAnsi="仿宋_GB2312" w:eastAsia="仿宋_GB2312" w:cs="仿宋_GB2312"/>
          <w:sz w:val="32"/>
          <w:szCs w:val="32"/>
          <w:lang w:val="en-US" w:eastAsia="zh-CN"/>
        </w:rPr>
      </w:pPr>
      <w:r>
        <w:rPr>
          <w:rFonts w:hint="eastAsia" w:cs="Times New Roman"/>
          <w:b/>
          <w:bCs/>
          <w:sz w:val="32"/>
          <w:szCs w:val="32"/>
          <w:lang w:val="en-US" w:eastAsia="zh-CN"/>
        </w:rPr>
        <w:t>2</w:t>
      </w:r>
      <w:r>
        <w:rPr>
          <w:rFonts w:hint="eastAsia" w:ascii="Times New Roman" w:hAnsi="Times New Roman" w:eastAsia="仿宋_GB2312" w:cs="Times New Roman"/>
          <w:b/>
          <w:bCs/>
          <w:sz w:val="32"/>
          <w:szCs w:val="32"/>
          <w:lang w:val="en-US" w:eastAsia="zh-CN"/>
        </w:rPr>
        <w:t>.满意度指标完成情况分析：</w:t>
      </w:r>
      <w:r>
        <w:rPr>
          <w:rFonts w:hint="eastAsia" w:ascii="仿宋_GB2312" w:hAnsi="仿宋_GB2312" w:eastAsia="仿宋_GB2312" w:cs="仿宋_GB2312"/>
          <w:sz w:val="32"/>
          <w:szCs w:val="32"/>
          <w:lang w:val="en-US" w:eastAsia="zh-CN"/>
        </w:rPr>
        <w:t>指标1：使用人员满意度，指标值：≥90%，实际完成值100%，指标完成率111.11%，偏差原因：使用过程中均满意；指标2：聘用人员满意度，指标值：≥90%，实际完成值100%，指标完成率111.11%，偏差原因：工资发放及时，聘用人员均满意。</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Hans"/>
        </w:rPr>
      </w:pPr>
      <w:bookmarkStart w:id="16" w:name="_Toc68703842"/>
      <w:r>
        <w:rPr>
          <w:rFonts w:hint="eastAsia" w:ascii="宋体" w:hAnsi="宋体" w:eastAsia="宋体" w:cs="Times New Roman"/>
          <w:sz w:val="32"/>
          <w:szCs w:val="32"/>
          <w:lang w:val="en-US" w:eastAsia="zh-Hans"/>
        </w:rPr>
        <w:t>五、预算执行进度与绩效指标总体完成率偏差</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信息网络软件购置更新及业务保障项目年初预算911.7万元，全年预算911.7万元，实际支出852.14万元，预算执行率为93.47%，项目绩效指标总体完成率为101.03%，</w:t>
      </w:r>
      <w:r>
        <w:rPr>
          <w:rFonts w:hint="eastAsia" w:ascii="仿宋_GB2312" w:hAnsi="仿宋_GB2312" w:eastAsia="仿宋_GB2312" w:cs="仿宋_GB2312"/>
          <w:sz w:val="32"/>
          <w:szCs w:val="32"/>
          <w:lang w:val="en-US" w:eastAsia="zh-Hans"/>
        </w:rPr>
        <w:t>总体</w:t>
      </w:r>
      <w:r>
        <w:rPr>
          <w:rFonts w:hint="eastAsia" w:ascii="仿宋_GB2312" w:hAnsi="仿宋_GB2312" w:eastAsia="仿宋_GB2312" w:cs="仿宋_GB2312"/>
          <w:sz w:val="32"/>
          <w:szCs w:val="32"/>
          <w:lang w:val="en-US" w:eastAsia="zh-CN"/>
        </w:rPr>
        <w:t>偏差率为7.56%,</w:t>
      </w:r>
      <w:r>
        <w:rPr>
          <w:rFonts w:hint="eastAsia" w:ascii="仿宋_GB2312" w:hAnsi="仿宋_GB2312" w:eastAsia="仿宋_GB2312" w:cs="仿宋_GB2312"/>
          <w:sz w:val="32"/>
          <w:szCs w:val="32"/>
          <w:lang w:val="en-US" w:eastAsia="zh-Hans"/>
        </w:rPr>
        <w:t>偏差</w:t>
      </w:r>
      <w:r>
        <w:rPr>
          <w:rFonts w:hint="eastAsia" w:ascii="仿宋_GB2312" w:hAnsi="仿宋_GB2312" w:eastAsia="仿宋_GB2312" w:cs="仿宋_GB2312"/>
          <w:sz w:val="32"/>
          <w:szCs w:val="32"/>
          <w:lang w:val="en-US" w:eastAsia="zh-CN"/>
        </w:rPr>
        <w:t>原因一是</w:t>
      </w:r>
      <w:r>
        <w:rPr>
          <w:rFonts w:hint="eastAsia" w:ascii="仿宋_GB2312" w:hAnsi="仿宋_GB2312" w:cs="仿宋_GB2312"/>
          <w:sz w:val="32"/>
          <w:szCs w:val="32"/>
          <w:lang w:val="en-US" w:eastAsia="zh-CN"/>
        </w:rPr>
        <w:t>本单位根据对平台服务公司考核，考核未达到满分，按照考核结果扣除相应比例合同金额</w:t>
      </w:r>
      <w:r>
        <w:rPr>
          <w:rFonts w:hint="eastAsia" w:ascii="仿宋_GB2312" w:hAnsi="仿宋_GB2312" w:eastAsia="仿宋_GB2312" w:cs="仿宋_GB2312"/>
          <w:sz w:val="32"/>
          <w:szCs w:val="32"/>
          <w:lang w:val="en-US" w:eastAsia="zh-CN"/>
        </w:rPr>
        <w:t>，成本降低；二是年中人员减少，导致实际工资支出与预算存在偏差。</w:t>
      </w:r>
      <w:r>
        <w:rPr>
          <w:rFonts w:hint="eastAsia" w:ascii="仿宋_GB2312" w:hAnsi="仿宋_GB2312" w:eastAsia="仿宋_GB2312" w:cs="仿宋_GB2312"/>
          <w:sz w:val="32"/>
          <w:szCs w:val="32"/>
          <w:lang w:val="en-US" w:eastAsia="zh-Hans"/>
        </w:rPr>
        <w:t>改进</w:t>
      </w:r>
      <w:r>
        <w:rPr>
          <w:rFonts w:hint="eastAsia" w:ascii="仿宋_GB2312" w:hAnsi="仿宋_GB2312" w:eastAsia="仿宋_GB2312" w:cs="仿宋_GB2312"/>
          <w:sz w:val="32"/>
          <w:szCs w:val="32"/>
          <w:lang w:val="en-US" w:eastAsia="zh-CN"/>
        </w:rPr>
        <w:t>措施加强对绩效项目监控的重视，定期对绩效项目执行情况进行监督，财务室对资金支付进度进行监督，做到及时监控、及时反馈、及时控制，避免项目实施偏差过大。</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7" w:name="_Toc68703843"/>
      <w:r>
        <w:rPr>
          <w:rFonts w:hint="eastAsia" w:ascii="Times New Roman" w:hAnsi="Times New Roman" w:eastAsia="楷体_GB2312" w:cs="Times New Roman"/>
          <w:b/>
          <w:bCs/>
          <w:sz w:val="32"/>
          <w:szCs w:val="32"/>
          <w:lang w:val="en-US" w:eastAsia="zh-CN"/>
        </w:rPr>
        <w:t>（一）主要经验及做法</w:t>
      </w:r>
      <w:bookmarkEnd w:id="17"/>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信息网络软件购置更新及业务保障项目实施过程中，各科室分工明确，按照年度计划规范地组织实施，将责任落实到具体部门，有条不紊开展相关工作，并做好资料收集整理工作。</w:t>
      </w:r>
    </w:p>
    <w:p>
      <w:pPr>
        <w:spacing w:line="560" w:lineRule="exact"/>
        <w:ind w:firstLine="643" w:firstLineChars="200"/>
        <w:rPr>
          <w:rFonts w:hint="eastAsia" w:ascii="Times New Roman" w:hAnsi="Times New Roman" w:eastAsia="楷体_GB2312" w:cs="Times New Roman"/>
          <w:b/>
          <w:bCs/>
          <w:sz w:val="32"/>
          <w:szCs w:val="32"/>
          <w:lang w:val="en-US" w:eastAsia="zh-CN"/>
        </w:rPr>
      </w:pPr>
      <w:bookmarkStart w:id="18" w:name="_Toc68703844"/>
      <w:r>
        <w:rPr>
          <w:rFonts w:hint="eastAsia" w:ascii="Times New Roman" w:hAnsi="Times New Roman" w:eastAsia="楷体_GB2312" w:cs="Times New Roman"/>
          <w:b/>
          <w:bCs/>
          <w:sz w:val="32"/>
          <w:szCs w:val="32"/>
          <w:lang w:val="en-US" w:eastAsia="zh-CN"/>
        </w:rPr>
        <w:t>（二）存在的问题及原因分析</w:t>
      </w:r>
      <w:bookmarkEnd w:id="18"/>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存在的主要问题：</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1.实际发放聘用人员工资人数、更新维护系统平台资金额与年初设置指标值存在偏差，在项目实际实施过程中，不能很好的按照年初制定的指标值去完成。</w:t>
      </w:r>
    </w:p>
    <w:p>
      <w:pPr>
        <w:shd w:val="clear"/>
        <w:spacing w:line="600" w:lineRule="exact"/>
        <w:ind w:firstLine="640" w:firstLineChars="200"/>
        <w:jc w:val="both"/>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2.年初预算数与全年执行数存在偏差，实际支出减少。</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原因分析：</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1.年初设置指标值时，根据本年度计划和往年人数统计来设置，但年中聘用人员存在</w:t>
      </w:r>
      <w:r>
        <w:rPr>
          <w:rFonts w:hint="eastAsia" w:ascii="仿宋_GB2312" w:hAnsi="仿宋_GB2312" w:cs="仿宋_GB2312"/>
          <w:sz w:val="32"/>
          <w:szCs w:val="32"/>
          <w:lang w:val="en-US" w:eastAsia="zh-CN"/>
        </w:rPr>
        <w:t>变动</w:t>
      </w:r>
      <w:r>
        <w:rPr>
          <w:rFonts w:hint="eastAsia" w:ascii="仿宋_GB2312" w:hAnsi="仿宋_GB2312" w:eastAsia="仿宋_GB2312" w:cs="仿宋_GB2312"/>
          <w:sz w:val="32"/>
          <w:szCs w:val="32"/>
          <w:lang w:val="en-US" w:eastAsia="zh-CN"/>
        </w:rPr>
        <w:t>，人数减少，导致实际聘用人员人数与预期指标值存在偏差。</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2.年中聘用人员减少，实际工资支出减少。根据对平台服务公司考核，考核未达到满分，按照考核结果扣除相应比例合同金额，成本降低，导致实际支出比预算减少，成本存在结余。</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cs="Times New Roman"/>
          <w:sz w:val="32"/>
          <w:szCs w:val="32"/>
          <w:lang w:val="en-US" w:eastAsia="zh-CN"/>
        </w:rPr>
      </w:pPr>
      <w:bookmarkStart w:id="19" w:name="_Toc68703845"/>
      <w:r>
        <w:rPr>
          <w:rFonts w:hint="eastAsia" w:ascii="宋体" w:hAnsi="宋体" w:eastAsia="宋体" w:cs="Times New Roman"/>
          <w:sz w:val="32"/>
          <w:szCs w:val="32"/>
          <w:lang w:val="en-US" w:eastAsia="zh-CN"/>
        </w:rPr>
        <w:t>七、有关建议</w:t>
      </w:r>
      <w:bookmarkEnd w:id="19"/>
      <w:bookmarkStart w:id="21" w:name="_GoBack"/>
      <w:bookmarkEnd w:id="21"/>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1.完善项目指标设置过程中有关数据和资料的收集、整理及分析，同时完善指标执行动态约束机制，若工作任务有变动，及时按照规范的流程申请变更，精准设置指标值，减少偏差。</w:t>
      </w:r>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2.加强预算编制严谨性，对本单位当年度的各项工作开展做到心中有数，统筹安排，合理配置。在以后工作中，坚持做到合理安排预算资金，不断完善支出结构，优化资金使用率，进一步完善预算管理体制。</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shd w:val="clear"/>
        <w:spacing w:line="600" w:lineRule="exact"/>
        <w:ind w:firstLine="640" w:firstLineChars="200"/>
        <w:jc w:val="both"/>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sectPr>
          <w:pgSz w:w="11906" w:h="16838"/>
          <w:pgMar w:top="1928" w:right="1531" w:bottom="1701" w:left="1531" w:header="737" w:footer="851" w:gutter="0"/>
          <w:cols w:space="720" w:num="1"/>
          <w:docGrid w:type="lines" w:linePitch="408" w:charSpace="0"/>
        </w:sectPr>
      </w:pPr>
    </w:p>
    <w:p>
      <w:pPr>
        <w:pStyle w:val="2"/>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tbl>
      <w:tblPr>
        <w:tblStyle w:val="11"/>
        <w:tblW w:w="5385" w:type="pct"/>
        <w:tblInd w:w="-42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7"/>
        <w:gridCol w:w="830"/>
        <w:gridCol w:w="1154"/>
        <w:gridCol w:w="3473"/>
        <w:gridCol w:w="6319"/>
        <w:gridCol w:w="940"/>
        <w:gridCol w:w="8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信息网络软件购置更新及业务保障项目支出绩效评价指标体系框架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293"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287"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399"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1201" w:type="pc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2185" w:type="pct"/>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325" w:type="pct"/>
            <w:tcBorders>
              <w:top w:val="single" w:color="000000" w:sz="8" w:space="0"/>
              <w:left w:val="single" w:color="000000" w:sz="8" w:space="0"/>
              <w:bottom w:val="nil"/>
              <w:right w:val="single" w:color="000000" w:sz="8"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权重分</w:t>
            </w:r>
          </w:p>
        </w:tc>
        <w:tc>
          <w:tcPr>
            <w:tcW w:w="308" w:type="pct"/>
            <w:tcBorders>
              <w:top w:val="single" w:color="000000" w:sz="8" w:space="0"/>
              <w:left w:val="nil"/>
              <w:bottom w:val="nil"/>
              <w:right w:val="single" w:color="000000" w:sz="8"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308" w:type="pct"/>
            <w:vMerge w:val="restar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308" w:type="pct"/>
            <w:vMerge w:val="restar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c>
          <w:tcPr>
            <w:tcW w:w="308" w:type="pct"/>
            <w:vMerge w:val="restar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325"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308" w:type="pct"/>
            <w:vMerge w:val="restar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325"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c>
          <w:tcPr>
            <w:tcW w:w="308" w:type="pct"/>
            <w:vMerge w:val="restar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325" w:type="pct"/>
            <w:vMerge w:val="restart"/>
            <w:tcBorders>
              <w:top w:val="nil"/>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308" w:type="pct"/>
            <w:vMerge w:val="restar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25" w:type="pct"/>
            <w:vMerge w:val="continue"/>
            <w:tcBorders>
              <w:top w:val="nil"/>
              <w:left w:val="single" w:color="000000" w:sz="8" w:space="0"/>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nil"/>
              <w:left w:val="nil"/>
              <w:bottom w:val="nil"/>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399"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1201" w:type="pct"/>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399"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1201"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2185"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325"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308" w:type="pct"/>
            <w:vMerge w:val="restar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93" w:type="pct"/>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201"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2185"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325"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308" w:type="pct"/>
            <w:vMerge w:val="continue"/>
            <w:tcBorders>
              <w:top w:val="single" w:color="000000" w:sz="8" w:space="0"/>
              <w:left w:val="nil"/>
              <w:bottom w:val="single" w:color="000000" w:sz="8" w:space="0"/>
              <w:right w:val="single" w:color="000000" w:sz="8"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293" w:type="pct"/>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287" w:type="pct"/>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399"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120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2185"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325" w:type="pct"/>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308"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293" w:type="pct"/>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287" w:type="pct"/>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399"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1201" w:type="pc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2185" w:type="pc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325"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c>
          <w:tcPr>
            <w:tcW w:w="3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w:t>
            </w:r>
          </w:p>
        </w:tc>
      </w:tr>
    </w:tbl>
    <w:p>
      <w:pPr>
        <w:shd w:val="clear"/>
        <w:spacing w:line="600" w:lineRule="exact"/>
        <w:outlineLvl w:val="0"/>
        <w:rPr>
          <w:rFonts w:hint="eastAsia" w:ascii="仿宋_GB2312" w:hAnsi="仿宋_GB2312" w:eastAsia="仿宋_GB2312" w:cs="仿宋_GB2312"/>
          <w:sz w:val="32"/>
          <w:szCs w:val="32"/>
          <w:lang w:val="en-US" w:eastAsia="zh-CN"/>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wOTEwMzZhZjVmMTgwYjk4N2E1MWVhYzRjMmU5NT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B21A28"/>
    <w:rsid w:val="01DC3BC3"/>
    <w:rsid w:val="031A7868"/>
    <w:rsid w:val="05227DA5"/>
    <w:rsid w:val="060914B4"/>
    <w:rsid w:val="07195382"/>
    <w:rsid w:val="08005BE4"/>
    <w:rsid w:val="08D20D13"/>
    <w:rsid w:val="0AED26C2"/>
    <w:rsid w:val="0B9C051D"/>
    <w:rsid w:val="0C4D0F1B"/>
    <w:rsid w:val="0F2A6BF7"/>
    <w:rsid w:val="10CA5CE4"/>
    <w:rsid w:val="10E55A71"/>
    <w:rsid w:val="16F07A9E"/>
    <w:rsid w:val="1A442663"/>
    <w:rsid w:val="1BE834C2"/>
    <w:rsid w:val="1D723F37"/>
    <w:rsid w:val="1D785367"/>
    <w:rsid w:val="1D930EE7"/>
    <w:rsid w:val="23BD17E3"/>
    <w:rsid w:val="254E31EA"/>
    <w:rsid w:val="29351FBE"/>
    <w:rsid w:val="2B5D337C"/>
    <w:rsid w:val="2C4B48D3"/>
    <w:rsid w:val="2CA77D06"/>
    <w:rsid w:val="2F183292"/>
    <w:rsid w:val="2FD27F5F"/>
    <w:rsid w:val="31091B67"/>
    <w:rsid w:val="32AE0DEC"/>
    <w:rsid w:val="36845202"/>
    <w:rsid w:val="36B72533"/>
    <w:rsid w:val="380F20AB"/>
    <w:rsid w:val="383350B8"/>
    <w:rsid w:val="38570346"/>
    <w:rsid w:val="3AF435AA"/>
    <w:rsid w:val="4057649F"/>
    <w:rsid w:val="4152423D"/>
    <w:rsid w:val="419B49AF"/>
    <w:rsid w:val="41B61D1E"/>
    <w:rsid w:val="430A25DD"/>
    <w:rsid w:val="43182414"/>
    <w:rsid w:val="445940D8"/>
    <w:rsid w:val="44A302B5"/>
    <w:rsid w:val="46507BB3"/>
    <w:rsid w:val="468C5A6D"/>
    <w:rsid w:val="478E0372"/>
    <w:rsid w:val="47B02837"/>
    <w:rsid w:val="4A7C25BE"/>
    <w:rsid w:val="4C07336D"/>
    <w:rsid w:val="4C22332E"/>
    <w:rsid w:val="4DCB2C88"/>
    <w:rsid w:val="516E5521"/>
    <w:rsid w:val="53B82FE0"/>
    <w:rsid w:val="55140079"/>
    <w:rsid w:val="56796849"/>
    <w:rsid w:val="5A841D95"/>
    <w:rsid w:val="5CD728E8"/>
    <w:rsid w:val="5DA95371"/>
    <w:rsid w:val="5FA36AB1"/>
    <w:rsid w:val="607246D5"/>
    <w:rsid w:val="64303142"/>
    <w:rsid w:val="65442AE4"/>
    <w:rsid w:val="674915AC"/>
    <w:rsid w:val="674C6E99"/>
    <w:rsid w:val="68F11999"/>
    <w:rsid w:val="6A0E0A35"/>
    <w:rsid w:val="6AAB4B1B"/>
    <w:rsid w:val="6DB90A8B"/>
    <w:rsid w:val="70716A8D"/>
    <w:rsid w:val="763A0251"/>
    <w:rsid w:val="766D38FE"/>
    <w:rsid w:val="77D23813"/>
    <w:rsid w:val="79EB757B"/>
    <w:rsid w:val="7A2776A8"/>
    <w:rsid w:val="7AA437D8"/>
    <w:rsid w:val="7ABA1F68"/>
    <w:rsid w:val="7F5E4C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5">
    <w:name w:val="annotation text"/>
    <w:basedOn w:val="1"/>
    <w:autoRedefine/>
    <w:qFormat/>
    <w:uiPriority w:val="0"/>
    <w:pPr>
      <w:jc w:val="left"/>
    </w:pPr>
  </w:style>
  <w:style w:type="paragraph" w:styleId="6">
    <w:name w:val="footer"/>
    <w:basedOn w:val="1"/>
    <w:link w:val="19"/>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Strong"/>
    <w:basedOn w:val="12"/>
    <w:autoRedefine/>
    <w:qFormat/>
    <w:uiPriority w:val="0"/>
    <w:rPr>
      <w:b/>
      <w:bCs/>
    </w:rPr>
  </w:style>
  <w:style w:type="character" w:styleId="14">
    <w:name w:val="Hyperlink"/>
    <w:basedOn w:val="12"/>
    <w:autoRedefine/>
    <w:unhideWhenUsed/>
    <w:qFormat/>
    <w:uiPriority w:val="99"/>
    <w:rPr>
      <w:color w:val="0563C1" w:themeColor="hyperlink"/>
      <w:u w:val="single"/>
    </w:rPr>
  </w:style>
  <w:style w:type="character" w:customStyle="1" w:styleId="15">
    <w:name w:val="标题 1 Char"/>
    <w:basedOn w:val="12"/>
    <w:link w:val="3"/>
    <w:autoRedefine/>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autoRedefine/>
    <w:qFormat/>
    <w:uiPriority w:val="9"/>
    <w:rPr>
      <w:rFonts w:asciiTheme="majorHAnsi" w:hAnsiTheme="majorHAnsi" w:eastAsiaTheme="majorEastAsia" w:cstheme="majorBidi"/>
      <w:b/>
      <w:bCs/>
      <w:sz w:val="32"/>
      <w:szCs w:val="32"/>
    </w:rPr>
  </w:style>
  <w:style w:type="paragraph" w:customStyle="1" w:styleId="17">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7"/>
    <w:autoRedefine/>
    <w:semiHidden/>
    <w:qFormat/>
    <w:uiPriority w:val="99"/>
    <w:rPr>
      <w:rFonts w:ascii="Times New Roman" w:hAnsi="Times New Roman" w:eastAsia="仿宋_GB2312" w:cs="Times New Roman"/>
      <w:sz w:val="18"/>
      <w:szCs w:val="18"/>
    </w:rPr>
  </w:style>
  <w:style w:type="character" w:customStyle="1" w:styleId="19">
    <w:name w:val="页脚 Char"/>
    <w:basedOn w:val="12"/>
    <w:link w:val="6"/>
    <w:autoRedefine/>
    <w:semiHidden/>
    <w:qFormat/>
    <w:uiPriority w:val="99"/>
    <w:rPr>
      <w:rFonts w:ascii="Times New Roman" w:hAnsi="Times New Roman" w:eastAsia="仿宋_GB2312" w:cs="Times New Roman"/>
      <w:sz w:val="18"/>
      <w:szCs w:val="18"/>
    </w:rPr>
  </w:style>
  <w:style w:type="paragraph" w:customStyle="1" w:styleId="20">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TotalTime>
  <ScaleCrop>false</ScaleCrop>
  <LinksUpToDate>false</LinksUpToDate>
  <CharactersWithSpaces>5253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杏仁核桃</cp:lastModifiedBy>
  <dcterms:modified xsi:type="dcterms:W3CDTF">2024-05-07T02:06:12Z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DFF0787588C34603A74FA104BC3FC087</vt:lpwstr>
  </property>
</Properties>
</file>