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项目名称：巴音郭楞蒙古自治州（库尔勒）国家骨干冷链物流基地</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实施单位（公章）：巴州</w:t>
      </w:r>
      <w:r>
        <w:rPr>
          <w:rFonts w:hint="eastAsia" w:ascii="方正仿宋_GBK" w:hAnsi="方正仿宋_GBK" w:eastAsia="方正仿宋_GBK" w:cs="方正仿宋_GBK"/>
          <w:b/>
          <w:bCs/>
          <w:color w:val="000000"/>
          <w:kern w:val="0"/>
          <w:sz w:val="32"/>
          <w:szCs w:val="32"/>
          <w:lang w:eastAsia="zh-CN"/>
        </w:rPr>
        <w:t>临空经济服务中心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主管部门（公章）：巴州临空经济服务中心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lang w:eastAsia="zh-CN"/>
        </w:rPr>
        <w:t>刘国栋</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rPr>
      </w:pPr>
      <w:r>
        <w:rPr>
          <w:rFonts w:hint="eastAsia" w:ascii="方正仿宋_GBK" w:hAnsi="方正仿宋_GBK" w:eastAsia="方正仿宋_GBK" w:cs="方正仿宋_GBK"/>
          <w:b/>
          <w:bCs/>
          <w:color w:val="000000"/>
          <w:kern w:val="0"/>
          <w:sz w:val="32"/>
          <w:szCs w:val="32"/>
        </w:rPr>
        <w:t>填报时间：202</w:t>
      </w:r>
      <w:r>
        <w:rPr>
          <w:rFonts w:hint="eastAsia" w:ascii="方正仿宋_GBK" w:hAnsi="方正仿宋_GBK" w:eastAsia="方正仿宋_GBK" w:cs="方正仿宋_GBK"/>
          <w:b/>
          <w:bCs/>
          <w:color w:val="000000"/>
          <w:kern w:val="0"/>
          <w:sz w:val="32"/>
          <w:szCs w:val="32"/>
          <w:lang w:val="en-US" w:eastAsia="zh-CN"/>
        </w:rPr>
        <w:t>4</w:t>
      </w:r>
      <w:r>
        <w:rPr>
          <w:rFonts w:hint="eastAsia" w:ascii="方正仿宋_GBK" w:hAnsi="方正仿宋_GBK" w:eastAsia="方正仿宋_GBK" w:cs="方正仿宋_GBK"/>
          <w:b/>
          <w:bCs/>
          <w:color w:val="000000"/>
          <w:kern w:val="0"/>
          <w:sz w:val="32"/>
          <w:szCs w:val="32"/>
        </w:rPr>
        <w:t>年</w:t>
      </w:r>
      <w:r>
        <w:rPr>
          <w:rFonts w:hint="eastAsia" w:ascii="方正仿宋_GBK" w:hAnsi="方正仿宋_GBK" w:eastAsia="方正仿宋_GBK" w:cs="方正仿宋_GBK"/>
          <w:b/>
          <w:bCs/>
          <w:color w:val="000000"/>
          <w:kern w:val="0"/>
          <w:sz w:val="32"/>
          <w:szCs w:val="32"/>
          <w:lang w:val="en-US" w:eastAsia="zh-CN"/>
        </w:rPr>
        <w:t>5</w:t>
      </w:r>
      <w:r>
        <w:rPr>
          <w:rFonts w:hint="eastAsia" w:ascii="方正仿宋_GBK" w:hAnsi="方正仿宋_GBK" w:eastAsia="方正仿宋_GBK" w:cs="方正仿宋_GBK"/>
          <w:b/>
          <w:bCs/>
          <w:color w:val="000000"/>
          <w:kern w:val="0"/>
          <w:sz w:val="32"/>
          <w:szCs w:val="32"/>
        </w:rPr>
        <w:t>月</w:t>
      </w:r>
      <w:r>
        <w:rPr>
          <w:rFonts w:hint="eastAsia" w:ascii="方正仿宋_GBK" w:hAnsi="方正仿宋_GBK" w:eastAsia="方正仿宋_GBK" w:cs="方正仿宋_GBK"/>
          <w:b/>
          <w:bCs/>
          <w:color w:val="000000"/>
          <w:kern w:val="0"/>
          <w:sz w:val="32"/>
          <w:szCs w:val="32"/>
          <w:lang w:val="en-US" w:eastAsia="zh-CN"/>
        </w:rPr>
        <w:t>15</w:t>
      </w:r>
      <w:r>
        <w:rPr>
          <w:rFonts w:hint="eastAsia" w:ascii="方正仿宋_GBK" w:hAnsi="方正仿宋_GBK" w:eastAsia="方正仿宋_GBK" w:cs="方正仿宋_GBK"/>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 w:name="_Toc68703828"/>
      <w:bookmarkStart w:id="2" w:name="OLE_LINK1"/>
      <w:r>
        <w:rPr>
          <w:rFonts w:hint="eastAsia" w:ascii="方正楷体_GBK" w:hAnsi="方正楷体_GBK" w:eastAsia="方正楷体_GBK" w:cs="方正楷体_GBK"/>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为深入贯彻落实自治区和自治州党委关于经济高质量发展的系列决策部署，根据“巴州商贸物流‘十四五’规划纲要”和“库尔勒市物流业‘十四五’发展规划”，巩固提升库尔勒市南疆物流中心的战略地位，充分发挥库尔勒市在巴州战略定位中关键节点与核心支撑作用，推进库尔勒国家综合交通枢纽和陆港型国家物流枢纽建设，根据库党办发〔2022〕8号《库尔勒市委办公室 库尔勒市人民政府办公室关于印发&lt;库尔勒商贸物流产业高质量发展实施方案&gt;的通知》，抢抓巴州纳入国家骨干冷链物流基地承载城市机遇，以先进技术和管理体系为支撑，进一步优化物流资源配置和物流活动组织，积极构建并完善巴州“通道+枢纽+网络”物流运行体系。</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（2）主要内容及实施情况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主要内容：积极争取项目资金，优化整合骨干冷链存量资源，外出招商，组织12家联盟运营单位，加快市场扩建、智能立体冷库、多层冷库、交易展示中心等项目建设，引导主体企业，升级改造冷藏、保鲜库等配套设施，运用市场手段加强资源整合，搭建冷链物流服务平台，切实改变冷链主体小散弱的问题。提升库尔勒冷链基地产地化服务能力，切实在做大做强香梨、蟠桃等特色农产品上下功夫，实现产地化冷链物流全产业链运营。做好巴音郭楞（库尔勒）国家骨干冷链物流基地项目建设方案申报工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实施情况：</w:t>
      </w:r>
      <w:bookmarkEnd w:id="2"/>
      <w:r>
        <w:rPr>
          <w:rFonts w:hint="eastAsia" w:ascii="方正仿宋_GBK" w:hAnsi="方正仿宋_GBK" w:eastAsia="方正仿宋_GBK" w:cs="方正仿宋_GBK"/>
          <w:sz w:val="32"/>
          <w:szCs w:val="32"/>
          <w:highlight w:val="none"/>
          <w:lang w:val="en-US" w:eastAsia="zh-CN"/>
        </w:rPr>
        <w:t>积极组织9人外出招商，引进京东物流等企业，做好巴音郭楞（库尔勒）国家骨干冷链物流基地项目建设方案申报工作，会同州市发改委等部门与中国物流与采购联合会规划研究院编制项目建设方案。2023年9月在州党委、政府的领导下，以第一名的成绩通过自治区发改委审核，并力争纳入国家发改委冷链物流基地建设名单，由新疆天苗农业集团有限公司为建设和运营联盟牵头单位，承担运营情况和监测数据报送工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资金投入情况：</w:t>
      </w:r>
      <w:r>
        <w:rPr>
          <w:rFonts w:hint="eastAsia" w:ascii="方正仿宋_GBK" w:hAnsi="方正仿宋_GBK" w:eastAsia="方正仿宋_GBK" w:cs="方正仿宋_GBK"/>
          <w:color w:val="auto"/>
          <w:sz w:val="32"/>
          <w:szCs w:val="32"/>
        </w:rPr>
        <w:t>该项目年初预算数</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万元，实际总投入</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万元，该项目资金已全部落实到位，资金来源为财政拨款。</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资金使用情况：该项目</w:t>
      </w:r>
      <w:r>
        <w:rPr>
          <w:rFonts w:hint="eastAsia" w:ascii="方正仿宋_GBK" w:hAnsi="方正仿宋_GBK" w:eastAsia="方正仿宋_GBK" w:cs="方正仿宋_GBK"/>
          <w:color w:val="auto"/>
          <w:sz w:val="32"/>
          <w:szCs w:val="32"/>
          <w:highlight w:val="none"/>
        </w:rPr>
        <w:t>年初预算数</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万元，全年预算数</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万元，全年执行数</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13.3万元</w:t>
      </w:r>
      <w:r>
        <w:rPr>
          <w:rFonts w:hint="eastAsia" w:ascii="方正仿宋_GBK" w:hAnsi="方正仿宋_GBK" w:eastAsia="方正仿宋_GBK" w:cs="方正仿宋_GBK"/>
          <w:color w:val="auto"/>
          <w:sz w:val="32"/>
          <w:szCs w:val="32"/>
          <w:highlight w:val="none"/>
        </w:rPr>
        <w:t>用于跑办</w:t>
      </w:r>
      <w:r>
        <w:rPr>
          <w:rFonts w:hint="eastAsia" w:ascii="方正仿宋_GBK" w:hAnsi="方正仿宋_GBK" w:eastAsia="方正仿宋_GBK" w:cs="方正仿宋_GBK"/>
          <w:sz w:val="32"/>
          <w:szCs w:val="32"/>
          <w:highlight w:val="none"/>
          <w:lang w:val="en-US" w:eastAsia="zh-CN"/>
        </w:rPr>
        <w:t>国家骨干冷链物流基地项目</w:t>
      </w:r>
      <w:r>
        <w:rPr>
          <w:rFonts w:hint="eastAsia" w:ascii="方正仿宋_GBK" w:hAnsi="方正仿宋_GBK" w:eastAsia="方正仿宋_GBK" w:cs="方正仿宋_GBK"/>
          <w:color w:val="auto"/>
          <w:sz w:val="32"/>
          <w:szCs w:val="32"/>
          <w:highlight w:val="none"/>
          <w:lang w:val="en-US" w:eastAsia="zh-CN"/>
        </w:rPr>
        <w:t>及招商引资，1.7万元用于购买办公耗材，公务接待1.9万元，劳务费3.1万元，印刷费4.2万元，参加学习培训费0.5万元，运转经费0.3万</w:t>
      </w:r>
      <w:r>
        <w:rPr>
          <w:rFonts w:hint="eastAsia" w:ascii="方正仿宋_GBK" w:hAnsi="方正仿宋_GBK" w:eastAsia="方正仿宋_GBK" w:cs="方正仿宋_GBK"/>
          <w:color w:val="auto"/>
          <w:sz w:val="32"/>
          <w:szCs w:val="32"/>
          <w:lang w:val="en-US" w:eastAsia="zh-CN"/>
        </w:rPr>
        <w:t>元，保障</w:t>
      </w:r>
      <w:r>
        <w:rPr>
          <w:rFonts w:hint="eastAsia" w:ascii="方正仿宋_GBK" w:hAnsi="方正仿宋_GBK" w:eastAsia="方正仿宋_GBK" w:cs="方正仿宋_GBK"/>
          <w:sz w:val="32"/>
          <w:szCs w:val="32"/>
          <w:highlight w:val="none"/>
          <w:lang w:val="en-US" w:eastAsia="zh-CN"/>
        </w:rPr>
        <w:t>巴音郭楞（库尔勒）国家骨干冷链物流基地项目顺利开展</w:t>
      </w:r>
      <w:r>
        <w:rPr>
          <w:rFonts w:hint="eastAsia" w:ascii="方正仿宋_GBK" w:hAnsi="方正仿宋_GBK" w:eastAsia="方正仿宋_GBK" w:cs="方正仿宋_GBK"/>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bookmarkStart w:id="3" w:name="_Toc68703829"/>
      <w:r>
        <w:rPr>
          <w:rFonts w:hint="eastAsia" w:ascii="方正楷体_GBK" w:hAnsi="方正楷体_GBK" w:eastAsia="方正楷体_GBK" w:cs="方正楷体_GBK"/>
          <w:b w:val="0"/>
          <w:bCs w:val="0"/>
          <w:sz w:val="32"/>
          <w:szCs w:val="32"/>
        </w:rPr>
        <w:t>（二）项目绩效目标</w:t>
      </w:r>
      <w:bookmarkEnd w:id="3"/>
      <w:r>
        <w:rPr>
          <w:rFonts w:hint="eastAsia" w:ascii="方正楷体_GBK" w:hAnsi="方正楷体_GBK" w:eastAsia="方正楷体_GBK" w:cs="方正楷体_GBK"/>
          <w:b w:val="0"/>
          <w:bCs w:val="0"/>
          <w:color w:val="000000" w:themeColor="text1"/>
          <w:sz w:val="32"/>
          <w:szCs w:val="32"/>
          <w:lang w:eastAsia="zh-CN"/>
        </w:rPr>
        <w:t>，</w:t>
      </w:r>
      <w:r>
        <w:rPr>
          <w:rFonts w:hint="eastAsia" w:ascii="方正楷体_GBK" w:hAnsi="方正楷体_GBK" w:eastAsia="方正楷体_GBK" w:cs="方正楷体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建设库尔勒现代物流集聚创新发展核，包括由库东铁路物流基地、库东仓储物流基地组成的库尔勒陆港型国家物流枢纽核心区，以海宝市场及开发区农副产品精深加工园为核心的冷链物流设施群组成的骨干冷链物流基地。积极组织外出招商，力争引进20余家疆内外企业入驻库尔勒陆港枢纽，形成强大的联盟实力，充分发挥网络货运平台功能，组织增加运力运量，实现货运线上和实体充分衔接，互为补充。提升库尔勒冷链基地产地化服务能力，切实在做大做强香梨、蟠桃等特色农产品上下功夫，实现产地化冷链物流全产业链运营。组织动员农户、经销商等农产品物流服务商加强一体化运作，从农产品产地预冷、分等分级、仓储、包装到分销、冷链配送、产地溯源等环节相互联合，形成协同高效的优质特色农产品供应链体系，进一步强化库尔勒在香梨产业链组织中心地位。 围绕信息化建设，将5G、物联网等高精尖技术应用于冷链物流的发展中，利用现代化信息技术加快生鲜产品冷链物流的创新，提高企业管理水平，提高库尔勒冷链基地综合冷链物流服务能力，完善国家物流枢纽功能，打造成南疆规模最大的冷链物流商贸基地，形成以南疆地区特色瓜果、畜禽产品为主的冷链物流体系，确保充分发挥农产品批发市场在保障民生、搞活流通、拉动内需、带动产业、助农增收等方面的重要作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val="en-US" w:eastAsia="zh-CN"/>
        </w:rPr>
        <w:t>2023年9月前完成骨干冷链物流基地国家级的申报，由新疆天苗农业集团有限公司为建设和运营联盟牵头单位，承担运营情况和监测数据报送工作。2023年11月前完成10家</w:t>
      </w:r>
      <w:r>
        <w:rPr>
          <w:rFonts w:hint="eastAsia" w:ascii="方正仿宋_GBK" w:hAnsi="方正仿宋_GBK" w:eastAsia="方正仿宋_GBK" w:cs="方正仿宋_GBK"/>
          <w:sz w:val="32"/>
          <w:szCs w:val="32"/>
          <w:highlight w:val="none"/>
          <w:lang w:val="en-US" w:eastAsia="zh-CN"/>
        </w:rPr>
        <w:t>招商引资任务，引进疆内外企业入驻库尔勒陆港枢纽，形成强大的联盟实力，充分发挥网络货运平台功能，组织增加运力运量，实现货运线上和实体充分衔接，互为补充。</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4" w:name="_Toc68703830"/>
      <w:r>
        <w:rPr>
          <w:rFonts w:hint="eastAsia" w:ascii="方正黑体_GBK" w:hAnsi="方正黑体_GBK" w:eastAsia="方正黑体_GBK" w:cs="方正黑体_GBK"/>
          <w:b w:val="0"/>
          <w:bCs w:val="0"/>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sz w:val="32"/>
          <w:szCs w:val="32"/>
          <w:lang w:val="en-US" w:eastAsia="zh-CN"/>
        </w:rPr>
      </w:pPr>
      <w:bookmarkStart w:id="5" w:name="_Toc68703831"/>
      <w:r>
        <w:rPr>
          <w:rFonts w:hint="eastAsia" w:ascii="方正楷体_GBK" w:hAnsi="方正楷体_GBK" w:eastAsia="方正楷体_GBK" w:cs="方正楷体_GBK"/>
          <w:b w:val="0"/>
          <w:bCs w:val="0"/>
          <w:sz w:val="32"/>
          <w:szCs w:val="32"/>
        </w:rPr>
        <w:t>（一）绩效评价目的、对象和范围。</w:t>
      </w:r>
      <w:bookmarkEnd w:id="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绩效评价目的：</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rPr>
        <w:t>通过开展</w:t>
      </w:r>
      <w:r>
        <w:rPr>
          <w:rFonts w:hint="eastAsia" w:ascii="方正仿宋_GBK" w:hAnsi="方正仿宋_GBK" w:eastAsia="方正仿宋_GBK" w:cs="方正仿宋_GBK"/>
          <w:color w:val="auto"/>
          <w:sz w:val="32"/>
          <w:szCs w:val="32"/>
          <w:lang w:val="en-US" w:eastAsia="zh-CN"/>
        </w:rPr>
        <w:t>有效的评估和度量，全面了解</w:t>
      </w:r>
      <w:r>
        <w:rPr>
          <w:rFonts w:hint="eastAsia" w:ascii="方正仿宋_GBK" w:hAnsi="方正仿宋_GBK" w:eastAsia="方正仿宋_GBK" w:cs="方正仿宋_GBK"/>
          <w:color w:val="auto"/>
          <w:sz w:val="32"/>
          <w:szCs w:val="32"/>
          <w:lang w:eastAsia="zh-CN"/>
        </w:rPr>
        <w:t>巴音郭楞蒙古自治州（库尔勒）国家骨干冷链物流基地</w:t>
      </w:r>
      <w:r>
        <w:rPr>
          <w:rFonts w:hint="eastAsia" w:ascii="方正仿宋_GBK" w:hAnsi="方正仿宋_GBK" w:eastAsia="方正仿宋_GBK" w:cs="方正仿宋_GBK"/>
          <w:color w:val="auto"/>
          <w:sz w:val="32"/>
          <w:szCs w:val="32"/>
          <w:lang w:val="en-US" w:eastAsia="zh-CN"/>
        </w:rPr>
        <w:t>项目经费的具体使用，是否达到预期目标，以及项目执行过程中出现的问题。评价该项目资金安排的科学性、合理性、规范性和资金的使用成效。通过实际数据及可量化指标分析，为项目决策提供了支持和依据。基于绩效评价结果，临空经济服务中心能够更加准确地了解项目实际情况，进一步加强和完善项目绩效管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巴音郭楞蒙古自治州（库尔勒）国家骨干冷链物流基地</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次评价从项目决策（包括绩效目标、决策过程）、项目管理（包括项目资金、项目实施）、项目产出（包括项目产出数量、产出质量、产出时效和产出成本）项目效益四个维度进行巴音郭楞蒙古自治州（库尔勒）国家骨干冷链物流基地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sz w:val="32"/>
          <w:szCs w:val="32"/>
        </w:rPr>
      </w:pPr>
      <w:bookmarkStart w:id="6" w:name="_Toc68703832"/>
      <w:r>
        <w:rPr>
          <w:rFonts w:hint="eastAsia" w:ascii="方正楷体_GBK" w:hAnsi="方正楷体_GBK" w:eastAsia="方正楷体_GBK" w:cs="方正楷体_GBK"/>
          <w:b w:val="0"/>
          <w:bCs w:val="0"/>
          <w:color w:val="auto"/>
          <w:sz w:val="32"/>
          <w:szCs w:val="32"/>
        </w:rPr>
        <w:t>（二）绩效评价原则、评价指标体系</w:t>
      </w:r>
      <w:r>
        <w:rPr>
          <w:rFonts w:hint="eastAsia" w:ascii="方正楷体_GBK" w:hAnsi="方正楷体_GBK" w:eastAsia="方正楷体_GBK" w:cs="方正楷体_GBK"/>
          <w:b w:val="0"/>
          <w:bCs w:val="0"/>
          <w:color w:val="auto"/>
          <w:sz w:val="32"/>
          <w:szCs w:val="32"/>
          <w:lang w:eastAsia="zh-CN"/>
        </w:rPr>
        <w:t>（附表说明）</w:t>
      </w:r>
      <w:r>
        <w:rPr>
          <w:rFonts w:hint="eastAsia" w:ascii="方正楷体_GBK" w:hAnsi="方正楷体_GBK" w:eastAsia="方正楷体_GBK" w:cs="方正楷体_GBK"/>
          <w:b w:val="0"/>
          <w:bCs w:val="0"/>
          <w:color w:val="auto"/>
          <w:sz w:val="32"/>
          <w:szCs w:val="32"/>
        </w:rPr>
        <w:t>、评价方法、评价标准等。</w:t>
      </w:r>
      <w:bookmarkEnd w:id="6"/>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（1）科学公正。本次项目支出绩效评价运用科学合理的方法，按照规范的程序，对项目绩效进行客观、公正的反映。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（2）统筹兼顾。单位自评、部门评价和财政评价职责明确，各有侧重，相互衔接。</w:t>
      </w:r>
      <w:r>
        <w:rPr>
          <w:rFonts w:hint="eastAsia" w:ascii="方正仿宋_GBK" w:hAnsi="方正仿宋_GBK" w:eastAsia="方正仿宋_GBK" w:cs="方正仿宋_GBK"/>
          <w:bCs/>
          <w:color w:val="auto"/>
          <w:sz w:val="32"/>
          <w:szCs w:val="32"/>
          <w:lang w:val="en-US" w:eastAsia="zh-CN"/>
        </w:rPr>
        <w:t>本次</w:t>
      </w:r>
      <w:r>
        <w:rPr>
          <w:rFonts w:hint="eastAsia" w:ascii="方正仿宋_GBK" w:hAnsi="方正仿宋_GBK" w:eastAsia="方正仿宋_GBK" w:cs="方正仿宋_GBK"/>
          <w:bCs/>
          <w:color w:val="auto"/>
          <w:sz w:val="32"/>
          <w:szCs w:val="32"/>
        </w:rPr>
        <w:t>单位自评由</w:t>
      </w:r>
      <w:r>
        <w:rPr>
          <w:rFonts w:hint="eastAsia" w:ascii="方正仿宋_GBK" w:hAnsi="方正仿宋_GBK" w:eastAsia="方正仿宋_GBK" w:cs="方正仿宋_GBK"/>
          <w:bCs/>
          <w:color w:val="auto"/>
          <w:sz w:val="32"/>
          <w:szCs w:val="32"/>
          <w:lang w:val="en-US" w:eastAsia="zh-CN"/>
        </w:rPr>
        <w:t>临空经济服务中心</w:t>
      </w:r>
      <w:r>
        <w:rPr>
          <w:rFonts w:hint="eastAsia" w:ascii="方正仿宋_GBK" w:hAnsi="方正仿宋_GBK" w:eastAsia="方正仿宋_GBK" w:cs="方正仿宋_GBK"/>
          <w:bCs/>
          <w:color w:val="auto"/>
          <w:sz w:val="32"/>
          <w:szCs w:val="32"/>
        </w:rPr>
        <w:t>自主实施，即“谁支出、谁自评”。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（3）激励约束。本次项目支出绩效评价结果与预算安排、政策调整、改进管理实质性挂钩，体现奖优罚劣和激励相容导向，有效要安排、低效要压减、无效要问责。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（4）公开透明。本次项目支出绩效评价结果在巴州人民政府网站依法依规公开，并自觉接受社会监督。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方正仿宋_GBK" w:hAnsi="方正仿宋_GBK" w:eastAsia="方正仿宋_GBK" w:cs="方正仿宋_GBK"/>
          <w:color w:val="auto"/>
          <w:spacing w:val="17"/>
          <w:sz w:val="32"/>
          <w:szCs w:val="32"/>
        </w:rPr>
      </w:pPr>
      <w:r>
        <w:rPr>
          <w:rFonts w:hint="eastAsia" w:ascii="方正仿宋_GBK" w:hAnsi="方正仿宋_GBK" w:eastAsia="方正仿宋_GBK" w:cs="方正仿宋_GBK"/>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方正仿宋_GBK" w:hAnsi="方正仿宋_GBK" w:eastAsia="方正仿宋_GBK" w:cs="方正仿宋_GBK"/>
          <w:b w:val="0"/>
          <w:bCs w:val="0"/>
          <w:color w:val="000000"/>
          <w:spacing w:val="17"/>
          <w:kern w:val="2"/>
          <w:sz w:val="32"/>
          <w:szCs w:val="32"/>
          <w:highlight w:val="none"/>
        </w:rPr>
      </w:pPr>
      <w:r>
        <w:rPr>
          <w:rFonts w:hint="eastAsia" w:ascii="方正仿宋_GBK" w:hAnsi="方正仿宋_GBK" w:eastAsia="方正仿宋_GBK" w:cs="方正仿宋_GBK"/>
          <w:b w:val="0"/>
          <w:bCs w:val="0"/>
          <w:color w:val="000000"/>
          <w:spacing w:val="17"/>
          <w:kern w:val="2"/>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3、评价方法</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方正仿宋_GBK" w:hAnsi="方正仿宋_GBK" w:eastAsia="方正仿宋_GBK" w:cs="方正仿宋_GBK"/>
          <w:color w:val="000000"/>
          <w:spacing w:val="17"/>
          <w:sz w:val="32"/>
          <w:szCs w:val="32"/>
        </w:rPr>
      </w:pPr>
      <w:r>
        <w:rPr>
          <w:rFonts w:hint="eastAsia" w:ascii="方正仿宋_GBK" w:hAnsi="方正仿宋_GBK" w:eastAsia="方正仿宋_GBK" w:cs="方正仿宋_GBK"/>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方正仿宋_GBK" w:hAnsi="方正仿宋_GBK" w:eastAsia="方正仿宋_GBK" w:cs="方正仿宋_GBK"/>
          <w:color w:val="000000"/>
          <w:spacing w:val="17"/>
          <w:sz w:val="32"/>
          <w:szCs w:val="32"/>
          <w:lang w:val="en-US" w:eastAsia="zh-CN"/>
        </w:rPr>
      </w:pPr>
      <w:r>
        <w:rPr>
          <w:rFonts w:hint="eastAsia" w:ascii="方正仿宋_GBK" w:hAnsi="方正仿宋_GBK" w:eastAsia="方正仿宋_GBK" w:cs="方正仿宋_GBK"/>
          <w:color w:val="000000"/>
          <w:spacing w:val="17"/>
          <w:sz w:val="32"/>
          <w:szCs w:val="32"/>
        </w:rPr>
        <w:t>本次评价指标中，既有定性指标又有定量指标，各类指标因考核内容不同和客观标准不同存在较大差异，因此核定具体指标时采用了比较法，</w:t>
      </w:r>
      <w:r>
        <w:rPr>
          <w:rFonts w:hint="eastAsia" w:ascii="方正仿宋_GBK" w:hAnsi="方正仿宋_GBK" w:eastAsia="方正仿宋_GBK" w:cs="方正仿宋_GBK"/>
          <w:color w:val="000000"/>
          <w:spacing w:val="17"/>
          <w:sz w:val="32"/>
          <w:szCs w:val="32"/>
          <w:lang w:val="en-US" w:eastAsia="zh-CN"/>
        </w:rPr>
        <w:t>原因是</w:t>
      </w:r>
      <w:r>
        <w:rPr>
          <w:rFonts w:hint="eastAsia" w:ascii="方正仿宋_GBK" w:hAnsi="方正仿宋_GBK" w:eastAsia="方正仿宋_GBK" w:cs="方正仿宋_GBK"/>
          <w:color w:val="000000"/>
          <w:spacing w:val="17"/>
          <w:sz w:val="32"/>
          <w:szCs w:val="32"/>
        </w:rPr>
        <w:t>：</w:t>
      </w:r>
      <w:r>
        <w:rPr>
          <w:rFonts w:hint="eastAsia" w:ascii="方正仿宋_GBK" w:hAnsi="方正仿宋_GBK" w:eastAsia="方正仿宋_GBK" w:cs="方正仿宋_GBK"/>
          <w:color w:val="000000"/>
          <w:spacing w:val="17"/>
          <w:sz w:val="32"/>
          <w:szCs w:val="32"/>
          <w:lang w:val="en-US" w:eastAsia="zh-CN"/>
        </w:rPr>
        <w:t>通过对比同一项目不同时间点的绩效数据，可以清晰地展示项目绩效的差异和变化，更加客观、公正，有助于减少主观因素对评价结果的影响，准确了解项目的实际情况和绩效表现。</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评价标准</w:t>
      </w:r>
    </w:p>
    <w:p>
      <w:pPr>
        <w:pageBreakBefore w:val="0"/>
        <w:kinsoku/>
        <w:wordWrap/>
        <w:overflowPunct/>
        <w:topLinePunct w:val="0"/>
        <w:autoSpaceDE/>
        <w:autoSpaceDN/>
        <w:bidi w:val="0"/>
        <w:adjustRightInd/>
        <w:snapToGrid/>
        <w:spacing w:line="560" w:lineRule="exact"/>
        <w:ind w:leftChars="0" w:firstLine="708" w:firstLineChars="200"/>
        <w:textAlignment w:val="auto"/>
        <w:rPr>
          <w:rFonts w:hint="eastAsia" w:ascii="方正仿宋_GBK" w:hAnsi="方正仿宋_GBK" w:eastAsia="方正仿宋_GBK" w:cs="方正仿宋_GBK"/>
          <w:bCs/>
          <w:sz w:val="32"/>
          <w:szCs w:val="32"/>
        </w:rPr>
      </w:pPr>
      <w:bookmarkStart w:id="7" w:name="_Toc68703833"/>
      <w:r>
        <w:rPr>
          <w:rFonts w:hint="eastAsia" w:ascii="方正仿宋_GBK" w:hAnsi="方正仿宋_GBK" w:eastAsia="方正仿宋_GBK" w:cs="方正仿宋_GBK"/>
          <w:color w:val="000000"/>
          <w:spacing w:val="17"/>
          <w:sz w:val="32"/>
          <w:szCs w:val="32"/>
        </w:rPr>
        <w:t>绩效评价标准通常包括计划标准、行业标准、历史标准等，用于对绩效指标完成情况进行比较、分析、评价。本次评价主要采用了</w:t>
      </w:r>
      <w:r>
        <w:rPr>
          <w:rFonts w:hint="eastAsia" w:ascii="方正仿宋_GBK" w:hAnsi="方正仿宋_GBK" w:eastAsia="方正仿宋_GBK" w:cs="方正仿宋_GBK"/>
          <w:color w:val="000000"/>
          <w:spacing w:val="17"/>
          <w:sz w:val="32"/>
          <w:szCs w:val="32"/>
          <w:lang w:val="en-US" w:eastAsia="zh-CN"/>
        </w:rPr>
        <w:t>计划</w:t>
      </w:r>
      <w:r>
        <w:rPr>
          <w:rFonts w:hint="eastAsia" w:ascii="方正仿宋_GBK" w:hAnsi="方正仿宋_GBK" w:eastAsia="方正仿宋_GBK" w:cs="方正仿宋_GBK"/>
          <w:color w:val="000000"/>
          <w:spacing w:val="17"/>
          <w:sz w:val="32"/>
          <w:szCs w:val="32"/>
        </w:rPr>
        <w:t>标准</w:t>
      </w:r>
      <w:r>
        <w:rPr>
          <w:rFonts w:hint="eastAsia" w:ascii="方正仿宋_GBK" w:hAnsi="方正仿宋_GBK" w:eastAsia="方正仿宋_GBK" w:cs="方正仿宋_GBK"/>
          <w:color w:val="000000"/>
          <w:spacing w:val="17"/>
          <w:sz w:val="32"/>
          <w:szCs w:val="32"/>
          <w:lang w:eastAsia="zh-CN"/>
        </w:rPr>
        <w:t>，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bookmarkStart w:id="8" w:name="_Toc68703834"/>
      <w:r>
        <w:rPr>
          <w:rFonts w:hint="eastAsia" w:ascii="方正仿宋_GBK" w:hAnsi="方正仿宋_GBK" w:eastAsia="方正仿宋_GBK" w:cs="方正仿宋_GBK"/>
          <w:bCs/>
          <w:color w:val="auto"/>
          <w:sz w:val="32"/>
          <w:szCs w:val="32"/>
          <w:lang w:val="en-US" w:eastAsia="zh-CN"/>
        </w:rPr>
        <w:t>1.</w:t>
      </w:r>
      <w:r>
        <w:rPr>
          <w:rFonts w:hint="eastAsia" w:ascii="方正仿宋_GBK" w:hAnsi="方正仿宋_GBK" w:eastAsia="方正仿宋_GBK" w:cs="方正仿宋_GBK"/>
          <w:bCs/>
          <w:color w:val="auto"/>
          <w:sz w:val="32"/>
          <w:szCs w:val="32"/>
        </w:rPr>
        <w:t>前期准备。首先</w:t>
      </w:r>
      <w:r>
        <w:rPr>
          <w:rFonts w:hint="eastAsia" w:ascii="方正仿宋_GBK" w:hAnsi="方正仿宋_GBK" w:eastAsia="方正仿宋_GBK" w:cs="方正仿宋_GBK"/>
          <w:bCs/>
          <w:color w:val="auto"/>
          <w:sz w:val="32"/>
          <w:szCs w:val="32"/>
          <w:lang w:eastAsia="zh-CN"/>
        </w:rPr>
        <w:t>综合科</w:t>
      </w:r>
      <w:r>
        <w:rPr>
          <w:rFonts w:hint="eastAsia" w:ascii="方正仿宋_GBK" w:hAnsi="方正仿宋_GBK" w:eastAsia="方正仿宋_GBK" w:cs="方正仿宋_GBK"/>
          <w:bCs/>
          <w:color w:val="auto"/>
          <w:sz w:val="32"/>
          <w:szCs w:val="32"/>
        </w:rPr>
        <w:t>牵头</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lang w:val="en-US" w:eastAsia="zh-CN"/>
        </w:rPr>
        <w:t>经济发展科配合</w:t>
      </w:r>
      <w:r>
        <w:rPr>
          <w:rFonts w:hint="eastAsia" w:ascii="方正仿宋_GBK" w:hAnsi="方正仿宋_GBK" w:eastAsia="方正仿宋_GBK" w:cs="方正仿宋_GBK"/>
          <w:bCs/>
          <w:color w:val="auto"/>
          <w:sz w:val="32"/>
          <w:szCs w:val="32"/>
        </w:rPr>
        <w:t>成立评价工作组</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从项目立项，申请资金、资金使用管理办法和流程，绩效所需清单等方面，最后制定评价实施方案并进行论证。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lang w:val="en-US" w:eastAsia="zh-CN"/>
        </w:rPr>
        <w:t>2.</w:t>
      </w:r>
      <w:r>
        <w:rPr>
          <w:rFonts w:hint="eastAsia" w:ascii="方正仿宋_GBK" w:hAnsi="方正仿宋_GBK" w:eastAsia="方正仿宋_GBK" w:cs="方正仿宋_GBK"/>
          <w:bCs/>
          <w:color w:val="auto"/>
          <w:sz w:val="32"/>
          <w:szCs w:val="32"/>
        </w:rPr>
        <w:t>组织实施。制定绩效评价工作方案，</w:t>
      </w:r>
      <w:r>
        <w:rPr>
          <w:rFonts w:hint="eastAsia" w:ascii="方正仿宋_GBK" w:hAnsi="方正仿宋_GBK" w:eastAsia="方正仿宋_GBK" w:cs="方正仿宋_GBK"/>
          <w:bCs/>
          <w:color w:val="auto"/>
          <w:sz w:val="32"/>
          <w:szCs w:val="32"/>
          <w:lang w:val="en-US" w:eastAsia="zh-CN"/>
        </w:rPr>
        <w:t>通过巴州骨干冷链物流基地项目确定年度总目标和阶段性目标，根据目标建立合适的绩效评价指标体系，收集相关的绩效数据，做好巴州骨干冷链物流基地项目相关的</w:t>
      </w:r>
      <w:r>
        <w:rPr>
          <w:rFonts w:hint="eastAsia" w:ascii="方正仿宋_GBK" w:hAnsi="方正仿宋_GBK" w:eastAsia="方正仿宋_GBK" w:cs="方正仿宋_GBK"/>
          <w:bCs/>
          <w:color w:val="auto"/>
          <w:sz w:val="32"/>
          <w:szCs w:val="32"/>
        </w:rPr>
        <w:t>立项依据、会议纪要、</w:t>
      </w:r>
      <w:r>
        <w:rPr>
          <w:rFonts w:hint="eastAsia" w:ascii="方正仿宋_GBK" w:hAnsi="方正仿宋_GBK" w:eastAsia="方正仿宋_GBK" w:cs="方正仿宋_GBK"/>
          <w:bCs/>
          <w:color w:val="auto"/>
          <w:sz w:val="32"/>
          <w:szCs w:val="32"/>
          <w:lang w:val="en-US" w:eastAsia="zh-CN"/>
        </w:rPr>
        <w:t>日常相关的阶段性实施方案</w:t>
      </w:r>
      <w:r>
        <w:rPr>
          <w:rFonts w:hint="eastAsia" w:ascii="方正仿宋_GBK" w:hAnsi="方正仿宋_GBK" w:eastAsia="方正仿宋_GBK" w:cs="方正仿宋_GBK"/>
          <w:bCs/>
          <w:color w:val="auto"/>
          <w:sz w:val="32"/>
          <w:szCs w:val="32"/>
          <w:lang w:eastAsia="zh-CN"/>
        </w:rPr>
        <w:t>、</w:t>
      </w:r>
      <w:r>
        <w:rPr>
          <w:rFonts w:hint="eastAsia" w:ascii="方正仿宋_GBK" w:hAnsi="方正仿宋_GBK" w:eastAsia="方正仿宋_GBK" w:cs="方正仿宋_GBK"/>
          <w:bCs/>
          <w:color w:val="auto"/>
          <w:sz w:val="32"/>
          <w:szCs w:val="32"/>
        </w:rPr>
        <w:t>支付管理情况等相关评价资料并进行梳理。</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bCs/>
          <w:color w:val="auto"/>
          <w:sz w:val="32"/>
          <w:szCs w:val="32"/>
          <w:lang w:val="zh-CN"/>
        </w:rPr>
      </w:pPr>
      <w:r>
        <w:rPr>
          <w:rFonts w:hint="eastAsia" w:ascii="方正仿宋_GBK" w:hAnsi="方正仿宋_GBK" w:eastAsia="方正仿宋_GBK" w:cs="方正仿宋_GBK"/>
          <w:bCs/>
          <w:color w:val="auto"/>
          <w:sz w:val="32"/>
          <w:szCs w:val="32"/>
          <w:lang w:val="en-US" w:eastAsia="zh-CN"/>
        </w:rPr>
        <w:t>3.</w:t>
      </w:r>
      <w:r>
        <w:rPr>
          <w:rFonts w:hint="eastAsia" w:ascii="方正仿宋_GBK" w:hAnsi="方正仿宋_GBK" w:eastAsia="方正仿宋_GBK" w:cs="方正仿宋_GBK"/>
          <w:bCs/>
          <w:color w:val="auto"/>
          <w:sz w:val="32"/>
          <w:szCs w:val="32"/>
        </w:rPr>
        <w:t>分析评价。根据收集梳理的资料</w:t>
      </w:r>
      <w:r>
        <w:rPr>
          <w:rFonts w:hint="eastAsia" w:ascii="方正仿宋_GBK" w:hAnsi="方正仿宋_GBK" w:eastAsia="方正仿宋_GBK" w:cs="方正仿宋_GBK"/>
          <w:bCs/>
          <w:color w:val="auto"/>
          <w:sz w:val="32"/>
          <w:szCs w:val="32"/>
          <w:lang w:val="en-US" w:eastAsia="zh-CN"/>
        </w:rPr>
        <w:t>对照项目年度总目标，对项目的完成情况、预期成果进行分析比较，根据前期收集的相关数据进行比对，逐项进行打分，</w:t>
      </w:r>
      <w:r>
        <w:rPr>
          <w:rFonts w:hint="default"/>
          <w:bCs/>
          <w:color w:val="auto"/>
          <w:sz w:val="32"/>
          <w:szCs w:val="32"/>
          <w:lang w:val="zh-CN"/>
        </w:rPr>
        <w:t>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lang w:eastAsia="zh-CN"/>
        </w:rPr>
      </w:pPr>
      <w:bookmarkStart w:id="9" w:name="_Toc68703835"/>
      <w:r>
        <w:rPr>
          <w:rFonts w:hint="eastAsia" w:ascii="方正楷体_GBK" w:hAnsi="方正楷体_GBK" w:eastAsia="方正楷体_GBK" w:cs="方正楷体_GBK"/>
          <w:b w:val="0"/>
          <w:bCs w:val="0"/>
          <w:sz w:val="32"/>
          <w:szCs w:val="32"/>
        </w:rPr>
        <w:t>（一）综合评价情况</w:t>
      </w:r>
      <w:bookmarkEnd w:id="9"/>
      <w:r>
        <w:rPr>
          <w:rFonts w:hint="eastAsia" w:ascii="方正楷体_GBK" w:hAnsi="方正楷体_GBK" w:eastAsia="方正楷体_GBK" w:cs="方正楷体_GBK"/>
          <w:b w:val="0"/>
          <w:bCs w:val="0"/>
          <w:sz w:val="32"/>
          <w:szCs w:val="32"/>
          <w:lang w:eastAsia="zh-CN"/>
        </w:rPr>
        <w:t>及评价结论</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kern w:val="28"/>
          <w:sz w:val="32"/>
          <w:szCs w:val="32"/>
          <w:lang w:val="en-US" w:eastAsia="zh-CN" w:bidi="ar-SA"/>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综合评价情况</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巴音郭楞蒙古自治州（库尔勒）国家骨干冷链物流基地项目严格按照</w:t>
      </w:r>
      <w:r>
        <w:rPr>
          <w:rFonts w:hint="eastAsia" w:ascii="方正仿宋_GBK" w:hAnsi="方正仿宋_GBK" w:eastAsia="方正仿宋_GBK" w:cs="方正仿宋_GBK"/>
          <w:bCs/>
          <w:color w:val="auto"/>
          <w:kern w:val="0"/>
          <w:sz w:val="32"/>
          <w:szCs w:val="32"/>
        </w:rPr>
        <w:t>科学公正、统筹兼顾、激励约束、公开透明的</w:t>
      </w:r>
      <w:r>
        <w:rPr>
          <w:rFonts w:hint="eastAsia" w:ascii="方正仿宋_GBK" w:hAnsi="方正仿宋_GBK" w:eastAsia="方正仿宋_GBK" w:cs="方正仿宋_GBK"/>
          <w:color w:val="auto"/>
          <w:sz w:val="32"/>
          <w:szCs w:val="32"/>
        </w:rPr>
        <w:t>绩效评价原则，采用</w:t>
      </w:r>
      <w:r>
        <w:rPr>
          <w:rFonts w:hint="eastAsia" w:ascii="方正仿宋_GBK" w:hAnsi="方正仿宋_GBK" w:eastAsia="方正仿宋_GBK" w:cs="方正仿宋_GBK"/>
          <w:color w:val="auto"/>
          <w:spacing w:val="17"/>
          <w:sz w:val="32"/>
          <w:szCs w:val="32"/>
        </w:rPr>
        <w:t>比较法</w:t>
      </w:r>
      <w:r>
        <w:rPr>
          <w:rFonts w:hint="eastAsia" w:ascii="方正仿宋_GBK" w:hAnsi="方正仿宋_GBK" w:eastAsia="方正仿宋_GBK" w:cs="方正仿宋_GBK"/>
          <w:color w:val="auto"/>
          <w:sz w:val="32"/>
          <w:szCs w:val="32"/>
        </w:rPr>
        <w:t>，坚持</w:t>
      </w:r>
      <w:r>
        <w:rPr>
          <w:rFonts w:hint="eastAsia" w:ascii="方正仿宋_GBK" w:hAnsi="方正仿宋_GBK" w:eastAsia="方正仿宋_GBK" w:cs="方正仿宋_GBK"/>
          <w:color w:val="auto"/>
          <w:spacing w:val="17"/>
          <w:sz w:val="32"/>
          <w:szCs w:val="32"/>
          <w:lang w:val="en-US" w:eastAsia="zh-CN"/>
        </w:rPr>
        <w:t>计划</w:t>
      </w:r>
      <w:r>
        <w:rPr>
          <w:rFonts w:hint="eastAsia" w:ascii="方正仿宋_GBK" w:hAnsi="方正仿宋_GBK" w:eastAsia="方正仿宋_GBK" w:cs="方正仿宋_GBK"/>
          <w:color w:val="auto"/>
          <w:spacing w:val="17"/>
          <w:sz w:val="32"/>
          <w:szCs w:val="32"/>
        </w:rPr>
        <w:t>标准</w:t>
      </w:r>
      <w:r>
        <w:rPr>
          <w:rFonts w:hint="eastAsia" w:ascii="方正仿宋_GBK" w:hAnsi="方正仿宋_GBK" w:eastAsia="方正仿宋_GBK" w:cs="方正仿宋_GBK"/>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0" w:name="_Toc68703836"/>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评价结论</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方正仿宋_GBK" w:hAnsi="方正仿宋_GBK" w:eastAsia="方正仿宋_GBK" w:cs="方正仿宋_GBK"/>
          <w:b w:val="0"/>
          <w:bCs w:val="0"/>
          <w:color w:val="auto"/>
          <w:sz w:val="32"/>
          <w:szCs w:val="32"/>
          <w:highlight w:val="none"/>
        </w:rPr>
        <w:t>总得分为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 xml:space="preserve">分，属于“优”。其中，项目决策类指标权重为20分，得分为 </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 xml:space="preserve">分，得分率为 </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%。项目过程类指标权重为20分，得分为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%。项目产出类指标权重为40分，得分为</w:t>
      </w:r>
      <w:r>
        <w:rPr>
          <w:rFonts w:hint="eastAsia" w:ascii="方正仿宋_GBK" w:hAnsi="方正仿宋_GBK" w:eastAsia="方正仿宋_GBK" w:cs="方正仿宋_GBK"/>
          <w:b w:val="0"/>
          <w:bCs w:val="0"/>
          <w:color w:val="auto"/>
          <w:sz w:val="32"/>
          <w:szCs w:val="32"/>
          <w:highlight w:val="none"/>
          <w:lang w:val="en-US" w:eastAsia="zh-CN"/>
        </w:rPr>
        <w:t>40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%。项目效益类指标权重为20分，得分为</w:t>
      </w:r>
      <w:r>
        <w:rPr>
          <w:rFonts w:hint="eastAsia" w:ascii="方正仿宋_GBK" w:hAnsi="方正仿宋_GBK" w:eastAsia="方正仿宋_GBK" w:cs="方正仿宋_GBK"/>
          <w:b w:val="0"/>
          <w:bCs w:val="0"/>
          <w:color w:val="auto"/>
          <w:sz w:val="32"/>
          <w:szCs w:val="32"/>
          <w:highlight w:val="none"/>
          <w:lang w:val="en-US" w:eastAsia="zh-CN"/>
        </w:rPr>
        <w:t>20</w:t>
      </w:r>
      <w:r>
        <w:rPr>
          <w:rFonts w:hint="eastAsia" w:ascii="方正仿宋_GBK" w:hAnsi="方正仿宋_GBK" w:eastAsia="方正仿宋_GBK" w:cs="方正仿宋_GBK"/>
          <w:b w:val="0"/>
          <w:bCs w:val="0"/>
          <w:color w:val="auto"/>
          <w:sz w:val="32"/>
          <w:szCs w:val="32"/>
          <w:highlight w:val="none"/>
        </w:rPr>
        <w:t>分，得分率为</w:t>
      </w:r>
      <w:r>
        <w:rPr>
          <w:rFonts w:hint="eastAsia" w:ascii="方正仿宋_GBK" w:hAnsi="方正仿宋_GBK" w:eastAsia="方正仿宋_GBK" w:cs="方正仿宋_GBK"/>
          <w:b w:val="0"/>
          <w:bCs w:val="0"/>
          <w:color w:val="auto"/>
          <w:sz w:val="32"/>
          <w:szCs w:val="32"/>
          <w:highlight w:val="none"/>
          <w:lang w:val="en-US" w:eastAsia="zh-CN"/>
        </w:rPr>
        <w:t>100</w:t>
      </w:r>
      <w:r>
        <w:rPr>
          <w:rFonts w:hint="eastAsia" w:ascii="方正仿宋_GBK" w:hAnsi="方正仿宋_GBK" w:eastAsia="方正仿宋_GBK" w:cs="方正仿宋_GBK"/>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highlight w:val="none"/>
          <w:lang w:eastAsia="zh-CN"/>
        </w:rPr>
      </w:pP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二</w:t>
      </w:r>
      <w:r>
        <w:rPr>
          <w:rFonts w:hint="eastAsia" w:ascii="方正楷体_GBK" w:hAnsi="方正楷体_GBK" w:eastAsia="方正楷体_GBK" w:cs="方正楷体_GBK"/>
          <w:b w:val="0"/>
          <w:bCs w:val="0"/>
          <w:sz w:val="32"/>
          <w:szCs w:val="32"/>
          <w:highlight w:val="none"/>
        </w:rPr>
        <w:t>）</w:t>
      </w:r>
      <w:r>
        <w:rPr>
          <w:rFonts w:hint="eastAsia" w:ascii="方正楷体_GBK" w:hAnsi="方正楷体_GBK" w:eastAsia="方正楷体_GBK" w:cs="方正楷体_GBK"/>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highlight w:val="none"/>
          <w:lang w:eastAsia="zh-CN"/>
        </w:rPr>
      </w:pPr>
      <w:r>
        <w:rPr>
          <w:rFonts w:hint="eastAsia" w:ascii="方正仿宋_GBK" w:hAnsi="方正仿宋_GBK" w:eastAsia="方正仿宋_GBK" w:cs="方正仿宋_GBK"/>
          <w:b w:val="0"/>
          <w:bCs w:val="0"/>
          <w:sz w:val="32"/>
          <w:szCs w:val="32"/>
          <w:highlight w:val="none"/>
        </w:rPr>
        <w:t>具体打分情况详见：附件1综合评分表</w:t>
      </w:r>
      <w:r>
        <w:rPr>
          <w:rFonts w:hint="eastAsia" w:ascii="方正仿宋_GBK" w:hAnsi="方正仿宋_GBK" w:eastAsia="方正仿宋_GBK" w:cs="方正仿宋_GBK"/>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auto"/>
          <w:sz w:val="28"/>
          <w:szCs w:val="28"/>
          <w:lang w:eastAsia="zh-CN"/>
        </w:rPr>
      </w:pPr>
      <w:r>
        <w:rPr>
          <w:rFonts w:hint="eastAsia" w:ascii="方正仿宋_GBK" w:hAnsi="方正仿宋_GBK" w:eastAsia="方正仿宋_GBK" w:cs="方正仿宋_GBK"/>
          <w:color w:val="auto"/>
          <w:sz w:val="28"/>
          <w:szCs w:val="28"/>
          <w:lang w:eastAsia="zh-CN"/>
        </w:rPr>
        <w:t>巴音郭楞蒙古自治州（库尔勒）国家骨干冷链物流基地</w:t>
      </w: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2"/>
        </w:rPr>
      </w:pPr>
      <w:r>
        <w:rPr>
          <w:rFonts w:hint="eastAsia" w:ascii="方正仿宋_GBK" w:hAnsi="方正仿宋_GBK" w:eastAsia="方正仿宋_GBK" w:cs="方正仿宋_GBK"/>
          <w:color w:val="auto"/>
          <w:sz w:val="28"/>
          <w:szCs w:val="28"/>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rPr>
            </w:pPr>
            <w:r>
              <w:rPr>
                <w:rFonts w:hint="eastAsia" w:ascii="方正仿宋_GBK" w:hAnsi="方正仿宋_GBK" w:eastAsia="方正仿宋_GBK" w:cs="方正仿宋_GBK"/>
                <w:color w:val="000000"/>
                <w:sz w:val="28"/>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0" w:firstLineChars="200"/>
              <w:jc w:val="center"/>
              <w:textAlignment w:val="auto"/>
              <w:rPr>
                <w:rFonts w:hint="eastAsia" w:ascii="方正仿宋_GBK" w:hAnsi="方正仿宋_GBK" w:eastAsia="方正仿宋_GBK" w:cs="方正仿宋_GBK"/>
                <w:color w:val="000000"/>
                <w:sz w:val="28"/>
                <w:szCs w:val="32"/>
                <w:lang w:val="en-US" w:eastAsia="zh-CN"/>
              </w:rPr>
            </w:pPr>
            <w:r>
              <w:rPr>
                <w:rFonts w:hint="eastAsia" w:ascii="方正仿宋_GBK" w:hAnsi="方正仿宋_GBK" w:eastAsia="方正仿宋_GBK" w:cs="方正仿宋_GBK"/>
                <w:color w:val="000000"/>
                <w:sz w:val="28"/>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方正仿宋_GBK" w:hAnsi="方正仿宋_GBK" w:eastAsia="方正仿宋_GBK" w:cs="方正仿宋_GBK"/>
                <w:b/>
                <w:bCs/>
                <w:color w:val="000000"/>
                <w:sz w:val="28"/>
                <w:szCs w:val="32"/>
              </w:rPr>
            </w:pPr>
            <w:r>
              <w:rPr>
                <w:rFonts w:hint="eastAsia" w:ascii="方正仿宋_GBK" w:hAnsi="方正仿宋_GBK" w:eastAsia="方正仿宋_GBK" w:cs="方正仿宋_GBK"/>
                <w:b/>
                <w:bCs/>
                <w:color w:val="000000"/>
                <w:sz w:val="28"/>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562" w:firstLineChars="200"/>
              <w:jc w:val="center"/>
              <w:textAlignment w:val="auto"/>
              <w:rPr>
                <w:rFonts w:hint="default" w:ascii="方正仿宋_GBK" w:hAnsi="方正仿宋_GBK" w:eastAsia="方正仿宋_GBK" w:cs="方正仿宋_GBK"/>
                <w:b/>
                <w:bCs/>
                <w:color w:val="000000"/>
                <w:sz w:val="28"/>
                <w:szCs w:val="32"/>
                <w:lang w:val="en-US" w:eastAsia="zh-CN"/>
              </w:rPr>
            </w:pPr>
            <w:r>
              <w:rPr>
                <w:rFonts w:hint="eastAsia" w:ascii="方正仿宋_GBK" w:hAnsi="方正仿宋_GBK" w:eastAsia="方正仿宋_GBK" w:cs="方正仿宋_GBK"/>
                <w:b/>
                <w:bCs/>
                <w:color w:val="000000"/>
                <w:sz w:val="28"/>
                <w:szCs w:val="3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黑体_GBK" w:hAnsi="方正黑体_GBK" w:eastAsia="方正黑体_GBK" w:cs="方正黑体_GBK"/>
          <w:b w:val="0"/>
          <w:bCs w:val="0"/>
          <w:sz w:val="32"/>
          <w:szCs w:val="32"/>
        </w:rPr>
      </w:pPr>
      <w:bookmarkStart w:id="11" w:name="_Toc68703837"/>
      <w:r>
        <w:rPr>
          <w:rFonts w:hint="eastAsia" w:ascii="方正黑体_GBK" w:hAnsi="方正黑体_GBK" w:eastAsia="方正黑体_GBK" w:cs="方正黑体_GBK"/>
          <w:b w:val="0"/>
          <w:bCs w:val="0"/>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2" w:name="_Toc68703838"/>
      <w:r>
        <w:rPr>
          <w:rFonts w:hint="eastAsia" w:ascii="方正楷体_GBK" w:hAnsi="方正楷体_GBK" w:eastAsia="方正楷体_GBK" w:cs="方正楷体_GBK"/>
          <w:b w:val="0"/>
          <w:bCs w:val="0"/>
          <w:sz w:val="32"/>
          <w:szCs w:val="32"/>
        </w:rPr>
        <w:t>（一）项目决策情况。</w:t>
      </w:r>
      <w:bookmarkEnd w:id="12"/>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立项依据充分性</w:t>
      </w:r>
    </w:p>
    <w:p>
      <w:pPr>
        <w:shd w:val="clear"/>
        <w:spacing w:line="600" w:lineRule="exact"/>
        <w:ind w:firstLine="640" w:firstLineChars="200"/>
        <w:outlineLvl w:val="0"/>
        <w:rPr>
          <w:rFonts w:hint="default"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本项目按照《</w:t>
      </w:r>
      <w:r>
        <w:rPr>
          <w:rFonts w:hint="eastAsia" w:ascii="方正仿宋_GBK" w:hAnsi="方正仿宋_GBK" w:eastAsia="方正仿宋_GBK" w:cs="方正仿宋_GBK"/>
          <w:sz w:val="32"/>
          <w:szCs w:val="32"/>
          <w:highlight w:val="none"/>
          <w:lang w:val="en-US" w:eastAsia="zh-CN"/>
        </w:rPr>
        <w:t>巴州商贸物流‘十四五’规划纲要</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sz w:val="32"/>
          <w:szCs w:val="32"/>
          <w:highlight w:val="none"/>
          <w:lang w:val="en-US" w:eastAsia="zh-CN"/>
        </w:rPr>
        <w:t>库尔勒市物流业‘十四五’发展规划</w:t>
      </w:r>
      <w:r>
        <w:rPr>
          <w:rFonts w:hint="eastAsia" w:ascii="方正仿宋_GBK" w:hAnsi="方正仿宋_GBK" w:eastAsia="方正仿宋_GBK" w:cs="方正仿宋_GBK"/>
          <w:color w:val="auto"/>
          <w:sz w:val="32"/>
          <w:szCs w:val="32"/>
          <w:highlight w:val="none"/>
          <w:lang w:val="en-US" w:eastAsia="zh-CN"/>
        </w:rPr>
        <w:t>》及</w:t>
      </w:r>
      <w:r>
        <w:rPr>
          <w:rFonts w:hint="eastAsia" w:ascii="方正仿宋_GBK" w:hAnsi="方正仿宋_GBK" w:eastAsia="方正仿宋_GBK" w:cs="方正仿宋_GBK"/>
          <w:sz w:val="32"/>
          <w:szCs w:val="32"/>
          <w:highlight w:val="none"/>
          <w:lang w:val="en-US" w:eastAsia="zh-CN"/>
        </w:rPr>
        <w:t>库党办发〔2022〕8号《库尔勒市委办公室 库尔勒市人民政府办公室关于印发&lt;库尔勒商贸物流产业高质量发展实施方案&gt;的通知》相关要求，</w:t>
      </w:r>
      <w:r>
        <w:rPr>
          <w:rFonts w:hint="eastAsia" w:ascii="方正仿宋_GBK" w:hAnsi="方正仿宋_GBK" w:eastAsia="方正仿宋_GBK" w:cs="方正仿宋_GBK"/>
          <w:color w:val="auto"/>
          <w:sz w:val="32"/>
          <w:szCs w:val="32"/>
          <w:highlight w:val="none"/>
          <w:lang w:val="en-US" w:eastAsia="zh-CN"/>
        </w:rPr>
        <w:t>项目立项符合国家相关法律法规及发展政策，符合行业规划要求，</w:t>
      </w:r>
      <w:r>
        <w:rPr>
          <w:rFonts w:hint="eastAsia" w:ascii="方正仿宋_GBK" w:hAnsi="方正仿宋_GBK" w:eastAsia="方正仿宋_GBK" w:cs="方正仿宋_GBK"/>
          <w:color w:val="auto"/>
          <w:sz w:val="32"/>
          <w:szCs w:val="32"/>
          <w:highlight w:val="none"/>
        </w:rPr>
        <w:t>与部门职责范围相符，属于部门履职所需</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属于公共财政支持范围，符合中央、地方事权支出责任划分原则</w:t>
      </w:r>
      <w:r>
        <w:rPr>
          <w:rFonts w:hint="eastAsia" w:ascii="方正仿宋_GBK" w:hAnsi="方正仿宋_GBK" w:eastAsia="方正仿宋_GBK" w:cs="方正仿宋_GBK"/>
          <w:color w:val="auto"/>
          <w:sz w:val="32"/>
          <w:szCs w:val="32"/>
          <w:highlight w:val="none"/>
          <w:lang w:val="en-US" w:eastAsia="zh-CN"/>
        </w:rPr>
        <w:t>。</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立项程序规范性</w:t>
      </w:r>
    </w:p>
    <w:p>
      <w:pPr>
        <w:shd w:val="clear"/>
        <w:spacing w:line="600" w:lineRule="exact"/>
        <w:ind w:firstLine="640" w:firstLineChars="200"/>
        <w:outlineLvl w:val="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巴音郭楞蒙古自治州（库尔勒）国家骨干冷链物流基地评价</w:t>
      </w:r>
      <w:r>
        <w:rPr>
          <w:rFonts w:hint="eastAsia" w:ascii="方正仿宋_GBK" w:hAnsi="方正仿宋_GBK" w:eastAsia="方正仿宋_GBK" w:cs="方正仿宋_GBK"/>
          <w:sz w:val="32"/>
          <w:szCs w:val="32"/>
        </w:rPr>
        <w:t>项目申请、设立过程符合相关要求，</w:t>
      </w:r>
      <w:r>
        <w:rPr>
          <w:rFonts w:hint="eastAsia" w:ascii="方正仿宋_GBK" w:hAnsi="方正仿宋_GBK" w:eastAsia="方正仿宋_GBK" w:cs="方正仿宋_GBK"/>
          <w:sz w:val="32"/>
          <w:szCs w:val="32"/>
          <w:lang w:eastAsia="zh-Hans"/>
        </w:rPr>
        <w:t>严格按照审批流程准备符合要求的文件、材料；</w:t>
      </w:r>
      <w:r>
        <w:rPr>
          <w:rFonts w:hint="eastAsia" w:ascii="方正仿宋_GBK" w:hAnsi="方正仿宋_GBK" w:eastAsia="方正仿宋_GBK" w:cs="方正仿宋_GBK"/>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方正仿宋_GBK" w:hAnsi="方正仿宋_GBK" w:eastAsia="方正仿宋_GBK" w:cs="方正仿宋_GBK"/>
          <w:color w:val="auto"/>
          <w:sz w:val="32"/>
          <w:szCs w:val="32"/>
          <w:lang w:val="en-US" w:eastAsia="zh-CN"/>
        </w:rPr>
        <w:t>可行性研究、绩效评估、集体决策，保障了程序的规范性。</w:t>
      </w:r>
    </w:p>
    <w:p>
      <w:pPr>
        <w:shd w:val="clear"/>
        <w:spacing w:line="600" w:lineRule="exact"/>
        <w:ind w:firstLine="640" w:firstLineChars="200"/>
        <w:outlineLvl w:val="0"/>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highlight w:val="none"/>
          <w:lang w:eastAsia="zh-CN"/>
        </w:rPr>
        <w:t>巴音郭楞蒙古自治州（库尔勒）国家骨干冷链物流基地</w:t>
      </w:r>
      <w:r>
        <w:rPr>
          <w:rFonts w:hint="eastAsia" w:ascii="方正仿宋_GBK" w:hAnsi="方正仿宋_GBK" w:eastAsia="方正仿宋_GBK" w:cs="方正仿宋_GBK"/>
          <w:color w:val="auto"/>
          <w:sz w:val="32"/>
          <w:szCs w:val="32"/>
          <w:highlight w:val="none"/>
        </w:rPr>
        <w:t>项目设立了项目绩效目标，</w:t>
      </w:r>
      <w:r>
        <w:rPr>
          <w:rFonts w:hint="eastAsia" w:ascii="方正仿宋_GBK" w:hAnsi="方正仿宋_GBK" w:eastAsia="方正仿宋_GBK" w:cs="方正仿宋_GBK"/>
          <w:color w:val="auto"/>
          <w:sz w:val="32"/>
          <w:szCs w:val="32"/>
          <w:highlight w:val="none"/>
          <w:lang w:val="en-US" w:eastAsia="zh-CN"/>
        </w:rPr>
        <w:t>与州党委政府要求一致，</w:t>
      </w:r>
      <w:r>
        <w:rPr>
          <w:rFonts w:hint="eastAsia" w:ascii="方正仿宋_GBK" w:hAnsi="方正仿宋_GBK" w:eastAsia="方正仿宋_GBK" w:cs="方正仿宋_GBK"/>
          <w:color w:val="auto"/>
          <w:sz w:val="32"/>
          <w:szCs w:val="32"/>
        </w:rPr>
        <w:t>项目的预期产出效益和效果也均能符合正常的业绩水平，并且与预算确定的项目投资额相匹配。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bookmarkStart w:id="13" w:name="_Hlk68699917"/>
      <w:r>
        <w:rPr>
          <w:rFonts w:hint="eastAsia" w:ascii="方正仿宋_GBK" w:hAnsi="方正仿宋_GBK" w:eastAsia="方正仿宋_GBK" w:cs="方正仿宋_GBK"/>
          <w:color w:val="auto"/>
          <w:sz w:val="32"/>
          <w:szCs w:val="32"/>
          <w:lang w:eastAsia="zh-CN"/>
        </w:rPr>
        <w:t>巴音郭楞蒙古自治州（库尔勒）国家骨干冷链物流基地</w:t>
      </w:r>
      <w:r>
        <w:rPr>
          <w:rFonts w:hint="eastAsia" w:ascii="方正仿宋_GBK" w:hAnsi="方正仿宋_GBK" w:eastAsia="方正仿宋_GBK" w:cs="方正仿宋_GBK"/>
          <w:color w:val="auto"/>
          <w:sz w:val="32"/>
          <w:szCs w:val="32"/>
        </w:rPr>
        <w:t>项目将项目绩效目标细化分解为具体的绩效指标，一级指标共</w:t>
      </w: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条，二级指标共</w:t>
      </w:r>
      <w:r>
        <w:rPr>
          <w:rFonts w:hint="eastAsia" w:ascii="方正仿宋_GBK" w:hAnsi="方正仿宋_GBK" w:eastAsia="方正仿宋_GBK" w:cs="方正仿宋_GBK"/>
          <w:color w:val="auto"/>
          <w:sz w:val="32"/>
          <w:szCs w:val="32"/>
          <w:lang w:val="en-US" w:eastAsia="zh-CN"/>
        </w:rPr>
        <w:t>7</w:t>
      </w:r>
      <w:r>
        <w:rPr>
          <w:rFonts w:hint="eastAsia" w:ascii="方正仿宋_GBK" w:hAnsi="方正仿宋_GBK" w:eastAsia="方正仿宋_GBK" w:cs="方正仿宋_GBK"/>
          <w:color w:val="auto"/>
          <w:sz w:val="32"/>
          <w:szCs w:val="32"/>
        </w:rPr>
        <w:t>条，三级指标共</w:t>
      </w:r>
      <w:r>
        <w:rPr>
          <w:rFonts w:hint="eastAsia" w:ascii="方正仿宋_GBK" w:hAnsi="方正仿宋_GBK" w:eastAsia="方正仿宋_GBK" w:cs="方正仿宋_GBK"/>
          <w:color w:val="auto"/>
          <w:sz w:val="32"/>
          <w:szCs w:val="32"/>
          <w:lang w:val="en-US" w:eastAsia="zh-CN"/>
        </w:rPr>
        <w:t>26</w:t>
      </w:r>
      <w:r>
        <w:rPr>
          <w:rFonts w:hint="eastAsia" w:ascii="方正仿宋_GBK" w:hAnsi="方正仿宋_GBK" w:eastAsia="方正仿宋_GBK" w:cs="方正仿宋_GBK"/>
          <w:color w:val="auto"/>
          <w:sz w:val="32"/>
          <w:szCs w:val="32"/>
        </w:rPr>
        <w:t>条，其中量化指标条数共</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条，所有绩效指标均通过清晰、可衡量的指标值予以体现，并且做到了与项目目标任务数相对应。</w:t>
      </w:r>
      <w:bookmarkEnd w:id="1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预算编制科学性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auto"/>
          <w:sz w:val="32"/>
          <w:szCs w:val="32"/>
          <w:lang w:eastAsia="zh-CN"/>
        </w:rPr>
        <w:t>巴音郭楞蒙古自治州（库尔勒）国家骨干冷链物流基地</w:t>
      </w:r>
      <w:r>
        <w:rPr>
          <w:rFonts w:hint="eastAsia" w:ascii="方正仿宋_GBK" w:hAnsi="方正仿宋_GBK" w:eastAsia="方正仿宋_GBK" w:cs="方正仿宋_GBK"/>
          <w:color w:val="auto"/>
          <w:sz w:val="32"/>
          <w:szCs w:val="32"/>
        </w:rPr>
        <w:t>项目</w:t>
      </w:r>
      <w:r>
        <w:rPr>
          <w:rFonts w:hint="eastAsia" w:ascii="方正仿宋_GBK" w:hAnsi="方正仿宋_GBK" w:eastAsia="方正仿宋_GBK" w:cs="方正仿宋_GBK"/>
          <w:sz w:val="32"/>
          <w:szCs w:val="32"/>
          <w:lang w:val="en-US" w:eastAsia="zh-CN"/>
        </w:rPr>
        <w:t>预算编制经过科学论证，预算内容与项目内容相匹配。资金额度测算依据充分，与年度总目标相适应。</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资金分配合理性</w:t>
      </w:r>
    </w:p>
    <w:p>
      <w:pPr>
        <w:shd w:val="clear"/>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auto"/>
          <w:sz w:val="32"/>
          <w:szCs w:val="32"/>
          <w:lang w:eastAsia="zh-CN"/>
        </w:rPr>
        <w:t>巴音郭楞蒙古自治州（库尔勒）国家骨干冷链物流基地</w:t>
      </w:r>
      <w:r>
        <w:rPr>
          <w:rFonts w:hint="eastAsia" w:ascii="方正仿宋_GBK" w:hAnsi="方正仿宋_GBK" w:eastAsia="方正仿宋_GBK" w:cs="方正仿宋_GBK"/>
          <w:color w:val="auto"/>
          <w:sz w:val="32"/>
          <w:szCs w:val="32"/>
        </w:rPr>
        <w:t>项目</w:t>
      </w:r>
      <w:r>
        <w:rPr>
          <w:rFonts w:hint="eastAsia" w:ascii="方正仿宋_GBK" w:hAnsi="方正仿宋_GBK" w:eastAsia="方正仿宋_GBK" w:cs="方正仿宋_GBK"/>
          <w:sz w:val="32"/>
          <w:szCs w:val="32"/>
          <w:lang w:val="en-US" w:eastAsia="zh-CN"/>
        </w:rPr>
        <w:t>资金分配额度与项目单位实际工作内容相适应，资金分配额度合理，与该项目实际执行情况一致。</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sz w:val="32"/>
          <w:szCs w:val="32"/>
        </w:rPr>
      </w:pPr>
      <w:bookmarkStart w:id="14" w:name="_Toc68703839"/>
      <w:r>
        <w:rPr>
          <w:rFonts w:hint="eastAsia" w:ascii="方正楷体_GBK" w:hAnsi="方正楷体_GBK" w:eastAsia="方正楷体_GBK" w:cs="方正楷体_GBK"/>
          <w:b w:val="0"/>
          <w:bCs w:val="0"/>
          <w:sz w:val="32"/>
          <w:szCs w:val="32"/>
        </w:rPr>
        <w:t>（二）项目过程情况。</w:t>
      </w:r>
      <w:bookmarkEnd w:id="1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预算资金</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万元，实际到位资金</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万元，资金到位率</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年初预算数</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万元，全年预算数</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万元，全年执行数</w:t>
      </w:r>
      <w:r>
        <w:rPr>
          <w:rFonts w:hint="eastAsia" w:ascii="方正仿宋_GBK" w:hAnsi="方正仿宋_GBK" w:eastAsia="方正仿宋_GBK" w:cs="方正仿宋_GBK"/>
          <w:color w:val="auto"/>
          <w:sz w:val="32"/>
          <w:szCs w:val="32"/>
          <w:lang w:val="en-US" w:eastAsia="zh-CN"/>
        </w:rPr>
        <w:t>25</w:t>
      </w:r>
      <w:r>
        <w:rPr>
          <w:rFonts w:hint="eastAsia" w:ascii="方正仿宋_GBK" w:hAnsi="方正仿宋_GBK" w:eastAsia="方正仿宋_GBK" w:cs="方正仿宋_GBK"/>
          <w:color w:val="auto"/>
          <w:sz w:val="32"/>
          <w:szCs w:val="32"/>
        </w:rPr>
        <w:t>万元，预算执行率为</w:t>
      </w:r>
      <w:r>
        <w:rPr>
          <w:rFonts w:hint="eastAsia" w:ascii="方正仿宋_GBK" w:hAnsi="方正仿宋_GBK" w:eastAsia="方正仿宋_GBK" w:cs="方正仿宋_GBK"/>
          <w:color w:val="auto"/>
          <w:sz w:val="32"/>
          <w:szCs w:val="32"/>
          <w:lang w:val="en-US" w:eastAsia="zh-CN"/>
        </w:rPr>
        <w:t>100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项目严格按照预期绩效目标执行预算资金。制定了《巴州临空经济服务中心财务管理办法》和《巴州临空经济服务中心</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lang w:val="en-US" w:eastAsia="zh-CN"/>
        </w:rPr>
        <w:t>》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制定了</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lang w:val="en-US" w:eastAsia="zh-CN"/>
        </w:rPr>
        <w:t>巴州临空经济服务中心财务管理办法</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和</w:t>
      </w:r>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lang w:val="en-US" w:eastAsia="zh-CN"/>
        </w:rPr>
        <w:t>巴州临空经济服务中心</w:t>
      </w:r>
      <w:r>
        <w:rPr>
          <w:rFonts w:hint="eastAsia" w:ascii="方正仿宋_GBK" w:hAnsi="方正仿宋_GBK" w:eastAsia="方正仿宋_GBK" w:cs="方正仿宋_GBK"/>
          <w:b w:val="0"/>
          <w:bCs w:val="0"/>
          <w:color w:val="auto"/>
          <w:sz w:val="32"/>
          <w:szCs w:val="32"/>
          <w:highlight w:val="none"/>
          <w:lang w:eastAsia="zh-CN"/>
        </w:rPr>
        <w:t>预算绩效目标</w:t>
      </w:r>
      <w:r>
        <w:rPr>
          <w:rFonts w:hint="eastAsia" w:ascii="方正仿宋_GBK" w:hAnsi="方正仿宋_GBK" w:eastAsia="方正仿宋_GBK" w:cs="方正仿宋_GBK"/>
          <w:b w:val="0"/>
          <w:bCs w:val="0"/>
          <w:color w:val="auto"/>
          <w:sz w:val="32"/>
          <w:szCs w:val="32"/>
          <w:highlight w:val="none"/>
        </w:rPr>
        <w:t>管理办法</w:t>
      </w:r>
      <w:r>
        <w:rPr>
          <w:rFonts w:hint="eastAsia" w:ascii="方正仿宋_GBK" w:hAnsi="方正仿宋_GBK" w:eastAsia="方正仿宋_GBK" w:cs="方正仿宋_GBK"/>
          <w:b w:val="0"/>
          <w:bCs w:val="0"/>
          <w:color w:val="auto"/>
          <w:sz w:val="32"/>
          <w:szCs w:val="32"/>
          <w:highlight w:val="none"/>
          <w:lang w:eastAsia="zh-CN"/>
        </w:rPr>
        <w:t>》等</w:t>
      </w:r>
      <w:r>
        <w:rPr>
          <w:rFonts w:hint="eastAsia" w:ascii="方正仿宋_GBK" w:hAnsi="方正仿宋_GBK" w:eastAsia="方正仿宋_GBK" w:cs="方正仿宋_GBK"/>
          <w:b w:val="0"/>
          <w:bCs w:val="0"/>
          <w:color w:val="auto"/>
          <w:sz w:val="32"/>
          <w:szCs w:val="32"/>
          <w:highlight w:val="none"/>
          <w:lang w:val="en-US" w:eastAsia="zh-CN"/>
        </w:rPr>
        <w:t>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制度执行有效性</w:t>
      </w:r>
    </w:p>
    <w:p>
      <w:pPr>
        <w:shd w:val="clear"/>
        <w:spacing w:line="600" w:lineRule="exact"/>
        <w:ind w:firstLine="640" w:firstLineChars="200"/>
        <w:outlineLvl w:val="0"/>
        <w:rPr>
          <w:rFonts w:hint="eastAsia" w:ascii="方正仿宋_GBK" w:hAnsi="方正仿宋_GBK" w:eastAsia="方正仿宋_GBK" w:cs="方正仿宋_GBK"/>
          <w:sz w:val="32"/>
          <w:szCs w:val="32"/>
          <w:highlight w:val="yellow"/>
          <w:lang w:val="en-US" w:eastAsia="zh-CN"/>
        </w:rPr>
      </w:pPr>
      <w:r>
        <w:rPr>
          <w:rFonts w:hint="eastAsia" w:ascii="方正仿宋_GBK" w:hAnsi="方正仿宋_GBK" w:eastAsia="方正仿宋_GBK" w:cs="方正仿宋_GBK"/>
          <w:color w:val="auto"/>
          <w:sz w:val="32"/>
          <w:szCs w:val="32"/>
          <w:lang w:eastAsia="zh-CN"/>
        </w:rPr>
        <w:t>巴音郭楞蒙古自治州（库尔勒）国家骨干冷链物流基地</w:t>
      </w:r>
      <w:r>
        <w:rPr>
          <w:rFonts w:hint="eastAsia" w:ascii="方正仿宋_GBK" w:hAnsi="方正仿宋_GBK" w:eastAsia="方正仿宋_GBK" w:cs="方正仿宋_GBK"/>
          <w:color w:val="auto"/>
          <w:sz w:val="32"/>
          <w:szCs w:val="32"/>
        </w:rPr>
        <w:t>项目</w:t>
      </w:r>
      <w:r>
        <w:rPr>
          <w:rFonts w:hint="eastAsia" w:ascii="方正仿宋_GBK" w:hAnsi="方正仿宋_GBK" w:eastAsia="方正仿宋_GBK" w:cs="方正仿宋_GBK"/>
          <w:color w:val="auto"/>
          <w:sz w:val="32"/>
          <w:szCs w:val="32"/>
          <w:lang w:val="en-US" w:eastAsia="zh-CN"/>
        </w:rPr>
        <w:t>经费的管理和使用，严格遵照相关管理制度执行，项目相关资料齐全并能够及时归档</w:t>
      </w:r>
      <w:r>
        <w:rPr>
          <w:rFonts w:hint="eastAsia" w:ascii="方正仿宋_GBK" w:hAnsi="方正仿宋_GBK" w:eastAsia="方正仿宋_GBK" w:cs="方正仿宋_GBK"/>
          <w:sz w:val="32"/>
          <w:szCs w:val="32"/>
          <w:highlight w:val="none"/>
          <w:lang w:val="en-US" w:eastAsia="zh-CN"/>
        </w:rPr>
        <w:t>。</w:t>
      </w:r>
    </w:p>
    <w:p>
      <w:pPr>
        <w:shd w:val="clea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0"/>
      <w:r>
        <w:rPr>
          <w:rFonts w:hint="eastAsia" w:ascii="方正楷体_GBK" w:hAnsi="方正楷体_GBK" w:eastAsia="方正楷体_GBK" w:cs="方正楷体_GBK"/>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5"/>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数量指标</w:t>
      </w:r>
      <w:r>
        <w:rPr>
          <w:rFonts w:hint="eastAsia" w:ascii="方正仿宋_GBK" w:hAnsi="方正仿宋_GBK" w:eastAsia="方正仿宋_GBK" w:cs="方正仿宋_GBK"/>
          <w:color w:val="auto"/>
          <w:sz w:val="32"/>
          <w:szCs w:val="32"/>
          <w:lang w:eastAsia="zh-CN"/>
        </w:rPr>
        <w:t>完成情况</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指标1：发放劳务费次数，指标值：&gt;=</w:t>
      </w:r>
      <w:r>
        <w:rPr>
          <w:rFonts w:hint="eastAsia" w:ascii="方正仿宋_GBK" w:hAnsi="方正仿宋_GBK" w:eastAsia="方正仿宋_GBK" w:cs="方正仿宋_GBK"/>
          <w:color w:val="auto"/>
          <w:sz w:val="32"/>
          <w:szCs w:val="32"/>
          <w:lang w:val="en-US" w:eastAsia="zh-CN"/>
        </w:rPr>
        <w:t>9</w:t>
      </w:r>
      <w:r>
        <w:rPr>
          <w:rFonts w:hint="eastAsia" w:ascii="方正仿宋_GBK" w:hAnsi="方正仿宋_GBK" w:eastAsia="方正仿宋_GBK" w:cs="方正仿宋_GBK"/>
          <w:color w:val="auto"/>
          <w:sz w:val="32"/>
          <w:szCs w:val="32"/>
        </w:rPr>
        <w:t>次，实际完成值</w:t>
      </w:r>
      <w:r>
        <w:rPr>
          <w:rFonts w:hint="eastAsia" w:ascii="方正仿宋_GBK" w:hAnsi="方正仿宋_GBK" w:eastAsia="方正仿宋_GBK" w:cs="方正仿宋_GBK"/>
          <w:color w:val="auto"/>
          <w:sz w:val="32"/>
          <w:szCs w:val="32"/>
          <w:lang w:val="en-US" w:eastAsia="zh-CN"/>
        </w:rPr>
        <w:t>9次</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指标2：发放劳务费人数，指标值&gt;=</w:t>
      </w:r>
      <w:r>
        <w:rPr>
          <w:rFonts w:hint="eastAsia" w:ascii="方正仿宋_GBK" w:hAnsi="方正仿宋_GBK" w:eastAsia="方正仿宋_GBK" w:cs="方正仿宋_GBK"/>
          <w:color w:val="auto"/>
          <w:sz w:val="32"/>
          <w:szCs w:val="32"/>
          <w:lang w:val="en-US" w:eastAsia="zh-CN"/>
        </w:rPr>
        <w:t>2人</w:t>
      </w:r>
      <w:r>
        <w:rPr>
          <w:rFonts w:hint="eastAsia" w:ascii="方正仿宋_GBK" w:hAnsi="方正仿宋_GBK" w:eastAsia="方正仿宋_GBK" w:cs="方正仿宋_GBK"/>
          <w:color w:val="auto"/>
          <w:sz w:val="32"/>
          <w:szCs w:val="32"/>
        </w:rPr>
        <w:t>，实际完成值</w:t>
      </w:r>
      <w:r>
        <w:rPr>
          <w:rFonts w:hint="eastAsia" w:ascii="方正仿宋_GBK" w:hAnsi="方正仿宋_GBK" w:eastAsia="方正仿宋_GBK" w:cs="方正仿宋_GBK"/>
          <w:color w:val="auto"/>
          <w:sz w:val="32"/>
          <w:szCs w:val="32"/>
          <w:lang w:val="en-US" w:eastAsia="zh-CN"/>
        </w:rPr>
        <w:t>2人</w:t>
      </w:r>
      <w:r>
        <w:rPr>
          <w:rFonts w:hint="eastAsia" w:ascii="方正仿宋_GBK" w:hAnsi="方正仿宋_GBK" w:eastAsia="方正仿宋_GBK" w:cs="方正仿宋_GBK"/>
          <w:color w:val="auto"/>
          <w:sz w:val="32"/>
          <w:szCs w:val="32"/>
        </w:rPr>
        <w:t>，指标完成率</w:t>
      </w:r>
      <w:r>
        <w:rPr>
          <w:rFonts w:hint="eastAsia" w:ascii="方正仿宋_GBK" w:hAnsi="方正仿宋_GBK" w:eastAsia="方正仿宋_GBK" w:cs="方正仿宋_GBK"/>
          <w:color w:val="auto"/>
          <w:sz w:val="32"/>
          <w:szCs w:val="32"/>
          <w:lang w:val="en-US" w:eastAsia="zh-CN"/>
        </w:rPr>
        <w:t>100.00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指标</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：购置办公</w:t>
      </w:r>
      <w:r>
        <w:rPr>
          <w:rFonts w:hint="eastAsia" w:ascii="方正仿宋_GBK" w:hAnsi="方正仿宋_GBK" w:eastAsia="方正仿宋_GBK" w:cs="方正仿宋_GBK"/>
          <w:color w:val="auto"/>
          <w:sz w:val="32"/>
          <w:szCs w:val="32"/>
          <w:lang w:val="en-US" w:eastAsia="zh-CN"/>
        </w:rPr>
        <w:t>耗材批次，指标值：&gt;=7批，实际完成值7批，指标完成率100.00%；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指标4：公务接待次数，指标值：&gt;=19次，实际完成值19次，指标完成率100.00%；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指标5：跑办项目出差人数，指标值：&gt;=9人，实际完成值9人，指标完成率100.00%；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指标6：参加学习培训人数，指标值：=1人，实际完成值1人，指标完成率100.00%；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指标7：印刷次数，指标值：&gt;=7次，实际完成值7次，指标完成率100.00%；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指标8：保障办公人员数量，指标值：&gt;=13人，实际完成值13人，指标完成率100.00%。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2.质量指标完成情况：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指标1：办公耗材质量合格率，指标值：&gt;=95%，实际完成值100.00%，指标完成率105.26%，偏差原因：年初设置的质量指标值较为保守，本年完成较好，造成偏差；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指标2：政府采购率，指标值：&gt;=100%，实际完成值100%，指标完成率100.00%；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指标3：发放劳务费准确率，指标值：&gt;=95%，实际完成值100%，指标完成率105.26%，偏差原因：年初设置的质量指标值较为保守，本年完成较好，造成偏差；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指标4：印刷质量合格率，指标值：&gt;=95%，实际完成值100%，指标完成率105.26%，偏差原因：年初设置的质量指标值较为保守，本年完成较好，造成偏差。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3.时效指标完成情况：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指标1：劳务费发放及时率，指标值：&gt;=95%，实际完成值100%，指标完成率105.26%，偏差原因：年初设置的时效指标值较为保守，本年完成较好，造成偏差；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指标2：办公耗材采购及时率，指标值：&gt;=95%，实际完成值100%，指标完成率105.26%，偏差原因：年初设置的时效指标值较为保守，本年完成较好，造成偏差；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指标3：跑办项目差旅费发放及时率，指标值：&gt;=95%，实际完成值100%，指标完成率105.26%，偏差原因：年初设置的时效指标值较为保守，本年完成较好，造成偏差。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lang w:val="en-US" w:eastAsia="zh-CN"/>
        </w:rPr>
        <w:t>4.经济成本指标完</w:t>
      </w:r>
      <w:r>
        <w:rPr>
          <w:rFonts w:hint="eastAsia" w:ascii="方正仿宋_GBK" w:hAnsi="方正仿宋_GBK" w:eastAsia="方正仿宋_GBK" w:cs="方正仿宋_GBK"/>
          <w:color w:val="auto"/>
          <w:sz w:val="32"/>
          <w:szCs w:val="32"/>
          <w:lang w:val="en-US" w:eastAsia="zh-CN"/>
        </w:rPr>
        <w:t>成情况：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指标1：全年跑办项目差旅费，指标值：&lt;=13.3万元，实际完成值13.3万元，指标完成率100.00%；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指标2：购买办公耗材费，指标值：&lt;=1.7万元，实际完成值1.7万元，指标完成率100.00%；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指标3：全年公务接待费，指标值：&lt;=1.9万元，实际完成值1.9万元，指标完成率100.00%；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指标4：发放劳务费，指标值：&lt;=3.1万元，实际完成值3.1万元，指标完成率100.00%；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指标5：印刷费，指标值：&lt;=4.2万元，实际完成值4.2万元，指标完成率100.00%；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指标6：参加学习培训费，指标值：&lt;=0.5万元，实际完成值0.5万元，指标完成率100.00%；</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指标7：运转经费，指标值：&lt;=0.3万元，实际完成值0.3万元，指标完成率100.00%。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color w:val="auto"/>
          <w:sz w:val="32"/>
          <w:szCs w:val="32"/>
          <w:highlight w:val="none"/>
        </w:rPr>
      </w:pPr>
      <w:bookmarkStart w:id="16" w:name="_Toc68703841"/>
      <w:r>
        <w:rPr>
          <w:rFonts w:hint="eastAsia" w:ascii="方正仿宋_GBK" w:hAnsi="方正仿宋_GBK" w:eastAsia="方正仿宋_GBK" w:cs="方正仿宋_GBK"/>
          <w:b w:val="0"/>
          <w:bCs w:val="0"/>
          <w:color w:val="auto"/>
          <w:sz w:val="32"/>
          <w:szCs w:val="32"/>
          <w:highlight w:val="none"/>
        </w:rPr>
        <w:t>（</w:t>
      </w:r>
      <w:r>
        <w:rPr>
          <w:rFonts w:hint="eastAsia" w:ascii="方正仿宋_GBK" w:hAnsi="方正仿宋_GBK" w:eastAsia="方正仿宋_GBK" w:cs="方正仿宋_GBK"/>
          <w:b w:val="0"/>
          <w:bCs w:val="0"/>
          <w:color w:val="auto"/>
          <w:sz w:val="32"/>
          <w:szCs w:val="32"/>
          <w:highlight w:val="none"/>
          <w:lang w:eastAsia="zh-CN"/>
        </w:rPr>
        <w:t>四</w:t>
      </w:r>
      <w:r>
        <w:rPr>
          <w:rFonts w:hint="eastAsia" w:ascii="方正仿宋_GBK" w:hAnsi="方正仿宋_GBK" w:eastAsia="方正仿宋_GBK" w:cs="方正仿宋_GBK"/>
          <w:b w:val="0"/>
          <w:bCs w:val="0"/>
          <w:color w:val="auto"/>
          <w:sz w:val="32"/>
          <w:szCs w:val="32"/>
          <w:highlight w:val="none"/>
        </w:rPr>
        <w:t>）项目效益情况。</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社会效益指标</w:t>
      </w:r>
      <w:r>
        <w:rPr>
          <w:rFonts w:hint="eastAsia" w:ascii="方正仿宋_GBK" w:hAnsi="方正仿宋_GBK" w:eastAsia="方正仿宋_GBK" w:cs="方正仿宋_GBK"/>
          <w:color w:val="auto"/>
          <w:sz w:val="32"/>
          <w:szCs w:val="32"/>
          <w:highlight w:val="none"/>
          <w:lang w:eastAsia="zh-CN"/>
        </w:rPr>
        <w:t>完成情况</w:t>
      </w:r>
      <w:r>
        <w:rPr>
          <w:rFonts w:hint="eastAsia" w:ascii="方正仿宋_GBK" w:hAnsi="方正仿宋_GBK" w:eastAsia="方正仿宋_GBK" w:cs="方正仿宋_GBK"/>
          <w:color w:val="auto"/>
          <w:sz w:val="32"/>
          <w:szCs w:val="32"/>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指标1：提升骨干冷链物流建设水平，指标值：有所提升，实际完成值达成目标，指标完成率100%。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此项权重分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分，得分</w:t>
      </w:r>
      <w:r>
        <w:rPr>
          <w:rFonts w:hint="eastAsia" w:ascii="方正仿宋_GBK" w:hAnsi="方正仿宋_GBK" w:eastAsia="方正仿宋_GBK" w:cs="方正仿宋_GBK"/>
          <w:color w:val="auto"/>
          <w:sz w:val="32"/>
          <w:szCs w:val="32"/>
          <w:highlight w:val="none"/>
          <w:lang w:val="en-US" w:eastAsia="zh-CN"/>
        </w:rPr>
        <w:t>10</w:t>
      </w:r>
      <w:r>
        <w:rPr>
          <w:rFonts w:hint="eastAsia" w:ascii="方正仿宋_GBK" w:hAnsi="方正仿宋_GBK" w:eastAsia="方正仿宋_GBK" w:cs="方正仿宋_GBK"/>
          <w:color w:val="auto"/>
          <w:sz w:val="32"/>
          <w:szCs w:val="32"/>
          <w:highlight w:val="none"/>
          <w:lang w:eastAsia="zh-CN"/>
        </w:rPr>
        <w:t>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满意度指标</w:t>
      </w:r>
      <w:r>
        <w:rPr>
          <w:rFonts w:hint="eastAsia" w:ascii="方正仿宋_GBK" w:hAnsi="方正仿宋_GBK" w:eastAsia="方正仿宋_GBK" w:cs="方正仿宋_GBK"/>
          <w:color w:val="auto"/>
          <w:sz w:val="32"/>
          <w:szCs w:val="32"/>
          <w:highlight w:val="none"/>
          <w:lang w:eastAsia="zh-CN"/>
        </w:rPr>
        <w:t>完成情况分</w:t>
      </w:r>
      <w:r>
        <w:rPr>
          <w:rFonts w:hint="eastAsia" w:ascii="方正仿宋_GBK" w:hAnsi="方正仿宋_GBK" w:eastAsia="方正仿宋_GBK" w:cs="方正仿宋_GBK"/>
          <w:color w:val="auto"/>
          <w:sz w:val="32"/>
          <w:szCs w:val="32"/>
          <w:lang w:val="en-US" w:eastAsia="zh-CN"/>
        </w:rPr>
        <w:t>析：</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指标1：聘用人员满意度，指标值：&gt;=95%，实际完成值100%，指标完成率105.26%，偏差原因：年初设置的满意度指标值较为保守，本年完成较好，造成偏差。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green"/>
        </w:rPr>
      </w:pPr>
      <w:r>
        <w:rPr>
          <w:rFonts w:hint="eastAsia" w:ascii="方正仿宋_GBK" w:hAnsi="方正仿宋_GBK" w:eastAsia="方正仿宋_GBK" w:cs="方正仿宋_GBK"/>
          <w:color w:val="auto"/>
          <w:sz w:val="32"/>
          <w:szCs w:val="32"/>
          <w:lang w:eastAsia="zh-CN"/>
        </w:rPr>
        <w:t>此项权重分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分，得分</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lang w:eastAsia="zh-CN"/>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Hans"/>
        </w:rPr>
      </w:pPr>
      <w:bookmarkStart w:id="17" w:name="_Toc68703842"/>
      <w:r>
        <w:rPr>
          <w:rFonts w:hint="eastAsia" w:ascii="方正仿宋_GBK" w:hAnsi="方正仿宋_GBK" w:eastAsia="方正仿宋_GBK" w:cs="方正仿宋_GBK"/>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巴音郭楞蒙古自治州（库尔勒）国家骨干冷链物流基地</w:t>
      </w:r>
      <w:r>
        <w:rPr>
          <w:rFonts w:hint="eastAsia" w:ascii="方正仿宋_GBK" w:hAnsi="方正仿宋_GBK" w:eastAsia="方正仿宋_GBK" w:cs="方正仿宋_GBK"/>
          <w:color w:val="auto"/>
          <w:sz w:val="32"/>
          <w:szCs w:val="32"/>
          <w:highlight w:val="none"/>
        </w:rPr>
        <w:t>项目年初预算</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万元，全年预算</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万元，实际支出</w:t>
      </w:r>
      <w:r>
        <w:rPr>
          <w:rFonts w:hint="eastAsia" w:ascii="方正仿宋_GBK" w:hAnsi="方正仿宋_GBK" w:eastAsia="方正仿宋_GBK" w:cs="方正仿宋_GBK"/>
          <w:color w:val="auto"/>
          <w:sz w:val="32"/>
          <w:szCs w:val="32"/>
          <w:highlight w:val="none"/>
          <w:lang w:val="en-US" w:eastAsia="zh-CN"/>
        </w:rPr>
        <w:t>25</w:t>
      </w:r>
      <w:r>
        <w:rPr>
          <w:rFonts w:hint="eastAsia" w:ascii="方正仿宋_GBK" w:hAnsi="方正仿宋_GBK" w:eastAsia="方正仿宋_GBK" w:cs="方正仿宋_GBK"/>
          <w:color w:val="auto"/>
          <w:sz w:val="32"/>
          <w:szCs w:val="32"/>
          <w:highlight w:val="none"/>
        </w:rPr>
        <w:t>万元，预算执行率为</w:t>
      </w:r>
      <w:r>
        <w:rPr>
          <w:rFonts w:hint="eastAsia" w:ascii="方正仿宋_GBK" w:hAnsi="方正仿宋_GBK" w:eastAsia="方正仿宋_GBK" w:cs="方正仿宋_GBK"/>
          <w:color w:val="auto"/>
          <w:sz w:val="32"/>
          <w:szCs w:val="32"/>
          <w:highlight w:val="none"/>
          <w:lang w:val="en-US" w:eastAsia="zh-CN"/>
        </w:rPr>
        <w:t>100</w:t>
      </w:r>
      <w:r>
        <w:rPr>
          <w:rFonts w:hint="eastAsia" w:ascii="方正仿宋_GBK" w:hAnsi="方正仿宋_GBK" w:eastAsia="方正仿宋_GBK" w:cs="方正仿宋_GBK"/>
          <w:color w:val="auto"/>
          <w:sz w:val="32"/>
          <w:szCs w:val="32"/>
          <w:highlight w:val="none"/>
        </w:rPr>
        <w:t>%，项目绩效指标总体完成率为</w:t>
      </w:r>
      <w:r>
        <w:rPr>
          <w:rFonts w:hint="eastAsia" w:ascii="方正仿宋_GBK" w:hAnsi="方正仿宋_GBK" w:eastAsia="方正仿宋_GBK" w:cs="方正仿宋_GBK"/>
          <w:color w:val="auto"/>
          <w:sz w:val="32"/>
          <w:szCs w:val="32"/>
          <w:highlight w:val="none"/>
          <w:lang w:val="en-US" w:eastAsia="zh-CN"/>
        </w:rPr>
        <w:t>101.53</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Hans"/>
        </w:rPr>
        <w:t>总体</w:t>
      </w:r>
      <w:r>
        <w:rPr>
          <w:rFonts w:hint="eastAsia" w:ascii="方正仿宋_GBK" w:hAnsi="方正仿宋_GBK" w:eastAsia="方正仿宋_GBK" w:cs="方正仿宋_GBK"/>
          <w:color w:val="auto"/>
          <w:sz w:val="32"/>
          <w:szCs w:val="32"/>
          <w:highlight w:val="none"/>
        </w:rPr>
        <w:t>偏差率为</w:t>
      </w:r>
      <w:r>
        <w:rPr>
          <w:rFonts w:hint="eastAsia" w:ascii="方正仿宋_GBK" w:hAnsi="方正仿宋_GBK" w:eastAsia="方正仿宋_GBK" w:cs="方正仿宋_GBK"/>
          <w:color w:val="auto"/>
          <w:sz w:val="32"/>
          <w:szCs w:val="32"/>
          <w:highlight w:val="none"/>
          <w:lang w:val="en-US" w:eastAsia="zh-CN"/>
        </w:rPr>
        <w:t>1.53</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eastAsia="zh-Hans"/>
        </w:rPr>
        <w:t>偏差</w:t>
      </w:r>
      <w:r>
        <w:rPr>
          <w:rFonts w:hint="eastAsia" w:ascii="方正仿宋_GBK" w:hAnsi="方正仿宋_GBK" w:eastAsia="方正仿宋_GBK" w:cs="方正仿宋_GBK"/>
          <w:color w:val="auto"/>
          <w:sz w:val="32"/>
          <w:szCs w:val="32"/>
          <w:highlight w:val="none"/>
        </w:rPr>
        <w:t>原因</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年初设置</w:t>
      </w:r>
      <w:bookmarkStart w:id="22" w:name="_GoBack"/>
      <w:bookmarkEnd w:id="22"/>
      <w:r>
        <w:rPr>
          <w:rFonts w:hint="eastAsia" w:ascii="方正仿宋_GBK" w:hAnsi="方正仿宋_GBK" w:eastAsia="方正仿宋_GBK" w:cs="方正仿宋_GBK"/>
          <w:color w:val="auto"/>
          <w:sz w:val="32"/>
          <w:szCs w:val="32"/>
          <w:highlight w:val="none"/>
          <w:lang w:val="en-US" w:eastAsia="zh-CN"/>
        </w:rPr>
        <w:t>的质量指标和满意度指标绩效目标值偏低，项目实际完成较好，造成偏差；</w:t>
      </w:r>
      <w:r>
        <w:rPr>
          <w:rFonts w:hint="eastAsia" w:ascii="方正仿宋_GBK" w:hAnsi="方正仿宋_GBK" w:eastAsia="方正仿宋_GBK" w:cs="方正仿宋_GBK"/>
          <w:color w:val="auto"/>
          <w:sz w:val="32"/>
          <w:szCs w:val="32"/>
          <w:highlight w:val="none"/>
          <w:lang w:eastAsia="zh-Hans"/>
        </w:rPr>
        <w:t>改进</w:t>
      </w:r>
      <w:r>
        <w:rPr>
          <w:rFonts w:hint="eastAsia" w:ascii="方正仿宋_GBK" w:hAnsi="方正仿宋_GBK" w:eastAsia="方正仿宋_GBK" w:cs="方正仿宋_GBK"/>
          <w:color w:val="auto"/>
          <w:sz w:val="32"/>
          <w:szCs w:val="32"/>
          <w:highlight w:val="none"/>
        </w:rPr>
        <w:t>措施</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下年根据历史经验精准设置绩效目标值，减少偏差</w:t>
      </w:r>
      <w:r>
        <w:rPr>
          <w:rFonts w:hint="eastAsia" w:ascii="方正仿宋_GBK" w:hAnsi="方正仿宋_GBK" w:eastAsia="方正仿宋_GBK" w:cs="方正仿宋_GBK"/>
          <w:color w:val="auto"/>
          <w:sz w:val="32"/>
          <w:szCs w:val="32"/>
          <w:highlight w:val="none"/>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六</w:t>
      </w:r>
      <w:r>
        <w:rPr>
          <w:rFonts w:hint="eastAsia" w:ascii="方正仿宋_GBK" w:hAnsi="方正仿宋_GBK" w:eastAsia="方正仿宋_GBK" w:cs="方正仿宋_GBK"/>
          <w:color w:val="auto"/>
          <w:sz w:val="32"/>
          <w:szCs w:val="32"/>
        </w:rPr>
        <w:t>、主要经验及做法、存在的问题及原因分析</w:t>
      </w:r>
      <w:bookmarkEnd w:id="1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bookmarkStart w:id="18" w:name="_Toc68703843"/>
      <w:r>
        <w:rPr>
          <w:rFonts w:hint="eastAsia" w:ascii="方正仿宋_GBK" w:hAnsi="方正仿宋_GBK" w:eastAsia="方正仿宋_GBK" w:cs="方正仿宋_GBK"/>
          <w:b w:val="0"/>
          <w:bCs w:val="0"/>
          <w:color w:val="auto"/>
          <w:sz w:val="32"/>
          <w:szCs w:val="32"/>
        </w:rPr>
        <w:t>（一）主要经验及做法</w:t>
      </w:r>
      <w:bookmarkEnd w:id="18"/>
    </w:p>
    <w:p>
      <w:pPr>
        <w:pStyle w:val="2"/>
        <w:spacing w:before="0" w:after="0" w:line="560" w:lineRule="exact"/>
        <w:ind w:firstLine="640" w:firstLineChars="200"/>
        <w:jc w:val="left"/>
        <w:rPr>
          <w:rFonts w:hint="eastAsia" w:ascii="方正仿宋_GBK" w:hAnsi="方正仿宋_GBK" w:eastAsia="方正仿宋_GBK" w:cs="方正仿宋_GBK"/>
          <w:b w:val="0"/>
          <w:bCs w:val="0"/>
          <w:color w:val="auto"/>
          <w:kern w:val="2"/>
          <w:sz w:val="32"/>
          <w:szCs w:val="32"/>
        </w:rPr>
      </w:pPr>
      <w:bookmarkStart w:id="19" w:name="_Toc68703844"/>
      <w:r>
        <w:rPr>
          <w:rFonts w:hint="eastAsia" w:ascii="方正仿宋_GBK" w:hAnsi="方正仿宋_GBK" w:eastAsia="方正仿宋_GBK" w:cs="方正仿宋_GBK"/>
          <w:b w:val="0"/>
          <w:bCs w:val="0"/>
          <w:color w:val="auto"/>
          <w:kern w:val="2"/>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（二）存在的问题及原因分析</w:t>
      </w:r>
      <w:bookmarkEnd w:id="19"/>
    </w:p>
    <w:p>
      <w:pPr>
        <w:spacing w:line="540" w:lineRule="exact"/>
        <w:ind w:firstLine="564" w:firstLineChars="181"/>
        <w:rPr>
          <w:rStyle w:val="13"/>
          <w:rFonts w:hint="eastAsia" w:ascii="仿宋_GB2312" w:hAnsi="楷体" w:eastAsia="仿宋_GB2312" w:cs="Times New Roman"/>
          <w:b w:val="0"/>
          <w:spacing w:val="-4"/>
          <w:sz w:val="32"/>
          <w:szCs w:val="32"/>
          <w:lang w:eastAsia="zh-CN"/>
        </w:rPr>
      </w:pPr>
      <w:bookmarkStart w:id="20" w:name="_Toc68703845"/>
      <w:r>
        <w:rPr>
          <w:rStyle w:val="13"/>
          <w:rFonts w:hint="eastAsia" w:ascii="仿宋_GB2312" w:hAnsi="楷体" w:eastAsia="仿宋_GB2312" w:cs="Times New Roman"/>
          <w:b w:val="0"/>
          <w:spacing w:val="-4"/>
          <w:sz w:val="32"/>
          <w:szCs w:val="32"/>
          <w:lang w:eastAsia="zh-CN"/>
        </w:rPr>
        <w:t>一是年中绩效监控节点时，预算执行有所欠缺，项目执行率缓慢。</w:t>
      </w:r>
    </w:p>
    <w:p>
      <w:pPr>
        <w:spacing w:line="540" w:lineRule="exact"/>
        <w:ind w:firstLine="564" w:firstLineChars="181"/>
        <w:rPr>
          <w:rStyle w:val="13"/>
          <w:rFonts w:hint="eastAsia" w:ascii="仿宋_GB2312" w:hAnsi="楷体" w:eastAsia="仿宋_GB2312" w:cs="Times New Roman"/>
          <w:b w:val="0"/>
          <w:spacing w:val="-4"/>
          <w:sz w:val="32"/>
          <w:szCs w:val="32"/>
          <w:lang w:val="en-US" w:eastAsia="zh-CN"/>
        </w:rPr>
      </w:pPr>
      <w:r>
        <w:rPr>
          <w:rStyle w:val="13"/>
          <w:rFonts w:hint="eastAsia" w:ascii="仿宋_GB2312" w:hAnsi="楷体" w:eastAsia="仿宋_GB2312" w:cs="Times New Roman"/>
          <w:b w:val="0"/>
          <w:spacing w:val="-4"/>
          <w:sz w:val="32"/>
          <w:szCs w:val="32"/>
          <w:lang w:eastAsia="zh-CN"/>
        </w:rPr>
        <w:t>二是缺乏有效的协作机制，项目绩效管理需要业务科室和财务人员紧密协作，以确保项目能顺利完成。</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lang w:val="en-US" w:eastAsia="zh-CN"/>
        </w:rPr>
        <w:t>七</w:t>
      </w:r>
      <w:r>
        <w:rPr>
          <w:rFonts w:hint="eastAsia" w:ascii="方正仿宋_GBK" w:hAnsi="方正仿宋_GBK" w:eastAsia="方正仿宋_GBK" w:cs="方正仿宋_GBK"/>
          <w:b/>
          <w:bCs/>
          <w:color w:val="auto"/>
          <w:sz w:val="32"/>
          <w:szCs w:val="32"/>
        </w:rPr>
        <w:t>、有关建议</w:t>
      </w:r>
      <w:bookmarkEnd w:id="2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一是在项目执行过程中，坚持对项目实施情况和预算执行情况进行定期或不定期的监督检查，对存在的问题及时发现、纠正、整改，确保项目经费的安全、有效、合理使用，保证项目按照预算全面完成，提高项目经费的使用效益及管理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二是建立有效的协作机制。业务科室和财务人员要进一步提高绩效工作的重要性认识，确保有效协作，建立高效信息共享和沟通机制，以便在项目过程中紧密协作，保证项目顺利实施。</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方正仿宋_GBK" w:hAnsi="方正仿宋_GBK" w:eastAsia="方正仿宋_GBK" w:cs="方正仿宋_GBK"/>
          <w:sz w:val="32"/>
          <w:szCs w:val="32"/>
        </w:rPr>
      </w:pPr>
      <w:bookmarkStart w:id="21" w:name="_Toc68703846"/>
      <w:r>
        <w:rPr>
          <w:rFonts w:hint="eastAsia" w:ascii="方正仿宋_GBK" w:hAnsi="方正仿宋_GBK" w:eastAsia="方正仿宋_GBK" w:cs="方正仿宋_GBK"/>
          <w:sz w:val="32"/>
          <w:szCs w:val="32"/>
          <w:lang w:val="en-US" w:eastAsia="zh-CN"/>
        </w:rPr>
        <w:t>八</w:t>
      </w:r>
      <w:r>
        <w:rPr>
          <w:rFonts w:hint="eastAsia" w:ascii="方正仿宋_GBK" w:hAnsi="方正仿宋_GBK" w:eastAsia="方正仿宋_GBK" w:cs="方正仿宋_GBK"/>
          <w:sz w:val="32"/>
          <w:szCs w:val="32"/>
        </w:rPr>
        <w:t>、其他需要说明的问题</w:t>
      </w:r>
      <w:bookmarkEnd w:id="21"/>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VmYWIxYWUyN2YwZjMzY2VjOWNlYThkYjlmYjE4N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E10881"/>
    <w:rsid w:val="031A7868"/>
    <w:rsid w:val="047B2EDD"/>
    <w:rsid w:val="04940029"/>
    <w:rsid w:val="04FE632E"/>
    <w:rsid w:val="05227DA5"/>
    <w:rsid w:val="05406BEE"/>
    <w:rsid w:val="05731E88"/>
    <w:rsid w:val="076C1514"/>
    <w:rsid w:val="07896DDB"/>
    <w:rsid w:val="07FA0C61"/>
    <w:rsid w:val="08D20D13"/>
    <w:rsid w:val="09417883"/>
    <w:rsid w:val="0972065D"/>
    <w:rsid w:val="0ABC7565"/>
    <w:rsid w:val="0B7A766C"/>
    <w:rsid w:val="0BD25FA2"/>
    <w:rsid w:val="0C4D0F1B"/>
    <w:rsid w:val="0C8E4EE0"/>
    <w:rsid w:val="0F2A6BF7"/>
    <w:rsid w:val="0FD740B6"/>
    <w:rsid w:val="10E577EF"/>
    <w:rsid w:val="11243252"/>
    <w:rsid w:val="14612E8F"/>
    <w:rsid w:val="149D72C0"/>
    <w:rsid w:val="14A85A7F"/>
    <w:rsid w:val="175E6F68"/>
    <w:rsid w:val="193445F1"/>
    <w:rsid w:val="1A6208CE"/>
    <w:rsid w:val="1BC878ED"/>
    <w:rsid w:val="1C322C6D"/>
    <w:rsid w:val="1D723F37"/>
    <w:rsid w:val="1D785367"/>
    <w:rsid w:val="1E6F7A9A"/>
    <w:rsid w:val="1F4E4E8F"/>
    <w:rsid w:val="1F5C17B8"/>
    <w:rsid w:val="1FA44FF7"/>
    <w:rsid w:val="22362253"/>
    <w:rsid w:val="23E73C26"/>
    <w:rsid w:val="251626F9"/>
    <w:rsid w:val="270E494A"/>
    <w:rsid w:val="278A5F7C"/>
    <w:rsid w:val="281F3B62"/>
    <w:rsid w:val="2C5E0C55"/>
    <w:rsid w:val="2E233C7B"/>
    <w:rsid w:val="2F3B4761"/>
    <w:rsid w:val="2FB63C91"/>
    <w:rsid w:val="3165254F"/>
    <w:rsid w:val="31915BF7"/>
    <w:rsid w:val="32AE0DEC"/>
    <w:rsid w:val="332F6889"/>
    <w:rsid w:val="34F31F57"/>
    <w:rsid w:val="35C76A9A"/>
    <w:rsid w:val="36B72533"/>
    <w:rsid w:val="36DA6A8F"/>
    <w:rsid w:val="3BCB0F47"/>
    <w:rsid w:val="3CC90934"/>
    <w:rsid w:val="4057649F"/>
    <w:rsid w:val="40DB2174"/>
    <w:rsid w:val="425E28AD"/>
    <w:rsid w:val="42F1018A"/>
    <w:rsid w:val="43182414"/>
    <w:rsid w:val="437D60CA"/>
    <w:rsid w:val="457166F2"/>
    <w:rsid w:val="46507BB3"/>
    <w:rsid w:val="471112CB"/>
    <w:rsid w:val="477A6048"/>
    <w:rsid w:val="495F2783"/>
    <w:rsid w:val="49E140CE"/>
    <w:rsid w:val="4A7C25BE"/>
    <w:rsid w:val="4ADD1BD8"/>
    <w:rsid w:val="4B534A9A"/>
    <w:rsid w:val="4C22332E"/>
    <w:rsid w:val="4F5D1109"/>
    <w:rsid w:val="50917C95"/>
    <w:rsid w:val="52B9673E"/>
    <w:rsid w:val="52C9478A"/>
    <w:rsid w:val="53193C5A"/>
    <w:rsid w:val="53E46096"/>
    <w:rsid w:val="56796849"/>
    <w:rsid w:val="589C3A86"/>
    <w:rsid w:val="58C956E1"/>
    <w:rsid w:val="5A265BA3"/>
    <w:rsid w:val="5DA95371"/>
    <w:rsid w:val="5EA02E1C"/>
    <w:rsid w:val="611F009D"/>
    <w:rsid w:val="61397F52"/>
    <w:rsid w:val="6319742E"/>
    <w:rsid w:val="63C725EE"/>
    <w:rsid w:val="64867301"/>
    <w:rsid w:val="64D36C12"/>
    <w:rsid w:val="66437152"/>
    <w:rsid w:val="671D2497"/>
    <w:rsid w:val="68F11999"/>
    <w:rsid w:val="6BDA1E3C"/>
    <w:rsid w:val="6E246996"/>
    <w:rsid w:val="6F3D2D8B"/>
    <w:rsid w:val="70030F17"/>
    <w:rsid w:val="70FC0400"/>
    <w:rsid w:val="710E5417"/>
    <w:rsid w:val="71DB22E8"/>
    <w:rsid w:val="721F32AB"/>
    <w:rsid w:val="722D3510"/>
    <w:rsid w:val="72BC73E4"/>
    <w:rsid w:val="74955DE0"/>
    <w:rsid w:val="74EB1FC9"/>
    <w:rsid w:val="75DE3706"/>
    <w:rsid w:val="760319D9"/>
    <w:rsid w:val="761B096F"/>
    <w:rsid w:val="763A0251"/>
    <w:rsid w:val="7706569E"/>
    <w:rsid w:val="78AF57E1"/>
    <w:rsid w:val="79F76002"/>
    <w:rsid w:val="7B08384C"/>
    <w:rsid w:val="7BED1A05"/>
    <w:rsid w:val="7D980925"/>
    <w:rsid w:val="7E330F38"/>
    <w:rsid w:val="7E644076"/>
    <w:rsid w:val="7FB744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next w:val="1"/>
    <w:qFormat/>
    <w:uiPriority w:val="0"/>
    <w:pPr>
      <w:snapToGrid w:val="0"/>
      <w:spacing w:line="560" w:lineRule="exact"/>
      <w:jc w:val="center"/>
    </w:pPr>
    <w:rPr>
      <w:rFonts w:ascii="宋体" w:eastAsia="宋体"/>
      <w:b/>
      <w:sz w:val="44"/>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99</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2024-05-16T10:20:10Z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