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eastAsia" w:ascii="宋体" w:hAnsi="宋体" w:eastAsia="宋体" w:cs="Arial"/>
          <w:b/>
          <w:bCs/>
          <w:sz w:val="48"/>
          <w:szCs w:val="48"/>
          <w:lang w:val="en-US" w:eastAsia="zh-CN"/>
        </w:rPr>
      </w:pPr>
      <w:r>
        <w:rPr>
          <w:rFonts w:hint="eastAsia" w:ascii="宋体" w:hAnsi="宋体" w:eastAsia="宋体" w:cs="Arial"/>
          <w:b/>
          <w:bCs/>
          <w:sz w:val="48"/>
          <w:szCs w:val="48"/>
          <w:lang w:val="en-US" w:eastAsia="zh-CN"/>
        </w:rPr>
        <w:t xml:space="preserve"> </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eastAsia="zh-CN"/>
        </w:rPr>
        <w:t>城乡一体化住户调查补贴经费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刘涛</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5月20</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ascii="宋体" w:hAnsi="宋体" w:eastAsia="宋体" w:cs="Arial"/>
          <w:b/>
          <w:bCs/>
          <w:sz w:val="36"/>
          <w:szCs w:val="36"/>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rPr>
      </w:pPr>
      <w:r>
        <w:rPr>
          <w:rFonts w:hint="eastAsia" w:ascii="仿宋_GB2312"/>
          <w:highlight w:val="none"/>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2023年起，城乡一体化住户调查补贴经费由地方政府自行承担。通过加大城乡一体化住户调查补贴经费保障力度并提高城乡一体化住户调查补贴标准，可以更好地对巴州区住户收支调查所有记帐户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权重指定提供基础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（2）主要内容及实施情况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2023年起，城乡一体化住户调查补贴经费由地方政府自行承担。通过加大城乡一体化住户调查补贴经费保障力度并提高城乡一体化住户调查补贴标准，更好地保障巴州城乡住户一体化住户调查工作开展，提高调查样本户（分省、分县市）的参与积极性和配合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实施情况：截止到2023年12月31日，完成负责发放住户收支调查项目补贴经费总额为125.76万元，其中：分省样本辅助调查员补贴（补助）6万元，分省样本住户补贴9万元，两项合计15万元；分县市样本辅助调查员补贴（补助）25.56万元，分县市样本住户补贴85.2万元，两项合计110.76万元；补贴按季度发放，一年四次，每次发放资金数为10.48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城乡一体化住户调查户补贴以及辅助调查员补贴均按月足额及时发放，全年共发放12次。达成了“为宏观经济发展提供决策依据”的目标。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lang w:val="en-US" w:eastAsia="zh-CN"/>
        </w:rPr>
        <w:t>该项目年初预算数125.76万元，全年预算数125.76万元，实际总投入125.76万元，该项目资金已全部落实到位，资金来源为州本级财政拨款。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ighlight w:val="none"/>
          <w:lang w:val="en-US" w:eastAsia="zh-CN"/>
        </w:rPr>
      </w:pPr>
      <w:r>
        <w:rPr>
          <w:rFonts w:hint="eastAsia" w:ascii="仿宋_GB2312"/>
          <w:highlight w:val="none"/>
          <w:lang w:val="en-US" w:eastAsia="zh-CN"/>
        </w:rPr>
        <w:t>（2）资金使用情况：该项目年初预算数125.76万元，全年预算数125.76万元，全年执行数125.76万元，预算执行率为100%，</w:t>
      </w:r>
      <w:bookmarkStart w:id="2" w:name="_Toc68703829"/>
      <w:r>
        <w:rPr>
          <w:rFonts w:hint="default" w:ascii="仿宋_GB2312"/>
          <w:highlight w:val="none"/>
          <w:lang w:val="en-US" w:eastAsia="zh-CN"/>
        </w:rPr>
        <w:t>用于</w:t>
      </w:r>
      <w:r>
        <w:rPr>
          <w:rFonts w:hint="eastAsia" w:ascii="仿宋_GB2312"/>
          <w:highlight w:val="none"/>
          <w:lang w:val="en-US" w:eastAsia="zh-CN"/>
        </w:rPr>
        <w:t>支付分省样本辅助调查员补贴（补助）6万元，分省样本住户补贴9万元，两项合计15万元；分县市样本辅助调查员补贴（补助）25.56万元，分县市样本住户补贴85.2万元，两项合计110.76万元。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1</w:t>
      </w:r>
      <w:r>
        <w:rPr>
          <w:rFonts w:hint="eastAsia"/>
          <w:lang w:val="en-US" w:eastAsia="zh-CN"/>
        </w:rPr>
        <w:t>.</w:t>
      </w:r>
      <w:r>
        <w:rPr>
          <w:rFonts w:hint="eastAsia"/>
        </w:rPr>
        <w:t>总体目标</w:t>
      </w:r>
      <w:r>
        <w:rPr>
          <w:rFonts w:hint="eastAsia"/>
          <w:lang w:eastAsia="zh-CN"/>
        </w:rPr>
        <w:t>：发放住户收支调查项目补贴经费总额为125.76万元，其中：分省样本辅助调查员补贴（补助）6万元，分省样本住户补贴9万元，两项合计15万元；分县市样本辅助调查员补贴（补助）25.56万元，分县市样本住户补贴85.2万元，两项合计110.76万元；补贴按季度发放，一年四次，每次发放资金数为10.48万元。</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lang w:eastAsia="zh-CN"/>
        </w:rPr>
        <w:t>对巴州区住户收支调查所有记帐户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权重指定提供基础数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rPr>
        <w:t>2</w:t>
      </w:r>
      <w:r>
        <w:rPr>
          <w:rFonts w:hint="eastAsia"/>
          <w:lang w:val="en-US" w:eastAsia="zh-CN"/>
        </w:rPr>
        <w:t>.</w:t>
      </w:r>
      <w:r>
        <w:rPr>
          <w:rFonts w:hint="eastAsia"/>
        </w:rPr>
        <w:t>阶段性目标：</w:t>
      </w:r>
      <w:r>
        <w:rPr>
          <w:rFonts w:hint="eastAsia"/>
          <w:lang w:eastAsia="zh-CN"/>
        </w:rPr>
        <w:t>上半年完成</w:t>
      </w:r>
      <w:r>
        <w:rPr>
          <w:rFonts w:hint="eastAsia"/>
          <w:lang w:val="en-US" w:eastAsia="zh-CN"/>
        </w:rPr>
        <w:t>1月至6月城乡一体化住户调查</w:t>
      </w:r>
      <w:r>
        <w:rPr>
          <w:rFonts w:hint="eastAsia"/>
          <w:lang w:eastAsia="zh-CN"/>
        </w:rPr>
        <w:t>辅助调查员补贴、点户补贴发放。下半年上半年完成</w:t>
      </w:r>
      <w:r>
        <w:rPr>
          <w:rFonts w:hint="eastAsia"/>
          <w:lang w:val="en-US" w:eastAsia="zh-CN"/>
        </w:rPr>
        <w:t>7月至12月城乡一体化住户调查</w:t>
      </w:r>
      <w:r>
        <w:rPr>
          <w:rFonts w:hint="eastAsia"/>
          <w:lang w:eastAsia="zh-CN"/>
        </w:rPr>
        <w:t>辅助调查员补贴、点户补贴发放，完成数据质量“回头看”检查工作。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lang w:val="en-US" w:eastAsia="zh-CN"/>
        </w:rPr>
        <w:t>2.</w:t>
      </w:r>
      <w:r>
        <w:rPr>
          <w:rFonts w:hint="eastAsia"/>
        </w:rPr>
        <w:t>绩效评价对象：</w:t>
      </w:r>
      <w:r>
        <w:rPr>
          <w:rFonts w:hint="eastAsia"/>
          <w:lang w:eastAsia="zh-CN"/>
        </w:rPr>
        <w:t>城乡一体化住户调查补贴经费</w:t>
      </w:r>
      <w:r>
        <w:rPr>
          <w:rFonts w:hint="eastAsia" w:cs="Times New Roman"/>
          <w:kern w:val="2"/>
          <w:sz w:val="30"/>
          <w:szCs w:val="24"/>
          <w:lang w:val="en-US" w:eastAsia="zh-CN" w:bidi="ar-SA"/>
        </w:rPr>
        <w:t>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kern w:val="2"/>
          <w:sz w:val="30"/>
          <w:szCs w:val="24"/>
          <w:lang w:val="en-US" w:eastAsia="zh-CN" w:bidi="ar-SA"/>
        </w:rPr>
        <w:t>城乡一体化住户调查补贴经费</w:t>
      </w:r>
      <w:r>
        <w:rPr>
          <w:rFonts w:hint="eastAsia" w:ascii="Times New Roman" w:hAnsi="Times New Roman" w:eastAsia="仿宋_GB2312" w:cs="Times New Roman"/>
          <w:kern w:val="2"/>
          <w:sz w:val="30"/>
          <w:szCs w:val="24"/>
          <w:lang w:val="en-US" w:eastAsia="zh-CN" w:bidi="ar-SA"/>
        </w:rPr>
        <w:t>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（四）公开透明。本次项目支出绩效评价结果已依法依规公开在</w:t>
      </w:r>
      <w:r>
        <w:rPr>
          <w:rFonts w:hint="eastAsia"/>
          <w:color w:val="000000"/>
          <w:sz w:val="32"/>
          <w:szCs w:val="32"/>
          <w:lang w:eastAsia="zh-CN"/>
        </w:rPr>
        <w:t>巴州人民政</w:t>
      </w:r>
      <w:r>
        <w:rPr>
          <w:rFonts w:hint="eastAsia"/>
          <w:color w:val="000000"/>
          <w:sz w:val="32"/>
          <w:szCs w:val="32"/>
          <w:highlight w:val="none"/>
          <w:lang w:eastAsia="zh-CN"/>
        </w:rPr>
        <w:t>府</w:t>
      </w:r>
      <w:r>
        <w:rPr>
          <w:rFonts w:hint="eastAsia" w:eastAsia="仿宋_GB2312"/>
          <w:color w:val="000000"/>
          <w:sz w:val="32"/>
          <w:szCs w:val="32"/>
          <w:highlight w:val="none"/>
        </w:rPr>
        <w:t>网站上，并</w:t>
      </w:r>
      <w:r>
        <w:rPr>
          <w:rFonts w:hint="eastAsia" w:eastAsia="仿宋_GB2312"/>
          <w:color w:val="000000"/>
          <w:sz w:val="32"/>
          <w:szCs w:val="32"/>
        </w:rPr>
        <w:t>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68" w:firstLineChars="200"/>
        <w:rPr>
          <w:rFonts w:ascii="Times New Roman" w:hAnsi="Times New Roman" w:eastAsia="仿宋_GB2312" w:cs="Times New Roman"/>
          <w:color w:val="000000"/>
          <w:spacing w:val="17"/>
          <w:sz w:val="30"/>
          <w:szCs w:val="30"/>
        </w:rPr>
      </w:pPr>
      <w:r>
        <w:rPr>
          <w:rFonts w:ascii="Times New Roman" w:hAnsi="Times New Roman" w:eastAsia="仿宋_GB2312" w:cs="Times New Roman"/>
          <w:color w:val="000000"/>
          <w:spacing w:val="17"/>
          <w:sz w:val="30"/>
          <w:szCs w:val="30"/>
        </w:rPr>
        <w:t>因素分析法</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lang w:val="en-US" w:eastAsia="zh-CN"/>
        </w:rPr>
        <w:t>巴州统计局部分工作是历年沿袭的惯例，部分</w:t>
      </w:r>
      <w:r>
        <w:rPr>
          <w:rFonts w:hint="eastAsia"/>
          <w:color w:val="000000"/>
          <w:spacing w:val="17"/>
          <w:sz w:val="32"/>
          <w:szCs w:val="32"/>
          <w:lang w:val="en-US" w:eastAsia="zh-CN"/>
        </w:rPr>
        <w:t>重点工作每年稍有变动</w:t>
      </w:r>
      <w:r>
        <w:rPr>
          <w:rFonts w:hint="eastAsia" w:eastAsia="仿宋_GB2312"/>
          <w:color w:val="000000"/>
          <w:spacing w:val="17"/>
          <w:sz w:val="32"/>
          <w:szCs w:val="32"/>
          <w:lang w:val="en-US" w:eastAsia="zh-CN"/>
        </w:rPr>
        <w:t>，有不确定性，结合内外部因素分析，便于评价，因此采用因素分析法。</w:t>
      </w:r>
    </w:p>
    <w:p>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4</w:t>
      </w:r>
      <w:r>
        <w:rPr>
          <w:rFonts w:hint="eastAsia" w:eastAsia="仿宋_GB2312"/>
          <w:color w:val="000000"/>
          <w:spacing w:val="17"/>
          <w:sz w:val="32"/>
          <w:szCs w:val="32"/>
          <w:lang w:val="en-US" w:eastAsia="zh-CN"/>
        </w:rPr>
        <w:t>.</w:t>
      </w:r>
      <w:r>
        <w:rPr>
          <w:rFonts w:hint="eastAsia" w:eastAsia="仿宋_GB2312"/>
          <w:color w:val="000000"/>
          <w:spacing w:val="17"/>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eastAsia="仿宋_GB2312"/>
          <w:color w:val="000000"/>
          <w:spacing w:val="17"/>
          <w:sz w:val="32"/>
          <w:szCs w:val="32"/>
        </w:rPr>
        <w:t>。</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color w:val="000000"/>
          <w:spacing w:val="17"/>
          <w:sz w:val="32"/>
          <w:szCs w:val="32"/>
          <w:lang w:val="en-US" w:eastAsia="zh-CN"/>
        </w:rPr>
      </w:pPr>
      <w:r>
        <w:rPr>
          <w:rFonts w:hint="eastAsia" w:eastAsia="仿宋_GB2312"/>
          <w:color w:val="000000"/>
          <w:spacing w:val="17"/>
          <w:sz w:val="32"/>
          <w:szCs w:val="32"/>
          <w:lang w:val="en-US" w:eastAsia="zh-CN"/>
        </w:rPr>
        <w:t>由于我单位在设立此项目时，根据</w:t>
      </w:r>
      <w:r>
        <w:rPr>
          <w:rFonts w:hint="eastAsia"/>
          <w:color w:val="000000"/>
          <w:spacing w:val="17"/>
          <w:sz w:val="32"/>
          <w:szCs w:val="32"/>
          <w:lang w:val="en-US" w:eastAsia="zh-CN"/>
        </w:rPr>
        <w:t>年初计划</w:t>
      </w:r>
      <w:r>
        <w:rPr>
          <w:rFonts w:hint="eastAsia" w:eastAsia="仿宋_GB2312"/>
          <w:color w:val="000000"/>
          <w:spacing w:val="17"/>
          <w:sz w:val="32"/>
          <w:szCs w:val="32"/>
          <w:lang w:val="en-US" w:eastAsia="zh-CN"/>
        </w:rPr>
        <w:t>设置了多项指标，使用</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eastAsia="仿宋_GB2312"/>
          <w:color w:val="000000"/>
          <w:spacing w:val="17"/>
          <w:sz w:val="32"/>
          <w:szCs w:val="32"/>
          <w:lang w:val="en-US" w:eastAsia="zh-CN"/>
        </w:rPr>
        <w:t>能够判断和分析项目实际完成情况以及与计划的差距，因此本次评价主要采用了</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color w:val="000000"/>
          <w:spacing w:val="17"/>
          <w:sz w:val="32"/>
          <w:szCs w:val="32"/>
          <w:lang w:val="en-US" w:eastAsia="zh-CN"/>
        </w:rPr>
        <w:t>。</w:t>
      </w:r>
      <w:bookmarkStart w:id="6" w:name="_Toc68703833"/>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bookmarkStart w:id="7" w:name="_Toc68703834"/>
      <w:r>
        <w:rPr>
          <w:rFonts w:hint="eastAsia" w:eastAsia="仿宋_GB2312"/>
          <w:color w:val="000000"/>
          <w:spacing w:val="17"/>
          <w:sz w:val="32"/>
          <w:szCs w:val="32"/>
          <w:lang w:val="en-US" w:eastAsia="zh-CN"/>
        </w:rPr>
        <w:t>1.</w:t>
      </w:r>
      <w:r>
        <w:rPr>
          <w:rFonts w:hint="eastAsia" w:eastAsia="仿宋_GB2312"/>
          <w:color w:val="000000"/>
          <w:spacing w:val="17"/>
          <w:sz w:val="32"/>
          <w:szCs w:val="32"/>
        </w:rPr>
        <w:t>前期准备。</w:t>
      </w:r>
      <w:r>
        <w:rPr>
          <w:rFonts w:hint="eastAsia" w:eastAsia="仿宋_GB2312"/>
          <w:bCs/>
          <w:color w:val="auto"/>
          <w:sz w:val="32"/>
          <w:szCs w:val="32"/>
        </w:rPr>
        <w:t>首先</w:t>
      </w:r>
      <w:r>
        <w:rPr>
          <w:rFonts w:hint="eastAsia"/>
          <w:bCs/>
          <w:color w:val="auto"/>
          <w:sz w:val="32"/>
          <w:szCs w:val="32"/>
          <w:lang w:eastAsia="zh-CN"/>
        </w:rPr>
        <w:t>根据巴州统计局工作经费项目的主要内容</w:t>
      </w:r>
      <w:r>
        <w:rPr>
          <w:rFonts w:hint="eastAsia" w:eastAsia="仿宋_GB2312"/>
          <w:bCs/>
          <w:color w:val="auto"/>
          <w:sz w:val="32"/>
          <w:szCs w:val="32"/>
        </w:rPr>
        <w:t>开展前期调研；其次明确项目绩效目标，设计</w:t>
      </w:r>
      <w:r>
        <w:rPr>
          <w:rFonts w:hint="eastAsia"/>
          <w:bCs/>
          <w:color w:val="auto"/>
          <w:sz w:val="32"/>
          <w:szCs w:val="32"/>
          <w:lang w:eastAsia="zh-CN"/>
        </w:rPr>
        <w:t>产出指标、成本指标、效益指标、满意度指标等</w:t>
      </w:r>
      <w:r>
        <w:rPr>
          <w:rFonts w:hint="eastAsia" w:eastAsia="仿宋_GB2312"/>
          <w:bCs/>
          <w:color w:val="auto"/>
          <w:sz w:val="32"/>
          <w:szCs w:val="32"/>
        </w:rPr>
        <w:t>绩效评价指标体系并确定</w:t>
      </w:r>
      <w:r>
        <w:rPr>
          <w:rFonts w:hint="eastAsia"/>
          <w:bCs/>
          <w:color w:val="auto"/>
          <w:sz w:val="32"/>
          <w:szCs w:val="32"/>
          <w:lang w:eastAsia="zh-CN"/>
        </w:rPr>
        <w:t>因素分析法等</w:t>
      </w:r>
      <w:r>
        <w:rPr>
          <w:rFonts w:hint="eastAsia" w:eastAsia="仿宋_GB2312"/>
          <w:bCs/>
          <w:color w:val="auto"/>
          <w:sz w:val="32"/>
          <w:szCs w:val="32"/>
        </w:rPr>
        <w:t>绩效评价方法；接着确定评价范围，设计资料清单；最后制定评价实施方案并进行论证。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r>
        <w:rPr>
          <w:rFonts w:hint="eastAsia" w:eastAsia="仿宋_GB2312"/>
          <w:color w:val="000000"/>
          <w:spacing w:val="17"/>
          <w:sz w:val="32"/>
          <w:szCs w:val="32"/>
          <w:lang w:val="en-US" w:eastAsia="zh-CN"/>
        </w:rPr>
        <w:t>2.</w:t>
      </w:r>
      <w:r>
        <w:rPr>
          <w:rFonts w:hint="eastAsia" w:eastAsia="仿宋_GB2312"/>
          <w:color w:val="000000"/>
          <w:spacing w:val="17"/>
          <w:sz w:val="32"/>
          <w:szCs w:val="32"/>
        </w:rPr>
        <w:t>组织实施。</w:t>
      </w:r>
      <w:r>
        <w:rPr>
          <w:rFonts w:hint="eastAsia" w:eastAsia="仿宋_GB2312"/>
          <w:bCs/>
          <w:color w:val="auto"/>
          <w:sz w:val="32"/>
          <w:szCs w:val="32"/>
        </w:rPr>
        <w:t>制定绩效评价工作方案，具体包括项目概况、评价思路、方法手段、组织实施、进度安排等。收集相关会议纪要、实施方案、</w:t>
      </w:r>
      <w:r>
        <w:rPr>
          <w:rFonts w:hint="eastAsia"/>
          <w:bCs/>
          <w:color w:val="auto"/>
          <w:sz w:val="32"/>
          <w:szCs w:val="32"/>
          <w:lang w:eastAsia="zh-CN"/>
        </w:rPr>
        <w:t>活动资料、设备采购合同、付款凭证、验收单、满意度情况说明</w:t>
      </w:r>
      <w:r>
        <w:rPr>
          <w:rFonts w:hint="eastAsia" w:eastAsia="仿宋_GB2312"/>
          <w:bCs/>
          <w:color w:val="auto"/>
          <w:sz w:val="32"/>
          <w:szCs w:val="32"/>
        </w:rPr>
        <w:t>等相关评价资料并进行梳理。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lang w:val="en-US" w:eastAsia="zh-CN"/>
        </w:rPr>
        <w:t>3.</w:t>
      </w:r>
      <w:r>
        <w:rPr>
          <w:rFonts w:hint="eastAsia" w:eastAsia="仿宋_GB2312"/>
          <w:color w:val="000000"/>
          <w:spacing w:val="17"/>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bookmarkStart w:id="9" w:name="_Toc68703836"/>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w:t>
      </w:r>
      <w:r>
        <w:rPr>
          <w:rFonts w:hint="eastAsia"/>
          <w:color w:val="auto"/>
          <w:sz w:val="30"/>
          <w:szCs w:val="30"/>
          <w:highlight w:val="none"/>
        </w:rPr>
        <w:t>坚持</w:t>
      </w:r>
      <w:r>
        <w:rPr>
          <w:rFonts w:hint="eastAsia"/>
          <w:color w:val="auto"/>
          <w:sz w:val="30"/>
          <w:szCs w:val="30"/>
          <w:highlight w:val="none"/>
          <w:lang w:eastAsia="zh-CN"/>
        </w:rPr>
        <w:t>计划标准</w:t>
      </w:r>
      <w:r>
        <w:rPr>
          <w:rFonts w:hint="eastAsia"/>
          <w:color w:val="auto"/>
          <w:sz w:val="30"/>
          <w:szCs w:val="30"/>
          <w:highlight w:val="none"/>
        </w:rPr>
        <w:t>对本项目的立项、</w:t>
      </w:r>
      <w:r>
        <w:rPr>
          <w:rFonts w:hint="eastAsia"/>
          <w:color w:val="auto"/>
          <w:sz w:val="30"/>
          <w:szCs w:val="30"/>
        </w:rPr>
        <w:t>绩效目标、资金投入、资金管理、组织实施、产出数量、产出质量、产出时效、产出成本、项目效益进行了综合评价。</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val="en-US" w:eastAsia="zh-CN"/>
        </w:rPr>
        <w:t>2.</w:t>
      </w:r>
      <w:r>
        <w:rPr>
          <w:rFonts w:hint="eastAsia"/>
          <w:color w:val="auto"/>
          <w:sz w:val="30"/>
          <w:szCs w:val="3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color w:val="auto"/>
          <w:sz w:val="30"/>
          <w:szCs w:val="30"/>
          <w:lang w:val="en-US" w:eastAsia="zh-CN"/>
        </w:rPr>
        <w:t>100</w:t>
      </w:r>
      <w:r>
        <w:rPr>
          <w:rFonts w:hint="eastAsia"/>
          <w:color w:val="auto"/>
          <w:sz w:val="30"/>
          <w:szCs w:val="30"/>
        </w:rPr>
        <w:t xml:space="preserve">分，属于“优”。其中，项目决策类指标权重为20分，得分为 </w:t>
      </w:r>
      <w:r>
        <w:rPr>
          <w:rFonts w:hint="eastAsia"/>
          <w:color w:val="auto"/>
          <w:sz w:val="30"/>
          <w:szCs w:val="30"/>
          <w:lang w:val="en-US" w:eastAsia="zh-CN"/>
        </w:rPr>
        <w:t>20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%。项目过程类指标权重为20分，得分为</w:t>
      </w:r>
      <w:r>
        <w:rPr>
          <w:rFonts w:hint="eastAsia"/>
          <w:color w:val="auto"/>
          <w:sz w:val="30"/>
          <w:szCs w:val="30"/>
          <w:lang w:val="en-US" w:eastAsia="zh-CN"/>
        </w:rPr>
        <w:t>20</w:t>
      </w:r>
      <w:r>
        <w:rPr>
          <w:rFonts w:hint="eastAsia"/>
          <w:color w:val="auto"/>
          <w:sz w:val="30"/>
          <w:szCs w:val="30"/>
        </w:rPr>
        <w:t xml:space="preserve">分，得分率为 </w:t>
      </w:r>
      <w:r>
        <w:rPr>
          <w:rFonts w:hint="eastAsia"/>
          <w:color w:val="auto"/>
          <w:sz w:val="30"/>
          <w:szCs w:val="30"/>
          <w:lang w:val="en-US" w:eastAsia="zh-CN"/>
        </w:rPr>
        <w:t>100</w:t>
      </w:r>
      <w:r>
        <w:rPr>
          <w:rFonts w:hint="eastAsia"/>
          <w:color w:val="auto"/>
          <w:sz w:val="30"/>
          <w:szCs w:val="30"/>
        </w:rPr>
        <w:t>%。项目产出类指标权重为40分，得分为</w:t>
      </w:r>
      <w:r>
        <w:rPr>
          <w:rFonts w:hint="eastAsia"/>
          <w:color w:val="auto"/>
          <w:sz w:val="30"/>
          <w:szCs w:val="30"/>
          <w:lang w:val="en-US" w:eastAsia="zh-CN"/>
        </w:rPr>
        <w:t>40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%。项目效益类指标权重为20分，得分为</w:t>
      </w:r>
      <w:r>
        <w:rPr>
          <w:rFonts w:hint="eastAsia"/>
          <w:color w:val="auto"/>
          <w:sz w:val="30"/>
          <w:szCs w:val="30"/>
          <w:lang w:val="en-US" w:eastAsia="zh-CN"/>
        </w:rPr>
        <w:t>20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eastAsia"/>
          <w:b w:val="0"/>
          <w:bCs w:val="0"/>
          <w:highlight w:val="none"/>
          <w:lang w:eastAsia="zh-CN"/>
        </w:rPr>
        <w:t>城乡一体化住户调查补贴经费</w:t>
      </w:r>
      <w:r>
        <w:rPr>
          <w:rFonts w:hint="eastAsia" w:ascii="Times New Roman" w:hAnsi="Times New Roman" w:eastAsia="仿宋_GB2312"/>
          <w:b w:val="0"/>
          <w:bCs w:val="0"/>
          <w:highlight w:val="none"/>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立项依据《中华人民共和国统计法》《国家统计局关于加强和改进分市县住户调查工作的通知》（国统字〔2011〕110号）、《国家统计局关于进一步规范分市县住户调查有关事项的通知》（国统字〔2016〕181号）项目立项符合国家法律法规、国民经济发展规划和相关政策，符合行业发展规划和政策要求，与部门职责范围相符，属于部门履职所需，属于公共财政支持范围，符合中央、地方事权支出责任划分原则，项目与相关部门同类项目不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w:t>
      </w:r>
      <w:r>
        <w:rPr>
          <w:rFonts w:hint="eastAsia" w:ascii="Times New Roman" w:hAnsi="Times New Roman" w:eastAsia="仿宋_GB2312" w:cs="Times New Roman"/>
          <w:b w:val="0"/>
          <w:bCs w:val="0"/>
          <w:color w:val="auto"/>
          <w:kern w:val="2"/>
          <w:sz w:val="30"/>
          <w:szCs w:val="24"/>
          <w:lang w:val="en-US" w:eastAsia="zh-CN" w:bidi="ar-SA"/>
        </w:rPr>
        <w:t>目分管领导沟通、筛选确定经费预算计划，确定最终预算方案；</w:t>
      </w:r>
      <w:r>
        <w:rPr>
          <w:rFonts w:hint="eastAsia" w:ascii="Times New Roman" w:hAnsi="Times New Roman" w:eastAsia="仿宋_GB2312" w:cs="Times New Roman"/>
          <w:b w:val="0"/>
          <w:bCs w:val="0"/>
          <w:kern w:val="2"/>
          <w:sz w:val="30"/>
          <w:szCs w:val="24"/>
          <w:lang w:val="en-US" w:eastAsia="zh-CN" w:bidi="ar-SA"/>
        </w:rPr>
        <w:t>项目事前经过必要的可行性研究、绩效评估、集体决策，保障了程序的规范性。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s="Times New Roman"/>
          <w:b w:val="0"/>
          <w:bCs w:val="0"/>
          <w:kern w:val="2"/>
          <w:sz w:val="30"/>
          <w:szCs w:val="24"/>
          <w:lang w:val="en-US" w:eastAsia="zh-CN" w:bidi="ar-SA"/>
        </w:rPr>
        <w:t>城乡一体化住户调查补贴经费</w:t>
      </w:r>
      <w:r>
        <w:rPr>
          <w:rFonts w:hint="eastAsia" w:ascii="Times New Roman" w:hAnsi="Times New Roman" w:eastAsia="仿宋_GB2312" w:cs="Times New Roman"/>
          <w:b w:val="0"/>
          <w:bCs w:val="0"/>
          <w:kern w:val="2"/>
          <w:sz w:val="30"/>
          <w:szCs w:val="24"/>
          <w:lang w:val="en-US" w:eastAsia="zh-CN" w:bidi="ar-SA"/>
        </w:rPr>
        <w:t>目设立了项目绩效目标，与</w:t>
      </w:r>
      <w:r>
        <w:rPr>
          <w:rFonts w:hint="eastAsia" w:ascii="仿宋_GB2312"/>
          <w:highlight w:val="none"/>
        </w:rPr>
        <w:t>进一步提高了全州统计数据质量，推动了统计工作法治化、规范化</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w:t>
      </w:r>
      <w:r>
        <w:rPr>
          <w:rFonts w:hint="eastAsia" w:cs="Times New Roman"/>
          <w:b w:val="0"/>
          <w:bCs w:val="0"/>
          <w:kern w:val="2"/>
          <w:sz w:val="30"/>
          <w:szCs w:val="24"/>
          <w:lang w:val="en-US" w:eastAsia="zh-CN" w:bidi="ar-SA"/>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cs="Times New Roman"/>
          <w:b w:val="0"/>
          <w:bCs w:val="0"/>
          <w:kern w:val="2"/>
          <w:sz w:val="30"/>
          <w:szCs w:val="24"/>
          <w:lang w:val="en-US" w:eastAsia="zh-CN" w:bidi="ar-SA"/>
        </w:rPr>
        <w:t>城乡一体化住户调查补贴经费</w:t>
      </w:r>
      <w:r>
        <w:rPr>
          <w:rFonts w:hint="eastAsia" w:ascii="Times New Roman" w:hAnsi="Times New Roman" w:eastAsia="仿宋_GB2312" w:cs="Times New Roman"/>
          <w:b w:val="0"/>
          <w:bCs w:val="0"/>
          <w:kern w:val="2"/>
          <w:sz w:val="30"/>
          <w:szCs w:val="24"/>
          <w:lang w:val="en-US" w:eastAsia="zh-CN" w:bidi="ar-SA"/>
        </w:rPr>
        <w:t>项目将项目绩效目标细化分解为具体的绩效指标，一级指标共4条，二级指标</w:t>
      </w:r>
      <w:r>
        <w:rPr>
          <w:rFonts w:hint="eastAsia" w:cs="Times New Roman"/>
          <w:b w:val="0"/>
          <w:bCs w:val="0"/>
          <w:kern w:val="2"/>
          <w:sz w:val="30"/>
          <w:szCs w:val="24"/>
          <w:lang w:val="en-US" w:eastAsia="zh-CN" w:bidi="ar-SA"/>
        </w:rPr>
        <w:t>6</w:t>
      </w:r>
      <w:r>
        <w:rPr>
          <w:rFonts w:hint="eastAsia" w:ascii="Times New Roman" w:hAnsi="Times New Roman" w:eastAsia="仿宋_GB2312" w:cs="Times New Roman"/>
          <w:b w:val="0"/>
          <w:bCs w:val="0"/>
          <w:kern w:val="2"/>
          <w:sz w:val="30"/>
          <w:szCs w:val="24"/>
          <w:lang w:val="en-US" w:eastAsia="zh-CN" w:bidi="ar-SA"/>
        </w:rPr>
        <w:t>条，三级指标共</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条，其中量化指</w:t>
      </w:r>
      <w:r>
        <w:rPr>
          <w:rFonts w:hint="eastAsia" w:ascii="Times New Roman" w:hAnsi="Times New Roman" w:eastAsia="仿宋_GB2312" w:cs="Times New Roman"/>
          <w:b w:val="0"/>
          <w:bCs w:val="0"/>
          <w:kern w:val="2"/>
          <w:sz w:val="30"/>
          <w:szCs w:val="24"/>
          <w:highlight w:val="none"/>
          <w:lang w:val="en-US" w:eastAsia="zh-CN" w:bidi="ar-SA"/>
        </w:rPr>
        <w:t>标条数共</w:t>
      </w:r>
      <w:r>
        <w:rPr>
          <w:rFonts w:hint="eastAsia" w:cs="Times New Roman"/>
          <w:b w:val="0"/>
          <w:bCs w:val="0"/>
          <w:kern w:val="2"/>
          <w:sz w:val="30"/>
          <w:szCs w:val="24"/>
          <w:highlight w:val="none"/>
          <w:lang w:val="en-US" w:eastAsia="zh-CN" w:bidi="ar-SA"/>
        </w:rPr>
        <w:t>9</w:t>
      </w:r>
      <w:r>
        <w:rPr>
          <w:rFonts w:hint="eastAsia" w:ascii="Times New Roman" w:hAnsi="Times New Roman" w:eastAsia="仿宋_GB2312" w:cs="Times New Roman"/>
          <w:b w:val="0"/>
          <w:bCs w:val="0"/>
          <w:kern w:val="2"/>
          <w:sz w:val="30"/>
          <w:szCs w:val="24"/>
          <w:highlight w:val="none"/>
          <w:lang w:val="en-US" w:eastAsia="zh-CN" w:bidi="ar-SA"/>
        </w:rPr>
        <w:t>条，所有绩效指标均通过清晰、</w:t>
      </w:r>
      <w:r>
        <w:rPr>
          <w:rFonts w:hint="eastAsia" w:ascii="Times New Roman" w:hAnsi="Times New Roman" w:eastAsia="仿宋_GB2312" w:cs="Times New Roman"/>
          <w:b w:val="0"/>
          <w:bCs w:val="0"/>
          <w:kern w:val="2"/>
          <w:sz w:val="30"/>
          <w:szCs w:val="24"/>
          <w:lang w:val="en-US" w:eastAsia="zh-CN" w:bidi="ar-SA"/>
        </w:rPr>
        <w:t>可衡量的指标值予以体现</w:t>
      </w:r>
      <w:bookmarkEnd w:id="12"/>
      <w:r>
        <w:rPr>
          <w:rFonts w:hint="eastAsia" w:cs="Times New Roman"/>
          <w:b w:val="0"/>
          <w:bCs w:val="0"/>
          <w:kern w:val="2"/>
          <w:sz w:val="30"/>
          <w:szCs w:val="24"/>
          <w:lang w:val="en-US" w:eastAsia="zh-CN" w:bidi="ar-SA"/>
        </w:rPr>
        <w:t>。</w:t>
      </w:r>
    </w:p>
    <w:p>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预算编制经过科学论证</w:t>
      </w:r>
      <w:r>
        <w:rPr>
          <w:rFonts w:hint="eastAsia" w:eastAsia="仿宋_GB2312"/>
          <w:color w:val="auto"/>
          <w:sz w:val="30"/>
          <w:szCs w:val="30"/>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sz w:val="30"/>
          <w:szCs w:val="30"/>
        </w:rPr>
        <w:t>预算内容与项目内容</w:t>
      </w:r>
      <w:r>
        <w:rPr>
          <w:rFonts w:hint="eastAsia" w:eastAsia="仿宋_GB2312"/>
          <w:color w:val="auto"/>
          <w:sz w:val="30"/>
          <w:szCs w:val="30"/>
          <w:lang w:eastAsia="zh-CN"/>
        </w:rPr>
        <w:t>相</w:t>
      </w:r>
      <w:r>
        <w:rPr>
          <w:rFonts w:hint="eastAsia"/>
          <w:color w:val="auto"/>
          <w:sz w:val="30"/>
          <w:szCs w:val="30"/>
        </w:rPr>
        <w:t>匹配</w:t>
      </w:r>
      <w:r>
        <w:rPr>
          <w:rFonts w:hint="eastAsia" w:eastAsia="仿宋_GB2312"/>
          <w:color w:val="auto"/>
          <w:sz w:val="30"/>
          <w:szCs w:val="30"/>
          <w:lang w:eastAsia="zh-CN"/>
        </w:rPr>
        <w:t>，</w:t>
      </w:r>
      <w:r>
        <w:rPr>
          <w:rFonts w:hint="eastAsia"/>
          <w:color w:val="auto"/>
          <w:sz w:val="30"/>
          <w:szCs w:val="30"/>
        </w:rPr>
        <w:t>预算额度测算依据充分，按照标准编制</w:t>
      </w:r>
      <w:r>
        <w:rPr>
          <w:rFonts w:hint="eastAsia" w:eastAsia="仿宋_GB2312"/>
          <w:color w:val="auto"/>
          <w:sz w:val="30"/>
          <w:szCs w:val="30"/>
          <w:lang w:eastAsia="zh-CN"/>
        </w:rPr>
        <w:t>，</w:t>
      </w:r>
      <w:r>
        <w:rPr>
          <w:rFonts w:hint="eastAsia"/>
          <w:color w:val="auto"/>
          <w:sz w:val="30"/>
          <w:szCs w:val="30"/>
        </w:rPr>
        <w:t>预算确定的项目投资额与工作任务相匹配。</w:t>
      </w:r>
    </w:p>
    <w:p>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bookmarkStart w:id="13" w:name="_Toc68703839"/>
      <w:r>
        <w:rPr>
          <w:rFonts w:hint="eastAsia"/>
          <w:color w:val="auto"/>
          <w:sz w:val="30"/>
          <w:szCs w:val="30"/>
        </w:rPr>
        <w:t>预算资金分配依据充分</w:t>
      </w:r>
      <w:r>
        <w:rPr>
          <w:rFonts w:hint="eastAsia"/>
          <w:color w:val="auto"/>
          <w:sz w:val="30"/>
          <w:szCs w:val="30"/>
          <w:lang w:eastAsia="zh-CN"/>
        </w:rPr>
        <w:t>，</w:t>
      </w:r>
      <w:r>
        <w:rPr>
          <w:rFonts w:hint="eastAsia"/>
          <w:color w:val="auto"/>
          <w:sz w:val="30"/>
          <w:szCs w:val="30"/>
        </w:rPr>
        <w:t>资金分配额度合理，与项目单位相适应。</w:t>
      </w:r>
      <w:r>
        <w:rPr>
          <w:rFonts w:hint="eastAsia"/>
          <w:color w:val="auto"/>
          <w:sz w:val="30"/>
          <w:szCs w:val="30"/>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预算资金</w:t>
      </w:r>
      <w:r>
        <w:rPr>
          <w:rFonts w:hint="eastAsia"/>
          <w:lang w:val="en-US" w:eastAsia="zh-CN"/>
        </w:rPr>
        <w:t>125.76万元</w:t>
      </w:r>
      <w:r>
        <w:rPr>
          <w:rFonts w:hint="eastAsia"/>
        </w:rPr>
        <w:t>，实际到位资金</w:t>
      </w:r>
      <w:r>
        <w:rPr>
          <w:rFonts w:hint="eastAsia"/>
          <w:lang w:val="en-US" w:eastAsia="zh-CN"/>
        </w:rPr>
        <w:t>125.76万元</w:t>
      </w:r>
      <w:r>
        <w:rPr>
          <w:rFonts w:hint="eastAsia"/>
        </w:rPr>
        <w:t>，资金到位率</w:t>
      </w:r>
      <w:r>
        <w:rPr>
          <w:rFonts w:hint="eastAsia"/>
          <w:lang w:val="en-US" w:eastAsia="zh-CN"/>
        </w:rPr>
        <w:t>100</w:t>
      </w:r>
      <w:r>
        <w:rPr>
          <w:rFonts w:hint="eastAsia"/>
        </w:rPr>
        <w:t>%。</w:t>
      </w:r>
    </w:p>
    <w:p>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rPr>
        <w:t>年初预算数</w:t>
      </w:r>
      <w:r>
        <w:rPr>
          <w:rFonts w:hint="eastAsia"/>
          <w:lang w:val="en-US" w:eastAsia="zh-CN"/>
        </w:rPr>
        <w:t>125.76万元</w:t>
      </w:r>
      <w:r>
        <w:rPr>
          <w:rFonts w:hint="eastAsia"/>
          <w:lang w:eastAsia="zh-CN"/>
        </w:rPr>
        <w:t>，</w:t>
      </w:r>
      <w:r>
        <w:rPr>
          <w:rFonts w:hint="eastAsia"/>
        </w:rPr>
        <w:t>全年预算数</w:t>
      </w:r>
      <w:r>
        <w:rPr>
          <w:rFonts w:hint="eastAsia"/>
          <w:lang w:val="en-US" w:eastAsia="zh-CN"/>
        </w:rPr>
        <w:t>125.76万元</w:t>
      </w:r>
      <w:r>
        <w:rPr>
          <w:rFonts w:hint="eastAsia"/>
        </w:rPr>
        <w:t>，全年执行数</w:t>
      </w:r>
      <w:r>
        <w:rPr>
          <w:rFonts w:hint="eastAsia"/>
          <w:lang w:val="en-US" w:eastAsia="zh-CN"/>
        </w:rPr>
        <w:t>125.76万元</w:t>
      </w:r>
      <w:r>
        <w:rPr>
          <w:rFonts w:hint="eastAsia"/>
        </w:rPr>
        <w:t>，预算执行率为</w:t>
      </w:r>
      <w:r>
        <w:rPr>
          <w:rFonts w:hint="eastAsia"/>
          <w:lang w:val="en-US" w:eastAsia="zh-CN"/>
        </w:rPr>
        <w:t>100</w:t>
      </w:r>
      <w:r>
        <w:rPr>
          <w:rFonts w:hint="eastAsia"/>
        </w:rPr>
        <w:t>%</w:t>
      </w:r>
      <w:r>
        <w:rPr>
          <w:rFonts w:hint="eastAsia"/>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highlight w:val="none"/>
          <w:lang w:val="en-US" w:eastAsia="zh-CN"/>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根据《巴州统计局预算管理内部控制制度》和《巴州统计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sz w:val="30"/>
          <w:szCs w:val="30"/>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eastAsia="zh-CN"/>
        </w:rPr>
        <w:t>项目遵守了《行政事业单位内部控制规范(试行) 》以及《政府会计制度》等</w:t>
      </w:r>
      <w:r>
        <w:rPr>
          <w:rFonts w:hint="eastAsia"/>
          <w:color w:val="auto"/>
          <w:sz w:val="30"/>
          <w:szCs w:val="30"/>
        </w:rPr>
        <w:t>相关法律法规和相关管理规定</w:t>
      </w:r>
      <w:r>
        <w:rPr>
          <w:rFonts w:hint="eastAsia"/>
          <w:color w:val="auto"/>
          <w:sz w:val="30"/>
          <w:szCs w:val="30"/>
          <w:lang w:eastAsia="zh-CN"/>
        </w:rPr>
        <w:t>，严格执行本单位的内控制度，</w:t>
      </w:r>
      <w:r>
        <w:rPr>
          <w:rFonts w:hint="eastAsia"/>
          <w:color w:val="auto"/>
          <w:sz w:val="30"/>
          <w:szCs w:val="30"/>
        </w:rPr>
        <w:t>项目调整及支出调整手续完备</w:t>
      </w:r>
      <w:r>
        <w:rPr>
          <w:rFonts w:hint="eastAsia"/>
          <w:color w:val="auto"/>
          <w:sz w:val="30"/>
          <w:szCs w:val="30"/>
          <w:lang w:eastAsia="zh-CN"/>
        </w:rPr>
        <w:t>，</w:t>
      </w:r>
      <w:r>
        <w:rPr>
          <w:rFonts w:hint="eastAsia"/>
          <w:color w:val="auto"/>
          <w:sz w:val="30"/>
          <w:szCs w:val="30"/>
        </w:rPr>
        <w:t>项目合同书、验收报告、技术鉴定等资料齐全并及时归档</w:t>
      </w:r>
      <w:r>
        <w:rPr>
          <w:rFonts w:hint="eastAsia"/>
          <w:color w:val="auto"/>
          <w:sz w:val="30"/>
          <w:szCs w:val="30"/>
          <w:lang w:eastAsia="zh-CN"/>
        </w:rPr>
        <w:t>，</w:t>
      </w:r>
      <w:r>
        <w:rPr>
          <w:rFonts w:hint="eastAsia"/>
          <w:color w:val="auto"/>
          <w:sz w:val="30"/>
          <w:szCs w:val="30"/>
        </w:rPr>
        <w:t>项目实施的人员条件、场地设备、信息支撑等落实到位。</w:t>
      </w:r>
    </w:p>
    <w:p>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仿宋_GB2312" w:eastAsia="仿宋_GB2312"/>
          <w:b w:val="0"/>
          <w:bCs w:val="0"/>
          <w:highlight w:val="none"/>
        </w:rPr>
        <w:t>数量指标</w:t>
      </w:r>
      <w:r>
        <w:rPr>
          <w:rFonts w:hint="eastAsia" w:ascii="仿宋_GB2312" w:eastAsia="仿宋_GB2312"/>
          <w:b w:val="0"/>
          <w:bCs w:val="0"/>
          <w:highlight w:val="none"/>
          <w:lang w:eastAsia="zh-CN"/>
        </w:rPr>
        <w:t>完成情况</w:t>
      </w:r>
      <w:r>
        <w:rPr>
          <w:rFonts w:hint="eastAsia" w:ascii="仿宋_GB2312" w:eastAsia="仿宋_GB2312"/>
          <w:b w:val="0"/>
          <w:bCs w:val="0"/>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ascii="仿宋_GB2312" w:eastAsia="仿宋_GB2312"/>
          <w:b w:val="0"/>
          <w:bCs w:val="0"/>
          <w:highlight w:val="none"/>
        </w:rPr>
        <w:t>指标1</w:t>
      </w:r>
      <w:r>
        <w:rPr>
          <w:rFonts w:hint="eastAsia" w:ascii="仿宋_GB2312" w:eastAsia="仿宋_GB2312"/>
          <w:b w:val="0"/>
          <w:bCs w:val="0"/>
          <w:highlight w:val="none"/>
          <w:lang w:eastAsia="zh-CN"/>
        </w:rPr>
        <w:t>：分省样本调查补贴发放人数，</w:t>
      </w:r>
      <w:r>
        <w:rPr>
          <w:rFonts w:hint="eastAsia" w:ascii="仿宋_GB2312" w:eastAsia="仿宋_GB2312"/>
          <w:b w:val="0"/>
          <w:bCs w:val="0"/>
          <w:highlight w:val="none"/>
        </w:rPr>
        <w:t>指标值：</w:t>
      </w:r>
      <w:r>
        <w:rPr>
          <w:rFonts w:hint="eastAsia" w:ascii="仿宋_GB2312"/>
          <w:b w:val="0"/>
          <w:bCs w:val="0"/>
          <w:highlight w:val="none"/>
          <w:lang w:val="en-US" w:eastAsia="zh-CN"/>
        </w:rPr>
        <w:t>=275人</w:t>
      </w:r>
      <w:r>
        <w:rPr>
          <w:rFonts w:hint="eastAsia" w:ascii="仿宋_GB2312" w:eastAsia="仿宋_GB2312"/>
          <w:b w:val="0"/>
          <w:bCs w:val="0"/>
          <w:highlight w:val="none"/>
        </w:rPr>
        <w:t>，实际完成值</w:t>
      </w:r>
      <w:r>
        <w:rPr>
          <w:rFonts w:hint="eastAsia" w:ascii="仿宋_GB2312"/>
          <w:b w:val="0"/>
          <w:bCs w:val="0"/>
          <w:highlight w:val="none"/>
          <w:lang w:eastAsia="zh-CN"/>
        </w:rPr>
        <w:t>：</w:t>
      </w:r>
      <w:r>
        <w:rPr>
          <w:rFonts w:hint="eastAsia" w:ascii="仿宋_GB2312"/>
          <w:b w:val="0"/>
          <w:bCs w:val="0"/>
          <w:highlight w:val="none"/>
          <w:lang w:val="en-US" w:eastAsia="zh-CN"/>
        </w:rPr>
        <w:t>275人</w:t>
      </w:r>
      <w:r>
        <w:rPr>
          <w:rFonts w:hint="eastAsia" w:ascii="仿宋_GB2312" w:eastAsia="仿宋_GB2312"/>
          <w:b w:val="0"/>
          <w:bCs w:val="0"/>
          <w:highlight w:val="none"/>
        </w:rPr>
        <w:t>，指标完成率</w:t>
      </w:r>
      <w:r>
        <w:rPr>
          <w:rFonts w:hint="eastAsia" w:ascii="仿宋_GB2312"/>
          <w:b w:val="0"/>
          <w:bCs w:val="0"/>
          <w:highlight w:val="none"/>
          <w:lang w:val="en-US" w:eastAsia="zh-CN"/>
        </w:rPr>
        <w:t>：100%。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指标2：</w:t>
      </w:r>
      <w:r>
        <w:rPr>
          <w:rFonts w:hint="eastAsia" w:ascii="仿宋_GB2312" w:eastAsia="仿宋_GB2312"/>
          <w:b w:val="0"/>
          <w:bCs w:val="0"/>
          <w:highlight w:val="none"/>
          <w:lang w:eastAsia="zh-CN"/>
        </w:rPr>
        <w:t>分市县样本调查补贴发放人数，指标值</w:t>
      </w:r>
      <w:r>
        <w:rPr>
          <w:rFonts w:hint="eastAsia" w:ascii="仿宋_GB2312"/>
          <w:b w:val="0"/>
          <w:bCs w:val="0"/>
          <w:highlight w:val="none"/>
          <w:lang w:eastAsia="zh-CN"/>
        </w:rPr>
        <w:t>：</w:t>
      </w:r>
      <w:r>
        <w:rPr>
          <w:rFonts w:hint="eastAsia" w:ascii="仿宋_GB2312"/>
          <w:b w:val="0"/>
          <w:bCs w:val="0"/>
          <w:highlight w:val="none"/>
          <w:lang w:val="en-US" w:eastAsia="zh-CN"/>
        </w:rPr>
        <w:t>=781人</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：781人</w:t>
      </w:r>
      <w:r>
        <w:rPr>
          <w:rFonts w:hint="eastAsia" w:ascii="仿宋_GB2312" w:eastAsia="仿宋_GB2312"/>
          <w:b w:val="0"/>
          <w:bCs w:val="0"/>
          <w:highlight w:val="none"/>
          <w:lang w:val="en-US" w:eastAsia="zh-CN"/>
        </w:rPr>
        <w:t>，指标完成率100%。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3：分市县样本住户补贴发放次数，指标值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3：分省样本调查补贴发放次数，指标值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color w:val="auto"/>
        </w:rPr>
        <w:t>指标1：</w:t>
      </w:r>
      <w:r>
        <w:rPr>
          <w:rFonts w:hint="eastAsia"/>
          <w:color w:val="auto"/>
          <w:lang w:eastAsia="zh-CN"/>
        </w:rPr>
        <w:t>住户收支调查项目补贴发放正确率</w:t>
      </w:r>
      <w:r>
        <w:rPr>
          <w:rFonts w:hint="eastAsia"/>
          <w:color w:val="auto"/>
        </w:rPr>
        <w:t>，指标值：</w:t>
      </w:r>
      <w:r>
        <w:rPr>
          <w:rFonts w:hint="eastAsia"/>
          <w:color w:val="auto"/>
          <w:lang w:val="en-US" w:eastAsia="zh-CN"/>
        </w:rPr>
        <w:t>=100%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lang w:eastAsia="zh-CN"/>
        </w:rPr>
        <w:t>。</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指标1：</w:t>
      </w:r>
      <w:r>
        <w:rPr>
          <w:rFonts w:hint="eastAsia"/>
          <w:color w:val="auto"/>
          <w:lang w:eastAsia="zh-CN"/>
        </w:rPr>
        <w:t>住户收支调查项目补贴发放及时率</w:t>
      </w:r>
      <w:r>
        <w:rPr>
          <w:rFonts w:hint="eastAsia"/>
          <w:color w:val="auto"/>
        </w:rPr>
        <w:t>，指标值：&gt;=99%，实际完成值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101</w:t>
      </w:r>
      <w:r>
        <w:rPr>
          <w:rFonts w:hint="eastAsia"/>
          <w:color w:val="auto"/>
        </w:rPr>
        <w:t>%。</w:t>
      </w:r>
      <w:r>
        <w:rPr>
          <w:rFonts w:hint="eastAsia"/>
          <w:color w:val="auto"/>
          <w:lang w:eastAsia="zh-CN"/>
        </w:rPr>
        <w:t>偏差原因：经核查银行流水，项目补贴未出现迟发漏发现象。</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lang w:val="en-US" w:eastAsia="zh-CN"/>
        </w:rPr>
        <w:t xml:space="preserve">                         </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w:t>
      </w:r>
      <w:r>
        <w:rPr>
          <w:rFonts w:hint="eastAsia"/>
          <w:color w:val="auto"/>
          <w:lang w:eastAsia="zh-CN"/>
        </w:rPr>
        <w:t>分省样本调查补贴发放资金数</w:t>
      </w:r>
      <w:r>
        <w:rPr>
          <w:rFonts w:hint="eastAsia"/>
          <w:color w:val="auto"/>
        </w:rPr>
        <w:t>，指标值：</w:t>
      </w:r>
      <w:r>
        <w:rPr>
          <w:rFonts w:hint="eastAsia"/>
          <w:color w:val="auto"/>
          <w:lang w:val="en-US" w:eastAsia="zh-CN"/>
        </w:rPr>
        <w:t>&lt;=15万元</w:t>
      </w:r>
      <w:r>
        <w:rPr>
          <w:rFonts w:hint="eastAsia"/>
          <w:color w:val="auto"/>
        </w:rPr>
        <w:t>，实际完成值</w:t>
      </w:r>
      <w:r>
        <w:rPr>
          <w:rFonts w:hint="eastAsia"/>
          <w:color w:val="auto"/>
          <w:lang w:eastAsia="zh-CN"/>
        </w:rPr>
        <w:t>：</w:t>
      </w:r>
      <w:r>
        <w:rPr>
          <w:rFonts w:hint="eastAsia"/>
          <w:color w:val="auto"/>
          <w:lang w:val="en-US" w:eastAsia="zh-CN"/>
        </w:rPr>
        <w:t>15万元</w:t>
      </w:r>
      <w:r>
        <w:rPr>
          <w:rFonts w:hint="eastAsia"/>
          <w:color w:val="auto"/>
        </w:rPr>
        <w:t>，指标完成率</w:t>
      </w:r>
      <w:r>
        <w:rPr>
          <w:rFonts w:hint="eastAsia"/>
          <w:color w:val="auto"/>
          <w:lang w:val="en-US" w:eastAsia="zh-CN"/>
        </w:rPr>
        <w:t>100</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：分市县调查补贴发放资金数，指标值：</w:t>
      </w:r>
      <w:r>
        <w:rPr>
          <w:rFonts w:hint="eastAsia"/>
          <w:color w:val="auto"/>
          <w:lang w:val="en-US" w:eastAsia="zh-CN"/>
        </w:rPr>
        <w:t>&lt;=110.76万元，实际完成值：110.76万元</w:t>
      </w:r>
      <w:r>
        <w:rPr>
          <w:rFonts w:hint="eastAsia"/>
          <w:color w:val="auto"/>
        </w:rPr>
        <w:t>，指标完成率</w:t>
      </w:r>
      <w:r>
        <w:rPr>
          <w:rFonts w:hint="eastAsia"/>
          <w:color w:val="auto"/>
          <w:lang w:val="en-US" w:eastAsia="zh-CN"/>
        </w:rPr>
        <w:t>100</w:t>
      </w:r>
      <w:r>
        <w:rPr>
          <w:rFonts w:hint="eastAsia"/>
          <w:color w:val="auto"/>
        </w:rPr>
        <w:t>%。</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指标</w:t>
      </w:r>
      <w:r>
        <w:rPr>
          <w:rFonts w:hint="eastAsia"/>
          <w:color w:val="auto"/>
          <w:highlight w:val="none"/>
          <w:lang w:val="en-US" w:eastAsia="zh-CN"/>
        </w:rPr>
        <w:t>1：为宏观经济发展提供决策依据，指标值</w:t>
      </w:r>
      <w:r>
        <w:rPr>
          <w:rFonts w:hint="eastAsia"/>
          <w:color w:val="auto"/>
          <w:lang w:eastAsia="zh-CN"/>
        </w:rPr>
        <w:t>：效果显著</w:t>
      </w:r>
      <w:r>
        <w:rPr>
          <w:rFonts w:hint="eastAsia"/>
          <w:color w:val="auto"/>
          <w:highlight w:val="none"/>
          <w:lang w:val="en-US" w:eastAsia="zh-CN"/>
        </w:rPr>
        <w:t>，实际完成值:达成目标，指标完成率100%。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此项权重分10分，得分10分。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highlight w:val="none"/>
          <w:lang w:val="en-US" w:eastAsia="zh-CN"/>
        </w:rPr>
      </w:pPr>
      <w:r>
        <w:rPr>
          <w:rFonts w:hint="eastAsia"/>
          <w:color w:val="auto"/>
          <w:highlight w:val="none"/>
          <w:lang w:eastAsia="zh-CN"/>
        </w:rPr>
        <w:t>指标</w:t>
      </w:r>
      <w:r>
        <w:rPr>
          <w:rFonts w:hint="eastAsia"/>
          <w:color w:val="auto"/>
          <w:highlight w:val="none"/>
          <w:lang w:val="en-US" w:eastAsia="zh-CN"/>
        </w:rPr>
        <w:t>1：调查工作人员满意度，指标值：&gt;=90%，业绩值：100%，指标完成率111.11%。偏差原因：调查工作安排合理，经费保障到位，调查工作人员满意度测评结果高于预期。</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此项权重分10分，得分10分。</w:t>
      </w:r>
      <w:bookmarkStart w:id="16" w:name="_Toc68703842"/>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val="en-US" w:eastAsia="zh-CN"/>
        </w:rPr>
      </w:pPr>
      <w:r>
        <w:rPr>
          <w:rFonts w:hint="eastAsia"/>
          <w:color w:val="auto"/>
          <w:highlight w:val="none"/>
          <w:lang w:val="en-US" w:eastAsia="zh-CN"/>
        </w:rPr>
        <w:t>2023年巴州统计局城乡一体化住户调查补贴经费项目年初预算125.76万元，全年预算125.76万元，实际支出125.76万元，预算执行率为100%，项目绩效指标总体完成率为101.21%，</w:t>
      </w:r>
      <w:r>
        <w:rPr>
          <w:rFonts w:hint="eastAsia"/>
          <w:color w:val="auto"/>
          <w:highlight w:val="none"/>
          <w:lang w:val="en-US" w:eastAsia="zh-Hans"/>
        </w:rPr>
        <w:t>总体</w:t>
      </w:r>
      <w:r>
        <w:rPr>
          <w:rFonts w:hint="eastAsia"/>
          <w:color w:val="auto"/>
          <w:highlight w:val="none"/>
          <w:lang w:val="en-US" w:eastAsia="zh-CN"/>
        </w:rPr>
        <w:t>偏差率为1.21%,</w:t>
      </w:r>
      <w:r>
        <w:rPr>
          <w:rFonts w:hint="eastAsia"/>
          <w:color w:val="auto"/>
          <w:lang w:eastAsia="zh-Hans"/>
        </w:rPr>
        <w:t>偏差</w:t>
      </w:r>
      <w:r>
        <w:rPr>
          <w:rFonts w:hint="eastAsia"/>
          <w:color w:val="auto"/>
        </w:rPr>
        <w:t>原因</w:t>
      </w:r>
      <w:r>
        <w:rPr>
          <w:rFonts w:hint="eastAsia"/>
          <w:color w:val="auto"/>
          <w:highlight w:val="none"/>
          <w:lang w:val="en-US" w:eastAsia="zh-CN"/>
        </w:rPr>
        <w:t>：产出指标及满意度指标中指标实际完成值超出设定指标值，故导致有偏差。改进措施：根据以往年度完成情况及本年度工作计划，科学设定各类指标设定的指标值，减少偏差。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bookmarkStart w:id="18" w:name="_Toc68703844"/>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1.</w:t>
      </w:r>
      <w:r>
        <w:rPr>
          <w:rFonts w:hint="eastAsia" w:cs="Times New Roman"/>
          <w:sz w:val="30"/>
          <w:szCs w:val="30"/>
          <w:lang w:val="en-US" w:eastAsia="zh-CN"/>
        </w:rPr>
        <w:t>该</w:t>
      </w:r>
      <w:r>
        <w:rPr>
          <w:rFonts w:hint="eastAsia" w:ascii="Times New Roman" w:hAnsi="Times New Roman" w:eastAsia="仿宋_GB2312" w:cs="Times New Roman"/>
          <w:sz w:val="30"/>
          <w:szCs w:val="30"/>
          <w:lang w:val="en-US" w:eastAsia="zh-CN"/>
        </w:rPr>
        <w:t>项目确定了</w:t>
      </w:r>
      <w:r>
        <w:rPr>
          <w:rFonts w:hint="eastAsia" w:cs="Times New Roman"/>
          <w:sz w:val="30"/>
          <w:szCs w:val="30"/>
          <w:lang w:val="en-US" w:eastAsia="zh-CN"/>
        </w:rPr>
        <w:t>有效</w:t>
      </w:r>
      <w:r>
        <w:rPr>
          <w:rFonts w:hint="eastAsia" w:ascii="Times New Roman" w:hAnsi="Times New Roman" w:eastAsia="仿宋_GB2312" w:cs="Times New Roman"/>
          <w:sz w:val="30"/>
          <w:szCs w:val="30"/>
          <w:lang w:val="en-US" w:eastAsia="zh-CN"/>
        </w:rPr>
        <w:t>的绩效指标</w:t>
      </w:r>
      <w:r>
        <w:rPr>
          <w:rFonts w:hint="eastAsia" w:cs="Times New Roman"/>
          <w:sz w:val="30"/>
          <w:szCs w:val="30"/>
          <w:lang w:val="en-US" w:eastAsia="zh-CN"/>
        </w:rPr>
        <w:t>、设置了产出指标、成本指标、效益指标、满意度等与项目</w:t>
      </w:r>
      <w:r>
        <w:rPr>
          <w:rFonts w:hint="eastAsia" w:ascii="Times New Roman" w:hAnsi="Times New Roman" w:eastAsia="仿宋_GB2312" w:cs="Times New Roman"/>
          <w:sz w:val="30"/>
          <w:szCs w:val="30"/>
          <w:lang w:val="en-US" w:eastAsia="zh-CN"/>
        </w:rPr>
        <w:t>紧密相关的关键绩效指标，</w:t>
      </w:r>
      <w:r>
        <w:rPr>
          <w:rFonts w:hint="eastAsia" w:cs="Times New Roman"/>
          <w:sz w:val="30"/>
          <w:szCs w:val="30"/>
          <w:lang w:val="en-US" w:eastAsia="zh-CN"/>
        </w:rPr>
        <w:t>这些指标能够量化和衡量项目的成效和效率。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2</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学习和改进，将评价作为一个持续的学习过程，不断从经验中学习，改进未来的项目支出绩效评价实践。</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bookmarkStart w:id="19" w:name="_Toc68703845"/>
      <w:r>
        <w:rPr>
          <w:rFonts w:hint="eastAsia"/>
          <w:color w:val="auto"/>
        </w:rPr>
        <w:t>1.城乡一体化住户调查项目完全按照年初绩效目标执行，年初绩效指标设定合理，执行过程中未出现偏差，达到“为宏观经济发展提供决策依据和为社会经济可持续发展提供数据支撑”效果显著的目标。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2.单位绩效评价开展过程中，各科室之间的合作意识有待加强，项目自评工作并不是一个部门就可以完成的，需要的是部门间的相互配合、相互协调、形成工作合力。</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21" w:name="_GoBack"/>
      <w:r>
        <w:rPr>
          <w:rFonts w:hint="eastAsia"/>
          <w:color w:val="auto"/>
          <w:highlight w:val="none"/>
          <w:lang w:val="en-US" w:eastAsia="zh-CN"/>
        </w:rPr>
        <w:t>1.建议州财政局多组织有关绩效管理工作方面的培训，进一步夯实业务基础，提高绩效人员工作水平。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2.专门设定对绩效工作人员定职、定岗、定责等相关制度措施，加强各部门之间联系，进一步提升我单位绩效管理工作业务水平，扎实做好绩效管理工作。</w:t>
      </w:r>
    </w:p>
    <w:bookmarkEnd w:id="21"/>
    <w:p>
      <w:pPr>
        <w:pStyle w:val="3"/>
        <w:pageBreakBefore w:val="0"/>
        <w:kinsoku/>
        <w:wordWrap/>
        <w:overflowPunct/>
        <w:topLinePunct w:val="0"/>
        <w:autoSpaceDE/>
        <w:autoSpaceDN/>
        <w:bidi w:val="0"/>
        <w:adjustRightInd/>
        <w:snapToGrid/>
        <w:spacing w:before="0" w:after="0" w:line="560" w:lineRule="exact"/>
        <w:ind w:firstLine="321" w:firstLineChars="1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2010"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46A34B51"/>
    <w:multiLevelType w:val="singleLevel"/>
    <w:tmpl w:val="46A34B5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0754BC"/>
    <w:rsid w:val="031A7868"/>
    <w:rsid w:val="036337F1"/>
    <w:rsid w:val="04D341B8"/>
    <w:rsid w:val="05227DA5"/>
    <w:rsid w:val="063E01A9"/>
    <w:rsid w:val="06C00F30"/>
    <w:rsid w:val="073632CE"/>
    <w:rsid w:val="07BD684A"/>
    <w:rsid w:val="087B7A2F"/>
    <w:rsid w:val="089703EA"/>
    <w:rsid w:val="089F1C5C"/>
    <w:rsid w:val="08D20D13"/>
    <w:rsid w:val="08E858AD"/>
    <w:rsid w:val="091B5B83"/>
    <w:rsid w:val="0934763E"/>
    <w:rsid w:val="0971450C"/>
    <w:rsid w:val="0974680D"/>
    <w:rsid w:val="0C4D0F1B"/>
    <w:rsid w:val="0DBE6D1A"/>
    <w:rsid w:val="0F2A6BF7"/>
    <w:rsid w:val="10B10371"/>
    <w:rsid w:val="12EA3E8A"/>
    <w:rsid w:val="14B51F18"/>
    <w:rsid w:val="14E24780"/>
    <w:rsid w:val="15D363DA"/>
    <w:rsid w:val="160417DB"/>
    <w:rsid w:val="16CB588D"/>
    <w:rsid w:val="173A1679"/>
    <w:rsid w:val="1A530D3B"/>
    <w:rsid w:val="1BDA04B3"/>
    <w:rsid w:val="1D506F7D"/>
    <w:rsid w:val="1D723F37"/>
    <w:rsid w:val="1D785367"/>
    <w:rsid w:val="21BF73F3"/>
    <w:rsid w:val="227B25AC"/>
    <w:rsid w:val="2331054B"/>
    <w:rsid w:val="26112149"/>
    <w:rsid w:val="28DE3608"/>
    <w:rsid w:val="290057D3"/>
    <w:rsid w:val="2A5F54EC"/>
    <w:rsid w:val="2B45218A"/>
    <w:rsid w:val="2BCB7E65"/>
    <w:rsid w:val="2BD61582"/>
    <w:rsid w:val="2D0441B0"/>
    <w:rsid w:val="2D91532A"/>
    <w:rsid w:val="2DB43208"/>
    <w:rsid w:val="2DC10B93"/>
    <w:rsid w:val="2E211CB1"/>
    <w:rsid w:val="2EDD3F6F"/>
    <w:rsid w:val="2EE60C1B"/>
    <w:rsid w:val="3034687E"/>
    <w:rsid w:val="30C72756"/>
    <w:rsid w:val="32AE0DEC"/>
    <w:rsid w:val="330C6B46"/>
    <w:rsid w:val="339571DC"/>
    <w:rsid w:val="35006703"/>
    <w:rsid w:val="355B4D73"/>
    <w:rsid w:val="368A5803"/>
    <w:rsid w:val="36B72533"/>
    <w:rsid w:val="36D10B7D"/>
    <w:rsid w:val="36FEE1CF"/>
    <w:rsid w:val="375B525D"/>
    <w:rsid w:val="393670ED"/>
    <w:rsid w:val="3B6C3489"/>
    <w:rsid w:val="3D5A0AB6"/>
    <w:rsid w:val="3D91318F"/>
    <w:rsid w:val="3F516B05"/>
    <w:rsid w:val="3FC91B34"/>
    <w:rsid w:val="4057649F"/>
    <w:rsid w:val="407B3B56"/>
    <w:rsid w:val="408F27F7"/>
    <w:rsid w:val="40A06315"/>
    <w:rsid w:val="422E1161"/>
    <w:rsid w:val="43182414"/>
    <w:rsid w:val="436A46C6"/>
    <w:rsid w:val="43D50F6B"/>
    <w:rsid w:val="44CB1108"/>
    <w:rsid w:val="46507BB3"/>
    <w:rsid w:val="47096CED"/>
    <w:rsid w:val="480F3BB1"/>
    <w:rsid w:val="48510EF5"/>
    <w:rsid w:val="4890301C"/>
    <w:rsid w:val="49C66B17"/>
    <w:rsid w:val="4A7C25BE"/>
    <w:rsid w:val="4C22332E"/>
    <w:rsid w:val="4D3300AA"/>
    <w:rsid w:val="50EA0F6B"/>
    <w:rsid w:val="523555EC"/>
    <w:rsid w:val="52AD3FB1"/>
    <w:rsid w:val="544F1CFE"/>
    <w:rsid w:val="54580593"/>
    <w:rsid w:val="54FD711C"/>
    <w:rsid w:val="557C23C2"/>
    <w:rsid w:val="56796849"/>
    <w:rsid w:val="57077C7F"/>
    <w:rsid w:val="57CC6C81"/>
    <w:rsid w:val="58867B5D"/>
    <w:rsid w:val="5A314149"/>
    <w:rsid w:val="5B140EFE"/>
    <w:rsid w:val="5B2034EE"/>
    <w:rsid w:val="5BA57168"/>
    <w:rsid w:val="5CF10BF1"/>
    <w:rsid w:val="5DA95371"/>
    <w:rsid w:val="5E6D1EF9"/>
    <w:rsid w:val="5F3E0D02"/>
    <w:rsid w:val="6109328C"/>
    <w:rsid w:val="621E764F"/>
    <w:rsid w:val="63E31B72"/>
    <w:rsid w:val="63E5037A"/>
    <w:rsid w:val="679B7B82"/>
    <w:rsid w:val="68076A48"/>
    <w:rsid w:val="68F11999"/>
    <w:rsid w:val="6ACF5B00"/>
    <w:rsid w:val="6C006BA4"/>
    <w:rsid w:val="6DDD239D"/>
    <w:rsid w:val="6E71771E"/>
    <w:rsid w:val="6F807205"/>
    <w:rsid w:val="6FF92A82"/>
    <w:rsid w:val="716A067C"/>
    <w:rsid w:val="72002F56"/>
    <w:rsid w:val="733D4534"/>
    <w:rsid w:val="73CC4A8A"/>
    <w:rsid w:val="73FFFC60"/>
    <w:rsid w:val="74BC09A5"/>
    <w:rsid w:val="75C34BC5"/>
    <w:rsid w:val="763A0251"/>
    <w:rsid w:val="767C20CE"/>
    <w:rsid w:val="770D6ED7"/>
    <w:rsid w:val="77704880"/>
    <w:rsid w:val="777F291C"/>
    <w:rsid w:val="77E8EC84"/>
    <w:rsid w:val="78972614"/>
    <w:rsid w:val="7B260A66"/>
    <w:rsid w:val="7C8054CD"/>
    <w:rsid w:val="7CB12B12"/>
    <w:rsid w:val="7CE9FB00"/>
    <w:rsid w:val="7D12DF07"/>
    <w:rsid w:val="7F7D9EED"/>
    <w:rsid w:val="7F7E2038"/>
    <w:rsid w:val="7FDA6B83"/>
    <w:rsid w:val="7FDE3802"/>
    <w:rsid w:val="9ADCE4FE"/>
    <w:rsid w:val="9F39CD0B"/>
    <w:rsid w:val="B4BEA482"/>
    <w:rsid w:val="B8FF3B4F"/>
    <w:rsid w:val="BBEF48EA"/>
    <w:rsid w:val="CF36C5A9"/>
    <w:rsid w:val="D673BECF"/>
    <w:rsid w:val="D7FE489E"/>
    <w:rsid w:val="DE7989C9"/>
    <w:rsid w:val="EB2FEB2C"/>
    <w:rsid w:val="EF7D72AB"/>
    <w:rsid w:val="FABBC612"/>
    <w:rsid w:val="FBBB8EC4"/>
    <w:rsid w:val="FBFE998F"/>
    <w:rsid w:val="FF713130"/>
    <w:rsid w:val="FFF73B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2021-04-09T16:01:00Z</dcterms:created>
  <dc:creator>翘楚</dc:creator>
  <cp:lastModifiedBy>new</cp:lastModifiedBy>
  <cp:lastPrinted>2024-05-22T11:06:00Z</cp:lastPrinted>
  <dcterms:modified xsi:type="dcterms:W3CDTF">2024-05-22T09:44:44Z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F6CD3AEB6C9F4964953110FDE4B6FC5F</vt:lpwstr>
  </property>
</Properties>
</file>