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项目名称：2023年中央支持地方公共文化服务体系建设补助资金项目</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巴音郭楞融媒体中心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巴州宣传部</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沈建</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28</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bookmarkStart w:id="1" w:name="_Toc68703828"/>
      <w:r>
        <w:rPr>
          <w:rFonts w:hint="eastAsia" w:ascii="仿宋_GB2312"/>
          <w:highlight w:val="none"/>
          <w:lang w:val="en-US" w:eastAsia="zh-CN"/>
        </w:rPr>
        <w:t>1.</w:t>
      </w:r>
      <w:r>
        <w:rPr>
          <w:rFonts w:hint="eastAsia" w:ascii="仿宋_GB2312"/>
          <w:highlight w:val="none"/>
        </w:rPr>
        <w:t>项目背景，主要内容及实施情况</w:t>
      </w:r>
      <w:r>
        <w:rPr>
          <w:rFonts w:hint="eastAsia" w:ascii="仿宋_GB2312" w:eastAsia="仿宋_GB2312"/>
          <w:b w:val="0"/>
          <w:bCs w:val="0"/>
        </w:rPr>
        <w:t>。</w:t>
      </w:r>
      <w:bookmarkEnd w:id="1"/>
    </w:p>
    <w:p>
      <w:pPr>
        <w:pageBreakBefore w:val="0"/>
        <w:numPr>
          <w:ilvl w:val="0"/>
          <w:numId w:val="0"/>
        </w:numPr>
        <w:tabs>
          <w:tab w:val="left" w:pos="6836"/>
        </w:tabs>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eastAsia="zh-CN"/>
        </w:rPr>
      </w:pPr>
      <w:r>
        <w:rPr>
          <w:rFonts w:hint="eastAsia" w:ascii="仿宋_GB2312"/>
          <w:highlight w:val="none"/>
        </w:rPr>
        <w:t>（1）项目背景</w:t>
      </w:r>
      <w:r>
        <w:rPr>
          <w:rFonts w:hint="eastAsia" w:ascii="仿宋_GB2312"/>
          <w:highlight w:val="none"/>
          <w:lang w:eastAsia="zh-CN"/>
        </w:rPr>
        <w:tab/>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0"/>
          <w:szCs w:val="30"/>
          <w:lang w:val="en-US" w:eastAsia="zh-CN"/>
        </w:rPr>
      </w:pPr>
      <w:r>
        <w:rPr>
          <w:rFonts w:hint="eastAsia" w:ascii="仿宋_GB2312" w:hAnsi="仿宋_GB2312" w:cs="仿宋_GB2312"/>
          <w:sz w:val="30"/>
          <w:szCs w:val="30"/>
          <w:lang w:val="en-US" w:eastAsia="zh-CN"/>
        </w:rPr>
        <w:t>根据党的二十大报告，丰富人民群众精神文化生活，培育和践行社会主义核心价值观，深化群众性精神文明创建及“十四五”规划纲要，为了推动“十四五规划”目标的实现，全面准确贯彻《自治区文化润疆工程方案》战略方针，夯实铸牢中华民族共同体意识的文化基础，按照自治区党委“全疆一张网”的工作部署，巴音郭楞融媒体中心携手</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ascii="仿宋_GB2312" w:hAnsi="仿宋_GB2312" w:cs="仿宋_GB2312"/>
          <w:sz w:val="30"/>
          <w:szCs w:val="30"/>
          <w:lang w:val="en-US" w:eastAsia="zh-CN"/>
        </w:rPr>
        <w:t>开展融合生产传播业务，通过采购一批灯光设备对州融媒体中心演播厅进行改造升级，</w:t>
      </w:r>
      <w:r>
        <w:rPr>
          <w:rFonts w:hint="eastAsia"/>
          <w:color w:val="auto"/>
          <w:sz w:val="30"/>
          <w:szCs w:val="30"/>
        </w:rPr>
        <w:t>满足全媒体宣传需要</w:t>
      </w:r>
      <w:r>
        <w:rPr>
          <w:rFonts w:hint="eastAsia" w:ascii="仿宋_GB2312" w:hAnsi="仿宋_GB2312" w:cs="仿宋_GB2312"/>
          <w:sz w:val="30"/>
          <w:szCs w:val="30"/>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 w:val="0"/>
          <w:bCs w:val="0"/>
          <w:color w:val="auto"/>
          <w:kern w:val="0"/>
          <w:sz w:val="32"/>
          <w:szCs w:val="32"/>
          <w:lang w:val="en-US" w:eastAsia="zh-CN"/>
        </w:rPr>
      </w:pPr>
      <w:r>
        <w:rPr>
          <w:rFonts w:hint="eastAsia" w:ascii="仿宋_GB2312"/>
          <w:highlight w:val="none"/>
          <w:lang w:eastAsia="zh-CN"/>
        </w:rPr>
        <w:t>①</w:t>
      </w:r>
      <w:r>
        <w:rPr>
          <w:rFonts w:hint="eastAsia"/>
          <w:color w:val="auto"/>
          <w:sz w:val="30"/>
          <w:szCs w:val="30"/>
        </w:rPr>
        <w:t>巴音郭楞融媒体中心</w:t>
      </w:r>
      <w:r>
        <w:rPr>
          <w:rFonts w:hint="eastAsia"/>
          <w:color w:val="auto"/>
          <w:sz w:val="30"/>
          <w:szCs w:val="30"/>
          <w:lang w:val="en-US" w:eastAsia="zh-CN"/>
        </w:rPr>
        <w:t>与</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color w:val="auto"/>
          <w:sz w:val="30"/>
          <w:szCs w:val="30"/>
          <w:lang w:val="en-US" w:eastAsia="zh-CN"/>
        </w:rPr>
        <w:t>签订</w:t>
      </w:r>
      <w:r>
        <w:rPr>
          <w:rFonts w:hint="eastAsia"/>
          <w:color w:val="auto"/>
          <w:sz w:val="30"/>
          <w:szCs w:val="30"/>
        </w:rPr>
        <w:t>合作</w:t>
      </w:r>
      <w:r>
        <w:rPr>
          <w:rFonts w:hint="eastAsia"/>
          <w:color w:val="auto"/>
          <w:sz w:val="30"/>
          <w:szCs w:val="30"/>
          <w:lang w:val="en-US" w:eastAsia="zh-CN"/>
        </w:rPr>
        <w:t>协议</w:t>
      </w:r>
      <w:r>
        <w:rPr>
          <w:rFonts w:hint="eastAsia"/>
          <w:color w:val="auto"/>
          <w:sz w:val="30"/>
          <w:szCs w:val="30"/>
          <w:lang w:eastAsia="zh-CN"/>
        </w:rPr>
        <w:t>，组织报纸、广播电视节目创作生产，</w:t>
      </w:r>
      <w:r>
        <w:rPr>
          <w:rFonts w:hint="eastAsia"/>
          <w:color w:val="auto"/>
          <w:sz w:val="30"/>
          <w:szCs w:val="30"/>
          <w:lang w:val="en-US" w:eastAsia="zh-CN"/>
        </w:rPr>
        <w:t>实现</w:t>
      </w:r>
      <w:r>
        <w:rPr>
          <w:rFonts w:hint="eastAsia"/>
          <w:color w:val="auto"/>
          <w:sz w:val="30"/>
          <w:szCs w:val="30"/>
        </w:rPr>
        <w:t>巴州对内对外宣传“一盘棋”</w:t>
      </w:r>
      <w:r>
        <w:rPr>
          <w:rFonts w:hint="eastAsia"/>
          <w:color w:val="auto"/>
          <w:sz w:val="30"/>
          <w:szCs w:val="30"/>
          <w:lang w:eastAsia="zh-CN"/>
        </w:rPr>
        <w:t>、</w:t>
      </w:r>
      <w:r>
        <w:rPr>
          <w:rFonts w:hint="eastAsia" w:ascii="Times New Roman" w:hAnsi="Times New Roman" w:eastAsia="方正仿宋_GBK"/>
          <w:sz w:val="30"/>
          <w:szCs w:val="30"/>
        </w:rPr>
        <w:t>“</w:t>
      </w:r>
      <w:r>
        <w:rPr>
          <w:rFonts w:ascii="Times New Roman" w:hAnsi="Times New Roman" w:eastAsia="方正仿宋_GBK"/>
          <w:sz w:val="30"/>
          <w:szCs w:val="30"/>
        </w:rPr>
        <w:t>全疆一张网</w:t>
      </w:r>
      <w:r>
        <w:rPr>
          <w:rFonts w:hint="eastAsia" w:ascii="Times New Roman" w:hAnsi="Times New Roman" w:eastAsia="方正仿宋_GBK"/>
          <w:sz w:val="30"/>
          <w:szCs w:val="30"/>
        </w:rPr>
        <w:t>”</w:t>
      </w:r>
      <w:r>
        <w:rPr>
          <w:rFonts w:ascii="Times New Roman" w:hAnsi="Times New Roman" w:eastAsia="方正仿宋_GBK"/>
          <w:sz w:val="30"/>
          <w:szCs w:val="30"/>
        </w:rPr>
        <w:t>的工作部署</w:t>
      </w:r>
      <w:r>
        <w:rPr>
          <w:rFonts w:hint="eastAsia" w:ascii="Times New Roman" w:hAnsi="Times New Roman" w:eastAsia="方正仿宋_GBK"/>
          <w:sz w:val="30"/>
          <w:szCs w:val="30"/>
          <w:lang w:eastAsia="zh-CN"/>
        </w:rPr>
        <w:t>，</w:t>
      </w:r>
      <w:r>
        <w:rPr>
          <w:rFonts w:hint="eastAsia"/>
          <w:color w:val="auto"/>
          <w:sz w:val="30"/>
          <w:szCs w:val="30"/>
          <w:lang w:eastAsia="zh-CN"/>
        </w:rPr>
        <w:t>加强对外宣传能力建设，讲好巴州故事，</w:t>
      </w:r>
      <w:r>
        <w:rPr>
          <w:rFonts w:hint="eastAsia"/>
          <w:color w:val="auto"/>
          <w:sz w:val="30"/>
          <w:szCs w:val="30"/>
        </w:rPr>
        <w:t>形成主流媒体合力，扎实推进巴州自我推介和自我宣传能力。</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lang w:val="en-US" w:eastAsia="zh-CN"/>
        </w:rPr>
      </w:pPr>
      <w:r>
        <w:rPr>
          <w:rFonts w:hint="eastAsia" w:ascii="仿宋_GB2312"/>
          <w:highlight w:val="none"/>
          <w:lang w:eastAsia="zh-CN"/>
        </w:rPr>
        <w:t>②</w:t>
      </w:r>
      <w:r>
        <w:rPr>
          <w:rFonts w:hint="eastAsia"/>
          <w:color w:val="auto"/>
          <w:sz w:val="30"/>
          <w:szCs w:val="30"/>
        </w:rPr>
        <w:t>巴音郭楞融媒体中心</w:t>
      </w:r>
      <w:r>
        <w:rPr>
          <w:rFonts w:hint="eastAsia"/>
          <w:color w:val="auto"/>
          <w:sz w:val="30"/>
          <w:szCs w:val="30"/>
          <w:lang w:val="en-US" w:eastAsia="zh-CN"/>
        </w:rPr>
        <w:t>通过</w:t>
      </w:r>
      <w:r>
        <w:rPr>
          <w:rFonts w:hint="eastAsia"/>
          <w:color w:val="auto"/>
          <w:sz w:val="30"/>
          <w:szCs w:val="30"/>
        </w:rPr>
        <w:t>采购一批灯光设备，</w:t>
      </w:r>
      <w:r>
        <w:rPr>
          <w:rFonts w:hint="eastAsia"/>
          <w:color w:val="auto"/>
          <w:sz w:val="30"/>
          <w:szCs w:val="30"/>
          <w:lang w:val="en-US" w:eastAsia="zh-CN"/>
        </w:rPr>
        <w:t>对演播厅灯光桁架和舞台整体改造，进行融媒体平台功能优化、模块叠加、性能迭代升级等，进一步提升</w:t>
      </w:r>
      <w:r>
        <w:rPr>
          <w:rFonts w:hint="eastAsia"/>
          <w:color w:val="auto"/>
          <w:sz w:val="30"/>
          <w:szCs w:val="30"/>
        </w:rPr>
        <w:t>基础设施建设水平，满足全媒体宣传需要。</w:t>
      </w:r>
      <w:r>
        <w:rPr>
          <w:rFonts w:hint="eastAsia"/>
          <w:color w:val="auto"/>
          <w:sz w:val="30"/>
          <w:szCs w:val="30"/>
          <w:lang w:val="en-US" w:eastAsia="zh-CN"/>
        </w:rPr>
        <w:t xml:space="preserve">    </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rPr>
      </w:pPr>
      <w:r>
        <w:rPr>
          <w:rFonts w:hint="eastAsia" w:ascii="仿宋_GB2312"/>
          <w:highlight w:val="none"/>
        </w:rPr>
        <w:t>实施情况：</w:t>
      </w:r>
      <w:bookmarkStart w:id="21" w:name="_GoBack"/>
      <w:r>
        <w:rPr>
          <w:rFonts w:hint="eastAsia" w:ascii="仿宋_GB2312"/>
          <w:color w:val="auto"/>
          <w:highlight w:val="none"/>
        </w:rPr>
        <w:t>项目目前</w:t>
      </w:r>
      <w:r>
        <w:rPr>
          <w:rFonts w:hint="eastAsia" w:ascii="仿宋_GB2312"/>
          <w:color w:val="auto"/>
          <w:highlight w:val="none"/>
          <w:lang w:eastAsia="zh-CN"/>
        </w:rPr>
        <w:t>已完成与新疆日报联办</w:t>
      </w:r>
      <w:r>
        <w:rPr>
          <w:rFonts w:hint="eastAsia" w:ascii="仿宋_GB2312"/>
          <w:color w:val="auto"/>
          <w:highlight w:val="none"/>
          <w:lang w:val="en-US" w:eastAsia="zh-CN"/>
        </w:rPr>
        <w:t>4条板块；与新疆电视台联办1套电视节目;并采购139台设备</w:t>
      </w:r>
      <w:r>
        <w:rPr>
          <w:rFonts w:hint="eastAsia" w:ascii="仿宋_GB2312"/>
          <w:color w:val="auto"/>
          <w:highlight w:val="none"/>
        </w:rPr>
        <w:t>，</w:t>
      </w:r>
      <w:r>
        <w:rPr>
          <w:rFonts w:hint="eastAsia" w:ascii="仿宋_GB2312"/>
          <w:color w:val="auto"/>
          <w:highlight w:val="none"/>
        </w:rPr>
        <w:t>在实施</w:t>
      </w:r>
      <w:bookmarkEnd w:id="21"/>
      <w:r>
        <w:rPr>
          <w:rFonts w:hint="eastAsia" w:ascii="仿宋_GB2312"/>
          <w:color w:val="auto"/>
          <w:highlight w:val="none"/>
        </w:rPr>
        <w:t>过程中严格按照目标设立的各阶段任务开展工作，在前期立</w:t>
      </w:r>
      <w:r>
        <w:rPr>
          <w:rFonts w:hint="eastAsia" w:ascii="仿宋_GB2312"/>
          <w:highlight w:val="none"/>
        </w:rPr>
        <w:t>项过程中严格把</w:t>
      </w:r>
      <w:r>
        <w:rPr>
          <w:rFonts w:hint="eastAsia" w:ascii="仿宋_GB2312"/>
          <w:highlight w:val="none"/>
          <w:lang w:val="en-US" w:eastAsia="zh-CN"/>
        </w:rPr>
        <w:t>控宣传内容和平台改造工作的质量</w:t>
      </w:r>
      <w:r>
        <w:rPr>
          <w:rFonts w:hint="eastAsia" w:ascii="仿宋_GB2312"/>
          <w:highlight w:val="none"/>
        </w:rPr>
        <w:t>，</w:t>
      </w:r>
      <w:r>
        <w:rPr>
          <w:rFonts w:hint="eastAsia" w:ascii="仿宋_GB2312"/>
          <w:highlight w:val="none"/>
          <w:lang w:val="en-US" w:eastAsia="zh-CN"/>
        </w:rPr>
        <w:t>设立了审校的流程及平台验收专家组</w:t>
      </w:r>
      <w:r>
        <w:rPr>
          <w:rFonts w:hint="eastAsia" w:ascii="仿宋_GB2312"/>
          <w:highlight w:val="none"/>
        </w:rPr>
        <w:t>，保证项目实施各阶段安全顺利进行</w:t>
      </w:r>
      <w:r>
        <w:rPr>
          <w:rFonts w:hint="eastAsia"/>
          <w:sz w:val="30"/>
          <w:szCs w:val="30"/>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3</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万元，实际总投入</w:t>
      </w:r>
      <w:r>
        <w:rPr>
          <w:rFonts w:hint="eastAsia"/>
          <w:color w:val="auto"/>
          <w:lang w:val="en-US" w:eastAsia="zh-CN"/>
        </w:rPr>
        <w:t>214.95</w:t>
      </w:r>
      <w:r>
        <w:rPr>
          <w:rFonts w:hint="eastAsia"/>
          <w:color w:val="auto"/>
        </w:rPr>
        <w:t>万元，该项目资金已全部落实到位，资金来源为</w:t>
      </w:r>
      <w:r>
        <w:rPr>
          <w:rFonts w:hint="eastAsia"/>
          <w:color w:val="auto"/>
          <w:lang w:val="en-US" w:eastAsia="zh-CN"/>
        </w:rPr>
        <w:t>财政拨款</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lang w:eastAsia="zh-CN"/>
        </w:rPr>
        <w:t>（</w:t>
      </w:r>
      <w:r>
        <w:rPr>
          <w:rFonts w:hint="eastAsia"/>
          <w:lang w:val="en-US" w:eastAsia="zh-CN"/>
        </w:rPr>
        <w:t>4</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万元，全年执行数</w:t>
      </w:r>
      <w:r>
        <w:rPr>
          <w:rFonts w:hint="eastAsia"/>
          <w:color w:val="auto"/>
          <w:lang w:val="en-US" w:eastAsia="zh-CN"/>
        </w:rPr>
        <w:t>214.95</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highlight w:val="none"/>
          <w:lang w:val="en-US" w:eastAsia="zh-CN"/>
        </w:rPr>
        <w:t>转载</w:t>
      </w:r>
      <w:r>
        <w:rPr>
          <w:rFonts w:hint="eastAsia"/>
          <w:color w:val="auto"/>
          <w:sz w:val="30"/>
          <w:szCs w:val="30"/>
        </w:rPr>
        <w:t>新疆电视台</w:t>
      </w:r>
      <w:r>
        <w:rPr>
          <w:rFonts w:hint="eastAsia"/>
          <w:color w:val="auto"/>
          <w:sz w:val="30"/>
          <w:szCs w:val="30"/>
          <w:lang w:eastAsia="zh-CN"/>
        </w:rPr>
        <w:t>、</w:t>
      </w:r>
      <w:r>
        <w:rPr>
          <w:rFonts w:hint="eastAsia"/>
          <w:color w:val="auto"/>
          <w:sz w:val="30"/>
          <w:szCs w:val="30"/>
        </w:rPr>
        <w:t>新疆日报</w:t>
      </w:r>
      <w:r>
        <w:rPr>
          <w:rFonts w:hint="eastAsia"/>
          <w:color w:val="auto"/>
          <w:sz w:val="30"/>
          <w:szCs w:val="30"/>
          <w:lang w:val="en-US" w:eastAsia="zh-CN"/>
        </w:rPr>
        <w:t>宣传内容</w:t>
      </w:r>
      <w:r>
        <w:rPr>
          <w:rFonts w:hint="eastAsia" w:ascii="仿宋_GB2312"/>
          <w:color w:val="auto"/>
          <w:highlight w:val="none"/>
          <w:lang w:val="en-US" w:eastAsia="zh-CN"/>
        </w:rPr>
        <w:t>经费64.95万元；</w:t>
      </w:r>
      <w:r>
        <w:rPr>
          <w:rFonts w:hint="eastAsia"/>
          <w:color w:val="auto"/>
          <w:sz w:val="30"/>
          <w:szCs w:val="30"/>
          <w:lang w:val="en-US" w:eastAsia="zh-CN"/>
        </w:rPr>
        <w:t>改造融媒体平台，采购设备经费150万元</w:t>
      </w:r>
      <w:r>
        <w:rPr>
          <w:rFonts w:hint="eastAsia"/>
          <w:color w:val="auto"/>
          <w:sz w:val="30"/>
          <w:szCs w:val="30"/>
        </w:rPr>
        <w:t>。</w:t>
      </w:r>
      <w:r>
        <w:rPr>
          <w:rFonts w:hint="eastAsia"/>
          <w:color w:val="auto"/>
          <w:sz w:val="30"/>
          <w:szCs w:val="30"/>
          <w:lang w:val="en-US" w:eastAsia="zh-CN"/>
        </w:rPr>
        <w:t xml:space="preserve">  </w:t>
      </w:r>
      <w:bookmarkStart w:id="2" w:name="_Toc6870382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sz w:val="30"/>
          <w:szCs w:val="30"/>
        </w:rPr>
      </w:pPr>
      <w:r>
        <w:rPr>
          <w:rFonts w:hint="eastAsia"/>
          <w:sz w:val="30"/>
          <w:szCs w:val="30"/>
        </w:rPr>
        <w:t>1</w:t>
      </w:r>
      <w:r>
        <w:rPr>
          <w:rFonts w:hint="eastAsia"/>
          <w:sz w:val="30"/>
          <w:szCs w:val="30"/>
          <w:lang w:val="en-US" w:eastAsia="zh-CN"/>
        </w:rPr>
        <w:t>.</w:t>
      </w:r>
      <w:r>
        <w:rPr>
          <w:rFonts w:hint="eastAsia"/>
          <w:sz w:val="30"/>
          <w:szCs w:val="30"/>
        </w:rPr>
        <w:t>总体目标：通过采购一批灯光设备对州融媒体中心演播厅进行改造升级，更好的提升基础设施建设水平。通过与新疆电视台和新疆日报合作，综合提高宣传业务水平</w:t>
      </w:r>
      <w:r>
        <w:rPr>
          <w:rFonts w:hint="eastAsia"/>
          <w:color w:val="auto"/>
          <w:sz w:val="30"/>
          <w:szCs w:val="30"/>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pPr>
      <w:r>
        <w:rPr>
          <w:sz w:val="30"/>
          <w:szCs w:val="30"/>
        </w:rPr>
        <w:t>2</w:t>
      </w:r>
      <w:r>
        <w:rPr>
          <w:rFonts w:hint="eastAsia"/>
          <w:sz w:val="30"/>
          <w:szCs w:val="30"/>
          <w:lang w:val="en-US" w:eastAsia="zh-CN"/>
        </w:rPr>
        <w:t>.</w:t>
      </w:r>
      <w:r>
        <w:rPr>
          <w:rFonts w:hint="eastAsia"/>
          <w:sz w:val="30"/>
          <w:szCs w:val="30"/>
        </w:rPr>
        <w:t>阶段性目标：为项目的顺利进行，确保项目实施有效，提升基础设施建设和宣传业务水平。该项目2023年第一季度完成项目采购的意向公告发布，编制招标文件</w:t>
      </w:r>
      <w:r>
        <w:rPr>
          <w:rFonts w:hint="eastAsia"/>
          <w:sz w:val="30"/>
          <w:szCs w:val="30"/>
          <w:lang w:val="en-US" w:eastAsia="zh-CN"/>
        </w:rPr>
        <w:t>并</w:t>
      </w:r>
      <w:r>
        <w:rPr>
          <w:rFonts w:hint="eastAsia"/>
          <w:sz w:val="30"/>
          <w:szCs w:val="30"/>
        </w:rPr>
        <w:t>签订合同，开始对接项目实施工作；第二季度完成招投标工作，</w:t>
      </w:r>
      <w:r>
        <w:rPr>
          <w:rFonts w:hint="eastAsia"/>
          <w:sz w:val="30"/>
          <w:szCs w:val="30"/>
          <w:lang w:val="en-US" w:eastAsia="zh-CN"/>
        </w:rPr>
        <w:t>对项目宣传内容及采购设备的质量进行把控，并设置相关流程；</w:t>
      </w:r>
      <w:r>
        <w:rPr>
          <w:rFonts w:hint="eastAsia"/>
          <w:sz w:val="30"/>
          <w:szCs w:val="30"/>
        </w:rPr>
        <w:t>第三季度</w:t>
      </w:r>
      <w:r>
        <w:rPr>
          <w:rFonts w:hint="eastAsia"/>
          <w:sz w:val="30"/>
          <w:szCs w:val="30"/>
          <w:lang w:val="en-US" w:eastAsia="zh-CN"/>
        </w:rPr>
        <w:t>对</w:t>
      </w:r>
      <w:r>
        <w:rPr>
          <w:rFonts w:hint="eastAsia"/>
          <w:sz w:val="30"/>
          <w:szCs w:val="30"/>
        </w:rPr>
        <w:t>项目实施</w:t>
      </w:r>
      <w:r>
        <w:rPr>
          <w:rFonts w:hint="eastAsia"/>
          <w:sz w:val="30"/>
          <w:szCs w:val="30"/>
          <w:lang w:val="en-US" w:eastAsia="zh-CN"/>
        </w:rPr>
        <w:t>的进度及内容产生的效果进行监测；</w:t>
      </w:r>
      <w:r>
        <w:rPr>
          <w:rFonts w:hint="eastAsia"/>
          <w:sz w:val="30"/>
          <w:szCs w:val="30"/>
        </w:rPr>
        <w:t>第</w:t>
      </w:r>
      <w:r>
        <w:rPr>
          <w:rFonts w:hint="eastAsia"/>
          <w:sz w:val="30"/>
          <w:szCs w:val="30"/>
          <w:lang w:val="en-US" w:eastAsia="zh-CN"/>
        </w:rPr>
        <w:t>四</w:t>
      </w:r>
      <w:r>
        <w:rPr>
          <w:rFonts w:hint="eastAsia"/>
          <w:sz w:val="30"/>
          <w:szCs w:val="30"/>
        </w:rPr>
        <w:t>季度</w:t>
      </w:r>
      <w:r>
        <w:rPr>
          <w:rFonts w:hint="eastAsia"/>
          <w:sz w:val="30"/>
          <w:szCs w:val="30"/>
          <w:lang w:val="en-US" w:eastAsia="zh-CN"/>
        </w:rPr>
        <w:t>对</w:t>
      </w:r>
      <w:r>
        <w:rPr>
          <w:rFonts w:hint="eastAsia"/>
          <w:sz w:val="30"/>
          <w:szCs w:val="30"/>
        </w:rPr>
        <w:t>项目</w:t>
      </w:r>
      <w:r>
        <w:rPr>
          <w:rFonts w:hint="eastAsia"/>
          <w:sz w:val="30"/>
          <w:szCs w:val="30"/>
          <w:lang w:val="en-US" w:eastAsia="zh-CN"/>
        </w:rPr>
        <w:t>宣传内容</w:t>
      </w:r>
      <w:r>
        <w:rPr>
          <w:rFonts w:hint="eastAsia"/>
          <w:sz w:val="30"/>
          <w:szCs w:val="30"/>
        </w:rPr>
        <w:t>实施完成</w:t>
      </w:r>
      <w:r>
        <w:rPr>
          <w:rFonts w:hint="eastAsia"/>
          <w:sz w:val="30"/>
          <w:szCs w:val="30"/>
          <w:lang w:val="en-US" w:eastAsia="zh-CN"/>
        </w:rPr>
        <w:t>情况及</w:t>
      </w:r>
      <w:r>
        <w:rPr>
          <w:rFonts w:hint="eastAsia"/>
          <w:sz w:val="30"/>
          <w:szCs w:val="30"/>
        </w:rPr>
        <w:t>融媒体平台进行测试验收</w:t>
      </w:r>
      <w:r>
        <w:rPr>
          <w:rFonts w:hint="eastAsia"/>
          <w:sz w:val="30"/>
          <w:szCs w:val="30"/>
          <w:lang w:val="en-US" w:eastAsia="zh-CN"/>
        </w:rPr>
        <w:t>。</w:t>
      </w: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sz w:val="30"/>
          <w:szCs w:val="30"/>
          <w:lang w:val="en-US" w:eastAsia="zh-CN"/>
        </w:rPr>
      </w:pPr>
      <w:bookmarkStart w:id="4" w:name="_Toc68703831"/>
      <w:bookmarkStart w:id="5" w:name="_Toc68703834"/>
      <w:r>
        <w:rPr>
          <w:rFonts w:hint="eastAsia" w:ascii="仿宋_GB2312" w:hAnsi="仿宋_GB2312" w:eastAsia="仿宋_GB2312" w:cs="仿宋_GB2312"/>
          <w:b w:val="0"/>
          <w:bCs w:val="0"/>
          <w:sz w:val="30"/>
          <w:szCs w:val="3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绩效评价目的：</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绩效评价对象：</w:t>
      </w:r>
      <w:r>
        <w:rPr>
          <w:rFonts w:hint="eastAsia" w:ascii="仿宋_GB2312" w:hAnsi="仿宋_GB2312" w:eastAsia="仿宋_GB2312" w:cs="仿宋_GB2312"/>
          <w:color w:val="auto"/>
          <w:sz w:val="30"/>
          <w:szCs w:val="30"/>
        </w:rPr>
        <w:t>2023年中央支持地方公共文化服务体系建设补助资金所包含的全部项目内容</w:t>
      </w:r>
      <w:r>
        <w:rPr>
          <w:rFonts w:hint="eastAsia" w:ascii="仿宋_GB2312" w:hAnsi="仿宋_GB2312" w:eastAsia="仿宋_GB2312" w:cs="仿宋_GB2312"/>
          <w:color w:val="auto"/>
          <w:sz w:val="30"/>
          <w:szCs w:val="30"/>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本次评价从项目决策、项目管理、项目产出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项目效益四个维度进行2023年中央支持地方公共文化服务体系建设补助资金项目评价</w:t>
      </w:r>
      <w:r>
        <w:rPr>
          <w:rFonts w:hint="eastAsia" w:ascii="仿宋_GB2312" w:hAnsi="仿宋_GB2312" w:cs="仿宋_GB2312"/>
          <w:color w:val="auto"/>
          <w:sz w:val="30"/>
          <w:szCs w:val="30"/>
          <w:lang w:eastAsia="zh-CN"/>
        </w:rPr>
        <w:t>，</w:t>
      </w:r>
      <w:r>
        <w:rPr>
          <w:rFonts w:hint="eastAsia"/>
          <w:color w:val="auto"/>
        </w:rPr>
        <w:t>评价核心为资金的支出完成情况和效果。</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6" w:name="_Toc68703832"/>
      <w:r>
        <w:rPr>
          <w:rFonts w:hint="eastAsia" w:ascii="仿宋_GB2312" w:hAnsi="仿宋_GB2312" w:eastAsia="仿宋_GB2312" w:cs="仿宋_GB2312"/>
          <w:b w:val="0"/>
          <w:bCs w:val="0"/>
          <w:sz w:val="30"/>
          <w:szCs w:val="30"/>
        </w:rPr>
        <w:t>（二）绩效评价原则、评价指标体系</w:t>
      </w:r>
      <w:r>
        <w:rPr>
          <w:rFonts w:hint="eastAsia" w:ascii="仿宋_GB2312" w:hAnsi="仿宋_GB2312" w:eastAsia="仿宋_GB2312" w:cs="仿宋_GB2312"/>
          <w:b w:val="0"/>
          <w:bCs w:val="0"/>
          <w:sz w:val="30"/>
          <w:szCs w:val="30"/>
          <w:lang w:eastAsia="zh-CN"/>
        </w:rPr>
        <w:t>（附表说明）</w:t>
      </w:r>
      <w:r>
        <w:rPr>
          <w:rFonts w:hint="eastAsia" w:ascii="仿宋_GB2312" w:hAnsi="仿宋_GB2312" w:eastAsia="仿宋_GB2312" w:cs="仿宋_GB2312"/>
          <w:b w:val="0"/>
          <w:bCs w:val="0"/>
          <w:sz w:val="30"/>
          <w:szCs w:val="30"/>
        </w:rPr>
        <w:t>、评价方法、评价标准等。</w:t>
      </w:r>
      <w:bookmarkEnd w:id="6"/>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绩效评价原则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FF0000"/>
          <w:sz w:val="30"/>
          <w:szCs w:val="30"/>
        </w:rPr>
      </w:pPr>
      <w:r>
        <w:rPr>
          <w:rFonts w:hint="eastAsia" w:ascii="仿宋_GB2312" w:hAnsi="仿宋_GB2312" w:eastAsia="仿宋_GB2312" w:cs="仿宋_GB2312"/>
          <w:color w:val="000000"/>
          <w:sz w:val="30"/>
          <w:szCs w:val="30"/>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rPr>
        <w:t>（四）公开透明。本次项目支出绩效评价结果已依法依规</w:t>
      </w:r>
      <w:r>
        <w:rPr>
          <w:rFonts w:hint="eastAsia" w:ascii="仿宋_GB2312" w:hAnsi="仿宋_GB2312" w:cs="仿宋_GB2312"/>
          <w:bCs/>
          <w:color w:val="auto"/>
          <w:sz w:val="30"/>
          <w:szCs w:val="30"/>
          <w:lang w:val="en-US" w:eastAsia="zh-CN"/>
        </w:rPr>
        <w:t>在巴州人民府网</w:t>
      </w:r>
      <w:r>
        <w:rPr>
          <w:rFonts w:hint="eastAsia" w:ascii="仿宋_GB2312" w:hAnsi="仿宋_GB2312" w:eastAsia="仿宋_GB2312" w:cs="仿宋_GB2312"/>
          <w:bCs/>
          <w:color w:val="auto"/>
          <w:sz w:val="30"/>
          <w:szCs w:val="30"/>
        </w:rPr>
        <w:t>公开，并自觉接受社会监督。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评价指标体系（附表说明）</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（1）确定评价指标</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（2）确定权重</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auto"/>
          <w:spacing w:val="17"/>
          <w:sz w:val="30"/>
          <w:szCs w:val="30"/>
          <w:lang w:eastAsia="zh-CN"/>
        </w:rPr>
      </w:pPr>
      <w:r>
        <w:rPr>
          <w:rFonts w:hint="eastAsia" w:ascii="仿宋_GB2312" w:hAnsi="仿宋_GB2312" w:eastAsia="仿宋_GB2312" w:cs="仿宋_GB2312"/>
          <w:color w:val="000000"/>
          <w:spacing w:val="17"/>
          <w:sz w:val="30"/>
          <w:szCs w:val="30"/>
        </w:rPr>
        <w:t>确定各个指标相对于项目总体绩效的权重分值。在绩效评价指标体系中，</w:t>
      </w:r>
      <w:r>
        <w:rPr>
          <w:rFonts w:hint="eastAsia" w:ascii="仿宋_GB2312" w:hAnsi="仿宋_GB2312" w:eastAsia="仿宋_GB2312" w:cs="仿宋_GB2312"/>
          <w:color w:val="auto"/>
          <w:spacing w:val="17"/>
          <w:sz w:val="30"/>
          <w:szCs w:val="30"/>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（3）确定指标标准值</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hint="eastAsia" w:ascii="仿宋_GB2312" w:hAnsi="仿宋_GB2312" w:eastAsia="仿宋_GB2312" w:cs="仿宋_GB2312"/>
          <w:b w:val="0"/>
          <w:bCs w:val="0"/>
          <w:color w:val="FF0000"/>
          <w:spacing w:val="17"/>
          <w:sz w:val="30"/>
          <w:szCs w:val="30"/>
          <w:lang w:val="en-US" w:eastAsia="zh-CN"/>
        </w:rPr>
      </w:pPr>
      <w:r>
        <w:rPr>
          <w:rFonts w:hint="eastAsia" w:ascii="仿宋_GB2312" w:hAnsi="仿宋_GB2312" w:eastAsia="仿宋_GB2312" w:cs="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评价方法</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绩效评价从项目决策、项目过程、项目产出、项目效益四个维度进行评价。评价对象为项目目标实施情况，评价核心为资金的支出完成情况和项目的产出效益。</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sz w:val="30"/>
          <w:szCs w:val="30"/>
          <w:lang w:val="en-US" w:eastAsia="zh-CN"/>
        </w:rPr>
      </w:pPr>
      <w:r>
        <w:rPr>
          <w:rFonts w:hint="eastAsia" w:ascii="仿宋_GB2312" w:hAnsi="仿宋_GB2312" w:cs="仿宋_GB2312"/>
          <w:color w:val="auto"/>
          <w:sz w:val="30"/>
          <w:szCs w:val="30"/>
          <w:lang w:val="en-US" w:eastAsia="zh-CN"/>
        </w:rPr>
        <w:t>本项目采用的是比较法</w:t>
      </w:r>
      <w:r>
        <w:rPr>
          <w:rFonts w:hint="eastAsia" w:ascii="仿宋_GB2312" w:hAnsi="仿宋_GB2312" w:cs="仿宋_GB2312"/>
          <w:color w:val="auto"/>
          <w:sz w:val="30"/>
          <w:szCs w:val="30"/>
          <w:lang w:eastAsia="zh-CN"/>
        </w:rPr>
        <w:t>，</w:t>
      </w:r>
      <w:r>
        <w:rPr>
          <w:rFonts w:hint="eastAsia" w:ascii="仿宋_GB2312" w:hAnsi="仿宋_GB2312" w:cs="仿宋_GB2312"/>
          <w:color w:val="auto"/>
          <w:sz w:val="30"/>
          <w:szCs w:val="30"/>
          <w:lang w:val="en-US" w:eastAsia="zh-CN"/>
        </w:rPr>
        <w:t>原因是：通过对绩效目标与实施效果、历史与当期情况，综合分析绩效目标实现程度，对项目最终验收情况与当年度绩效目标对比，预算资金执行情况等相关因素进行比较</w:t>
      </w:r>
      <w:r>
        <w:rPr>
          <w:rFonts w:hint="eastAsia"/>
          <w:color w:val="auto"/>
          <w:sz w:val="30"/>
          <w:szCs w:val="30"/>
          <w:lang w:eastAsia="zh-CN"/>
        </w:rPr>
        <w:t>。</w:t>
      </w:r>
    </w:p>
    <w:p>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评价标准</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bCs/>
          <w:color w:val="auto"/>
          <w:sz w:val="30"/>
          <w:szCs w:val="30"/>
          <w:lang w:val="en-US" w:eastAsia="zh-CN"/>
        </w:rPr>
      </w:pPr>
      <w:r>
        <w:rPr>
          <w:rFonts w:hint="eastAsia" w:eastAsia="仿宋_GB2312"/>
          <w:color w:val="auto"/>
          <w:spacing w:val="17"/>
          <w:sz w:val="30"/>
          <w:szCs w:val="30"/>
        </w:rPr>
        <w:t>绩效评价标准通常包括计划标准、行业标准、历史标准等，用于对绩效指标完成情况进行比较、分析、评价。本次评价主要采用了</w:t>
      </w:r>
      <w:r>
        <w:rPr>
          <w:rFonts w:hint="eastAsia" w:ascii="仿宋_GB2312" w:hAnsi="仿宋_GB2312" w:eastAsia="仿宋_GB2312" w:cs="仿宋_GB2312"/>
          <w:color w:val="auto"/>
          <w:spacing w:val="17"/>
          <w:sz w:val="30"/>
          <w:szCs w:val="30"/>
        </w:rPr>
        <w:t>计划标准</w:t>
      </w:r>
      <w:r>
        <w:rPr>
          <w:rFonts w:hint="eastAsia" w:ascii="仿宋_GB2312" w:hAnsi="仿宋_GB2312" w:cs="仿宋_GB2312"/>
          <w:color w:val="auto"/>
          <w:spacing w:val="17"/>
          <w:sz w:val="30"/>
          <w:szCs w:val="30"/>
          <w:lang w:eastAsia="zh-CN"/>
        </w:rPr>
        <w:t>。原因是：通过比较项目支出的实际结果与预先制定的目标、计划、预算、定额等，分析完成目标的因素，从而评价项目支出绩效。</w:t>
      </w:r>
    </w:p>
    <w:p>
      <w:pPr>
        <w:pStyle w:val="3"/>
        <w:pageBreakBefore w:val="0"/>
        <w:numPr>
          <w:ilvl w:val="0"/>
          <w:numId w:val="3"/>
        </w:numPr>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7" w:name="_Toc68703833"/>
      <w:r>
        <w:rPr>
          <w:rFonts w:hint="eastAsia" w:ascii="仿宋_GB2312" w:hAnsi="仿宋_GB2312" w:eastAsia="仿宋_GB2312" w:cs="仿宋_GB2312"/>
          <w:b w:val="0"/>
          <w:bCs w:val="0"/>
          <w:sz w:val="30"/>
          <w:szCs w:val="30"/>
        </w:rPr>
        <w:t>绩效评价工作过程。</w:t>
      </w:r>
      <w:bookmarkEnd w:id="7"/>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为保障2023年中央支持地方公共文化服务体系建设补助资金项目工作的顺利进行，确保项目实施有效，</w:t>
      </w:r>
      <w:r>
        <w:rPr>
          <w:rFonts w:hint="eastAsia" w:ascii="仿宋_GB2312" w:hAnsi="仿宋_GB2312" w:eastAsia="仿宋_GB2312" w:cs="仿宋_GB2312"/>
          <w:sz w:val="30"/>
          <w:szCs w:val="30"/>
        </w:rPr>
        <w:t>提高宣传业务水平，满足全媒体宣传需求。</w:t>
      </w:r>
      <w:r>
        <w:rPr>
          <w:rFonts w:hint="eastAsia" w:ascii="仿宋_GB2312" w:hAnsi="仿宋_GB2312" w:eastAsia="仿宋_GB2312" w:cs="仿宋_GB2312"/>
          <w:sz w:val="30"/>
          <w:szCs w:val="30"/>
          <w:lang w:val="en-US" w:eastAsia="zh-CN"/>
        </w:rPr>
        <w:t>该项目分以下三个阶段：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1.</w:t>
      </w:r>
      <w:r>
        <w:rPr>
          <w:rFonts w:hint="eastAsia" w:ascii="仿宋_GB2312" w:hAnsi="仿宋_GB2312" w:eastAsia="仿宋_GB2312" w:cs="仿宋_GB2312"/>
          <w:bCs/>
          <w:color w:val="auto"/>
          <w:sz w:val="30"/>
          <w:szCs w:val="30"/>
        </w:rPr>
        <w:t>前期准备。首先成立</w:t>
      </w:r>
      <w:r>
        <w:rPr>
          <w:rFonts w:hint="eastAsia" w:ascii="仿宋_GB2312" w:hAnsi="仿宋_GB2312" w:cs="仿宋_GB2312"/>
          <w:bCs/>
          <w:color w:val="auto"/>
          <w:sz w:val="30"/>
          <w:szCs w:val="30"/>
          <w:lang w:val="en-US" w:eastAsia="zh-CN"/>
        </w:rPr>
        <w:t>以沈建为组长的</w:t>
      </w:r>
      <w:r>
        <w:rPr>
          <w:rFonts w:hint="eastAsia" w:ascii="仿宋_GB2312" w:hAnsi="仿宋_GB2312" w:eastAsia="仿宋_GB2312" w:cs="仿宋_GB2312"/>
          <w:bCs/>
          <w:color w:val="auto"/>
          <w:sz w:val="30"/>
          <w:szCs w:val="30"/>
        </w:rPr>
        <w:t>评价工作组，</w:t>
      </w:r>
      <w:r>
        <w:rPr>
          <w:rFonts w:hint="eastAsia" w:ascii="仿宋_GB2312" w:hAnsi="仿宋_GB2312" w:cs="仿宋_GB2312"/>
          <w:bCs/>
          <w:color w:val="auto"/>
          <w:sz w:val="30"/>
          <w:szCs w:val="30"/>
          <w:lang w:val="en-US" w:eastAsia="zh-CN"/>
        </w:rPr>
        <w:t>对项目</w:t>
      </w:r>
      <w:r>
        <w:rPr>
          <w:rFonts w:hint="eastAsia" w:ascii="仿宋_GB2312" w:hAnsi="仿宋_GB2312" w:eastAsia="仿宋_GB2312" w:cs="仿宋_GB2312"/>
          <w:bCs/>
          <w:color w:val="auto"/>
          <w:sz w:val="30"/>
          <w:szCs w:val="30"/>
        </w:rPr>
        <w:t>开展前期</w:t>
      </w:r>
      <w:r>
        <w:rPr>
          <w:rFonts w:hint="eastAsia" w:ascii="仿宋_GB2312" w:hAnsi="仿宋_GB2312" w:cs="仿宋_GB2312"/>
          <w:bCs/>
          <w:color w:val="auto"/>
          <w:sz w:val="30"/>
          <w:szCs w:val="30"/>
          <w:lang w:val="en-US" w:eastAsia="zh-CN"/>
        </w:rPr>
        <w:t>工作进行</w:t>
      </w:r>
      <w:r>
        <w:rPr>
          <w:rFonts w:hint="eastAsia" w:ascii="仿宋_GB2312" w:hAnsi="仿宋_GB2312" w:eastAsia="仿宋_GB2312" w:cs="仿宋_GB2312"/>
          <w:bCs/>
          <w:color w:val="auto"/>
          <w:sz w:val="30"/>
          <w:szCs w:val="30"/>
        </w:rPr>
        <w:t>调研；其次明确</w:t>
      </w:r>
      <w:r>
        <w:rPr>
          <w:rFonts w:hint="eastAsia" w:ascii="仿宋_GB2312" w:hAnsi="仿宋_GB2312" w:eastAsia="仿宋_GB2312" w:cs="仿宋_GB2312"/>
          <w:sz w:val="30"/>
          <w:szCs w:val="30"/>
          <w:lang w:val="en-US" w:eastAsia="zh-CN"/>
        </w:rPr>
        <w:t>2023年中央支持地方公共文化服务体系建设补助资金</w:t>
      </w:r>
      <w:r>
        <w:rPr>
          <w:rFonts w:hint="eastAsia" w:ascii="仿宋_GB2312" w:hAnsi="仿宋_GB2312" w:eastAsia="仿宋_GB2312" w:cs="仿宋_GB2312"/>
          <w:bCs/>
          <w:color w:val="auto"/>
          <w:sz w:val="30"/>
          <w:szCs w:val="30"/>
        </w:rPr>
        <w:t>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lang w:val="en-US" w:eastAsia="zh-CN"/>
        </w:rPr>
        <w:t>3.</w:t>
      </w:r>
      <w:r>
        <w:rPr>
          <w:rFonts w:hint="eastAsia" w:ascii="仿宋_GB2312" w:hAnsi="仿宋_GB2312" w:eastAsia="仿宋_GB2312" w:cs="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5"/>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0"/>
          <w:szCs w:val="30"/>
          <w:lang w:eastAsia="zh-CN"/>
        </w:rPr>
      </w:pPr>
      <w:bookmarkStart w:id="8" w:name="_Toc68703835"/>
      <w:r>
        <w:rPr>
          <w:rFonts w:hint="eastAsia" w:ascii="仿宋_GB2312" w:eastAsia="仿宋_GB2312"/>
          <w:b w:val="0"/>
          <w:bCs w:val="0"/>
        </w:rPr>
        <w:t>（一）</w:t>
      </w:r>
      <w:r>
        <w:rPr>
          <w:rFonts w:hint="eastAsia" w:ascii="仿宋_GB2312" w:hAnsi="仿宋_GB2312" w:eastAsia="仿宋_GB2312" w:cs="仿宋_GB2312"/>
          <w:b w:val="0"/>
          <w:bCs w:val="0"/>
          <w:sz w:val="30"/>
          <w:szCs w:val="30"/>
        </w:rPr>
        <w:t>综合评价情况</w:t>
      </w:r>
      <w:bookmarkEnd w:id="8"/>
      <w:r>
        <w:rPr>
          <w:rFonts w:hint="eastAsia" w:ascii="仿宋_GB2312" w:hAnsi="仿宋_GB2312" w:eastAsia="仿宋_GB2312" w:cs="仿宋_GB2312"/>
          <w:b w:val="0"/>
          <w:bCs w:val="0"/>
          <w:sz w:val="30"/>
          <w:szCs w:val="3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8"/>
          <w:sz w:val="30"/>
          <w:szCs w:val="30"/>
          <w:lang w:val="en-US" w:eastAsia="zh-CN" w:bidi="ar-SA"/>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综合评价情况</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kern w:val="28"/>
          <w:sz w:val="30"/>
          <w:szCs w:val="30"/>
          <w:lang w:val="en-US" w:eastAsia="zh-CN" w:bidi="ar-SA"/>
        </w:rPr>
        <w:t>项目总体组织规范，在项目实施过程做到认真履职，监督到位。按照相关制度的要求，项目负责人</w:t>
      </w:r>
      <w:r>
        <w:rPr>
          <w:rFonts w:hint="eastAsia" w:ascii="仿宋_GB2312" w:hAnsi="仿宋_GB2312" w:cs="仿宋_GB2312"/>
          <w:b w:val="0"/>
          <w:bCs w:val="0"/>
          <w:kern w:val="28"/>
          <w:sz w:val="30"/>
          <w:szCs w:val="30"/>
          <w:lang w:val="en-US" w:eastAsia="zh-CN" w:bidi="ar-SA"/>
        </w:rPr>
        <w:t>沈建</w:t>
      </w:r>
      <w:r>
        <w:rPr>
          <w:rFonts w:hint="eastAsia" w:ascii="仿宋_GB2312" w:hAnsi="仿宋_GB2312" w:eastAsia="仿宋_GB2312" w:cs="仿宋_GB2312"/>
          <w:b w:val="0"/>
          <w:bCs w:val="0"/>
          <w:kern w:val="28"/>
          <w:sz w:val="30"/>
          <w:szCs w:val="30"/>
          <w:lang w:val="en-US" w:eastAsia="zh-CN" w:bidi="ar-SA"/>
        </w:rPr>
        <w:t>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ascii="仿宋_GB2312" w:hAnsi="仿宋_GB2312" w:eastAsia="仿宋_GB2312" w:cs="仿宋_GB2312"/>
          <w:color w:val="auto"/>
          <w:sz w:val="30"/>
          <w:szCs w:val="30"/>
        </w:rPr>
        <w:t>本项目严格按照</w:t>
      </w:r>
      <w:r>
        <w:rPr>
          <w:rFonts w:hint="eastAsia" w:ascii="仿宋_GB2312" w:hAnsi="仿宋_GB2312" w:eastAsia="仿宋_GB2312" w:cs="仿宋_GB2312"/>
          <w:bCs/>
          <w:color w:val="auto"/>
          <w:kern w:val="0"/>
          <w:sz w:val="30"/>
          <w:szCs w:val="30"/>
        </w:rPr>
        <w:t>科学公正、统筹兼顾、激励约束、公开透明的</w:t>
      </w:r>
      <w:r>
        <w:rPr>
          <w:rFonts w:hint="eastAsia" w:ascii="仿宋_GB2312" w:hAnsi="仿宋_GB2312" w:eastAsia="仿宋_GB2312" w:cs="仿宋_GB2312"/>
          <w:color w:val="auto"/>
          <w:sz w:val="30"/>
          <w:szCs w:val="30"/>
        </w:rPr>
        <w:t>绩效评价原则，采用</w:t>
      </w:r>
      <w:r>
        <w:rPr>
          <w:rFonts w:hint="eastAsia" w:ascii="仿宋_GB2312" w:hAnsi="仿宋_GB2312" w:cs="仿宋_GB2312"/>
          <w:color w:val="auto"/>
          <w:sz w:val="30"/>
          <w:szCs w:val="30"/>
          <w:lang w:val="en-US" w:eastAsia="zh-CN"/>
        </w:rPr>
        <w:t>因素</w:t>
      </w:r>
      <w:r>
        <w:rPr>
          <w:rFonts w:hint="eastAsia" w:ascii="仿宋_GB2312" w:hAnsi="仿宋_GB2312" w:eastAsia="仿宋_GB2312" w:cs="仿宋_GB2312"/>
          <w:color w:val="auto"/>
          <w:sz w:val="30"/>
          <w:szCs w:val="30"/>
        </w:rPr>
        <w:t>分析法，坚持</w:t>
      </w:r>
      <w:r>
        <w:rPr>
          <w:rFonts w:hint="eastAsia" w:ascii="仿宋_GB2312" w:hAnsi="仿宋_GB2312" w:eastAsia="仿宋_GB2312" w:cs="仿宋_GB2312"/>
          <w:color w:val="auto"/>
          <w:sz w:val="30"/>
          <w:szCs w:val="30"/>
          <w:lang w:val="en-US" w:eastAsia="zh-CN"/>
        </w:rPr>
        <w:t>严格的</w:t>
      </w:r>
      <w:r>
        <w:rPr>
          <w:rFonts w:hint="eastAsia" w:ascii="仿宋_GB2312" w:hAnsi="仿宋_GB2312" w:eastAsia="仿宋_GB2312" w:cs="仿宋_GB2312"/>
          <w:color w:val="auto"/>
          <w:sz w:val="30"/>
          <w:szCs w:val="30"/>
        </w:rPr>
        <w:t>绩效评价标准对本项目的立项、绩效目标、资金投入、资金管理、组织实施、产出数量、产出质量、产出时效、产出成本、项目效益进行了综合评价。</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9" w:name="_Toc68703836"/>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r>
        <w:rPr>
          <w:rFonts w:hint="eastAsia" w:ascii="仿宋_GB2312" w:hAnsi="仿宋_GB2312" w:eastAsia="仿宋_GB2312" w:cs="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color w:val="auto"/>
          <w:sz w:val="30"/>
          <w:szCs w:val="30"/>
          <w:highlight w:val="none"/>
        </w:rPr>
        <w:t>总得分为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 xml:space="preserve">分，属于“优”。其中，项目决策类指标权重为20分，得分为 </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%。项目过程类指标权重为20分，得分为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%。项目产出类指标权重为40分，得分为</w:t>
      </w:r>
      <w:r>
        <w:rPr>
          <w:rFonts w:hint="eastAsia" w:ascii="仿宋_GB2312" w:hAnsi="仿宋_GB2312" w:eastAsia="仿宋_GB2312" w:cs="仿宋_GB2312"/>
          <w:b w:val="0"/>
          <w:bCs w:val="0"/>
          <w:color w:val="auto"/>
          <w:sz w:val="30"/>
          <w:szCs w:val="30"/>
          <w:highlight w:val="none"/>
          <w:lang w:val="en-US" w:eastAsia="zh-CN"/>
        </w:rPr>
        <w:t>40</w:t>
      </w:r>
      <w:r>
        <w:rPr>
          <w:rFonts w:hint="eastAsia" w:ascii="仿宋_GB2312" w:hAnsi="仿宋_GB2312" w:eastAsia="仿宋_GB2312" w:cs="仿宋_GB2312"/>
          <w:b w:val="0"/>
          <w:bCs w:val="0"/>
          <w:color w:val="auto"/>
          <w:sz w:val="30"/>
          <w:szCs w:val="30"/>
          <w:highlight w:val="none"/>
        </w:rPr>
        <w:t xml:space="preserve">分，得分率为 </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%。项目效益类指标权重为20分，得分为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具体打分情况详见：附件1综合评分表</w:t>
      </w:r>
      <w:r>
        <w:rPr>
          <w:rFonts w:hint="eastAsia" w:ascii="仿宋_GB2312" w:hAnsi="仿宋_GB2312" w:eastAsia="仿宋_GB2312" w:cs="仿宋_GB2312"/>
          <w:b w:val="0"/>
          <w:bCs w:val="0"/>
          <w:sz w:val="30"/>
          <w:szCs w:val="3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color w:val="auto"/>
        </w:rPr>
        <w:t>项目</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1" w:name="_Toc68703838"/>
      <w:r>
        <w:rPr>
          <w:rFonts w:hint="eastAsia" w:ascii="仿宋_GB2312" w:hAnsi="仿宋_GB2312" w:eastAsia="仿宋_GB2312" w:cs="仿宋_GB2312"/>
          <w:b w:val="0"/>
          <w:bCs w:val="0"/>
          <w:sz w:val="30"/>
          <w:szCs w:val="3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0"/>
          <w:szCs w:val="30"/>
        </w:rPr>
      </w:pPr>
      <w:r>
        <w:rPr>
          <w:rFonts w:hint="eastAsia" w:ascii="仿宋_GB2312" w:hAnsi="仿宋_GB2312" w:cs="仿宋_GB2312"/>
          <w:color w:val="auto"/>
          <w:sz w:val="30"/>
          <w:szCs w:val="30"/>
          <w:lang w:val="en-US" w:eastAsia="zh-CN"/>
        </w:rPr>
        <w:t>本项目依据《报纸出版管理规定》、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cs="仿宋_GB2312"/>
          <w:color w:val="auto"/>
          <w:sz w:val="30"/>
          <w:szCs w:val="30"/>
          <w:lang w:val="en-US" w:eastAsia="zh-CN"/>
        </w:rPr>
        <w:t>，符合</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kern w:val="0"/>
          <w:sz w:val="30"/>
          <w:szCs w:val="30"/>
          <w:lang w:val="en-US" w:eastAsia="zh-CN"/>
        </w:rPr>
        <w:t>十四五规划</w:t>
      </w:r>
      <w:r>
        <w:rPr>
          <w:rFonts w:hint="eastAsia" w:ascii="仿宋_GB2312" w:hAnsi="仿宋_GB2312" w:eastAsia="仿宋_GB2312" w:cs="仿宋_GB2312"/>
          <w:color w:val="auto"/>
          <w:sz w:val="30"/>
          <w:szCs w:val="30"/>
          <w:lang w:val="en-US" w:eastAsia="zh-CN"/>
        </w:rPr>
        <w:t>》</w:t>
      </w:r>
      <w:r>
        <w:rPr>
          <w:rFonts w:hint="eastAsia" w:ascii="仿宋_GB2312" w:hAnsi="仿宋_GB2312" w:cs="仿宋_GB2312"/>
          <w:color w:val="auto"/>
          <w:sz w:val="30"/>
          <w:szCs w:val="30"/>
          <w:lang w:val="en-US" w:eastAsia="zh-CN"/>
        </w:rPr>
        <w:t>在思想上、政治上、行动上同以习近平同志为核心的党中央保持高度一致的要求，与</w:t>
      </w:r>
      <w:r>
        <w:rPr>
          <w:rFonts w:hint="eastAsia" w:ascii="仿宋_GB2312" w:hAnsi="仿宋_GB2312" w:eastAsia="仿宋_GB2312" w:cs="仿宋_GB2312"/>
          <w:color w:val="auto"/>
          <w:sz w:val="30"/>
          <w:szCs w:val="30"/>
          <w:lang w:val="en-US" w:eastAsia="zh-CN"/>
        </w:rPr>
        <w:t>宣传习近平新时代中国特色社会主义思想，宣传党的理论和路线方针政策</w:t>
      </w:r>
      <w:r>
        <w:rPr>
          <w:rFonts w:hint="eastAsia"/>
          <w:color w:val="auto"/>
        </w:rPr>
        <w:t>部门职责范围相符</w:t>
      </w:r>
      <w:r>
        <w:rPr>
          <w:rFonts w:hint="eastAsia"/>
          <w:color w:val="auto"/>
          <w:lang w:eastAsia="zh-CN"/>
        </w:rPr>
        <w:t>，</w:t>
      </w:r>
      <w:r>
        <w:rPr>
          <w:rFonts w:hint="eastAsia"/>
          <w:color w:val="auto"/>
          <w:lang w:val="en-US" w:eastAsia="zh-CN"/>
        </w:rPr>
        <w:t>属于</w:t>
      </w:r>
      <w:r>
        <w:rPr>
          <w:rFonts w:hint="eastAsia" w:ascii="仿宋_GB2312" w:hAnsi="仿宋_GB2312" w:cs="仿宋_GB2312"/>
          <w:color w:val="auto"/>
          <w:sz w:val="30"/>
          <w:szCs w:val="30"/>
          <w:lang w:val="en-US" w:eastAsia="zh-CN"/>
        </w:rPr>
        <w:t>部门履职所需；本项目以国家战略发展规划、宏观调控政策为导向，属于文化润疆工程，体现资金统筹使用和优先保障重点支出要求，属于</w:t>
      </w:r>
      <w:r>
        <w:rPr>
          <w:rFonts w:hint="eastAsia"/>
          <w:color w:val="auto"/>
        </w:rPr>
        <w:t>公共财政支持范围</w:t>
      </w:r>
      <w:r>
        <w:rPr>
          <w:rFonts w:hint="eastAsia"/>
          <w:color w:val="auto"/>
          <w:lang w:val="en-US" w:eastAsia="zh-CN"/>
        </w:rPr>
        <w:t>；</w:t>
      </w:r>
      <w:r>
        <w:rPr>
          <w:rFonts w:hint="eastAsia"/>
          <w:color w:val="auto"/>
        </w:rPr>
        <w:t>符合中央、地方事权支出责任划分原则</w:t>
      </w:r>
      <w:r>
        <w:rPr>
          <w:rFonts w:hint="eastAsia"/>
          <w:color w:val="auto"/>
          <w:lang w:eastAsia="zh-CN"/>
        </w:rPr>
        <w:t>，</w:t>
      </w:r>
      <w:r>
        <w:rPr>
          <w:rFonts w:hint="eastAsia" w:ascii="仿宋_GB2312" w:hAnsi="仿宋_GB2312" w:eastAsia="仿宋_GB2312" w:cs="仿宋_GB2312"/>
          <w:color w:val="auto"/>
          <w:sz w:val="30"/>
          <w:szCs w:val="30"/>
        </w:rPr>
        <w:t>该项目</w:t>
      </w:r>
      <w:r>
        <w:rPr>
          <w:rFonts w:hint="eastAsia" w:ascii="仿宋_GB2312" w:hAnsi="仿宋_GB2312" w:cs="仿宋_GB2312"/>
          <w:color w:val="auto"/>
          <w:sz w:val="30"/>
          <w:szCs w:val="30"/>
          <w:lang w:val="en-US" w:eastAsia="zh-CN"/>
        </w:rPr>
        <w:t>为2023年新增项目，</w:t>
      </w:r>
      <w:r>
        <w:rPr>
          <w:rFonts w:hint="eastAsia" w:ascii="仿宋_GB2312" w:hAnsi="仿宋_GB2312" w:eastAsia="仿宋_GB2312" w:cs="仿宋_GB2312"/>
          <w:color w:val="auto"/>
          <w:kern w:val="0"/>
          <w:sz w:val="30"/>
          <w:szCs w:val="30"/>
        </w:rPr>
        <w:t>没有与部门内部相关项目重复。</w:t>
      </w:r>
    </w:p>
    <w:p>
      <w:pPr>
        <w:pStyle w:val="10"/>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立项程序规范性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w:t>
      </w:r>
      <w:r>
        <w:rPr>
          <w:rFonts w:hint="eastAsia" w:ascii="仿宋_GB2312" w:hAnsi="仿宋_GB2312" w:eastAsia="仿宋_GB2312" w:cs="仿宋_GB2312"/>
          <w:color w:val="auto"/>
          <w:sz w:val="30"/>
          <w:szCs w:val="30"/>
          <w:lang w:val="en-US" w:eastAsia="zh-CN"/>
        </w:rPr>
        <w:t>中央支持地方公共文化服务体系建设补助资金</w:t>
      </w:r>
      <w:r>
        <w:rPr>
          <w:rFonts w:hint="eastAsia"/>
          <w:color w:val="auto"/>
        </w:rPr>
        <w:t>项目</w:t>
      </w:r>
      <w:r>
        <w:rPr>
          <w:rFonts w:hint="eastAsia" w:ascii="仿宋_GB2312" w:hAnsi="仿宋_GB2312" w:eastAsia="仿宋_GB2312" w:cs="仿宋_GB2312"/>
          <w:b w:val="0"/>
          <w:bCs w:val="0"/>
          <w:color w:val="auto"/>
          <w:sz w:val="30"/>
          <w:szCs w:val="30"/>
          <w:lang w:val="en-US" w:eastAsia="zh-CN"/>
        </w:rPr>
        <w:t>》相关要求，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w:t>
      </w:r>
      <w:r>
        <w:rPr>
          <w:rFonts w:hint="eastAsia" w:ascii="仿宋_GB2312" w:hAnsi="仿宋_GB2312" w:cs="仿宋_GB2312"/>
          <w:b w:val="0"/>
          <w:bCs w:val="0"/>
          <w:color w:val="auto"/>
          <w:sz w:val="30"/>
          <w:szCs w:val="30"/>
          <w:lang w:val="en-US" w:eastAsia="zh-CN"/>
        </w:rPr>
        <w:t>项目人员组织实施计划、投资与成本、效益及风险等</w:t>
      </w:r>
      <w:r>
        <w:rPr>
          <w:rFonts w:hint="eastAsia" w:ascii="仿宋_GB2312" w:hAnsi="仿宋_GB2312" w:eastAsia="仿宋_GB2312" w:cs="仿宋_GB2312"/>
          <w:b w:val="0"/>
          <w:bCs w:val="0"/>
          <w:color w:val="auto"/>
          <w:sz w:val="30"/>
          <w:szCs w:val="30"/>
          <w:lang w:val="en-US" w:eastAsia="zh-CN"/>
        </w:rPr>
        <w:t>必要的绩效评估、集体决策，保障了程序的规范性。</w:t>
      </w:r>
    </w:p>
    <w:p>
      <w:pPr>
        <w:pStyle w:val="10"/>
        <w:ind w:firstLine="600" w:firstLineChars="200"/>
        <w:jc w:val="left"/>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b w:val="0"/>
          <w:bCs w:val="0"/>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绩效目标合理性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color w:val="auto"/>
          <w:sz w:val="30"/>
          <w:szCs w:val="30"/>
        </w:rPr>
        <w:t>设立了项目绩效目标，与巴音郭楞融媒体中心本年度采购一批灯光设备，提升了基础设施建设水平，</w:t>
      </w:r>
      <w:r>
        <w:rPr>
          <w:rFonts w:hint="eastAsia" w:ascii="仿宋_GB2312" w:hAnsi="仿宋_GB2312" w:cs="仿宋_GB2312"/>
          <w:color w:val="auto"/>
          <w:sz w:val="30"/>
          <w:szCs w:val="30"/>
          <w:lang w:val="en-US" w:eastAsia="zh-CN"/>
        </w:rPr>
        <w:t>并与</w:t>
      </w:r>
      <w:r>
        <w:rPr>
          <w:rFonts w:hint="eastAsia" w:ascii="仿宋_GB2312" w:hAnsi="仿宋_GB2312" w:eastAsia="仿宋_GB2312" w:cs="仿宋_GB2312"/>
          <w:color w:val="auto"/>
          <w:sz w:val="30"/>
          <w:szCs w:val="30"/>
        </w:rPr>
        <w:t>新疆电视台和新疆日报合作，提高宣传业务水平</w:t>
      </w:r>
      <w:r>
        <w:rPr>
          <w:rFonts w:hint="eastAsia" w:ascii="仿宋_GB2312" w:hAnsi="仿宋_GB2312" w:cs="仿宋_GB2312"/>
          <w:color w:val="auto"/>
          <w:sz w:val="30"/>
          <w:szCs w:val="30"/>
          <w:lang w:val="en-US" w:eastAsia="zh-CN"/>
        </w:rPr>
        <w:t>的工作内容</w:t>
      </w:r>
      <w:r>
        <w:rPr>
          <w:rFonts w:hint="eastAsia" w:ascii="仿宋_GB2312" w:hAnsi="仿宋_GB2312" w:eastAsia="仿宋_GB2312" w:cs="仿宋_GB2312"/>
          <w:color w:val="auto"/>
          <w:sz w:val="30"/>
          <w:szCs w:val="30"/>
        </w:rPr>
        <w:t>具有相关性，项目的预期产出效益和效果均符合正常的业绩水平，并且与预算确定的项目投资额相匹配。</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cs="仿宋_GB2312"/>
          <w:sz w:val="30"/>
          <w:szCs w:val="30"/>
          <w:lang w:eastAsia="zh-CN"/>
        </w:rPr>
        <w:t>、</w:t>
      </w:r>
      <w:r>
        <w:rPr>
          <w:rFonts w:hint="eastAsia" w:ascii="仿宋_GB2312" w:hAnsi="仿宋_GB2312" w:eastAsia="仿宋_GB2312" w:cs="仿宋_GB2312"/>
          <w:sz w:val="30"/>
          <w:szCs w:val="30"/>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bookmarkStart w:id="12" w:name="_Hlk68699917"/>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color w:val="auto"/>
          <w:sz w:val="30"/>
          <w:szCs w:val="30"/>
        </w:rPr>
        <w:t>将项目绩效目标细化分解为具体的绩效指标，一级指标共</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条，二级指标共</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条，三级指标共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条，其中量化指标条数共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条，所有绩效指标均通过清晰、可衡量的指标值予以体现，并且做到了与项目目标任务数相对应。</w:t>
      </w:r>
      <w:bookmarkEnd w:id="12"/>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5、</w:t>
      </w:r>
      <w:r>
        <w:rPr>
          <w:rFonts w:hint="eastAsia" w:ascii="仿宋_GB2312" w:hAnsi="仿宋_GB2312" w:eastAsia="仿宋_GB2312" w:cs="仿宋_GB2312"/>
          <w:sz w:val="30"/>
          <w:szCs w:val="30"/>
        </w:rPr>
        <w:t>预算编制科学性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预算单位同财政部门共同梳理项目绩效目标，合理测算</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，预算</w:t>
      </w:r>
      <w:r>
        <w:rPr>
          <w:rFonts w:hint="eastAsia"/>
          <w:color w:val="auto"/>
        </w:rPr>
        <w:t>编制</w:t>
      </w:r>
      <w:r>
        <w:rPr>
          <w:rFonts w:hint="eastAsia" w:ascii="仿宋_GB2312" w:hAnsi="仿宋_GB2312" w:cs="仿宋_GB2312"/>
          <w:color w:val="auto"/>
          <w:sz w:val="30"/>
          <w:szCs w:val="30"/>
          <w:lang w:val="en-US" w:eastAsia="zh-CN"/>
        </w:rPr>
        <w:t>经过科学论证，预算内容与项目设立的</w:t>
      </w:r>
      <w:r>
        <w:rPr>
          <w:rFonts w:hint="eastAsia" w:ascii="仿宋_GB2312" w:hAnsi="仿宋_GB2312" w:eastAsia="仿宋_GB2312" w:cs="仿宋_GB2312"/>
          <w:color w:val="auto"/>
          <w:sz w:val="30"/>
          <w:szCs w:val="30"/>
        </w:rPr>
        <w:t>提升基础设施建设</w:t>
      </w:r>
      <w:r>
        <w:rPr>
          <w:rFonts w:hint="eastAsia" w:ascii="仿宋_GB2312" w:hAnsi="仿宋_GB2312" w:cs="仿宋_GB2312"/>
          <w:color w:val="auto"/>
          <w:sz w:val="30"/>
          <w:szCs w:val="30"/>
          <w:lang w:val="en-US" w:eastAsia="zh-CN"/>
        </w:rPr>
        <w:t>和</w:t>
      </w:r>
      <w:r>
        <w:rPr>
          <w:rFonts w:hint="eastAsia" w:ascii="仿宋_GB2312" w:hAnsi="仿宋_GB2312" w:eastAsia="仿宋_GB2312" w:cs="仿宋_GB2312"/>
          <w:color w:val="auto"/>
          <w:sz w:val="30"/>
          <w:szCs w:val="30"/>
        </w:rPr>
        <w:t>宣传业务水平</w:t>
      </w:r>
      <w:r>
        <w:rPr>
          <w:rFonts w:hint="eastAsia" w:ascii="仿宋_GB2312" w:hAnsi="仿宋_GB2312" w:cs="仿宋_GB2312"/>
          <w:color w:val="auto"/>
          <w:sz w:val="30"/>
          <w:szCs w:val="30"/>
          <w:lang w:val="en-US" w:eastAsia="zh-CN"/>
        </w:rPr>
        <w:t>的工作内容相匹配，</w:t>
      </w:r>
      <w:r>
        <w:rPr>
          <w:rFonts w:hint="eastAsia"/>
          <w:color w:val="auto"/>
        </w:rPr>
        <w:t>预算额度测算依据</w:t>
      </w:r>
      <w:r>
        <w:rPr>
          <w:rFonts w:hint="eastAsia" w:ascii="仿宋_GB2312" w:hAnsi="仿宋_GB2312" w:eastAsia="仿宋_GB2312" w:cs="仿宋_GB2312"/>
          <w:b w:val="0"/>
          <w:bCs w:val="0"/>
          <w:color w:val="auto"/>
          <w:sz w:val="30"/>
          <w:szCs w:val="30"/>
          <w:lang w:val="en-US" w:eastAsia="zh-CN"/>
        </w:rPr>
        <w:t>《巴音郭楞融媒体中心预算绩效管理制度》</w:t>
      </w:r>
      <w:r>
        <w:rPr>
          <w:rFonts w:hint="eastAsia"/>
          <w:color w:val="auto"/>
        </w:rPr>
        <w:t>，</w:t>
      </w:r>
      <w:r>
        <w:rPr>
          <w:rFonts w:hint="eastAsia"/>
          <w:color w:val="auto"/>
          <w:lang w:val="en-US" w:eastAsia="zh-CN"/>
        </w:rPr>
        <w:t>分析出预算额度，依据充分并</w:t>
      </w:r>
      <w:r>
        <w:rPr>
          <w:rFonts w:hint="eastAsia"/>
          <w:color w:val="auto"/>
        </w:rPr>
        <w:t>按照标准编制</w:t>
      </w:r>
      <w:r>
        <w:rPr>
          <w:rFonts w:hint="eastAsia"/>
          <w:color w:val="auto"/>
          <w:lang w:eastAsia="zh-CN"/>
        </w:rPr>
        <w:t>，</w:t>
      </w:r>
      <w:r>
        <w:rPr>
          <w:rFonts w:hint="eastAsia" w:ascii="仿宋_GB2312" w:hAnsi="仿宋_GB2312" w:eastAsia="仿宋_GB2312" w:cs="仿宋_GB2312"/>
          <w:color w:val="auto"/>
          <w:sz w:val="30"/>
          <w:szCs w:val="30"/>
        </w:rPr>
        <w:t>预算确定的项目投资额与</w:t>
      </w:r>
      <w:r>
        <w:rPr>
          <w:rFonts w:hint="eastAsia" w:ascii="仿宋_GB2312" w:hAnsi="仿宋_GB2312" w:cs="仿宋_GB2312"/>
          <w:color w:val="auto"/>
          <w:sz w:val="30"/>
          <w:szCs w:val="30"/>
          <w:lang w:val="en-US" w:eastAsia="zh-CN"/>
        </w:rPr>
        <w:t>完成的</w:t>
      </w:r>
      <w:r>
        <w:rPr>
          <w:rFonts w:hint="eastAsia" w:ascii="仿宋_GB2312" w:hAnsi="仿宋_GB2312" w:eastAsia="仿宋_GB2312" w:cs="仿宋_GB2312"/>
          <w:color w:val="auto"/>
          <w:sz w:val="30"/>
          <w:szCs w:val="30"/>
        </w:rPr>
        <w:t>工作任务相匹配</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6、</w:t>
      </w:r>
      <w:r>
        <w:rPr>
          <w:rFonts w:hint="eastAsia" w:ascii="仿宋_GB2312" w:hAnsi="仿宋_GB2312" w:eastAsia="仿宋_GB2312" w:cs="仿宋_GB2312"/>
          <w:sz w:val="30"/>
          <w:szCs w:val="30"/>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color w:val="auto"/>
        </w:rPr>
        <w:t>预算资金分配</w:t>
      </w:r>
      <w:r>
        <w:rPr>
          <w:rFonts w:hint="eastAsia"/>
          <w:color w:val="auto"/>
          <w:lang w:val="en-US" w:eastAsia="zh-CN"/>
        </w:rPr>
        <w:t>按照</w:t>
      </w:r>
      <w:r>
        <w:rPr>
          <w:rFonts w:hint="eastAsia"/>
          <w:color w:val="auto"/>
        </w:rPr>
        <w:t>《巴音郭楞融媒体中心预算绩效管理制度》</w:t>
      </w:r>
      <w:r>
        <w:rPr>
          <w:rFonts w:hint="eastAsia"/>
          <w:color w:val="auto"/>
          <w:lang w:val="en-US" w:eastAsia="zh-CN"/>
        </w:rPr>
        <w:t>对项目的</w:t>
      </w:r>
      <w:r>
        <w:rPr>
          <w:rFonts w:hint="eastAsia"/>
          <w:color w:val="auto"/>
        </w:rPr>
        <w:t>预期产出效果，服务对象或项目受益人满意程度的绩效指标</w:t>
      </w:r>
      <w:r>
        <w:rPr>
          <w:rFonts w:hint="eastAsia"/>
          <w:color w:val="auto"/>
          <w:lang w:val="en-US" w:eastAsia="zh-CN"/>
        </w:rPr>
        <w:t>进行合理的决策和评估</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确保资金有效利用和项目的成功实施，</w:t>
      </w:r>
      <w:r>
        <w:rPr>
          <w:rFonts w:hint="eastAsia" w:ascii="仿宋_GB2312" w:hAnsi="仿宋_GB2312" w:eastAsia="仿宋_GB2312" w:cs="仿宋_GB2312"/>
          <w:color w:val="auto"/>
          <w:sz w:val="30"/>
          <w:szCs w:val="30"/>
          <w:highlight w:val="none"/>
          <w:lang w:val="en-US" w:eastAsia="zh-CN"/>
        </w:rPr>
        <w:t>依据充分</w:t>
      </w:r>
      <w:r>
        <w:rPr>
          <w:rFonts w:hint="eastAsia" w:ascii="仿宋_GB2312" w:hAnsi="仿宋_GB2312" w:cs="仿宋_GB2312"/>
          <w:color w:val="auto"/>
          <w:sz w:val="30"/>
          <w:szCs w:val="30"/>
          <w:highlight w:val="none"/>
          <w:lang w:val="en-US" w:eastAsia="zh-CN"/>
        </w:rPr>
        <w:t>；融媒体平台改造经费150万元，宣传内容经费共64.95万元，</w:t>
      </w:r>
      <w:r>
        <w:rPr>
          <w:rFonts w:hint="eastAsia" w:ascii="仿宋_GB2312" w:hAnsi="仿宋_GB2312" w:eastAsia="仿宋_GB2312" w:cs="仿宋_GB2312"/>
          <w:color w:val="auto"/>
          <w:sz w:val="30"/>
          <w:szCs w:val="30"/>
          <w:highlight w:val="none"/>
          <w:lang w:val="en-US" w:eastAsia="zh-CN"/>
        </w:rPr>
        <w:t>资金分配额度合理，</w:t>
      </w:r>
      <w:r>
        <w:rPr>
          <w:rFonts w:hint="eastAsia" w:ascii="仿宋_GB2312" w:hAnsi="仿宋_GB2312" w:eastAsia="仿宋_GB2312" w:cs="仿宋_GB2312"/>
          <w:color w:val="auto"/>
          <w:sz w:val="30"/>
          <w:szCs w:val="30"/>
        </w:rPr>
        <w:t>与</w:t>
      </w:r>
      <w:r>
        <w:rPr>
          <w:rFonts w:hint="eastAsia" w:ascii="仿宋_GB2312" w:hAnsi="仿宋_GB2312" w:cs="仿宋_GB2312"/>
          <w:color w:val="auto"/>
          <w:sz w:val="30"/>
          <w:szCs w:val="30"/>
          <w:lang w:val="en-US" w:eastAsia="zh-CN"/>
        </w:rPr>
        <w:t>本单位</w:t>
      </w:r>
      <w:r>
        <w:rPr>
          <w:rFonts w:hint="eastAsia" w:ascii="仿宋_GB2312" w:hAnsi="仿宋_GB2312" w:eastAsia="仿宋_GB2312" w:cs="仿宋_GB2312"/>
          <w:color w:val="auto"/>
          <w:sz w:val="30"/>
          <w:szCs w:val="30"/>
        </w:rPr>
        <w:t>相适应。</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3" w:name="_Toc68703839"/>
      <w:r>
        <w:rPr>
          <w:rFonts w:hint="eastAsia" w:ascii="仿宋_GB2312" w:hAnsi="仿宋_GB2312" w:eastAsia="仿宋_GB2312" w:cs="仿宋_GB2312"/>
          <w:b w:val="0"/>
          <w:bCs w:val="0"/>
          <w:sz w:val="30"/>
          <w:szCs w:val="3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资金到位率：</w:t>
      </w:r>
    </w:p>
    <w:p>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rPr>
        <w:t>预算资金</w:t>
      </w:r>
      <w:r>
        <w:rPr>
          <w:rFonts w:hint="eastAsia" w:ascii="仿宋_GB2312" w:hAnsi="仿宋_GB2312" w:eastAsia="仿宋_GB2312" w:cs="仿宋_GB2312"/>
          <w:color w:val="auto"/>
          <w:sz w:val="30"/>
          <w:szCs w:val="30"/>
          <w:lang w:val="en-US" w:eastAsia="zh-CN"/>
        </w:rPr>
        <w:t>21</w:t>
      </w:r>
      <w:r>
        <w:rPr>
          <w:rFonts w:hint="eastAsia" w:ascii="仿宋_GB2312" w:hAnsi="仿宋_GB2312" w:cs="仿宋_GB2312"/>
          <w:color w:val="auto"/>
          <w:sz w:val="30"/>
          <w:szCs w:val="30"/>
          <w:lang w:val="en-US" w:eastAsia="zh-CN"/>
        </w:rPr>
        <w:t>4.95</w:t>
      </w:r>
      <w:r>
        <w:rPr>
          <w:rFonts w:hint="eastAsia" w:ascii="仿宋_GB2312" w:hAnsi="仿宋_GB2312" w:eastAsia="仿宋_GB2312" w:cs="仿宋_GB2312"/>
          <w:color w:val="auto"/>
          <w:sz w:val="30"/>
          <w:szCs w:val="30"/>
        </w:rPr>
        <w:t>万元，实际到位资金</w:t>
      </w:r>
      <w:r>
        <w:rPr>
          <w:rFonts w:hint="eastAsia" w:ascii="仿宋_GB2312" w:hAnsi="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万元，资金到位率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年初预算数</w:t>
      </w:r>
      <w:r>
        <w:rPr>
          <w:rFonts w:hint="eastAsia" w:ascii="仿宋_GB2312" w:hAnsi="仿宋_GB2312" w:cs="仿宋_GB2312"/>
          <w:color w:val="auto"/>
          <w:sz w:val="30"/>
          <w:szCs w:val="30"/>
          <w:lang w:val="en-US" w:eastAsia="zh-CN"/>
        </w:rPr>
        <w:t>215</w:t>
      </w:r>
      <w:r>
        <w:rPr>
          <w:rFonts w:hint="eastAsia" w:ascii="仿宋_GB2312" w:hAnsi="仿宋_GB2312" w:eastAsia="仿宋_GB2312" w:cs="仿宋_GB2312"/>
          <w:color w:val="auto"/>
          <w:sz w:val="30"/>
          <w:szCs w:val="30"/>
        </w:rPr>
        <w:t>万元，全年预算数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万元，全年执行数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万元，预算执行率为</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资金使用合规性</w:t>
      </w:r>
    </w:p>
    <w:p>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sz w:val="30"/>
          <w:szCs w:val="30"/>
          <w:lang w:val="en-US" w:eastAsia="zh-CN"/>
        </w:rPr>
        <w:t>的立项批复。资金不存在截留、挤占、挪用、虚列支出等情况。</w:t>
      </w:r>
    </w:p>
    <w:p>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管理制度健全性</w:t>
      </w:r>
    </w:p>
    <w:p>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制定了</w:t>
      </w:r>
      <w:r>
        <w:rPr>
          <w:rFonts w:hint="eastAsia" w:ascii="仿宋_GB2312" w:hAnsi="仿宋_GB2312" w:eastAsia="仿宋_GB2312" w:cs="仿宋_GB2312"/>
          <w:b w:val="0"/>
          <w:bCs w:val="0"/>
          <w:color w:val="auto"/>
          <w:kern w:val="0"/>
          <w:sz w:val="30"/>
          <w:szCs w:val="30"/>
          <w:lang w:val="en-US" w:eastAsia="zh-CN"/>
        </w:rPr>
        <w:t>《巴音郭楞融媒体中心项目资金管理办法》</w:t>
      </w:r>
      <w:r>
        <w:rPr>
          <w:rFonts w:hint="eastAsia" w:ascii="仿宋_GB2312" w:hAnsi="仿宋_GB2312" w:eastAsia="仿宋_GB2312" w:cs="仿宋_GB2312"/>
          <w:b w:val="0"/>
          <w:bCs w:val="0"/>
          <w:color w:val="auto"/>
          <w:sz w:val="30"/>
          <w:szCs w:val="30"/>
          <w:lang w:val="en-US" w:eastAsia="zh-CN"/>
        </w:rPr>
        <w:t>，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p>
    <w:p>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cs="仿宋_GB2312"/>
          <w:sz w:val="30"/>
          <w:szCs w:val="30"/>
          <w:lang w:val="en-US" w:eastAsia="zh-CN"/>
        </w:rPr>
        <w:t>、</w:t>
      </w:r>
      <w:r>
        <w:rPr>
          <w:rFonts w:hint="eastAsia" w:ascii="仿宋_GB2312" w:hAnsi="仿宋_GB2312" w:eastAsia="仿宋_GB2312" w:cs="仿宋_GB2312"/>
          <w:sz w:val="30"/>
          <w:szCs w:val="30"/>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该项目</w:t>
      </w:r>
      <w:r>
        <w:rPr>
          <w:rFonts w:hint="eastAsia" w:ascii="仿宋_GB2312" w:hAnsi="仿宋_GB2312" w:eastAsia="仿宋_GB2312" w:cs="仿宋_GB2312"/>
          <w:color w:val="auto"/>
          <w:sz w:val="30"/>
          <w:szCs w:val="30"/>
        </w:rPr>
        <w:t>遵守</w:t>
      </w:r>
      <w:r>
        <w:rPr>
          <w:rFonts w:hint="eastAsia" w:ascii="仿宋_GB2312" w:hAnsi="仿宋_GB2312" w:eastAsia="仿宋_GB2312" w:cs="仿宋_GB2312"/>
          <w:color w:val="auto"/>
          <w:sz w:val="30"/>
          <w:szCs w:val="30"/>
          <w:lang w:val="en-US" w:eastAsia="zh-CN"/>
        </w:rPr>
        <w:t>了</w:t>
      </w:r>
      <w:r>
        <w:rPr>
          <w:rFonts w:hint="eastAsia" w:ascii="仿宋_GB2312" w:hAnsi="仿宋_GB2312" w:cs="仿宋_GB2312"/>
          <w:sz w:val="30"/>
          <w:szCs w:val="30"/>
          <w:lang w:val="en-US" w:eastAsia="zh-CN"/>
        </w:rPr>
        <w:t>《报纸出版管理规定》、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eastAsia="仿宋_GB2312" w:cs="仿宋_GB2312"/>
          <w:b w:val="0"/>
          <w:bCs w:val="0"/>
          <w:color w:val="auto"/>
          <w:sz w:val="30"/>
          <w:szCs w:val="30"/>
          <w:lang w:val="en-US" w:eastAsia="zh-CN"/>
        </w:rPr>
        <w:t>《中华人民共和国会计法》</w:t>
      </w:r>
      <w:r>
        <w:rPr>
          <w:rFonts w:hint="eastAsia" w:ascii="仿宋_GB2312" w:hAnsi="仿宋_GB2312" w:eastAsia="仿宋_GB2312" w:cs="仿宋_GB2312"/>
          <w:color w:val="auto"/>
          <w:sz w:val="30"/>
          <w:szCs w:val="30"/>
        </w:rPr>
        <w:t>相关法律法规和相关管理规定；项目支出手续完备；项目合同书、验收报告等资料齐全并及时归档；项目实施的人员条件、场地设备等落实到位。</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4" w:name="_Toc68703840"/>
      <w:r>
        <w:rPr>
          <w:rFonts w:hint="eastAsia" w:ascii="仿宋_GB2312" w:hAnsi="仿宋_GB2312" w:eastAsia="仿宋_GB2312" w:cs="仿宋_GB2312"/>
          <w:color w:val="auto"/>
          <w:sz w:val="30"/>
          <w:szCs w:val="30"/>
          <w:highlight w:val="none"/>
          <w:lang w:val="en-US" w:eastAsia="zh-CN"/>
        </w:rPr>
        <w:t>（三）</w:t>
      </w:r>
      <w:r>
        <w:rPr>
          <w:rFonts w:hint="eastAsia" w:ascii="仿宋_GB2312" w:hAnsi="仿宋_GB2312" w:eastAsia="仿宋_GB2312" w:cs="仿宋_GB2312"/>
          <w:b w:val="0"/>
          <w:bCs w:val="0"/>
          <w:color w:val="auto"/>
          <w:sz w:val="30"/>
          <w:szCs w:val="30"/>
          <w:highlight w:val="none"/>
        </w:rPr>
        <w:t>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数</w:t>
      </w:r>
      <w:r>
        <w:rPr>
          <w:rFonts w:hint="eastAsia" w:ascii="仿宋_GB2312" w:hAnsi="仿宋_GB2312" w:eastAsia="仿宋_GB2312" w:cs="仿宋_GB2312"/>
          <w:color w:val="auto"/>
          <w:sz w:val="30"/>
          <w:szCs w:val="30"/>
        </w:rPr>
        <w:t>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：指标1：设备购置数量，指标值：</w:t>
      </w:r>
      <w:r>
        <w:rPr>
          <w:rFonts w:hint="eastAsia" w:ascii="仿宋_GB2312" w:hAnsi="仿宋_GB2312" w:eastAsia="仿宋_GB2312" w:cs="仿宋_GB2312"/>
          <w:color w:val="auto"/>
          <w:sz w:val="30"/>
          <w:szCs w:val="30"/>
          <w:lang w:val="en-US" w:eastAsia="zh-CN"/>
        </w:rPr>
        <w:t>&gt;=139台</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139台</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：新疆卫视节目联办，指标值：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：新疆日报板块联办，指标值：</w:t>
      </w:r>
      <w:r>
        <w:rPr>
          <w:rFonts w:hint="eastAsia" w:ascii="仿宋_GB2312" w:hAnsi="仿宋_GB2312" w:eastAsia="仿宋_GB2312" w:cs="仿宋_GB2312"/>
          <w:color w:val="auto"/>
          <w:sz w:val="30"/>
          <w:szCs w:val="30"/>
          <w:lang w:val="en-US" w:eastAsia="zh-CN"/>
        </w:rPr>
        <w:t>&gt;=4条</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4条</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2.</w:t>
      </w:r>
      <w:r>
        <w:rPr>
          <w:rFonts w:hint="eastAsia" w:ascii="仿宋_GB2312" w:hAnsi="仿宋_GB2312" w:eastAsia="仿宋_GB2312" w:cs="仿宋_GB2312"/>
          <w:color w:val="auto"/>
          <w:sz w:val="30"/>
          <w:szCs w:val="30"/>
        </w:rPr>
        <w:t>质量指标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：指标1：政府采购率，指标值：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：播出节目准确率，指标值：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：刊发内容准确率，指标值：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cs="仿宋_GB2312"/>
          <w:color w:val="auto"/>
          <w:sz w:val="30"/>
          <w:szCs w:val="30"/>
          <w:lang w:val="en-US" w:eastAsia="zh-CN"/>
        </w:rPr>
        <w:t>3.</w:t>
      </w:r>
      <w:r>
        <w:rPr>
          <w:rFonts w:hint="eastAsia" w:ascii="仿宋_GB2312" w:hAnsi="仿宋_GB2312" w:eastAsia="仿宋_GB2312" w:cs="仿宋_GB2312"/>
          <w:color w:val="auto"/>
          <w:sz w:val="30"/>
          <w:szCs w:val="30"/>
        </w:rPr>
        <w:t>时效指标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：指标1：资金支付率，指标值：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：节目播出按时率，指标值：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：刊发内容按时率，指标值：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lang w:val="en-US" w:eastAsia="zh-CN"/>
        </w:rPr>
        <w:t>经济成本指标完成情况</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rPr>
        <w:t>指标1：采购设备经费，指标值：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150万元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为150万元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59.95万元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为59.</w:t>
      </w:r>
      <w:r>
        <w:rPr>
          <w:rFonts w:hint="eastAsia" w:ascii="仿宋_GB2312" w:hAnsi="仿宋_GB2312" w:cs="仿宋_GB2312"/>
          <w:color w:val="auto"/>
          <w:sz w:val="30"/>
          <w:szCs w:val="30"/>
          <w:lang w:val="en-US" w:eastAsia="zh-CN"/>
        </w:rPr>
        <w:t>95</w:t>
      </w:r>
      <w:r>
        <w:rPr>
          <w:rFonts w:hint="eastAsia" w:ascii="仿宋_GB2312" w:hAnsi="仿宋_GB2312" w:eastAsia="仿宋_GB2312" w:cs="仿宋_GB2312"/>
          <w:color w:val="auto"/>
          <w:sz w:val="30"/>
          <w:szCs w:val="30"/>
          <w:lang w:val="en-US" w:eastAsia="zh-CN"/>
        </w:rPr>
        <w:t>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：板块联办经费，指标值：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5" w:name="_Toc68703841"/>
      <w:r>
        <w:rPr>
          <w:rFonts w:hint="eastAsia" w:ascii="仿宋_GB2312" w:hAnsi="仿宋_GB2312" w:eastAsia="仿宋_GB2312" w:cs="仿宋_GB2312"/>
          <w:b w:val="0"/>
          <w:bCs w:val="0"/>
          <w:color w:val="auto"/>
          <w:sz w:val="30"/>
          <w:szCs w:val="30"/>
          <w:highlight w:val="none"/>
        </w:rPr>
        <w:t>（</w:t>
      </w:r>
      <w:r>
        <w:rPr>
          <w:rFonts w:hint="eastAsia" w:ascii="仿宋_GB2312" w:hAnsi="仿宋_GB2312" w:eastAsia="仿宋_GB2312" w:cs="仿宋_GB2312"/>
          <w:b w:val="0"/>
          <w:bCs w:val="0"/>
          <w:color w:val="auto"/>
          <w:sz w:val="30"/>
          <w:szCs w:val="30"/>
          <w:highlight w:val="none"/>
          <w:lang w:eastAsia="zh-CN"/>
        </w:rPr>
        <w:t>四</w:t>
      </w:r>
      <w:r>
        <w:rPr>
          <w:rFonts w:hint="eastAsia" w:ascii="仿宋_GB2312" w:hAnsi="仿宋_GB2312" w:eastAsia="仿宋_GB2312" w:cs="仿宋_GB2312"/>
          <w:b w:val="0"/>
          <w:bCs w:val="0"/>
          <w:color w:val="auto"/>
          <w:sz w:val="30"/>
          <w:szCs w:val="30"/>
          <w:highlight w:val="none"/>
        </w:rPr>
        <w:t>）项目效益情况。</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经济效益指标完成情况：</w:t>
      </w:r>
      <w:r>
        <w:rPr>
          <w:rFonts w:hint="eastAsia" w:ascii="仿宋_GB2312" w:hAnsi="仿宋_GB2312" w:eastAsia="仿宋_GB2312" w:cs="仿宋_GB2312"/>
          <w:color w:val="auto"/>
          <w:sz w:val="30"/>
          <w:szCs w:val="30"/>
        </w:rPr>
        <w:t>指标1：</w:t>
      </w:r>
      <w:r>
        <w:rPr>
          <w:rFonts w:hint="eastAsia" w:ascii="仿宋_GB2312" w:hAnsi="仿宋_GB2312" w:cs="仿宋_GB2312"/>
          <w:color w:val="auto"/>
          <w:sz w:val="30"/>
          <w:szCs w:val="30"/>
          <w:lang w:val="en-US" w:eastAsia="zh-CN"/>
        </w:rPr>
        <w:t>设备使用率</w:t>
      </w:r>
      <w:r>
        <w:rPr>
          <w:rFonts w:hint="eastAsia" w:ascii="仿宋_GB2312" w:hAnsi="仿宋_GB2312" w:eastAsia="仿宋_GB2312" w:cs="仿宋_GB2312"/>
          <w:color w:val="auto"/>
          <w:sz w:val="30"/>
          <w:szCs w:val="30"/>
        </w:rPr>
        <w:t>，指标值：</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default"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b w:val="0"/>
          <w:bCs w:val="0"/>
          <w:kern w:val="2"/>
          <w:sz w:val="30"/>
          <w:szCs w:val="30"/>
          <w:lang w:val="en-US" w:eastAsia="zh-CN" w:bidi="ar-SA"/>
        </w:rPr>
        <w:t>此项权重分7分，得分7分。</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社会效益指标</w:t>
      </w:r>
      <w:r>
        <w:rPr>
          <w:rFonts w:hint="eastAsia" w:ascii="仿宋_GB2312" w:hAnsi="仿宋_GB2312" w:eastAsia="仿宋_GB2312" w:cs="仿宋_GB2312"/>
          <w:color w:val="auto"/>
          <w:sz w:val="30"/>
          <w:szCs w:val="30"/>
          <w:highlight w:val="none"/>
          <w:lang w:eastAsia="zh-CN"/>
        </w:rPr>
        <w:t>完成情况</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指标1：宣传知晓率，指标值：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此项权重分7分，得分7分。</w:t>
      </w:r>
    </w:p>
    <w:p>
      <w:pPr>
        <w:pageBreakBefore w:val="0"/>
        <w:numPr>
          <w:ilvl w:val="0"/>
          <w:numId w:val="0"/>
        </w:numPr>
        <w:tabs>
          <w:tab w:val="left" w:pos="312"/>
        </w:tabs>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满意度指标</w:t>
      </w:r>
      <w:r>
        <w:rPr>
          <w:rFonts w:hint="eastAsia" w:ascii="仿宋_GB2312" w:hAnsi="仿宋_GB2312" w:eastAsia="仿宋_GB2312" w:cs="仿宋_GB2312"/>
          <w:color w:val="auto"/>
          <w:sz w:val="30"/>
          <w:szCs w:val="30"/>
          <w:highlight w:val="none"/>
          <w:lang w:eastAsia="zh-CN"/>
        </w:rPr>
        <w:t>完成情况分析</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指标1：收听收看人员满意度，指标值：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：使用人员满意度，指标值：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10"/>
        <w:ind w:firstLine="600" w:firstLineChars="200"/>
        <w:jc w:val="left"/>
        <w:rPr>
          <w:rFonts w:hint="eastAsia"/>
          <w:color w:val="auto"/>
          <w:lang w:eastAsia="zh-CN"/>
        </w:rPr>
      </w:pPr>
      <w:r>
        <w:rPr>
          <w:rFonts w:hint="eastAsia" w:ascii="仿宋_GB2312" w:hAnsi="仿宋_GB2312" w:eastAsia="仿宋_GB2312" w:cs="仿宋_GB2312"/>
          <w:b w:val="0"/>
          <w:bCs w:val="0"/>
          <w:kern w:val="2"/>
          <w:sz w:val="30"/>
          <w:szCs w:val="30"/>
          <w:lang w:val="en-US" w:eastAsia="zh-CN" w:bidi="ar-SA"/>
        </w:rPr>
        <w:t>此项权重分6分，得分6分。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color w:val="auto"/>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lang w:val="en-US" w:eastAsia="zh-CN"/>
        </w:rPr>
        <w:t>2023年中央支持地方公共文化服务体系建设补助资金项目</w:t>
      </w:r>
      <w:r>
        <w:rPr>
          <w:rFonts w:hint="eastAsia" w:ascii="仿宋_GB2312" w:hAnsi="仿宋_GB2312" w:eastAsia="仿宋_GB2312" w:cs="仿宋_GB2312"/>
          <w:color w:val="auto"/>
          <w:sz w:val="30"/>
          <w:szCs w:val="30"/>
          <w:highlight w:val="none"/>
          <w:shd w:val="clear" w:color="auto" w:fill="auto"/>
        </w:rPr>
        <w:t>年初预算</w:t>
      </w:r>
      <w:r>
        <w:rPr>
          <w:rFonts w:hint="eastAsia" w:ascii="仿宋_GB2312" w:hAnsi="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万元，全年预算</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万元，实际支出</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万元，预算执行率为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%，项目绩效指标总体完成率为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eastAsia="仿宋_GB2312" w:cs="仿宋_GB2312"/>
          <w:color w:val="auto"/>
          <w:sz w:val="30"/>
          <w:szCs w:val="30"/>
          <w:highlight w:val="none"/>
          <w:shd w:val="clear" w:color="auto" w:fill="auto"/>
          <w:lang w:eastAsia="zh-Hans"/>
        </w:rPr>
        <w:t>总体</w:t>
      </w:r>
      <w:r>
        <w:rPr>
          <w:rFonts w:hint="eastAsia" w:ascii="仿宋_GB2312" w:hAnsi="仿宋_GB2312" w:eastAsia="仿宋_GB2312" w:cs="仿宋_GB2312"/>
          <w:color w:val="auto"/>
          <w:sz w:val="30"/>
          <w:szCs w:val="30"/>
          <w:highlight w:val="none"/>
          <w:shd w:val="clear" w:color="auto" w:fill="auto"/>
        </w:rPr>
        <w:t>偏差率为</w:t>
      </w:r>
      <w:r>
        <w:rPr>
          <w:rFonts w:hint="eastAsia" w:ascii="仿宋_GB2312" w:hAnsi="仿宋_GB2312" w:eastAsia="仿宋_GB2312" w:cs="仿宋_GB2312"/>
          <w:color w:val="auto"/>
          <w:sz w:val="30"/>
          <w:szCs w:val="30"/>
          <w:highlight w:val="none"/>
          <w:shd w:val="clear" w:color="auto" w:fill="auto"/>
          <w:lang w:val="en-US" w:eastAsia="zh-CN"/>
        </w:rPr>
        <w:t>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cs="仿宋_GB2312"/>
          <w:color w:val="auto"/>
          <w:sz w:val="30"/>
          <w:szCs w:val="30"/>
          <w:highlight w:val="none"/>
          <w:shd w:val="clear" w:color="auto" w:fill="auto"/>
          <w:lang w:eastAsia="zh-CN"/>
        </w:rPr>
        <w:t>，</w:t>
      </w:r>
      <w:r>
        <w:rPr>
          <w:rFonts w:hint="eastAsia" w:ascii="仿宋_GB2312" w:hAnsi="仿宋_GB2312" w:cs="仿宋_GB2312"/>
          <w:color w:val="auto"/>
          <w:sz w:val="30"/>
          <w:szCs w:val="30"/>
          <w:highlight w:val="none"/>
          <w:shd w:val="clear" w:color="auto" w:fill="auto"/>
          <w:lang w:val="en-US" w:eastAsia="zh-CN"/>
        </w:rPr>
        <w:t>项目完成较好</w:t>
      </w:r>
      <w:r>
        <w:rPr>
          <w:rFonts w:hint="eastAsia" w:ascii="仿宋_GB2312" w:hAnsi="仿宋_GB2312" w:eastAsia="仿宋_GB2312" w:cs="仿宋_GB2312"/>
          <w:color w:val="auto"/>
          <w:sz w:val="30"/>
          <w:szCs w:val="30"/>
          <w:highlight w:val="none"/>
          <w:shd w:val="clear" w:color="auto" w:fill="auto"/>
        </w:rPr>
        <w:t>。</w:t>
      </w: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7" w:name="_Toc68703843"/>
      <w:r>
        <w:rPr>
          <w:rFonts w:hint="eastAsia" w:ascii="仿宋_GB2312" w:hAnsi="仿宋_GB2312" w:eastAsia="仿宋_GB2312" w:cs="仿宋_GB2312"/>
          <w:b w:val="0"/>
          <w:bCs w:val="0"/>
          <w:sz w:val="30"/>
          <w:szCs w:val="30"/>
        </w:rPr>
        <w:t>（一）主要经验及做法</w:t>
      </w:r>
      <w:bookmarkEnd w:id="17"/>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8" w:name="_Toc68703844"/>
      <w:r>
        <w:rPr>
          <w:rFonts w:hint="eastAsia" w:ascii="仿宋_GB2312" w:hAnsi="仿宋_GB2312" w:eastAsia="仿宋_GB2312" w:cs="仿宋_GB2312"/>
          <w:b w:val="0"/>
          <w:bCs w:val="0"/>
          <w:sz w:val="30"/>
          <w:szCs w:val="30"/>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bookmarkStart w:id="19" w:name="_Toc68703845"/>
      <w:r>
        <w:rPr>
          <w:rFonts w:hint="eastAsia" w:ascii="仿宋_GB2312" w:hAnsi="仿宋_GB2312" w:cs="仿宋_GB2312"/>
          <w:sz w:val="30"/>
          <w:szCs w:val="30"/>
          <w:lang w:val="en-US" w:eastAsia="zh-CN"/>
        </w:rPr>
        <w:t>灯光设备在长期使用过程中，可能会出现部件老化、损坏等问题，维护和管理也需要一定的投入，设备成本高。</w:t>
      </w:r>
      <w:r>
        <w:rPr>
          <w:rFonts w:hint="eastAsia" w:ascii="仿宋_GB2312" w:hAnsi="仿宋_GB2312" w:eastAsia="仿宋_GB2312" w:cs="仿宋_GB2312"/>
          <w:sz w:val="30"/>
          <w:szCs w:val="30"/>
          <w:lang w:val="en-US" w:eastAsia="zh-CN"/>
        </w:rPr>
        <w:t xml:space="preserve">   </w:t>
      </w:r>
    </w:p>
    <w:p>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sz w:val="30"/>
          <w:szCs w:val="30"/>
          <w:lang w:val="en-US" w:eastAsia="zh-CN"/>
        </w:rPr>
        <w:t>七</w:t>
      </w:r>
      <w:r>
        <w:rPr>
          <w:rFonts w:hint="eastAsia" w:ascii="仿宋_GB2312" w:hAnsi="仿宋_GB2312" w:eastAsia="仿宋_GB2312" w:cs="仿宋_GB2312"/>
          <w:b/>
          <w:bCs/>
          <w:sz w:val="30"/>
          <w:szCs w:val="30"/>
        </w:rPr>
        <w:t>、有关建议</w:t>
      </w:r>
      <w:bookmarkEnd w:id="19"/>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cs="仿宋_GB2312"/>
          <w:color w:val="auto"/>
          <w:sz w:val="30"/>
          <w:szCs w:val="30"/>
          <w:highlight w:val="none"/>
          <w:lang w:val="en-US" w:eastAsia="zh-CN"/>
        </w:rPr>
        <w:t>定期对演播厅进行维护、清洁和检查各个部件是否正常工作，如果发现有损坏的部件及时更换，以便及时发现问题并解决问题，减少更大的损害，从而提高宣传业务水平。</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default"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highlight w:val="none"/>
          <w:lang w:val="en-US" w:eastAsia="zh-CN"/>
        </w:rPr>
        <w:t>2.多进行有关绩效管理工作方面的培训。积极组织第三方开展绩效管理工作培训，进一步夯实业务基础，提高我单位绩效人员水平。</w:t>
      </w: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default" w:ascii="Times New Roman" w:hAnsi="Times New Roman" w:eastAsia="方正仿宋_GBK" w:cs="Times New Roman"/>
          <w:color w:val="auto"/>
          <w:sz w:val="30"/>
          <w:szCs w:val="30"/>
          <w:lang w:val="en-US" w:eastAsia="zh-CN"/>
        </w:rPr>
      </w:pPr>
      <w:r>
        <w:rPr>
          <w:rFonts w:hint="eastAsia" w:eastAsia="方正仿宋_GBK" w:cs="Times New Roman"/>
          <w:color w:val="auto"/>
          <w:sz w:val="30"/>
          <w:szCs w:val="30"/>
          <w:lang w:val="en-US" w:eastAsia="zh-CN"/>
        </w:rPr>
        <w:t>本项目无其他需要说明的问题</w:t>
      </w:r>
      <w:r>
        <w:rPr>
          <w:rFonts w:hint="default" w:ascii="Times New Roman" w:hAnsi="Times New Roman" w:eastAsia="方正仿宋_GBK" w:cs="Times New Roman"/>
          <w:color w:val="auto"/>
          <w:sz w:val="30"/>
          <w:szCs w:val="30"/>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F3D47"/>
    <w:multiLevelType w:val="singleLevel"/>
    <w:tmpl w:val="91FF3D47"/>
    <w:lvl w:ilvl="0" w:tentative="0">
      <w:start w:val="4"/>
      <w:numFmt w:val="decimal"/>
      <w:suff w:val="nothing"/>
      <w:lvlText w:val="%1、"/>
      <w:lvlJc w:val="left"/>
    </w:lvl>
  </w:abstractNum>
  <w:abstractNum w:abstractNumId="1">
    <w:nsid w:val="0E1322D0"/>
    <w:multiLevelType w:val="singleLevel"/>
    <w:tmpl w:val="0E1322D0"/>
    <w:lvl w:ilvl="0" w:tentative="0">
      <w:start w:val="3"/>
      <w:numFmt w:val="decimal"/>
      <w:suff w:val="nothing"/>
      <w:lvlText w:val="%1、"/>
      <w:lvlJc w:val="left"/>
    </w:lvl>
  </w:abstractNum>
  <w:abstractNum w:abstractNumId="2">
    <w:nsid w:val="111680EF"/>
    <w:multiLevelType w:val="singleLevel"/>
    <w:tmpl w:val="111680EF"/>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3ZWEzMDcyNDgwNTZlNzg2NTliMmIzY2Q0NzU1Mz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C71C03"/>
    <w:rsid w:val="08D20D13"/>
    <w:rsid w:val="0AAA410A"/>
    <w:rsid w:val="0C4D0F1B"/>
    <w:rsid w:val="0C6C454B"/>
    <w:rsid w:val="0CEA1BAC"/>
    <w:rsid w:val="0F2A6BF7"/>
    <w:rsid w:val="11105A23"/>
    <w:rsid w:val="112B2E54"/>
    <w:rsid w:val="15D55902"/>
    <w:rsid w:val="186F13A6"/>
    <w:rsid w:val="18AB0FD7"/>
    <w:rsid w:val="1A3569DF"/>
    <w:rsid w:val="1AD9736B"/>
    <w:rsid w:val="1D723F37"/>
    <w:rsid w:val="1D785367"/>
    <w:rsid w:val="1E0250BA"/>
    <w:rsid w:val="1FD42B2E"/>
    <w:rsid w:val="201739C5"/>
    <w:rsid w:val="22AE50A1"/>
    <w:rsid w:val="23AC5142"/>
    <w:rsid w:val="2640388A"/>
    <w:rsid w:val="283F7CBC"/>
    <w:rsid w:val="2B9D6128"/>
    <w:rsid w:val="2F00011D"/>
    <w:rsid w:val="31D17F04"/>
    <w:rsid w:val="32AE0DEC"/>
    <w:rsid w:val="367932CB"/>
    <w:rsid w:val="36B72533"/>
    <w:rsid w:val="36BF504B"/>
    <w:rsid w:val="37544085"/>
    <w:rsid w:val="380D74A1"/>
    <w:rsid w:val="39A2099B"/>
    <w:rsid w:val="3F6B1B71"/>
    <w:rsid w:val="403C437F"/>
    <w:rsid w:val="4057649F"/>
    <w:rsid w:val="43182414"/>
    <w:rsid w:val="441D5BA3"/>
    <w:rsid w:val="46507BB3"/>
    <w:rsid w:val="471B3903"/>
    <w:rsid w:val="47266580"/>
    <w:rsid w:val="47735FCE"/>
    <w:rsid w:val="4A7C25BE"/>
    <w:rsid w:val="4A81086F"/>
    <w:rsid w:val="4C22332E"/>
    <w:rsid w:val="4E625841"/>
    <w:rsid w:val="4E7F09E7"/>
    <w:rsid w:val="4EC822DB"/>
    <w:rsid w:val="56796849"/>
    <w:rsid w:val="58B92183"/>
    <w:rsid w:val="59BE0D26"/>
    <w:rsid w:val="5B341B59"/>
    <w:rsid w:val="5DA95371"/>
    <w:rsid w:val="60693CE0"/>
    <w:rsid w:val="61030BD2"/>
    <w:rsid w:val="63DA59AC"/>
    <w:rsid w:val="672D6F2C"/>
    <w:rsid w:val="67BF2F90"/>
    <w:rsid w:val="68F11999"/>
    <w:rsid w:val="6A7259FE"/>
    <w:rsid w:val="6C7478F0"/>
    <w:rsid w:val="6CC5599E"/>
    <w:rsid w:val="6D620248"/>
    <w:rsid w:val="719B04C1"/>
    <w:rsid w:val="71A86292"/>
    <w:rsid w:val="71B224C1"/>
    <w:rsid w:val="763A0251"/>
    <w:rsid w:val="7A0205CB"/>
    <w:rsid w:val="7E096E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312" w:afterLines="100"/>
      <w:ind w:left="0"/>
      <w:jc w:val="center"/>
      <w:outlineLvl w:val="0"/>
    </w:pPr>
    <w:rPr>
      <w:rFonts w:ascii="Times New Roman" w:hAnsi="Times New Roman" w:eastAsia="方正小标宋简体"/>
      <w:sz w:val="40"/>
    </w:r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2"/>
    <w:basedOn w:val="5"/>
    <w:qFormat/>
    <w:uiPriority w:val="0"/>
    <w:pPr>
      <w:ind w:firstLine="420"/>
    </w:p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customStyle="1" w:styleId="16">
    <w:name w:val="标题 1 Char"/>
    <w:basedOn w:val="13"/>
    <w:link w:val="2"/>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3"/>
    <w:qFormat/>
    <w:uiPriority w:val="9"/>
    <w:rPr>
      <w:rFonts w:asciiTheme="majorHAnsi" w:hAnsiTheme="majorHAnsi" w:eastAsiaTheme="majorEastAsia" w:cstheme="majorBidi"/>
      <w:b/>
      <w:bCs/>
      <w:sz w:val="32"/>
      <w:szCs w:val="32"/>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3"/>
    <w:link w:val="7"/>
    <w:semiHidden/>
    <w:qFormat/>
    <w:uiPriority w:val="99"/>
    <w:rPr>
      <w:rFonts w:ascii="Times New Roman" w:hAnsi="Times New Roman" w:eastAsia="仿宋_GB2312" w:cs="Times New Roman"/>
      <w:sz w:val="18"/>
      <w:szCs w:val="18"/>
    </w:rPr>
  </w:style>
  <w:style w:type="character" w:customStyle="1" w:styleId="20">
    <w:name w:val="页脚 Char"/>
    <w:basedOn w:val="13"/>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paragraph" w:styleId="22">
    <w:name w:val="List Paragraph"/>
    <w:basedOn w:val="1"/>
    <w:qFormat/>
    <w:uiPriority w:val="34"/>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2024-05-13T04:03:00Z</cp:lastPrinted>
  <dcterms:modified xsi:type="dcterms:W3CDTF">2024-05-14T04:20:45Z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E77BB412F16F4D83B345CDA18E23AED3</vt:lpwstr>
  </property>
</Properties>
</file>