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F5C504">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color w:val="auto"/>
          <w:sz w:val="48"/>
          <w:szCs w:val="48"/>
          <w:highlight w:val="none"/>
        </w:rPr>
      </w:pPr>
    </w:p>
    <w:p w14:paraId="51F65250">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color w:val="auto"/>
          <w:sz w:val="48"/>
          <w:szCs w:val="48"/>
          <w:highlight w:val="none"/>
        </w:rPr>
      </w:pPr>
    </w:p>
    <w:p w14:paraId="18E773FA">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color w:val="auto"/>
          <w:sz w:val="48"/>
          <w:szCs w:val="48"/>
          <w:highlight w:val="none"/>
        </w:rPr>
      </w:pPr>
    </w:p>
    <w:p w14:paraId="252EDD13">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color w:val="auto"/>
          <w:sz w:val="52"/>
          <w:szCs w:val="52"/>
          <w:highlight w:val="none"/>
        </w:rPr>
      </w:pPr>
      <w:r>
        <w:rPr>
          <w:rFonts w:hint="eastAsia" w:ascii="宋体" w:hAnsi="宋体" w:eastAsia="宋体" w:cs="Arial"/>
          <w:b/>
          <w:bCs/>
          <w:color w:val="auto"/>
          <w:sz w:val="52"/>
          <w:szCs w:val="52"/>
          <w:highlight w:val="none"/>
        </w:rPr>
        <w:t>项目支出绩效评价报告</w:t>
      </w:r>
    </w:p>
    <w:p w14:paraId="355C158F">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color w:val="auto"/>
          <w:sz w:val="48"/>
          <w:szCs w:val="48"/>
          <w:highlight w:val="none"/>
        </w:rPr>
      </w:pPr>
    </w:p>
    <w:p w14:paraId="301562B6">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color w:val="auto"/>
          <w:kern w:val="0"/>
          <w:sz w:val="50"/>
          <w:szCs w:val="50"/>
          <w:highlight w:val="none"/>
          <w:lang w:bidi="en-US"/>
        </w:rPr>
      </w:pPr>
      <w:r>
        <w:rPr>
          <w:rFonts w:hint="eastAsia" w:ascii="红豆小标宋简体" w:hAnsi="红豆小标宋简体" w:eastAsia="红豆小标宋简体" w:cs="红豆小标宋简体"/>
          <w:color w:val="auto"/>
          <w:kern w:val="0"/>
          <w:sz w:val="36"/>
          <w:szCs w:val="36"/>
          <w:highlight w:val="none"/>
        </w:rPr>
        <w:t>（2</w:t>
      </w:r>
      <w:r>
        <w:rPr>
          <w:rFonts w:ascii="红豆小标宋简体" w:hAnsi="红豆小标宋简体" w:eastAsia="红豆小标宋简体" w:cs="红豆小标宋简体"/>
          <w:color w:val="auto"/>
          <w:kern w:val="0"/>
          <w:sz w:val="36"/>
          <w:szCs w:val="36"/>
          <w:highlight w:val="none"/>
        </w:rPr>
        <w:t>02</w:t>
      </w:r>
      <w:r>
        <w:rPr>
          <w:rFonts w:hint="eastAsia" w:ascii="红豆小标宋简体" w:hAnsi="红豆小标宋简体" w:eastAsia="红豆小标宋简体" w:cs="红豆小标宋简体"/>
          <w:color w:val="auto"/>
          <w:kern w:val="0"/>
          <w:sz w:val="36"/>
          <w:szCs w:val="36"/>
          <w:highlight w:val="none"/>
          <w:lang w:val="en-US" w:eastAsia="zh-CN"/>
        </w:rPr>
        <w:t>3</w:t>
      </w:r>
      <w:r>
        <w:rPr>
          <w:rFonts w:hint="eastAsia" w:ascii="红豆小标宋简体" w:hAnsi="红豆小标宋简体" w:eastAsia="红豆小标宋简体" w:cs="红豆小标宋简体"/>
          <w:color w:val="auto"/>
          <w:kern w:val="0"/>
          <w:sz w:val="36"/>
          <w:szCs w:val="36"/>
          <w:highlight w:val="none"/>
        </w:rPr>
        <w:t>年度）</w:t>
      </w:r>
    </w:p>
    <w:p w14:paraId="07B0C67C">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color w:val="auto"/>
          <w:kern w:val="0"/>
          <w:sz w:val="50"/>
          <w:szCs w:val="50"/>
          <w:highlight w:val="none"/>
          <w:lang w:bidi="en-US"/>
        </w:rPr>
      </w:pPr>
    </w:p>
    <w:p w14:paraId="0A880A12">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color w:val="auto"/>
          <w:kern w:val="0"/>
          <w:sz w:val="50"/>
          <w:szCs w:val="50"/>
          <w:highlight w:val="none"/>
          <w:lang w:bidi="en-US"/>
        </w:rPr>
      </w:pPr>
    </w:p>
    <w:p w14:paraId="6B30C9E2">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color w:val="auto"/>
          <w:kern w:val="0"/>
          <w:sz w:val="50"/>
          <w:szCs w:val="50"/>
          <w:highlight w:val="none"/>
          <w:lang w:bidi="en-US"/>
        </w:rPr>
      </w:pPr>
    </w:p>
    <w:p w14:paraId="73057D03">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color w:val="auto"/>
          <w:kern w:val="0"/>
          <w:sz w:val="50"/>
          <w:szCs w:val="50"/>
          <w:highlight w:val="none"/>
          <w:lang w:bidi="en-US"/>
        </w:rPr>
      </w:pPr>
    </w:p>
    <w:p w14:paraId="494AEAAA">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color w:val="auto"/>
          <w:kern w:val="0"/>
          <w:sz w:val="50"/>
          <w:szCs w:val="50"/>
          <w:highlight w:val="none"/>
          <w:lang w:bidi="en-US"/>
        </w:rPr>
      </w:pPr>
    </w:p>
    <w:p w14:paraId="0F683E0C">
      <w:pPr>
        <w:pageBreakBefore w:val="0"/>
        <w:kinsoku/>
        <w:wordWrap/>
        <w:overflowPunct/>
        <w:topLinePunct w:val="0"/>
        <w:autoSpaceDE/>
        <w:autoSpaceDN/>
        <w:bidi w:val="0"/>
        <w:adjustRightInd/>
        <w:snapToGrid/>
        <w:spacing w:line="560" w:lineRule="exact"/>
        <w:ind w:firstLine="643" w:firstLineChars="200"/>
        <w:textAlignment w:val="auto"/>
        <w:rPr>
          <w:rFonts w:hint="default" w:ascii="宋体" w:hAnsi="宋体" w:eastAsia="宋体" w:cs="宋体"/>
          <w:color w:val="auto"/>
          <w:kern w:val="0"/>
          <w:sz w:val="32"/>
          <w:szCs w:val="32"/>
          <w:highlight w:val="none"/>
          <w:lang w:val="en-US" w:eastAsia="zh-CN"/>
        </w:rPr>
      </w:pPr>
      <w:r>
        <w:rPr>
          <w:rFonts w:hint="eastAsia" w:ascii="宋体" w:hAnsi="宋体" w:eastAsia="宋体" w:cs="仿宋_GB2312"/>
          <w:b/>
          <w:bCs/>
          <w:color w:val="auto"/>
          <w:kern w:val="0"/>
          <w:sz w:val="32"/>
          <w:szCs w:val="32"/>
          <w:highlight w:val="none"/>
        </w:rPr>
        <w:t>项目名称：</w:t>
      </w:r>
      <w:r>
        <w:rPr>
          <w:rFonts w:hint="eastAsia" w:ascii="宋体" w:hAnsi="宋体" w:eastAsia="宋体" w:cs="仿宋_GB2312"/>
          <w:b/>
          <w:bCs/>
          <w:color w:val="auto"/>
          <w:kern w:val="0"/>
          <w:sz w:val="32"/>
          <w:szCs w:val="32"/>
          <w:highlight w:val="none"/>
          <w:lang w:val="en-US" w:eastAsia="zh-CN"/>
        </w:rPr>
        <w:t>2023年巴州第二人民医院单位经费</w:t>
      </w:r>
    </w:p>
    <w:p w14:paraId="40771A59">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color w:val="auto"/>
          <w:kern w:val="0"/>
          <w:sz w:val="32"/>
          <w:szCs w:val="32"/>
          <w:highlight w:val="none"/>
        </w:rPr>
      </w:pPr>
      <w:r>
        <w:rPr>
          <w:rFonts w:hint="eastAsia" w:ascii="宋体" w:hAnsi="宋体" w:eastAsia="宋体" w:cs="仿宋_GB2312"/>
          <w:b/>
          <w:bCs/>
          <w:color w:val="auto"/>
          <w:kern w:val="0"/>
          <w:sz w:val="32"/>
          <w:szCs w:val="32"/>
          <w:highlight w:val="none"/>
        </w:rPr>
        <w:t>实施单位（公章）：</w:t>
      </w:r>
      <w:r>
        <w:rPr>
          <w:rFonts w:hint="eastAsia" w:ascii="宋体" w:hAnsi="宋体" w:eastAsia="宋体" w:cs="仿宋_GB2312"/>
          <w:b/>
          <w:bCs/>
          <w:color w:val="auto"/>
          <w:kern w:val="0"/>
          <w:sz w:val="32"/>
          <w:szCs w:val="32"/>
          <w:highlight w:val="none"/>
          <w:lang w:val="en-US" w:eastAsia="zh-CN"/>
        </w:rPr>
        <w:t>巴州第二人民医院</w:t>
      </w:r>
    </w:p>
    <w:p w14:paraId="1B809BA2">
      <w:pPr>
        <w:pageBreakBefore w:val="0"/>
        <w:kinsoku/>
        <w:wordWrap/>
        <w:overflowPunct/>
        <w:topLinePunct w:val="0"/>
        <w:autoSpaceDE/>
        <w:autoSpaceDN/>
        <w:bidi w:val="0"/>
        <w:adjustRightInd/>
        <w:snapToGrid/>
        <w:spacing w:line="560" w:lineRule="exact"/>
        <w:ind w:firstLine="643" w:firstLineChars="200"/>
        <w:textAlignment w:val="auto"/>
        <w:rPr>
          <w:rFonts w:hint="default" w:ascii="宋体" w:hAnsi="宋体" w:eastAsia="宋体" w:cs="宋体"/>
          <w:color w:val="auto"/>
          <w:kern w:val="0"/>
          <w:sz w:val="32"/>
          <w:szCs w:val="32"/>
          <w:highlight w:val="none"/>
          <w:lang w:val="en-US" w:eastAsia="zh-CN"/>
        </w:rPr>
      </w:pPr>
      <w:r>
        <w:rPr>
          <w:rFonts w:hint="eastAsia" w:ascii="宋体" w:hAnsi="宋体" w:eastAsia="宋体" w:cs="仿宋_GB2312"/>
          <w:b/>
          <w:bCs/>
          <w:color w:val="auto"/>
          <w:kern w:val="0"/>
          <w:sz w:val="32"/>
          <w:szCs w:val="32"/>
          <w:highlight w:val="none"/>
        </w:rPr>
        <w:t>主管部门（公章）：</w:t>
      </w:r>
      <w:r>
        <w:rPr>
          <w:rFonts w:hint="eastAsia" w:ascii="宋体" w:hAnsi="宋体" w:eastAsia="宋体" w:cs="仿宋_GB2312"/>
          <w:b/>
          <w:bCs/>
          <w:color w:val="auto"/>
          <w:kern w:val="0"/>
          <w:sz w:val="32"/>
          <w:szCs w:val="32"/>
          <w:highlight w:val="none"/>
          <w:lang w:val="en-US" w:eastAsia="zh-CN"/>
        </w:rPr>
        <w:t>巴州卫健委</w:t>
      </w:r>
    </w:p>
    <w:p w14:paraId="170FF12B">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color w:val="auto"/>
          <w:kern w:val="0"/>
          <w:sz w:val="32"/>
          <w:szCs w:val="32"/>
          <w:highlight w:val="none"/>
          <w:lang w:val="en-US" w:eastAsia="zh-CN"/>
        </w:rPr>
      </w:pPr>
      <w:r>
        <w:rPr>
          <w:rFonts w:hint="eastAsia" w:ascii="宋体" w:hAnsi="宋体" w:eastAsia="宋体" w:cs="仿宋_GB2312"/>
          <w:b/>
          <w:bCs/>
          <w:color w:val="auto"/>
          <w:kern w:val="0"/>
          <w:sz w:val="32"/>
          <w:szCs w:val="32"/>
          <w:highlight w:val="none"/>
        </w:rPr>
        <w:t>项目负责人（签章）：</w:t>
      </w:r>
      <w:r>
        <w:rPr>
          <w:rFonts w:hint="eastAsia" w:ascii="宋体" w:hAnsi="宋体" w:eastAsia="宋体" w:cs="仿宋_GB2312"/>
          <w:b/>
          <w:bCs/>
          <w:color w:val="auto"/>
          <w:kern w:val="0"/>
          <w:sz w:val="32"/>
          <w:szCs w:val="32"/>
          <w:highlight w:val="none"/>
          <w:lang w:val="en-US" w:eastAsia="zh-CN"/>
        </w:rPr>
        <w:t>徐帮柱</w:t>
      </w:r>
    </w:p>
    <w:p w14:paraId="43048D9B">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auto"/>
          <w:kern w:val="0"/>
          <w:sz w:val="32"/>
          <w:szCs w:val="32"/>
          <w:highlight w:val="none"/>
        </w:rPr>
      </w:pPr>
      <w:r>
        <w:rPr>
          <w:rFonts w:hint="eastAsia" w:ascii="宋体" w:hAnsi="宋体" w:eastAsia="宋体" w:cs="仿宋_GB2312"/>
          <w:b/>
          <w:bCs/>
          <w:color w:val="auto"/>
          <w:kern w:val="0"/>
          <w:sz w:val="32"/>
          <w:szCs w:val="32"/>
          <w:highlight w:val="none"/>
        </w:rPr>
        <w:t>填报时间：</w:t>
      </w:r>
      <w:r>
        <w:rPr>
          <w:rFonts w:hint="eastAsia" w:ascii="宋体" w:hAnsi="宋体" w:eastAsia="宋体" w:cs="仿宋_GB2312"/>
          <w:color w:val="auto"/>
          <w:kern w:val="0"/>
          <w:sz w:val="32"/>
          <w:szCs w:val="32"/>
          <w:highlight w:val="none"/>
        </w:rPr>
        <w:t>202</w:t>
      </w:r>
      <w:r>
        <w:rPr>
          <w:rFonts w:hint="eastAsia" w:ascii="宋体" w:hAnsi="宋体" w:eastAsia="宋体" w:cs="仿宋_GB2312"/>
          <w:color w:val="auto"/>
          <w:kern w:val="0"/>
          <w:sz w:val="32"/>
          <w:szCs w:val="32"/>
          <w:highlight w:val="none"/>
          <w:lang w:val="en-US" w:eastAsia="zh-CN"/>
        </w:rPr>
        <w:t>4</w:t>
      </w:r>
      <w:r>
        <w:rPr>
          <w:rFonts w:hint="eastAsia" w:ascii="宋体" w:hAnsi="宋体" w:eastAsia="宋体" w:cs="仿宋_GB2312"/>
          <w:color w:val="auto"/>
          <w:kern w:val="0"/>
          <w:sz w:val="32"/>
          <w:szCs w:val="32"/>
          <w:highlight w:val="none"/>
        </w:rPr>
        <w:t xml:space="preserve">年 </w:t>
      </w:r>
      <w:r>
        <w:rPr>
          <w:rFonts w:hint="eastAsia" w:ascii="宋体" w:hAnsi="宋体" w:eastAsia="宋体" w:cs="仿宋_GB2312"/>
          <w:color w:val="auto"/>
          <w:kern w:val="0"/>
          <w:sz w:val="32"/>
          <w:szCs w:val="32"/>
          <w:highlight w:val="none"/>
          <w:lang w:val="en-US" w:eastAsia="zh-CN"/>
        </w:rPr>
        <w:t>5</w:t>
      </w:r>
      <w:r>
        <w:rPr>
          <w:rFonts w:hint="eastAsia" w:ascii="宋体" w:hAnsi="宋体" w:eastAsia="宋体" w:cs="仿宋_GB2312"/>
          <w:color w:val="auto"/>
          <w:kern w:val="0"/>
          <w:sz w:val="32"/>
          <w:szCs w:val="32"/>
          <w:highlight w:val="none"/>
        </w:rPr>
        <w:t>月</w:t>
      </w:r>
      <w:r>
        <w:rPr>
          <w:rFonts w:hint="eastAsia" w:ascii="宋体" w:hAnsi="宋体" w:eastAsia="宋体" w:cs="仿宋_GB2312"/>
          <w:color w:val="auto"/>
          <w:kern w:val="0"/>
          <w:sz w:val="32"/>
          <w:szCs w:val="32"/>
          <w:highlight w:val="none"/>
          <w:lang w:val="en-US" w:eastAsia="zh-CN"/>
        </w:rPr>
        <w:t>14</w:t>
      </w:r>
      <w:r>
        <w:rPr>
          <w:rFonts w:hint="eastAsia" w:ascii="宋体" w:hAnsi="宋体" w:eastAsia="宋体" w:cs="仿宋_GB2312"/>
          <w:color w:val="auto"/>
          <w:kern w:val="0"/>
          <w:sz w:val="32"/>
          <w:szCs w:val="32"/>
          <w:highlight w:val="none"/>
        </w:rPr>
        <w:t>日</w:t>
      </w:r>
    </w:p>
    <w:p w14:paraId="4EA901AF">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color w:val="auto"/>
          <w:sz w:val="36"/>
          <w:szCs w:val="36"/>
          <w:highlight w:val="none"/>
        </w:rPr>
      </w:pPr>
      <w:r>
        <w:rPr>
          <w:rFonts w:ascii="宋体" w:hAnsi="宋体" w:eastAsia="宋体" w:cs="Arial"/>
          <w:b/>
          <w:bCs/>
          <w:color w:val="auto"/>
          <w:sz w:val="36"/>
          <w:szCs w:val="36"/>
          <w:highlight w:val="none"/>
        </w:rPr>
        <w:br w:type="page"/>
      </w:r>
    </w:p>
    <w:p w14:paraId="04D5B40A">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color w:val="auto"/>
          <w:sz w:val="36"/>
          <w:szCs w:val="36"/>
          <w:highlight w:val="none"/>
        </w:rPr>
      </w:pPr>
      <w:r>
        <w:rPr>
          <w:rFonts w:hint="eastAsia" w:ascii="宋体" w:hAnsi="宋体" w:eastAsia="宋体" w:cs="Arial"/>
          <w:b/>
          <w:bCs/>
          <w:color w:val="auto"/>
          <w:sz w:val="36"/>
          <w:szCs w:val="36"/>
          <w:highlight w:val="none"/>
        </w:rPr>
        <w:t>项目支出</w:t>
      </w:r>
      <w:r>
        <w:rPr>
          <w:rFonts w:ascii="宋体" w:hAnsi="宋体" w:eastAsia="宋体" w:cs="Arial"/>
          <w:b/>
          <w:bCs/>
          <w:color w:val="auto"/>
          <w:sz w:val="36"/>
          <w:szCs w:val="36"/>
          <w:highlight w:val="none"/>
        </w:rPr>
        <w:t>绩效</w:t>
      </w:r>
      <w:r>
        <w:rPr>
          <w:rFonts w:hint="eastAsia" w:ascii="宋体" w:hAnsi="宋体" w:eastAsia="宋体" w:cs="Arial"/>
          <w:b/>
          <w:bCs/>
          <w:color w:val="auto"/>
          <w:sz w:val="36"/>
          <w:szCs w:val="36"/>
          <w:highlight w:val="none"/>
        </w:rPr>
        <w:t>评价报告</w:t>
      </w:r>
    </w:p>
    <w:p w14:paraId="01A73707">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color w:val="auto"/>
          <w:szCs w:val="30"/>
          <w:highlight w:val="none"/>
        </w:rPr>
      </w:pPr>
    </w:p>
    <w:p w14:paraId="63963CD8">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color w:val="auto"/>
          <w:sz w:val="32"/>
          <w:szCs w:val="32"/>
          <w:highlight w:val="none"/>
        </w:rPr>
      </w:pPr>
      <w:bookmarkStart w:id="0" w:name="_Toc68703827"/>
      <w:r>
        <w:rPr>
          <w:rFonts w:hint="eastAsia" w:ascii="宋体" w:hAnsi="宋体" w:eastAsia="宋体"/>
          <w:color w:val="auto"/>
          <w:sz w:val="32"/>
          <w:szCs w:val="32"/>
          <w:highlight w:val="none"/>
        </w:rPr>
        <w:t>一、基本情况</w:t>
      </w:r>
      <w:bookmarkEnd w:id="0"/>
    </w:p>
    <w:p w14:paraId="6FC986D5">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highlight w:val="none"/>
        </w:rPr>
      </w:pPr>
      <w:bookmarkStart w:id="1" w:name="_Toc68703828"/>
      <w:r>
        <w:rPr>
          <w:rFonts w:hint="eastAsia" w:ascii="仿宋_GB2312" w:eastAsia="仿宋_GB2312"/>
          <w:b w:val="0"/>
          <w:bCs w:val="0"/>
          <w:color w:val="auto"/>
          <w:highlight w:val="none"/>
        </w:rPr>
        <w:t>（一）项目概况。</w:t>
      </w:r>
      <w:bookmarkEnd w:id="1"/>
    </w:p>
    <w:p w14:paraId="17199E04">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rPr>
      </w:pPr>
      <w:r>
        <w:rPr>
          <w:rFonts w:hint="eastAsia" w:ascii="仿宋_GB2312"/>
          <w:color w:val="auto"/>
          <w:highlight w:val="none"/>
          <w:lang w:val="en-US" w:eastAsia="zh-CN"/>
        </w:rPr>
        <w:t>1.</w:t>
      </w:r>
      <w:r>
        <w:rPr>
          <w:rFonts w:hint="eastAsia" w:ascii="仿宋_GB2312"/>
          <w:color w:val="auto"/>
          <w:highlight w:val="none"/>
        </w:rPr>
        <w:t>项目背景，主要内容及实施情况</w:t>
      </w:r>
    </w:p>
    <w:p w14:paraId="4D79C04E">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rPr>
      </w:pPr>
      <w:r>
        <w:rPr>
          <w:rFonts w:hint="eastAsia" w:ascii="仿宋_GB2312"/>
          <w:color w:val="auto"/>
          <w:highlight w:val="none"/>
        </w:rPr>
        <w:t>（1）项目背景</w:t>
      </w:r>
    </w:p>
    <w:p w14:paraId="5E6802C7">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color w:val="auto"/>
          <w:highlight w:val="none"/>
          <w:lang w:val="en-US" w:eastAsia="zh-CN"/>
        </w:rPr>
      </w:pPr>
      <w:r>
        <w:rPr>
          <w:rFonts w:hint="eastAsia" w:ascii="仿宋_GB2312"/>
          <w:color w:val="auto"/>
          <w:highlight w:val="none"/>
          <w:lang w:val="en-US" w:eastAsia="zh-CN"/>
        </w:rPr>
        <w:t xml:space="preserve"> </w:t>
      </w:r>
      <w:r>
        <w:rPr>
          <w:rFonts w:hint="eastAsia"/>
          <w:color w:val="auto"/>
          <w:highlight w:val="none"/>
        </w:rPr>
        <w:t>巴州第二人民医院是一所以蒙医为基础，蒙医治疗方法为特色将蒙医药浴、温针、康复、理疗、推拿等各种治疗方法完美结合的二级甲等中医民族医院，</w:t>
      </w:r>
      <w:r>
        <w:rPr>
          <w:rFonts w:hint="eastAsia"/>
          <w:color w:val="auto"/>
          <w:highlight w:val="none"/>
          <w:lang w:val="en-US" w:eastAsia="zh-CN"/>
        </w:rPr>
        <w:t>目前，医院建筑面积16143.39m²，编制床位300张，实际开发床位315人，共有职工280人，公务用车6辆，</w:t>
      </w:r>
      <w:r>
        <w:rPr>
          <w:rFonts w:hint="eastAsia"/>
          <w:color w:val="auto"/>
          <w:highlight w:val="none"/>
        </w:rPr>
        <w:t>根据全面预算管理规定，单位自有资金也需要编制收支预算，范围为单位自有资金支出项目。</w:t>
      </w:r>
    </w:p>
    <w:p w14:paraId="7D0AF984">
      <w:pPr>
        <w:pageBreakBefore w:val="0"/>
        <w:kinsoku/>
        <w:wordWrap/>
        <w:overflowPunct/>
        <w:topLinePunct w:val="0"/>
        <w:autoSpaceDE/>
        <w:autoSpaceDN/>
        <w:bidi w:val="0"/>
        <w:adjustRightInd/>
        <w:snapToGrid/>
        <w:spacing w:line="560" w:lineRule="exact"/>
        <w:ind w:firstLine="600" w:firstLineChars="200"/>
        <w:textAlignment w:val="auto"/>
        <w:rPr>
          <w:rFonts w:ascii="仿宋_GB2312"/>
          <w:color w:val="auto"/>
          <w:highlight w:val="none"/>
        </w:rPr>
      </w:pPr>
      <w:r>
        <w:rPr>
          <w:rFonts w:hint="eastAsia" w:ascii="仿宋_GB2312"/>
          <w:color w:val="auto"/>
          <w:highlight w:val="none"/>
        </w:rPr>
        <w:t>（</w:t>
      </w:r>
      <w:r>
        <w:rPr>
          <w:rFonts w:hint="eastAsia" w:ascii="仿宋_GB2312"/>
          <w:color w:val="auto"/>
          <w:highlight w:val="none"/>
          <w:lang w:val="en-US" w:eastAsia="zh-CN"/>
        </w:rPr>
        <w:t>2</w:t>
      </w:r>
      <w:r>
        <w:rPr>
          <w:rFonts w:hint="eastAsia" w:ascii="仿宋_GB2312"/>
          <w:color w:val="auto"/>
          <w:highlight w:val="none"/>
        </w:rPr>
        <w:t>）主要内容</w:t>
      </w:r>
      <w:r>
        <w:rPr>
          <w:rFonts w:hint="eastAsia"/>
          <w:color w:val="auto"/>
          <w:highlight w:val="none"/>
        </w:rPr>
        <w:t>及</w:t>
      </w:r>
      <w:r>
        <w:rPr>
          <w:rFonts w:hint="eastAsia" w:ascii="仿宋_GB2312"/>
          <w:color w:val="auto"/>
          <w:highlight w:val="none"/>
        </w:rPr>
        <w:t>实施情况</w:t>
      </w:r>
    </w:p>
    <w:p w14:paraId="7DCCE806">
      <w:pPr>
        <w:pageBreakBefore w:val="0"/>
        <w:kinsoku/>
        <w:wordWrap/>
        <w:overflowPunct/>
        <w:topLinePunct w:val="0"/>
        <w:autoSpaceDE/>
        <w:autoSpaceDN/>
        <w:bidi w:val="0"/>
        <w:adjustRightInd/>
        <w:snapToGrid/>
        <w:spacing w:line="560" w:lineRule="exact"/>
        <w:ind w:firstLine="600" w:firstLineChars="200"/>
        <w:textAlignment w:val="auto"/>
        <w:rPr>
          <w:rFonts w:ascii="仿宋_GB2312"/>
          <w:color w:val="auto"/>
          <w:highlight w:val="none"/>
        </w:rPr>
      </w:pPr>
      <w:r>
        <w:rPr>
          <w:rFonts w:hint="eastAsia" w:ascii="仿宋_GB2312"/>
          <w:color w:val="auto"/>
          <w:highlight w:val="none"/>
        </w:rPr>
        <w:t>主要内容：</w:t>
      </w:r>
      <w:r>
        <w:rPr>
          <w:rFonts w:hint="eastAsia" w:ascii="仿宋_GB2312"/>
          <w:color w:val="auto"/>
          <w:highlight w:val="none"/>
          <w:lang w:val="en-US" w:eastAsia="zh-CN"/>
        </w:rPr>
        <w:t>严格按照目标设立的各阶段任务进行开展工作，</w:t>
      </w:r>
      <w:r>
        <w:rPr>
          <w:rFonts w:hint="eastAsia" w:ascii="仿宋_GB2312"/>
          <w:color w:val="auto"/>
          <w:highlight w:val="none"/>
        </w:rPr>
        <w:t>保障医院运转各项支出，各种医疗及总务物资可保证医疗活动正常开展，</w:t>
      </w:r>
      <w:r>
        <w:rPr>
          <w:rFonts w:hint="eastAsia" w:ascii="仿宋_GB2312"/>
          <w:color w:val="auto"/>
          <w:highlight w:val="none"/>
          <w:lang w:val="en-US" w:eastAsia="zh-CN"/>
        </w:rPr>
        <w:t>其内容包括人员经费、专业材料费和日常公用经费三部分</w:t>
      </w:r>
      <w:r>
        <w:rPr>
          <w:rFonts w:hint="eastAsia" w:ascii="仿宋_GB2312"/>
          <w:color w:val="auto"/>
          <w:highlight w:val="none"/>
        </w:rPr>
        <w:t>，</w:t>
      </w:r>
    </w:p>
    <w:p w14:paraId="7DA1D108">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color w:val="auto"/>
          <w:highlight w:val="none"/>
          <w:lang w:val="en-US" w:eastAsia="zh-CN"/>
        </w:rPr>
      </w:pPr>
      <w:r>
        <w:rPr>
          <w:rFonts w:hint="eastAsia" w:ascii="仿宋_GB2312"/>
          <w:color w:val="auto"/>
          <w:highlight w:val="none"/>
        </w:rPr>
        <w:t>实施情况：</w:t>
      </w:r>
      <w:r>
        <w:rPr>
          <w:rFonts w:hint="eastAsia" w:ascii="仿宋_GB2312"/>
          <w:color w:val="auto"/>
          <w:highlight w:val="none"/>
          <w:lang w:eastAsia="zh-CN"/>
        </w:rPr>
        <w:t>我们坚持以提高医疗服务质量为核心，合理安排资金使用，</w:t>
      </w:r>
      <w:r>
        <w:rPr>
          <w:rFonts w:hint="eastAsia" w:ascii="仿宋_GB2312"/>
          <w:color w:val="auto"/>
          <w:highlight w:val="none"/>
        </w:rPr>
        <w:t>及时准确的发放职工12月工资，发放12次职工工资，购置12次专用材料</w:t>
      </w:r>
      <w:r>
        <w:rPr>
          <w:rFonts w:hint="eastAsia" w:ascii="仿宋_GB2312"/>
          <w:color w:val="auto"/>
          <w:highlight w:val="none"/>
          <w:lang w:eastAsia="zh-CN"/>
        </w:rPr>
        <w:t>，及时购置医院日常开展相关物资，保障了医院正常运转，完成日常工作任务所必需的开支。</w:t>
      </w:r>
    </w:p>
    <w:p w14:paraId="196EA627">
      <w:pPr>
        <w:pageBreakBefore w:val="0"/>
        <w:kinsoku/>
        <w:wordWrap/>
        <w:overflowPunct/>
        <w:topLinePunct w:val="0"/>
        <w:autoSpaceDE/>
        <w:autoSpaceDN/>
        <w:bidi w:val="0"/>
        <w:adjustRightInd/>
        <w:snapToGrid/>
        <w:spacing w:line="560" w:lineRule="exact"/>
        <w:ind w:firstLine="600" w:firstLineChars="200"/>
        <w:textAlignment w:val="auto"/>
        <w:rPr>
          <w:rFonts w:ascii="仿宋_GB2312"/>
          <w:color w:val="auto"/>
          <w:highlight w:val="none"/>
        </w:rPr>
      </w:pPr>
      <w:r>
        <w:rPr>
          <w:rFonts w:hint="eastAsia" w:ascii="仿宋_GB2312"/>
          <w:color w:val="auto"/>
          <w:highlight w:val="none"/>
          <w:lang w:val="en-US" w:eastAsia="zh-CN"/>
        </w:rPr>
        <w:t>2.</w:t>
      </w:r>
      <w:r>
        <w:rPr>
          <w:rFonts w:hint="eastAsia" w:ascii="仿宋_GB2312"/>
          <w:color w:val="auto"/>
          <w:highlight w:val="none"/>
        </w:rPr>
        <w:t>资金投入和使用情况</w:t>
      </w:r>
    </w:p>
    <w:p w14:paraId="67081F3D">
      <w:pPr>
        <w:pageBreakBefore w:val="0"/>
        <w:kinsoku/>
        <w:wordWrap/>
        <w:overflowPunct/>
        <w:topLinePunct w:val="0"/>
        <w:autoSpaceDE/>
        <w:autoSpaceDN/>
        <w:bidi w:val="0"/>
        <w:adjustRightInd/>
        <w:snapToGrid/>
        <w:spacing w:line="560" w:lineRule="exact"/>
        <w:ind w:firstLine="600" w:firstLineChars="200"/>
        <w:textAlignment w:val="auto"/>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资金投入情况：该项目年初预算数</w:t>
      </w:r>
      <w:r>
        <w:rPr>
          <w:rFonts w:hint="eastAsia"/>
          <w:color w:val="auto"/>
          <w:highlight w:val="none"/>
          <w:lang w:val="en-US" w:eastAsia="zh-CN"/>
        </w:rPr>
        <w:t>4089.7</w:t>
      </w:r>
      <w:r>
        <w:rPr>
          <w:rFonts w:hint="eastAsia"/>
          <w:color w:val="auto"/>
          <w:highlight w:val="none"/>
        </w:rPr>
        <w:t>万元，全年预算数</w:t>
      </w:r>
      <w:r>
        <w:rPr>
          <w:rFonts w:hint="eastAsia"/>
          <w:color w:val="auto"/>
          <w:highlight w:val="none"/>
          <w:lang w:val="en-US" w:eastAsia="zh-CN"/>
        </w:rPr>
        <w:t>4089.7</w:t>
      </w:r>
      <w:r>
        <w:rPr>
          <w:rFonts w:hint="eastAsia"/>
          <w:color w:val="auto"/>
          <w:highlight w:val="none"/>
        </w:rPr>
        <w:t>万元，实际总投入</w:t>
      </w:r>
      <w:r>
        <w:rPr>
          <w:rFonts w:hint="eastAsia"/>
          <w:color w:val="auto"/>
          <w:highlight w:val="none"/>
          <w:lang w:val="en-US" w:eastAsia="zh-CN"/>
        </w:rPr>
        <w:t>4089.7</w:t>
      </w:r>
      <w:r>
        <w:rPr>
          <w:rFonts w:hint="eastAsia"/>
          <w:color w:val="auto"/>
          <w:highlight w:val="none"/>
        </w:rPr>
        <w:t>万元，该项目资金已全部落实到位，资金来源为</w:t>
      </w:r>
      <w:r>
        <w:rPr>
          <w:rFonts w:hint="eastAsia"/>
          <w:color w:val="auto"/>
          <w:highlight w:val="none"/>
          <w:lang w:val="en-US" w:eastAsia="zh-CN"/>
        </w:rPr>
        <w:t>单位自有资金</w:t>
      </w:r>
      <w:r>
        <w:rPr>
          <w:rFonts w:hint="eastAsia"/>
          <w:color w:val="auto"/>
          <w:highlight w:val="none"/>
        </w:rPr>
        <w:t>。</w:t>
      </w:r>
    </w:p>
    <w:p w14:paraId="5EA92844">
      <w:pPr>
        <w:pageBreakBefore w:val="0"/>
        <w:kinsoku/>
        <w:wordWrap/>
        <w:overflowPunct/>
        <w:topLinePunct w:val="0"/>
        <w:autoSpaceDE/>
        <w:autoSpaceDN/>
        <w:bidi w:val="0"/>
        <w:adjustRightInd/>
        <w:snapToGrid/>
        <w:spacing w:line="560" w:lineRule="exact"/>
        <w:ind w:firstLine="600" w:firstLineChars="200"/>
        <w:textAlignment w:val="auto"/>
        <w:rPr>
          <w:color w:val="auto"/>
          <w:highlight w:val="none"/>
        </w:rPr>
      </w:pPr>
      <w:r>
        <w:rPr>
          <w:rFonts w:hint="eastAsia"/>
          <w:color w:val="auto"/>
          <w:highlight w:val="none"/>
          <w:lang w:eastAsia="zh-CN"/>
        </w:rPr>
        <w:t>（</w:t>
      </w:r>
      <w:r>
        <w:rPr>
          <w:rFonts w:hint="eastAsia"/>
          <w:color w:val="auto"/>
          <w:highlight w:val="none"/>
          <w:lang w:val="en-US" w:eastAsia="zh-CN"/>
        </w:rPr>
        <w:t>2</w:t>
      </w:r>
      <w:r>
        <w:rPr>
          <w:rFonts w:hint="eastAsia"/>
          <w:color w:val="auto"/>
          <w:highlight w:val="none"/>
          <w:lang w:eastAsia="zh-CN"/>
        </w:rPr>
        <w:t>）</w:t>
      </w:r>
      <w:r>
        <w:rPr>
          <w:rFonts w:hint="eastAsia"/>
          <w:color w:val="auto"/>
          <w:highlight w:val="none"/>
        </w:rPr>
        <w:t>资金使用情况：该项目年初预算数</w:t>
      </w:r>
      <w:r>
        <w:rPr>
          <w:rFonts w:hint="eastAsia"/>
          <w:color w:val="auto"/>
          <w:highlight w:val="none"/>
          <w:lang w:val="en-US" w:eastAsia="zh-CN"/>
        </w:rPr>
        <w:t>4089.7</w:t>
      </w:r>
      <w:r>
        <w:rPr>
          <w:rFonts w:hint="eastAsia"/>
          <w:color w:val="auto"/>
          <w:highlight w:val="none"/>
        </w:rPr>
        <w:t>万元，全年预算数</w:t>
      </w:r>
      <w:r>
        <w:rPr>
          <w:rFonts w:hint="eastAsia"/>
          <w:color w:val="auto"/>
          <w:highlight w:val="none"/>
          <w:lang w:val="en-US" w:eastAsia="zh-CN"/>
        </w:rPr>
        <w:t>4089.7</w:t>
      </w:r>
      <w:r>
        <w:rPr>
          <w:rFonts w:hint="eastAsia"/>
          <w:color w:val="auto"/>
          <w:highlight w:val="none"/>
        </w:rPr>
        <w:t>万元，全年执行数</w:t>
      </w:r>
      <w:r>
        <w:rPr>
          <w:rFonts w:hint="eastAsia"/>
          <w:color w:val="auto"/>
          <w:highlight w:val="none"/>
          <w:lang w:val="en-US" w:eastAsia="zh-CN"/>
        </w:rPr>
        <w:t>4089.7</w:t>
      </w:r>
      <w:r>
        <w:rPr>
          <w:rFonts w:hint="eastAsia"/>
          <w:color w:val="auto"/>
          <w:highlight w:val="none"/>
        </w:rPr>
        <w:t>万元，预算执行率为</w:t>
      </w:r>
      <w:r>
        <w:rPr>
          <w:rFonts w:hint="eastAsia"/>
          <w:color w:val="auto"/>
          <w:highlight w:val="none"/>
          <w:lang w:val="en-US" w:eastAsia="zh-CN"/>
        </w:rPr>
        <w:t>100</w:t>
      </w:r>
      <w:r>
        <w:rPr>
          <w:rFonts w:hint="eastAsia"/>
          <w:color w:val="auto"/>
          <w:highlight w:val="none"/>
        </w:rPr>
        <w:t>%，用于：1、人员类经费</w:t>
      </w:r>
      <w:r>
        <w:rPr>
          <w:rFonts w:hint="eastAsia"/>
          <w:color w:val="auto"/>
          <w:highlight w:val="none"/>
          <w:lang w:val="en-US" w:eastAsia="zh-CN"/>
        </w:rPr>
        <w:t>1896</w:t>
      </w:r>
      <w:r>
        <w:rPr>
          <w:rFonts w:hint="eastAsia"/>
          <w:color w:val="auto"/>
          <w:highlight w:val="none"/>
        </w:rPr>
        <w:t>万元，用于发放职工社保和工资。2、运转公用经费</w:t>
      </w:r>
      <w:r>
        <w:rPr>
          <w:rFonts w:hint="eastAsia"/>
          <w:color w:val="auto"/>
          <w:highlight w:val="none"/>
          <w:lang w:val="en-US" w:eastAsia="zh-CN"/>
        </w:rPr>
        <w:t>784.7</w:t>
      </w:r>
      <w:r>
        <w:rPr>
          <w:rFonts w:hint="eastAsia"/>
          <w:color w:val="auto"/>
          <w:highlight w:val="none"/>
        </w:rPr>
        <w:t>万元，用于医院的正常运转经费。3、购置专用材料费</w:t>
      </w:r>
      <w:r>
        <w:rPr>
          <w:rFonts w:hint="eastAsia"/>
          <w:color w:val="auto"/>
          <w:highlight w:val="none"/>
          <w:lang w:val="en-US" w:eastAsia="zh-CN"/>
        </w:rPr>
        <w:t>1409</w:t>
      </w:r>
      <w:r>
        <w:rPr>
          <w:rFonts w:hint="eastAsia"/>
          <w:color w:val="auto"/>
          <w:highlight w:val="none"/>
        </w:rPr>
        <w:t>万元，用于医院采购药品款和耗材款。</w:t>
      </w:r>
    </w:p>
    <w:p w14:paraId="1053D52E">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b w:val="0"/>
          <w:bCs w:val="0"/>
          <w:color w:val="auto"/>
          <w:highlight w:val="none"/>
          <w:lang w:val="en-US" w:eastAsia="zh-CN"/>
        </w:rPr>
      </w:pPr>
      <w:bookmarkStart w:id="2" w:name="_Toc68703829"/>
      <w:r>
        <w:rPr>
          <w:rFonts w:hint="eastAsia" w:ascii="仿宋_GB2312" w:eastAsia="仿宋_GB2312"/>
          <w:b w:val="0"/>
          <w:bCs w:val="0"/>
          <w:color w:val="auto"/>
          <w:highlight w:val="none"/>
        </w:rPr>
        <w:t>（二）项目绩效目标</w:t>
      </w:r>
      <w:bookmarkEnd w:id="2"/>
      <w:r>
        <w:rPr>
          <w:rFonts w:hint="eastAsia" w:ascii="仿宋_GB2312" w:eastAsia="仿宋_GB2312"/>
          <w:b w:val="0"/>
          <w:bCs w:val="0"/>
          <w:color w:val="auto"/>
          <w:highlight w:val="none"/>
          <w:lang w:eastAsia="zh-CN"/>
        </w:rPr>
        <w:t>，</w:t>
      </w:r>
      <w:r>
        <w:rPr>
          <w:rFonts w:hint="eastAsia"/>
          <w:color w:val="auto"/>
          <w:highlight w:val="none"/>
        </w:rPr>
        <w:t>包括总体目标和阶段性目标。</w:t>
      </w:r>
    </w:p>
    <w:p w14:paraId="728F4392">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rPr>
        <w:t>1</w:t>
      </w:r>
      <w:r>
        <w:rPr>
          <w:rFonts w:hint="eastAsia"/>
          <w:color w:val="auto"/>
          <w:highlight w:val="none"/>
          <w:lang w:val="en-US" w:eastAsia="zh-CN"/>
        </w:rPr>
        <w:t>.</w:t>
      </w:r>
      <w:r>
        <w:rPr>
          <w:rFonts w:hint="eastAsia"/>
          <w:color w:val="auto"/>
          <w:highlight w:val="none"/>
        </w:rPr>
        <w:t>总体目标：我院共有280名职工，及时准确的发放职工12月工资，发放12次职工工资，购置12次专用材料，保障医院运转各项支出，各种医疗及总务物资可保证医疗活动正常开展，体现公立医院公益性，提升公立医院服务能力。</w:t>
      </w:r>
      <w:r>
        <w:rPr>
          <w:rFonts w:hint="eastAsia"/>
          <w:color w:val="auto"/>
          <w:highlight w:val="none"/>
          <w:lang w:val="en-US" w:eastAsia="zh-CN"/>
        </w:rPr>
        <w:t xml:space="preserve"> </w:t>
      </w:r>
    </w:p>
    <w:p w14:paraId="2EF89513">
      <w:pPr>
        <w:pageBreakBefore w:val="0"/>
        <w:kinsoku/>
        <w:wordWrap/>
        <w:overflowPunct/>
        <w:topLinePunct w:val="0"/>
        <w:autoSpaceDE/>
        <w:autoSpaceDN/>
        <w:bidi w:val="0"/>
        <w:adjustRightInd/>
        <w:snapToGrid/>
        <w:spacing w:line="560" w:lineRule="exact"/>
        <w:ind w:firstLine="600" w:firstLineChars="200"/>
        <w:textAlignment w:val="auto"/>
        <w:rPr>
          <w:rFonts w:hint="default" w:eastAsia="仿宋_GB2312"/>
          <w:color w:val="auto"/>
          <w:highlight w:val="none"/>
          <w:lang w:val="en-US" w:eastAsia="zh-CN"/>
        </w:rPr>
      </w:pPr>
      <w:r>
        <w:rPr>
          <w:color w:val="auto"/>
          <w:highlight w:val="none"/>
        </w:rPr>
        <w:t>2</w:t>
      </w:r>
      <w:r>
        <w:rPr>
          <w:rFonts w:hint="eastAsia"/>
          <w:color w:val="auto"/>
          <w:highlight w:val="none"/>
          <w:lang w:val="en-US" w:eastAsia="zh-CN"/>
        </w:rPr>
        <w:t>.</w:t>
      </w:r>
      <w:r>
        <w:rPr>
          <w:rFonts w:hint="eastAsia"/>
          <w:color w:val="auto"/>
          <w:highlight w:val="none"/>
        </w:rPr>
        <w:t>阶段性目标：</w:t>
      </w:r>
      <w:r>
        <w:rPr>
          <w:rFonts w:hint="eastAsia"/>
          <w:color w:val="auto"/>
          <w:highlight w:val="none"/>
          <w:lang w:val="en-US" w:eastAsia="zh-CN"/>
        </w:rPr>
        <w:t>2023年1-6月，计划按时发放1-6月在职职工工资，严格控制药品采购成本，计划购置6次专用材料费，不超过704.5万元，日常公用经费不超过392.35万元；2023年7-12月,计划发放7-12月在职职工工资，严格控制药品采购成本，购置专用材料费不超过704.5万元，日常公用经费不超过392.35万元;</w:t>
      </w:r>
      <w:r>
        <w:rPr>
          <w:rFonts w:hint="eastAsia"/>
          <w:color w:val="auto"/>
          <w:highlight w:val="none"/>
        </w:rPr>
        <w:t>推进药品价格改革，提高医疗卫生服务质量。体现公立医院公益性，提升公立医院服务能力。</w:t>
      </w:r>
    </w:p>
    <w:p w14:paraId="715391BE">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color w:val="auto"/>
          <w:sz w:val="32"/>
          <w:szCs w:val="32"/>
          <w:highlight w:val="none"/>
        </w:rPr>
      </w:pPr>
      <w:bookmarkStart w:id="3" w:name="_Toc68703830"/>
      <w:r>
        <w:rPr>
          <w:rFonts w:hint="eastAsia" w:ascii="宋体" w:hAnsi="宋体" w:eastAsia="宋体"/>
          <w:color w:val="auto"/>
          <w:sz w:val="32"/>
          <w:szCs w:val="32"/>
          <w:highlight w:val="none"/>
        </w:rPr>
        <w:t>二、绩效评价工作开展情况</w:t>
      </w:r>
      <w:bookmarkEnd w:id="3"/>
    </w:p>
    <w:p w14:paraId="207D5362">
      <w:pPr>
        <w:pageBreakBefore w:val="0"/>
        <w:kinsoku/>
        <w:wordWrap/>
        <w:overflowPunct/>
        <w:topLinePunct w:val="0"/>
        <w:autoSpaceDE/>
        <w:autoSpaceDN/>
        <w:bidi w:val="0"/>
        <w:adjustRightInd/>
        <w:snapToGrid/>
        <w:spacing w:line="560" w:lineRule="exact"/>
        <w:ind w:firstLine="600" w:firstLineChars="200"/>
        <w:textAlignment w:val="auto"/>
        <w:rPr>
          <w:rFonts w:hint="default"/>
          <w:color w:val="auto"/>
          <w:highlight w:val="none"/>
          <w:lang w:val="en-US" w:eastAsia="zh-CN"/>
        </w:rPr>
      </w:pPr>
      <w:bookmarkStart w:id="4" w:name="_Toc68703831"/>
      <w:r>
        <w:rPr>
          <w:rFonts w:hint="eastAsia"/>
          <w:color w:val="auto"/>
          <w:highlight w:val="none"/>
        </w:rPr>
        <w:t>（一）绩效评价目的、对象和范围。</w:t>
      </w:r>
      <w:bookmarkEnd w:id="4"/>
    </w:p>
    <w:p w14:paraId="008BCEC1">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bookmarkStart w:id="5" w:name="_Toc68703839"/>
      <w:r>
        <w:rPr>
          <w:rFonts w:hint="eastAsia"/>
          <w:color w:val="auto"/>
          <w:highlight w:val="none"/>
          <w:lang w:val="en-US" w:eastAsia="zh-CN"/>
        </w:rPr>
        <w:t>1.绩效评价目的：</w:t>
      </w:r>
    </w:p>
    <w:p w14:paraId="5858761F">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通过绩效评价，客观地评判项目的管理绩效，了解和掌握单位经费的具体情况，评价该项目资金安排的科学性、合理性、规范性和资金的使用成效，及时总结项目管理经验，完善项目管理办法，提高项目管理水平和资金使用效益。促使中心根据绩效评价中发现的问题，认真加以整改，及时调整和完善单位的工作计划并加强项目绩效管理，同时为项目后续资金投入、分配和管理提供决策依据。</w:t>
      </w:r>
    </w:p>
    <w:p w14:paraId="56061976">
      <w:pPr>
        <w:pageBreakBefore w:val="0"/>
        <w:kinsoku/>
        <w:wordWrap/>
        <w:overflowPunct/>
        <w:topLinePunct w:val="0"/>
        <w:autoSpaceDE/>
        <w:autoSpaceDN/>
        <w:bidi w:val="0"/>
        <w:adjustRightInd/>
        <w:snapToGrid/>
        <w:spacing w:line="560" w:lineRule="exact"/>
        <w:ind w:firstLine="600" w:firstLineChars="200"/>
        <w:textAlignment w:val="auto"/>
        <w:rPr>
          <w:rFonts w:hint="default"/>
          <w:color w:val="auto"/>
          <w:highlight w:val="none"/>
          <w:lang w:val="en-US" w:eastAsia="zh-CN"/>
        </w:rPr>
      </w:pPr>
      <w:r>
        <w:rPr>
          <w:rFonts w:hint="eastAsia"/>
          <w:color w:val="auto"/>
          <w:highlight w:val="none"/>
          <w:lang w:val="en-US" w:eastAsia="zh-CN"/>
        </w:rPr>
        <w:t>2.绩效评价对象：巴州第二人民医院单位经费</w:t>
      </w:r>
    </w:p>
    <w:p w14:paraId="7FEEEE86">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3.绩效评价范围：</w:t>
      </w:r>
    </w:p>
    <w:p w14:paraId="28DADA38">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本次评价从项目决策（包括绩效目标、决策过程）、项目管理（包括项目资金、项目实施）、项目产出（包括项目产出数量、产出质量、产出时效和产出成本）项目效益四个维度进行单位经费评价，评价核心为资金的支出完成情况和效果。</w:t>
      </w:r>
    </w:p>
    <w:p w14:paraId="1CB32322">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bookmarkStart w:id="6" w:name="_Toc68703832"/>
      <w:r>
        <w:rPr>
          <w:rFonts w:hint="eastAsia"/>
          <w:color w:val="auto"/>
          <w:highlight w:val="none"/>
          <w:lang w:val="en-US" w:eastAsia="zh-CN"/>
        </w:rPr>
        <w:t>（二）绩效评价原则、评价指标体系（附表说明）、评价方法、评价标准等。</w:t>
      </w:r>
      <w:bookmarkEnd w:id="6"/>
    </w:p>
    <w:p w14:paraId="6DA54FB8">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1.绩效评价原则</w:t>
      </w:r>
    </w:p>
    <w:p w14:paraId="6B1C728A">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本次项目绩效评价遵循以下基本原则</w:t>
      </w:r>
    </w:p>
    <w:p w14:paraId="57A2F32C">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一）科学公正。本次项目绩效评价按照项目支出评价指标体系中评价要点，为体现公平性原则我院成立巴州第二人民医院绩效管理领导小组，由巴图宝力都院长、于文华书记担任领导小组组长，徐帮柱副院长、杨金山副院长、永刚副院长担任副组长，办公室主任由徐帮柱副院长担任，成员由克泽、巴都木才次克、王戈、王丽、敖特红、阎捷、洪格尔等相关科室主任组成，对项目预期设定的绩效目标与实际工作内容进行客观、公正的评价。</w:t>
      </w:r>
    </w:p>
    <w:p w14:paraId="09741E79">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二）统筹兼顾。本次项目支出绩效评价由中心绩效评价工作组组织实施，严格执行“谁支出、谁负责”、“谁使用、谁评价”的原则。部门评价和财政评价在单位自评的基础上开展，配合财政部门委托的第三方机构实施绩效评价工作。</w:t>
      </w:r>
    </w:p>
    <w:p w14:paraId="233375EE">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（三）激励约束。本次项目支出绩效评价由我院领导班子牵头，各科室配合实施绩效自评工作，明确责任，有效要安排、低效要压减、无效要问责。做到绩效管理有依据、有奖惩，合理的使用专项资金。</w:t>
      </w:r>
    </w:p>
    <w:p w14:paraId="00822F2C">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（四）公开透明。本次项目支出绩效评价结果已依法依规公开在巴州人民政府网站上，并自觉接受社会监督。</w:t>
      </w:r>
    </w:p>
    <w:p w14:paraId="6094086F">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2、评价指标体系（附表说明）</w:t>
      </w:r>
    </w:p>
    <w:p w14:paraId="25DB5F00">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绩效评价框架是开展绩效评价的核心。绩效评价框架包括评价准则、关键评价问题、评价指标、数据来源、数据收集方法等。指标体系建立过程如下：</w:t>
      </w:r>
    </w:p>
    <w:p w14:paraId="597C382E">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（1）确定评价指标</w:t>
      </w:r>
    </w:p>
    <w:p w14:paraId="688FC174">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采用层次分析法，建立评价指标体系。绩效评价将指标分为项目决策指标、项目过程指标、项目产出指标、项目效益指标四个维度，最终形成一个由多个相互联系的指标组成的多层次指标体系。</w:t>
      </w:r>
    </w:p>
    <w:p w14:paraId="108F72EC">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（2）确定权重</w:t>
      </w:r>
    </w:p>
    <w:p w14:paraId="12CCFD8C">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确定各个指标相对于项目总体绩效的权重分值。在绩效评价指标体系中，项目决策权重为20分，项目过程权重为20分，项目产出权重为40分，项目效益权重为20分。</w:t>
      </w:r>
    </w:p>
    <w:p w14:paraId="544D11A0">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（3）确定指标标准值</w:t>
      </w:r>
    </w:p>
    <w:p w14:paraId="5DDCA928">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指标标准值是绩效评价指标的尺度，既要反映同类项目的先进水平，又要符合项目的实际绩效水平。具体采用计划标准等确定此次绩效评价指标标准值。</w:t>
      </w:r>
    </w:p>
    <w:p w14:paraId="43C3FFDF">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2742F6DE">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评价指标体系表附后</w:t>
      </w:r>
    </w:p>
    <w:p w14:paraId="0D646112">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3、评价方法</w:t>
      </w:r>
    </w:p>
    <w:p w14:paraId="3CB898AB">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绩效评价从项目决策、项目过程、项目产出、项目效益四个维度进行评价。评价对象为项目目标实施情况，评价核心为资金的支出完成情况和项目的产出效益。</w:t>
      </w:r>
    </w:p>
    <w:p w14:paraId="56B96B77">
      <w:pPr>
        <w:pageBreakBefore w:val="0"/>
        <w:kinsoku/>
        <w:wordWrap/>
        <w:overflowPunct/>
        <w:topLinePunct w:val="0"/>
        <w:autoSpaceDE/>
        <w:autoSpaceDN/>
        <w:bidi w:val="0"/>
        <w:adjustRightInd/>
        <w:snapToGrid/>
        <w:spacing w:line="560" w:lineRule="exact"/>
        <w:ind w:firstLine="600" w:firstLineChars="200"/>
        <w:textAlignment w:val="auto"/>
        <w:rPr>
          <w:rFonts w:hint="default"/>
          <w:color w:val="auto"/>
          <w:highlight w:val="none"/>
          <w:lang w:val="en-US" w:eastAsia="zh-CN"/>
        </w:rPr>
      </w:pPr>
      <w:r>
        <w:rPr>
          <w:rFonts w:hint="eastAsia"/>
          <w:color w:val="auto"/>
          <w:highlight w:val="none"/>
          <w:lang w:val="en-US" w:eastAsia="zh-CN"/>
        </w:rPr>
        <w:t>本次评价指标中，既有定性指标又有定量指标，各类指标因考核内容不同和客观标准不同存在较大差异，因此核定具体指标时采用了不同方法，具体评价采用比较法，原因是通过绩效目标和实施情况、历史与当前情况，综合分析绩效目标实施的程度，对项目绩效最终实施情况与年初制定绩效目标进行比较，项目执行情况与年初预算进行比较。</w:t>
      </w:r>
    </w:p>
    <w:p w14:paraId="088F6C22">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4.评价标准</w:t>
      </w:r>
    </w:p>
    <w:p w14:paraId="5878EF28">
      <w:pPr>
        <w:pageBreakBefore w:val="0"/>
        <w:kinsoku/>
        <w:wordWrap/>
        <w:overflowPunct/>
        <w:topLinePunct w:val="0"/>
        <w:autoSpaceDE/>
        <w:autoSpaceDN/>
        <w:bidi w:val="0"/>
        <w:adjustRightInd/>
        <w:snapToGrid/>
        <w:spacing w:line="560" w:lineRule="exact"/>
        <w:ind w:firstLine="600" w:firstLineChars="200"/>
        <w:textAlignment w:val="auto"/>
        <w:rPr>
          <w:rFonts w:hint="default"/>
          <w:color w:val="auto"/>
          <w:highlight w:val="none"/>
          <w:lang w:val="en-US" w:eastAsia="zh-CN"/>
        </w:rPr>
      </w:pPr>
      <w:r>
        <w:rPr>
          <w:rFonts w:hint="eastAsia"/>
          <w:color w:val="auto"/>
          <w:highlight w:val="none"/>
          <w:lang w:val="en-US" w:eastAsia="zh-CN"/>
        </w:rPr>
        <w:t>绩效评价标准通常包括计划标准、行业标准、历史标准等，用于对绩效指标完成情况进行比较、分析、评价。本次评价主要采用了计划标准，原因是根据工作计划预先制定的目标、计划、预算、定额标准作为项目实施完成情况的评价标准。</w:t>
      </w:r>
    </w:p>
    <w:p w14:paraId="1D8B612F">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highlight w:val="none"/>
        </w:rPr>
      </w:pPr>
      <w:bookmarkStart w:id="7" w:name="_Toc68703833"/>
      <w:r>
        <w:rPr>
          <w:rFonts w:hint="eastAsia" w:ascii="仿宋_GB2312" w:eastAsia="仿宋_GB2312"/>
          <w:b w:val="0"/>
          <w:bCs w:val="0"/>
          <w:highlight w:val="none"/>
          <w:lang w:val="en-US" w:eastAsia="zh-CN"/>
        </w:rPr>
        <w:t>（三）</w:t>
      </w:r>
      <w:r>
        <w:rPr>
          <w:rFonts w:hint="eastAsia" w:ascii="仿宋_GB2312" w:eastAsia="仿宋_GB2312"/>
          <w:b w:val="0"/>
          <w:bCs w:val="0"/>
          <w:highlight w:val="none"/>
        </w:rPr>
        <w:t>绩效评价工作过程。</w:t>
      </w:r>
      <w:bookmarkEnd w:id="7"/>
    </w:p>
    <w:p w14:paraId="67922335">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default"/>
          <w:color w:val="auto"/>
          <w:highlight w:val="none"/>
          <w:lang w:val="en-US" w:eastAsia="zh-CN"/>
        </w:rPr>
        <w:t>1.</w:t>
      </w:r>
      <w:r>
        <w:rPr>
          <w:rFonts w:hint="eastAsia"/>
          <w:color w:val="auto"/>
          <w:highlight w:val="none"/>
          <w:lang w:val="en-US" w:eastAsia="zh-CN"/>
        </w:rPr>
        <w:t>前期准备。中心成立了预算绩效管理领导小组，按照《巴州第二人民医院预算绩效管理制度》，开展了项目绩效自评工作的前期调研；明确评价对象，评价工作目标及评价要求，了解项目总体情况、绩效评价政策、评价标准，收集相关资料；确定现场和非现场评价范围，设计了项目评价所需资料清单，制定评价工作方案。</w:t>
      </w:r>
    </w:p>
    <w:p w14:paraId="6657372B">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default"/>
          <w:color w:val="auto"/>
          <w:highlight w:val="none"/>
          <w:lang w:val="en-US" w:eastAsia="zh-CN"/>
        </w:rPr>
        <w:t>2.</w:t>
      </w:r>
      <w:r>
        <w:rPr>
          <w:rFonts w:hint="eastAsia"/>
          <w:color w:val="auto"/>
          <w:highlight w:val="none"/>
          <w:lang w:val="en-US" w:eastAsia="zh-CN"/>
        </w:rPr>
        <w:t>组织实施。评价工作组根据绩效评价工作方案，到项目实施科室了解项目的完成情况，查阅相关文件、规章制度、工作台账等资料；查看与项目相关的财务会计报表、账簿、会计凭证、了解项目的收支情况、审核专款专用情况、财政资金到位情况、实际支出情况、预算执行情况、项目立项的依据、对于重大资金的支付是否提交党委会审议通过、制作调查问卷等资料进行收集整理。</w:t>
      </w:r>
    </w:p>
    <w:p w14:paraId="784F1AFD">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default"/>
          <w:color w:val="auto"/>
          <w:highlight w:val="none"/>
          <w:lang w:val="en-US" w:eastAsia="zh-CN"/>
        </w:rPr>
        <w:t>3.</w:t>
      </w:r>
      <w:r>
        <w:rPr>
          <w:rFonts w:hint="eastAsia"/>
          <w:color w:val="auto"/>
          <w:highlight w:val="none"/>
          <w:lang w:val="en-US" w:eastAsia="zh-CN"/>
        </w:rPr>
        <w:t>分析评价。评价工作组根据项目收集梳理的资料，项目的立项符合法律法规，资金全额到位，对于项目资金的支付，严格按照巴州第二人民医院财务管理制度执行，在资金使用上有完整的报账程序和手续，在财务核算上做到了专项核算、专款专用、不存在截留、挤占、挪用、虚列支出等情况。对项目数量指标、质量指标、时效指标、成本指标、社会效益指标、满意度指标对照进行详细全面的分析评价，逐项打分并形成绩效评价最终结果。</w:t>
      </w:r>
    </w:p>
    <w:p w14:paraId="6563E72C">
      <w:pPr>
        <w:pageBreakBefore w:val="0"/>
        <w:kinsoku/>
        <w:wordWrap/>
        <w:overflowPunct/>
        <w:topLinePunct w:val="0"/>
        <w:autoSpaceDE/>
        <w:autoSpaceDN/>
        <w:bidi w:val="0"/>
        <w:adjustRightInd/>
        <w:snapToGrid/>
        <w:spacing w:line="560" w:lineRule="exact"/>
        <w:ind w:firstLine="602" w:firstLineChars="200"/>
        <w:textAlignment w:val="auto"/>
        <w:rPr>
          <w:rFonts w:hint="eastAsia" w:ascii="宋体" w:hAnsi="宋体" w:eastAsia="宋体" w:cs="宋体"/>
          <w:b/>
          <w:bCs/>
          <w:color w:val="auto"/>
          <w:highlight w:val="none"/>
          <w:lang w:val="en-US" w:eastAsia="zh-CN"/>
        </w:rPr>
      </w:pPr>
      <w:bookmarkStart w:id="8" w:name="_Toc68703834"/>
      <w:r>
        <w:rPr>
          <w:rFonts w:hint="eastAsia" w:ascii="宋体" w:hAnsi="宋体" w:eastAsia="宋体" w:cs="宋体"/>
          <w:b/>
          <w:bCs/>
          <w:color w:val="auto"/>
          <w:highlight w:val="none"/>
          <w:lang w:val="en-US" w:eastAsia="zh-CN"/>
        </w:rPr>
        <w:t>三、综合评价情况及评价结论</w:t>
      </w:r>
      <w:bookmarkEnd w:id="8"/>
    </w:p>
    <w:p w14:paraId="2E78BB13">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bookmarkStart w:id="9" w:name="_Toc68703835"/>
      <w:r>
        <w:rPr>
          <w:rFonts w:hint="eastAsia"/>
          <w:color w:val="auto"/>
          <w:highlight w:val="none"/>
          <w:lang w:val="en-US" w:eastAsia="zh-CN"/>
        </w:rPr>
        <w:t>（一）综合评价情况</w:t>
      </w:r>
      <w:bookmarkEnd w:id="9"/>
      <w:r>
        <w:rPr>
          <w:rFonts w:hint="eastAsia"/>
          <w:color w:val="auto"/>
          <w:highlight w:val="none"/>
          <w:lang w:val="en-US" w:eastAsia="zh-CN"/>
        </w:rPr>
        <w:t>及评价结论</w:t>
      </w:r>
    </w:p>
    <w:p w14:paraId="49CAE8E9">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1.综合评价情况：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38323E11">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本项目严格按照科学公正、统筹兼顾、激励约束、公开透明的绩效评价原则，采用比较法，坚持计划标准对本项目的立项、绩效目标、资金投入、资金管理、组织实施、产出数量、产出质量、产出时效、产出成本、项目效益进行了综合评价。</w:t>
      </w:r>
    </w:p>
    <w:p w14:paraId="73AA0189">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bookmarkStart w:id="10" w:name="_Toc68703836"/>
      <w:r>
        <w:rPr>
          <w:rFonts w:hint="eastAsia"/>
          <w:color w:val="auto"/>
          <w:highlight w:val="none"/>
          <w:lang w:val="en-US" w:eastAsia="zh-CN"/>
        </w:rPr>
        <w:t>2.评价结论</w:t>
      </w:r>
      <w:bookmarkEnd w:id="10"/>
    </w:p>
    <w:p w14:paraId="4A325547">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运用绩效评价组制定的评价指标体系以及财政部《项目支出绩效评价管理办法》（财预〔2020〕10号）文件的评分标准，通过数据采集、问卷调查及访谈等方式，对本项目进行客观评价，最终评分结果：总得分为99.66分，属于“优”。其中，项目决策类指标权重为20分，得分为 20分，得分率为 100%。项目过程类指标权重为20分，得分为20分，得分率为 100%。项目产出类指标权重为40分，得分为40分，得分率为 100%。项目效益类指标权重为20分，得分为19.66分，得分率为98.30%。</w:t>
      </w:r>
    </w:p>
    <w:p w14:paraId="0F8495DD">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（二）相关评分表</w:t>
      </w:r>
    </w:p>
    <w:p w14:paraId="3A9E1A69">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具体打分情况详见：附件1综合评分表。</w:t>
      </w:r>
    </w:p>
    <w:p w14:paraId="3E6B6313">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rPr>
      </w:pPr>
      <w:r>
        <w:rPr>
          <w:rFonts w:hint="eastAsia"/>
          <w:color w:val="auto"/>
          <w:highlight w:val="none"/>
          <w:lang w:val="en-US" w:eastAsia="zh-CN"/>
        </w:rPr>
        <w:t>单位经费项目评价得分情况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14:paraId="213025E2">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5F50C3CA">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auto"/>
                <w:sz w:val="22"/>
                <w:highlight w:val="none"/>
              </w:rPr>
            </w:pPr>
            <w:r>
              <w:rPr>
                <w:rFonts w:hint="eastAsia"/>
                <w:b/>
                <w:bCs/>
                <w:color w:val="auto"/>
                <w:sz w:val="22"/>
                <w:highlight w:val="none"/>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03D3363C">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auto"/>
                <w:sz w:val="22"/>
                <w:highlight w:val="none"/>
              </w:rPr>
            </w:pPr>
            <w:r>
              <w:rPr>
                <w:rFonts w:hint="eastAsia"/>
                <w:b/>
                <w:bCs/>
                <w:color w:val="auto"/>
                <w:sz w:val="22"/>
                <w:highlight w:val="none"/>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1C003E9">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auto"/>
                <w:sz w:val="22"/>
                <w:highlight w:val="none"/>
              </w:rPr>
            </w:pPr>
            <w:r>
              <w:rPr>
                <w:rFonts w:hint="eastAsia"/>
                <w:b/>
                <w:bCs/>
                <w:color w:val="auto"/>
                <w:sz w:val="22"/>
                <w:highlight w:val="none"/>
              </w:rPr>
              <w:t>得分</w:t>
            </w:r>
          </w:p>
        </w:tc>
      </w:tr>
      <w:tr w14:paraId="08067A3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8A8AA67">
            <w:pPr>
              <w:pageBreakBefore w:val="0"/>
              <w:kinsoku/>
              <w:wordWrap/>
              <w:overflowPunct/>
              <w:topLinePunct w:val="0"/>
              <w:autoSpaceDE/>
              <w:autoSpaceDN/>
              <w:bidi w:val="0"/>
              <w:adjustRightInd/>
              <w:snapToGrid/>
              <w:spacing w:line="560" w:lineRule="exact"/>
              <w:ind w:firstLine="440" w:firstLineChars="200"/>
              <w:jc w:val="center"/>
              <w:textAlignment w:val="auto"/>
              <w:rPr>
                <w:color w:val="auto"/>
                <w:sz w:val="22"/>
                <w:highlight w:val="none"/>
              </w:rPr>
            </w:pPr>
            <w:r>
              <w:rPr>
                <w:rFonts w:hint="eastAsia"/>
                <w:color w:val="auto"/>
                <w:sz w:val="22"/>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14:paraId="7E5A538B">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auto"/>
                <w:sz w:val="22"/>
                <w:highlight w:val="none"/>
                <w:lang w:val="en-US" w:eastAsia="zh-CN"/>
              </w:rPr>
            </w:pPr>
            <w:r>
              <w:rPr>
                <w:rFonts w:hint="eastAsia"/>
                <w:color w:val="auto"/>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6AB51E4">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auto"/>
                <w:sz w:val="22"/>
                <w:highlight w:val="none"/>
                <w:lang w:val="en-US" w:eastAsia="zh-CN"/>
              </w:rPr>
            </w:pPr>
            <w:r>
              <w:rPr>
                <w:rFonts w:hint="eastAsia"/>
                <w:color w:val="auto"/>
                <w:sz w:val="22"/>
                <w:highlight w:val="none"/>
                <w:lang w:val="en-US" w:eastAsia="zh-CN"/>
              </w:rPr>
              <w:t>20</w:t>
            </w:r>
          </w:p>
        </w:tc>
      </w:tr>
      <w:tr w14:paraId="58F8648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4AA0886">
            <w:pPr>
              <w:pageBreakBefore w:val="0"/>
              <w:kinsoku/>
              <w:wordWrap/>
              <w:overflowPunct/>
              <w:topLinePunct w:val="0"/>
              <w:autoSpaceDE/>
              <w:autoSpaceDN/>
              <w:bidi w:val="0"/>
              <w:adjustRightInd/>
              <w:snapToGrid/>
              <w:spacing w:line="560" w:lineRule="exact"/>
              <w:ind w:firstLine="440" w:firstLineChars="200"/>
              <w:jc w:val="center"/>
              <w:textAlignment w:val="auto"/>
              <w:rPr>
                <w:color w:val="auto"/>
                <w:sz w:val="22"/>
                <w:highlight w:val="none"/>
              </w:rPr>
            </w:pPr>
            <w:r>
              <w:rPr>
                <w:rFonts w:hint="eastAsia"/>
                <w:color w:val="auto"/>
                <w:sz w:val="22"/>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14:paraId="7E7A5970">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auto"/>
                <w:sz w:val="22"/>
                <w:highlight w:val="none"/>
                <w:lang w:val="en-US" w:eastAsia="zh-CN"/>
              </w:rPr>
            </w:pPr>
            <w:r>
              <w:rPr>
                <w:rFonts w:hint="eastAsia"/>
                <w:color w:val="auto"/>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3853A626">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auto"/>
                <w:sz w:val="22"/>
                <w:highlight w:val="none"/>
                <w:lang w:val="en-US" w:eastAsia="zh-CN"/>
              </w:rPr>
            </w:pPr>
            <w:r>
              <w:rPr>
                <w:rFonts w:hint="eastAsia"/>
                <w:color w:val="auto"/>
                <w:sz w:val="22"/>
                <w:highlight w:val="none"/>
                <w:lang w:val="en-US" w:eastAsia="zh-CN"/>
              </w:rPr>
              <w:t>20</w:t>
            </w:r>
          </w:p>
        </w:tc>
      </w:tr>
      <w:tr w14:paraId="0C2D9D4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10DF198">
            <w:pPr>
              <w:pageBreakBefore w:val="0"/>
              <w:kinsoku/>
              <w:wordWrap/>
              <w:overflowPunct/>
              <w:topLinePunct w:val="0"/>
              <w:autoSpaceDE/>
              <w:autoSpaceDN/>
              <w:bidi w:val="0"/>
              <w:adjustRightInd/>
              <w:snapToGrid/>
              <w:spacing w:line="560" w:lineRule="exact"/>
              <w:ind w:firstLine="440" w:firstLineChars="200"/>
              <w:jc w:val="center"/>
              <w:textAlignment w:val="auto"/>
              <w:rPr>
                <w:color w:val="auto"/>
                <w:sz w:val="22"/>
                <w:highlight w:val="none"/>
              </w:rPr>
            </w:pPr>
            <w:r>
              <w:rPr>
                <w:rFonts w:hint="eastAsia"/>
                <w:color w:val="auto"/>
                <w:sz w:val="22"/>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14:paraId="6F449EE5">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auto"/>
                <w:sz w:val="22"/>
                <w:highlight w:val="none"/>
                <w:lang w:val="en-US" w:eastAsia="zh-CN"/>
              </w:rPr>
            </w:pPr>
            <w:r>
              <w:rPr>
                <w:rFonts w:hint="eastAsia"/>
                <w:color w:val="auto"/>
                <w:sz w:val="22"/>
                <w:highlight w:val="none"/>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00CA522E">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auto"/>
                <w:sz w:val="22"/>
                <w:highlight w:val="none"/>
                <w:lang w:val="en-US" w:eastAsia="zh-CN"/>
              </w:rPr>
            </w:pPr>
            <w:r>
              <w:rPr>
                <w:rFonts w:hint="eastAsia"/>
                <w:color w:val="auto"/>
                <w:sz w:val="22"/>
                <w:highlight w:val="none"/>
                <w:lang w:val="en-US" w:eastAsia="zh-CN"/>
              </w:rPr>
              <w:t>40</w:t>
            </w:r>
          </w:p>
        </w:tc>
      </w:tr>
      <w:tr w14:paraId="1B2A8AE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C4AF0AD">
            <w:pPr>
              <w:pageBreakBefore w:val="0"/>
              <w:kinsoku/>
              <w:wordWrap/>
              <w:overflowPunct/>
              <w:topLinePunct w:val="0"/>
              <w:autoSpaceDE/>
              <w:autoSpaceDN/>
              <w:bidi w:val="0"/>
              <w:adjustRightInd/>
              <w:snapToGrid/>
              <w:spacing w:line="560" w:lineRule="exact"/>
              <w:ind w:firstLine="440" w:firstLineChars="200"/>
              <w:jc w:val="center"/>
              <w:textAlignment w:val="auto"/>
              <w:rPr>
                <w:color w:val="auto"/>
                <w:sz w:val="22"/>
                <w:highlight w:val="none"/>
              </w:rPr>
            </w:pPr>
            <w:r>
              <w:rPr>
                <w:rFonts w:hint="eastAsia"/>
                <w:color w:val="auto"/>
                <w:sz w:val="22"/>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14:paraId="5BCAC3B0">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auto"/>
                <w:sz w:val="22"/>
                <w:highlight w:val="none"/>
                <w:lang w:val="en-US" w:eastAsia="zh-CN"/>
              </w:rPr>
            </w:pPr>
            <w:r>
              <w:rPr>
                <w:rFonts w:hint="eastAsia"/>
                <w:color w:val="auto"/>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31C0D43B">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auto"/>
                <w:sz w:val="22"/>
                <w:highlight w:val="none"/>
                <w:lang w:val="en-US" w:eastAsia="zh-CN"/>
              </w:rPr>
            </w:pPr>
            <w:r>
              <w:rPr>
                <w:rFonts w:hint="eastAsia"/>
                <w:color w:val="auto"/>
                <w:sz w:val="22"/>
                <w:highlight w:val="none"/>
                <w:lang w:val="en-US" w:eastAsia="zh-CN"/>
              </w:rPr>
              <w:t>19.66</w:t>
            </w:r>
          </w:p>
        </w:tc>
      </w:tr>
      <w:tr w14:paraId="50383874">
        <w:tblPrEx>
          <w:tblCellMar>
            <w:top w:w="0" w:type="dxa"/>
            <w:left w:w="108" w:type="dxa"/>
            <w:bottom w:w="0" w:type="dxa"/>
            <w:right w:w="108" w:type="dxa"/>
          </w:tblCellMar>
        </w:tblPrEx>
        <w:trPr>
          <w:trHeight w:val="615"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77400A1">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auto"/>
                <w:sz w:val="22"/>
                <w:highlight w:val="none"/>
              </w:rPr>
            </w:pPr>
            <w:r>
              <w:rPr>
                <w:rFonts w:hint="eastAsia" w:cs="宋体"/>
                <w:b/>
                <w:bCs/>
                <w:color w:val="auto"/>
                <w:sz w:val="22"/>
                <w:highlight w:val="none"/>
              </w:rPr>
              <w:t>合计</w:t>
            </w:r>
          </w:p>
        </w:tc>
        <w:tc>
          <w:tcPr>
            <w:tcW w:w="2168" w:type="dxa"/>
            <w:tcBorders>
              <w:top w:val="nil"/>
              <w:left w:val="nil"/>
              <w:bottom w:val="single" w:color="auto" w:sz="4" w:space="0"/>
              <w:right w:val="single" w:color="auto" w:sz="4" w:space="0"/>
            </w:tcBorders>
            <w:shd w:val="clear" w:color="auto" w:fill="auto"/>
            <w:vAlign w:val="center"/>
          </w:tcPr>
          <w:p w14:paraId="65785502">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auto"/>
                <w:sz w:val="22"/>
                <w:highlight w:val="none"/>
                <w:lang w:val="en-US" w:eastAsia="zh-CN"/>
              </w:rPr>
            </w:pPr>
            <w:r>
              <w:rPr>
                <w:rFonts w:hint="eastAsia"/>
                <w:b/>
                <w:bCs/>
                <w:color w:val="auto"/>
                <w:sz w:val="22"/>
                <w:highlight w:val="none"/>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49EBF15D">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highlight w:val="none"/>
                <w:lang w:val="en-US" w:eastAsia="zh-CN"/>
              </w:rPr>
            </w:pPr>
            <w:r>
              <w:rPr>
                <w:rFonts w:hint="eastAsia"/>
                <w:color w:val="auto"/>
                <w:sz w:val="22"/>
                <w:highlight w:val="none"/>
                <w:lang w:val="en-US" w:eastAsia="zh-CN"/>
              </w:rPr>
              <w:t>99.66</w:t>
            </w:r>
          </w:p>
        </w:tc>
      </w:tr>
    </w:tbl>
    <w:p w14:paraId="3FD0DC8F">
      <w:pPr>
        <w:pStyle w:val="2"/>
        <w:pageBreakBefore w:val="0"/>
        <w:kinsoku/>
        <w:wordWrap/>
        <w:overflowPunct/>
        <w:topLinePunct w:val="0"/>
        <w:autoSpaceDE/>
        <w:autoSpaceDN/>
        <w:bidi w:val="0"/>
        <w:adjustRightInd/>
        <w:snapToGrid/>
        <w:spacing w:before="0" w:after="0" w:line="560" w:lineRule="exact"/>
        <w:ind w:firstLine="640" w:firstLineChars="200"/>
        <w:textAlignment w:val="auto"/>
        <w:rPr>
          <w:color w:val="auto"/>
          <w:highlight w:val="none"/>
        </w:rPr>
      </w:pPr>
    </w:p>
    <w:p w14:paraId="2C148D66">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color w:val="auto"/>
          <w:sz w:val="32"/>
          <w:szCs w:val="32"/>
          <w:highlight w:val="none"/>
        </w:rPr>
      </w:pPr>
      <w:bookmarkStart w:id="11" w:name="_Toc68703837"/>
      <w:r>
        <w:rPr>
          <w:rFonts w:hint="eastAsia" w:ascii="宋体" w:hAnsi="宋体" w:eastAsia="宋体"/>
          <w:color w:val="auto"/>
          <w:sz w:val="32"/>
          <w:szCs w:val="32"/>
          <w:highlight w:val="none"/>
        </w:rPr>
        <w:t>四、绩效评价指标分析</w:t>
      </w:r>
      <w:bookmarkEnd w:id="11"/>
    </w:p>
    <w:p w14:paraId="5D2C1ED0">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Times New Roman" w:hAnsi="Times New Roman" w:eastAsia="仿宋_GB2312" w:cs="Times New Roman"/>
          <w:b w:val="0"/>
          <w:bCs w:val="0"/>
          <w:color w:val="auto"/>
          <w:kern w:val="2"/>
          <w:sz w:val="30"/>
          <w:szCs w:val="24"/>
          <w:highlight w:val="none"/>
          <w:lang w:val="en-US" w:eastAsia="zh-CN" w:bidi="ar-SA"/>
        </w:rPr>
      </w:pPr>
      <w:bookmarkStart w:id="12" w:name="_Toc68703838"/>
      <w:r>
        <w:rPr>
          <w:rFonts w:hint="eastAsia" w:ascii="Times New Roman" w:hAnsi="Times New Roman" w:eastAsia="仿宋_GB2312" w:cs="Times New Roman"/>
          <w:b w:val="0"/>
          <w:bCs w:val="0"/>
          <w:color w:val="auto"/>
          <w:kern w:val="2"/>
          <w:sz w:val="30"/>
          <w:szCs w:val="24"/>
          <w:highlight w:val="none"/>
          <w:lang w:val="en-US" w:eastAsia="zh-CN" w:bidi="ar-SA"/>
        </w:rPr>
        <w:t>（一）项目决策情况。</w:t>
      </w:r>
      <w:bookmarkEnd w:id="12"/>
    </w:p>
    <w:p w14:paraId="6EA61633">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1.立项依据充分性</w:t>
      </w:r>
    </w:p>
    <w:p w14:paraId="02673CA0">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auto"/>
          <w:kern w:val="2"/>
          <w:sz w:val="30"/>
          <w:szCs w:val="24"/>
          <w:highlight w:val="none"/>
          <w:lang w:val="en-US" w:eastAsia="zh-Hans" w:bidi="ar-SA"/>
        </w:rPr>
      </w:pPr>
      <w:r>
        <w:rPr>
          <w:rFonts w:hint="eastAsia" w:ascii="Times New Roman" w:hAnsi="Times New Roman" w:eastAsia="仿宋_GB2312" w:cs="Times New Roman"/>
          <w:b w:val="0"/>
          <w:bCs w:val="0"/>
          <w:color w:val="auto"/>
          <w:kern w:val="2"/>
          <w:sz w:val="30"/>
          <w:szCs w:val="24"/>
          <w:highlight w:val="none"/>
          <w:lang w:val="en-US" w:eastAsia="zh-Hans" w:bidi="ar-SA"/>
        </w:rPr>
        <w:t>该项目立项</w:t>
      </w:r>
      <w:r>
        <w:rPr>
          <w:rFonts w:hint="eastAsia" w:ascii="Times New Roman" w:hAnsi="Times New Roman" w:eastAsia="仿宋_GB2312" w:cs="Times New Roman"/>
          <w:b w:val="0"/>
          <w:bCs w:val="0"/>
          <w:color w:val="auto"/>
          <w:kern w:val="2"/>
          <w:sz w:val="30"/>
          <w:szCs w:val="24"/>
          <w:highlight w:val="none"/>
          <w:lang w:val="en-US" w:eastAsia="zh-CN" w:bidi="ar-SA"/>
        </w:rPr>
        <w:t>根据自治区党委，自治区人民政府《关于全面实施预算绩效管理的实施意见》（新党发【2018】30号）和自治区财政厅《关于自治区全面</w:t>
      </w:r>
      <w:r>
        <w:rPr>
          <w:rFonts w:hint="eastAsia" w:cs="Times New Roman"/>
          <w:b w:val="0"/>
          <w:bCs w:val="0"/>
          <w:color w:val="auto"/>
          <w:kern w:val="2"/>
          <w:sz w:val="30"/>
          <w:szCs w:val="24"/>
          <w:highlight w:val="none"/>
          <w:lang w:val="en-US" w:eastAsia="zh-CN" w:bidi="ar-SA"/>
        </w:rPr>
        <w:t>实施</w:t>
      </w:r>
      <w:r>
        <w:rPr>
          <w:rFonts w:hint="eastAsia" w:ascii="Times New Roman" w:hAnsi="Times New Roman" w:eastAsia="仿宋_GB2312" w:cs="Times New Roman"/>
          <w:b w:val="0"/>
          <w:bCs w:val="0"/>
          <w:color w:val="auto"/>
          <w:kern w:val="2"/>
          <w:sz w:val="30"/>
          <w:szCs w:val="24"/>
          <w:highlight w:val="none"/>
          <w:lang w:val="en-US" w:eastAsia="zh-CN" w:bidi="ar-SA"/>
        </w:rPr>
        <w:t>预算绩效管理的工作方案》（新财预【2018】158号）精神，</w:t>
      </w:r>
      <w:r>
        <w:rPr>
          <w:rFonts w:hint="eastAsia" w:ascii="Times New Roman" w:hAnsi="Times New Roman" w:eastAsia="仿宋_GB2312" w:cs="Times New Roman"/>
          <w:b w:val="0"/>
          <w:bCs w:val="0"/>
          <w:color w:val="auto"/>
          <w:kern w:val="2"/>
          <w:sz w:val="30"/>
          <w:szCs w:val="24"/>
          <w:highlight w:val="none"/>
          <w:lang w:val="en-US" w:eastAsia="zh-Hans" w:bidi="ar-SA"/>
        </w:rPr>
        <w:t>立项符合国家相关法律法规及发展政策，符合行业规划要求，项目立项与部门职责范围相符，属于部门履职所需；围绕本年度工作重点和工作计划制定经费预算，属于公共财政支持范围。符合中央、地方事权支出责任划分原则；本项目与部门内部其他相关项目不重复。</w:t>
      </w:r>
    </w:p>
    <w:p w14:paraId="7F5D01D8">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此项权重分4分，得分4分。</w:t>
      </w:r>
    </w:p>
    <w:p w14:paraId="017E13B4">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2.立项程序规范性</w:t>
      </w:r>
    </w:p>
    <w:p w14:paraId="184BDF7D">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cs="Times New Roman"/>
          <w:b w:val="0"/>
          <w:bCs w:val="0"/>
          <w:color w:val="auto"/>
          <w:kern w:val="2"/>
          <w:sz w:val="30"/>
          <w:szCs w:val="24"/>
          <w:highlight w:val="none"/>
          <w:lang w:val="en-US" w:eastAsia="zh-CN" w:bidi="ar-SA"/>
        </w:rPr>
        <w:t>巴州第二人民医院</w:t>
      </w:r>
      <w:r>
        <w:rPr>
          <w:rFonts w:hint="eastAsia" w:ascii="Times New Roman" w:hAnsi="Times New Roman" w:eastAsia="仿宋_GB2312" w:cs="Times New Roman"/>
          <w:b w:val="0"/>
          <w:bCs w:val="0"/>
          <w:color w:val="auto"/>
          <w:kern w:val="2"/>
          <w:sz w:val="30"/>
          <w:szCs w:val="24"/>
          <w:highlight w:val="none"/>
          <w:lang w:val="en-US" w:eastAsia="zh-CN" w:bidi="ar-SA"/>
        </w:rPr>
        <w:t>单位经费项目申请、设立过程符合</w:t>
      </w:r>
      <w:r>
        <w:rPr>
          <w:rFonts w:hint="eastAsia" w:cs="Times New Roman"/>
          <w:b w:val="0"/>
          <w:bCs w:val="0"/>
          <w:color w:val="auto"/>
          <w:kern w:val="2"/>
          <w:sz w:val="30"/>
          <w:szCs w:val="24"/>
          <w:highlight w:val="none"/>
          <w:lang w:val="en-US" w:eastAsia="zh-CN" w:bidi="ar-SA"/>
        </w:rPr>
        <w:t>《巴州第二人民医院预算编制管理办法》</w:t>
      </w:r>
      <w:r>
        <w:rPr>
          <w:rFonts w:hint="eastAsia" w:ascii="Times New Roman" w:hAnsi="Times New Roman" w:eastAsia="仿宋_GB2312" w:cs="Times New Roman"/>
          <w:b w:val="0"/>
          <w:bCs w:val="0"/>
          <w:color w:val="auto"/>
          <w:kern w:val="2"/>
          <w:sz w:val="30"/>
          <w:szCs w:val="24"/>
          <w:highlight w:val="none"/>
          <w:lang w:val="en-US" w:eastAsia="zh-CN" w:bidi="ar-SA"/>
        </w:rPr>
        <w:t>，</w:t>
      </w:r>
      <w:r>
        <w:rPr>
          <w:rFonts w:hint="eastAsia" w:ascii="Times New Roman" w:hAnsi="Times New Roman" w:eastAsia="仿宋_GB2312" w:cs="Times New Roman"/>
          <w:b w:val="0"/>
          <w:bCs w:val="0"/>
          <w:color w:val="auto"/>
          <w:kern w:val="2"/>
          <w:sz w:val="30"/>
          <w:szCs w:val="24"/>
          <w:highlight w:val="none"/>
          <w:lang w:val="en-US" w:eastAsia="zh-Hans" w:bidi="ar-SA"/>
        </w:rPr>
        <w:t>严格按照审批流程准备符合要求的文件、材料；</w:t>
      </w:r>
      <w:r>
        <w:rPr>
          <w:rFonts w:hint="eastAsia" w:ascii="Times New Roman" w:hAnsi="Times New Roman" w:eastAsia="仿宋_GB2312" w:cs="Times New Roman"/>
          <w:b w:val="0"/>
          <w:bCs w:val="0"/>
          <w:color w:val="auto"/>
          <w:kern w:val="2"/>
          <w:sz w:val="30"/>
          <w:szCs w:val="24"/>
          <w:highlight w:val="none"/>
          <w:lang w:val="en-US" w:eastAsia="zh-CN" w:bidi="ar-SA"/>
        </w:rPr>
        <w:t>根据决算依据编制工作计划经费预算，经过与部门项目分管领导沟通、筛选确定经费预算计划，确定最终预算方案。项目的审批文件、材料符合相关要求，项目事前经过必要的研究、风险评估、绩效评估、集体决策，保障了程序的规范性。</w:t>
      </w:r>
    </w:p>
    <w:p w14:paraId="4A856412">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此项权重分4分，得分4分。</w:t>
      </w:r>
    </w:p>
    <w:p w14:paraId="679EC225">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3.绩效目标合理性</w:t>
      </w:r>
    </w:p>
    <w:p w14:paraId="4B71274D">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单位经费项目设立了年初绩效目标，与实际工作内容相符合，具有相关性，项目的预期产出效益与效果均符合实际工作中的工作量，达到正常的业绩水平。项目绩效目标与项目投资相匹配。</w:t>
      </w:r>
    </w:p>
    <w:p w14:paraId="2EBECF57">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此项权重分3分，得分3分。</w:t>
      </w:r>
    </w:p>
    <w:p w14:paraId="5333311D">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4.绩效指标明确性</w:t>
      </w:r>
    </w:p>
    <w:p w14:paraId="5046D0A6">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auto"/>
          <w:kern w:val="2"/>
          <w:sz w:val="30"/>
          <w:szCs w:val="24"/>
          <w:highlight w:val="none"/>
          <w:lang w:val="en-US" w:eastAsia="zh-CN" w:bidi="ar-SA"/>
        </w:rPr>
      </w:pPr>
      <w:bookmarkStart w:id="13" w:name="_Hlk68699917"/>
      <w:r>
        <w:rPr>
          <w:rFonts w:hint="eastAsia" w:ascii="Times New Roman" w:hAnsi="Times New Roman" w:eastAsia="仿宋_GB2312" w:cs="Times New Roman"/>
          <w:b w:val="0"/>
          <w:bCs w:val="0"/>
          <w:color w:val="auto"/>
          <w:kern w:val="2"/>
          <w:sz w:val="30"/>
          <w:szCs w:val="24"/>
          <w:highlight w:val="none"/>
          <w:lang w:val="en-US" w:eastAsia="zh-CN" w:bidi="ar-SA"/>
        </w:rPr>
        <w:t>单位经费项目将项目绩效目标细化分解为具体的绩效指标，一级指标共4条，二级指标共6条，三级指标共</w:t>
      </w:r>
      <w:r>
        <w:rPr>
          <w:rFonts w:hint="eastAsia" w:cs="Times New Roman"/>
          <w:b w:val="0"/>
          <w:bCs w:val="0"/>
          <w:color w:val="auto"/>
          <w:kern w:val="2"/>
          <w:sz w:val="30"/>
          <w:szCs w:val="24"/>
          <w:highlight w:val="none"/>
          <w:lang w:val="en-US" w:eastAsia="zh-CN" w:bidi="ar-SA"/>
        </w:rPr>
        <w:t>16</w:t>
      </w:r>
      <w:r>
        <w:rPr>
          <w:rFonts w:hint="eastAsia" w:ascii="Times New Roman" w:hAnsi="Times New Roman" w:eastAsia="仿宋_GB2312" w:cs="Times New Roman"/>
          <w:b w:val="0"/>
          <w:bCs w:val="0"/>
          <w:color w:val="auto"/>
          <w:kern w:val="2"/>
          <w:sz w:val="30"/>
          <w:szCs w:val="24"/>
          <w:highlight w:val="none"/>
          <w:lang w:val="en-US" w:eastAsia="zh-CN" w:bidi="ar-SA"/>
        </w:rPr>
        <w:t>条，其中量化指标条数共</w:t>
      </w:r>
      <w:r>
        <w:rPr>
          <w:rFonts w:hint="eastAsia" w:cs="Times New Roman"/>
          <w:b w:val="0"/>
          <w:bCs w:val="0"/>
          <w:color w:val="auto"/>
          <w:kern w:val="2"/>
          <w:sz w:val="30"/>
          <w:szCs w:val="24"/>
          <w:highlight w:val="none"/>
          <w:lang w:val="en-US" w:eastAsia="zh-CN" w:bidi="ar-SA"/>
        </w:rPr>
        <w:t>15</w:t>
      </w:r>
      <w:r>
        <w:rPr>
          <w:rFonts w:hint="eastAsia" w:ascii="Times New Roman" w:hAnsi="Times New Roman" w:eastAsia="仿宋_GB2312" w:cs="Times New Roman"/>
          <w:b w:val="0"/>
          <w:bCs w:val="0"/>
          <w:color w:val="auto"/>
          <w:kern w:val="2"/>
          <w:sz w:val="30"/>
          <w:szCs w:val="24"/>
          <w:highlight w:val="none"/>
          <w:lang w:val="en-US" w:eastAsia="zh-CN" w:bidi="ar-SA"/>
        </w:rPr>
        <w:t>条，所有绩效指标均通过清晰、可衡量的指标值予以体现，并且做到了与项目目标任务数或计划数相对应。</w:t>
      </w:r>
      <w:bookmarkEnd w:id="13"/>
    </w:p>
    <w:p w14:paraId="401E6FA2">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此项权重分3分，得分3分。</w:t>
      </w:r>
    </w:p>
    <w:p w14:paraId="1BD8DC1B">
      <w:pPr>
        <w:pageBreakBefore w:val="0"/>
        <w:numPr>
          <w:ilvl w:val="0"/>
          <w:numId w:val="1"/>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预算编制科学性</w:t>
      </w:r>
    </w:p>
    <w:p w14:paraId="6DF5C4C6">
      <w:pPr>
        <w:pStyle w:val="2"/>
        <w:keepNext w:val="0"/>
        <w:keepLines w:val="0"/>
        <w:pageBreakBefore w:val="0"/>
        <w:widowControl/>
        <w:numPr>
          <w:ilvl w:val="0"/>
          <w:numId w:val="0"/>
        </w:numPr>
        <w:kinsoku/>
        <w:wordWrap/>
        <w:overflowPunct/>
        <w:topLinePunct w:val="0"/>
        <w:autoSpaceDE/>
        <w:autoSpaceDN/>
        <w:bidi w:val="0"/>
        <w:adjustRightInd/>
        <w:snapToGrid/>
        <w:spacing w:line="560" w:lineRule="exact"/>
        <w:ind w:firstLine="600" w:firstLineChars="200"/>
        <w:jc w:val="both"/>
        <w:textAlignment w:val="auto"/>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巴州第二人民医院单位经费预算编制经过科学论证，经过与院领导多次沟通、筛选、科学论证后最终确定，通过预算各类指标经费测算及预期所要达到的目标来编制，项目预算内容与开展单位经费项目等内容相匹配。项目预算额度测算依据充分，项目预算确定的项目资金量与我单位工作任务相匹配。</w:t>
      </w:r>
    </w:p>
    <w:p w14:paraId="21FE38A2">
      <w:pPr>
        <w:pStyle w:val="2"/>
        <w:numPr>
          <w:ilvl w:val="0"/>
          <w:numId w:val="0"/>
        </w:numPr>
        <w:ind w:firstLine="600" w:firstLineChars="200"/>
        <w:jc w:val="both"/>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此项权重分3分，得分3分。</w:t>
      </w:r>
    </w:p>
    <w:p w14:paraId="68831EEC">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6.资金分配合理性</w:t>
      </w:r>
    </w:p>
    <w:p w14:paraId="7E7A2B78">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单位经费项目预算资金分配按照下达的指标额度和《中华人民共和国预算法》进行编制，分配依据充分。资金金分配额度合理，与项目实际发生工作内容相符合。</w:t>
      </w:r>
    </w:p>
    <w:p w14:paraId="1A2ED302">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此项权重分3分，得分3分。</w:t>
      </w:r>
    </w:p>
    <w:p w14:paraId="3D70027F">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（二）项目过程情况。</w:t>
      </w:r>
      <w:bookmarkEnd w:id="5"/>
    </w:p>
    <w:p w14:paraId="5E4ACF62">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1.资金到位率：</w:t>
      </w:r>
    </w:p>
    <w:p w14:paraId="73507B4B">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预算资金4089.7万元，实际到位资金4089.7万元，资金到位率100%。</w:t>
      </w:r>
    </w:p>
    <w:p w14:paraId="56989B1F">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此项权重分4分，得分4分。</w:t>
      </w:r>
    </w:p>
    <w:p w14:paraId="3BF68974">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2.预算执行率</w:t>
      </w:r>
    </w:p>
    <w:p w14:paraId="330E69FB">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年初预算数4089.7万元，全年预算数4089.7万元，全年执行数4089.7万元，预算执行率为</w:t>
      </w:r>
      <w:r>
        <w:rPr>
          <w:rFonts w:hint="eastAsia" w:cs="Times New Roman"/>
          <w:b w:val="0"/>
          <w:bCs w:val="0"/>
          <w:color w:val="auto"/>
          <w:kern w:val="2"/>
          <w:sz w:val="30"/>
          <w:szCs w:val="24"/>
          <w:highlight w:val="none"/>
          <w:lang w:val="en-US" w:eastAsia="zh-CN" w:bidi="ar-SA"/>
        </w:rPr>
        <w:t>100</w:t>
      </w:r>
      <w:r>
        <w:rPr>
          <w:rFonts w:hint="eastAsia" w:ascii="Times New Roman" w:hAnsi="Times New Roman" w:eastAsia="仿宋_GB2312" w:cs="Times New Roman"/>
          <w:b w:val="0"/>
          <w:bCs w:val="0"/>
          <w:color w:val="auto"/>
          <w:kern w:val="2"/>
          <w:sz w:val="30"/>
          <w:szCs w:val="24"/>
          <w:highlight w:val="none"/>
          <w:lang w:val="en-US" w:eastAsia="zh-CN" w:bidi="ar-SA"/>
        </w:rPr>
        <w:t>%</w:t>
      </w:r>
    </w:p>
    <w:p w14:paraId="63498947">
      <w:pPr>
        <w:pStyle w:val="2"/>
        <w:ind w:firstLine="600" w:firstLineChars="200"/>
        <w:jc w:val="left"/>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此项权重分4分，得分4分。</w:t>
      </w:r>
    </w:p>
    <w:p w14:paraId="6A33C5AD">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highlight w:val="none"/>
        </w:rPr>
      </w:pPr>
      <w:bookmarkStart w:id="14" w:name="_Toc68703840"/>
      <w:r>
        <w:rPr>
          <w:rFonts w:hint="eastAsia"/>
          <w:highlight w:val="none"/>
        </w:rPr>
        <w:t>3</w:t>
      </w:r>
      <w:r>
        <w:rPr>
          <w:rFonts w:hint="eastAsia"/>
          <w:highlight w:val="none"/>
          <w:lang w:val="en-US" w:eastAsia="zh-CN"/>
        </w:rPr>
        <w:t>.</w:t>
      </w:r>
      <w:r>
        <w:rPr>
          <w:rFonts w:hint="eastAsia"/>
          <w:highlight w:val="none"/>
        </w:rPr>
        <w:t>资金使用合规性</w:t>
      </w:r>
    </w:p>
    <w:p w14:paraId="41F14994">
      <w:pPr>
        <w:pageBreakBefore w:val="0"/>
        <w:kinsoku/>
        <w:wordWrap/>
        <w:overflowPunct/>
        <w:topLinePunct w:val="0"/>
        <w:autoSpaceDE/>
        <w:autoSpaceDN/>
        <w:bidi w:val="0"/>
        <w:adjustRightInd/>
        <w:snapToGrid/>
        <w:spacing w:line="520" w:lineRule="exact"/>
        <w:ind w:right="0" w:rightChars="0" w:firstLine="600" w:firstLineChars="200"/>
        <w:textAlignment w:val="auto"/>
        <w:rPr>
          <w:rFonts w:hint="eastAsia" w:ascii="Times New Roman" w:hAnsi="Times New Roman" w:eastAsia="仿宋_GB2312" w:cs="Times New Roman"/>
          <w:b w:val="0"/>
          <w:bCs w:val="0"/>
          <w:color w:val="auto"/>
          <w:kern w:val="2"/>
          <w:sz w:val="30"/>
          <w:szCs w:val="30"/>
          <w:highlight w:val="none"/>
          <w:lang w:val="en-US" w:eastAsia="zh-CN" w:bidi="ar-SA"/>
        </w:rPr>
      </w:pPr>
      <w:r>
        <w:rPr>
          <w:rFonts w:hint="default" w:ascii="仿宋_GB2312" w:eastAsia="仿宋_GB2312" w:hAnsiTheme="majorHAnsi" w:cstheme="majorBidi"/>
          <w:b w:val="0"/>
          <w:bCs w:val="0"/>
          <w:kern w:val="2"/>
          <w:sz w:val="30"/>
          <w:szCs w:val="30"/>
          <w:highlight w:val="none"/>
          <w:lang w:val="en-US" w:eastAsia="zh-CN" w:bidi="ar-SA"/>
        </w:rPr>
        <w:t>按照预期</w:t>
      </w:r>
      <w:r>
        <w:rPr>
          <w:rFonts w:hint="eastAsia" w:ascii="仿宋_GB2312" w:hAnsiTheme="majorHAnsi" w:cstheme="majorBidi"/>
          <w:b w:val="0"/>
          <w:bCs w:val="0"/>
          <w:kern w:val="2"/>
          <w:sz w:val="30"/>
          <w:szCs w:val="30"/>
          <w:highlight w:val="none"/>
          <w:lang w:val="en-US" w:eastAsia="zh-CN" w:bidi="ar-SA"/>
        </w:rPr>
        <w:t>巴州第二人民单位经费</w:t>
      </w:r>
      <w:r>
        <w:rPr>
          <w:rFonts w:hint="default" w:ascii="仿宋_GB2312" w:eastAsia="仿宋_GB2312" w:hAnsiTheme="majorHAnsi" w:cstheme="majorBidi"/>
          <w:b w:val="0"/>
          <w:bCs w:val="0"/>
          <w:kern w:val="2"/>
          <w:sz w:val="30"/>
          <w:szCs w:val="30"/>
          <w:highlight w:val="none"/>
          <w:lang w:val="en-US" w:eastAsia="zh-CN" w:bidi="ar-SA"/>
        </w:rPr>
        <w:t>项目严格绩效目标执行预算资金</w:t>
      </w:r>
      <w:r>
        <w:rPr>
          <w:rFonts w:hint="eastAsia" w:ascii="仿宋_GB2312" w:hAnsiTheme="majorHAnsi" w:cstheme="majorBidi"/>
          <w:b w:val="0"/>
          <w:bCs w:val="0"/>
          <w:kern w:val="2"/>
          <w:sz w:val="30"/>
          <w:szCs w:val="30"/>
          <w:highlight w:val="none"/>
          <w:lang w:val="en-US" w:eastAsia="zh-CN" w:bidi="ar-SA"/>
        </w:rPr>
        <w:t>，</w:t>
      </w:r>
      <w:r>
        <w:rPr>
          <w:rFonts w:hint="default" w:ascii="仿宋_GB2312" w:eastAsia="仿宋_GB2312" w:hAnsiTheme="majorHAnsi" w:cstheme="majorBidi"/>
          <w:b w:val="0"/>
          <w:bCs w:val="0"/>
          <w:kern w:val="2"/>
          <w:sz w:val="30"/>
          <w:szCs w:val="30"/>
          <w:highlight w:val="none"/>
          <w:lang w:val="en-US" w:eastAsia="zh-CN" w:bidi="ar-SA"/>
        </w:rPr>
        <w:t>制定了</w:t>
      </w:r>
      <w:r>
        <w:rPr>
          <w:rFonts w:hint="eastAsia" w:ascii="仿宋_GB2312" w:eastAsia="仿宋_GB2312" w:hAnsiTheme="majorHAnsi" w:cstheme="majorBidi"/>
          <w:b w:val="0"/>
          <w:bCs w:val="0"/>
          <w:kern w:val="2"/>
          <w:sz w:val="30"/>
          <w:szCs w:val="30"/>
          <w:highlight w:val="none"/>
          <w:lang w:val="en-US" w:eastAsia="zh-CN" w:bidi="ar-SA"/>
        </w:rPr>
        <w:t>《巴州</w:t>
      </w:r>
      <w:r>
        <w:rPr>
          <w:rFonts w:hint="eastAsia" w:ascii="仿宋_GB2312" w:hAnsiTheme="majorHAnsi" w:cstheme="majorBidi"/>
          <w:b w:val="0"/>
          <w:bCs w:val="0"/>
          <w:kern w:val="2"/>
          <w:sz w:val="30"/>
          <w:szCs w:val="30"/>
          <w:highlight w:val="none"/>
          <w:lang w:val="en-US" w:eastAsia="zh-CN" w:bidi="ar-SA"/>
        </w:rPr>
        <w:t>第二人民医院</w:t>
      </w:r>
      <w:r>
        <w:rPr>
          <w:rFonts w:hint="eastAsia" w:ascii="仿宋_GB2312" w:eastAsia="仿宋_GB2312" w:hAnsiTheme="majorHAnsi" w:cstheme="majorBidi"/>
          <w:b w:val="0"/>
          <w:bCs w:val="0"/>
          <w:kern w:val="2"/>
          <w:sz w:val="30"/>
          <w:szCs w:val="30"/>
          <w:highlight w:val="none"/>
          <w:lang w:val="en-US" w:eastAsia="zh-CN" w:bidi="ar-SA"/>
        </w:rPr>
        <w:t>项目绩效管理制度》</w:t>
      </w:r>
      <w:r>
        <w:rPr>
          <w:rFonts w:hint="eastAsia" w:ascii="仿宋_GB2312" w:hAnsiTheme="majorHAnsi" w:cstheme="majorBidi"/>
          <w:b w:val="0"/>
          <w:bCs w:val="0"/>
          <w:kern w:val="2"/>
          <w:sz w:val="30"/>
          <w:szCs w:val="30"/>
          <w:highlight w:val="none"/>
          <w:lang w:val="en-US" w:eastAsia="zh-CN" w:bidi="ar-SA"/>
        </w:rPr>
        <w:t>。</w:t>
      </w:r>
      <w:r>
        <w:rPr>
          <w:rFonts w:hint="eastAsia" w:ascii="Times New Roman" w:hAnsi="Times New Roman" w:eastAsia="仿宋_GB2312" w:cs="Times New Roman"/>
          <w:b w:val="0"/>
          <w:bCs w:val="0"/>
          <w:color w:val="auto"/>
          <w:kern w:val="2"/>
          <w:sz w:val="30"/>
          <w:szCs w:val="30"/>
          <w:highlight w:val="none"/>
          <w:lang w:val="en-US" w:eastAsia="zh-CN" w:bidi="ar-SA"/>
        </w:rPr>
        <w:t>资金</w:t>
      </w:r>
      <w:r>
        <w:rPr>
          <w:rFonts w:hint="eastAsia" w:cs="Times New Roman"/>
          <w:b w:val="0"/>
          <w:bCs w:val="0"/>
          <w:color w:val="auto"/>
          <w:kern w:val="2"/>
          <w:sz w:val="30"/>
          <w:szCs w:val="30"/>
          <w:highlight w:val="none"/>
          <w:lang w:val="en-US" w:eastAsia="zh-CN" w:bidi="ar-SA"/>
        </w:rPr>
        <w:t>的拨付</w:t>
      </w:r>
      <w:r>
        <w:rPr>
          <w:rFonts w:hint="eastAsia" w:ascii="Times New Roman" w:hAnsi="Times New Roman" w:eastAsia="仿宋_GB2312" w:cs="Times New Roman"/>
          <w:b w:val="0"/>
          <w:bCs w:val="0"/>
          <w:color w:val="auto"/>
          <w:kern w:val="2"/>
          <w:sz w:val="30"/>
          <w:szCs w:val="30"/>
          <w:highlight w:val="none"/>
          <w:lang w:val="en-US" w:eastAsia="zh-CN" w:bidi="ar-SA"/>
        </w:rPr>
        <w:t>严格按照资金审批制度进行，由单位召开“三重一大”会议研究决定，经会议通过后，由负责财务的领导进行审批方可支付。资金使用符合该项目的立项批复。资金不存在截留、挤占、挪用、虚列支出等情况。</w:t>
      </w:r>
    </w:p>
    <w:p w14:paraId="001CEA91">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此项权重分4分，得分4分。</w:t>
      </w:r>
    </w:p>
    <w:p w14:paraId="4341BBB4">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4.管理制度健全性</w:t>
      </w:r>
    </w:p>
    <w:p w14:paraId="5262862E">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中心制定了《巴州第二人民医院财务管理制度》、《巴州第二人民医院内部控制管理制度》，严格按照《会计法》、《预算法》等法律法规制度执行。对财政资金进行严格管理，做到专款专用，项目资金使用符合相关的财务管理制度规定，能够反映和考核项目资金的规范运行情况。财务和业务管理制度健全，能够反映和考核财务和业务管理制度对项目顺利实施的保障情况。</w:t>
      </w:r>
    </w:p>
    <w:p w14:paraId="7F4F44D6">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此项权重分4分，得分4分。</w:t>
      </w:r>
    </w:p>
    <w:p w14:paraId="4705088F">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5.制度执行有效性</w:t>
      </w:r>
    </w:p>
    <w:p w14:paraId="781C2853">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巴州第二人民医院严格履行项目监管职责，对资金使用的合法合规性进行监督，年末对资金使用效果进行评价。项目落实到人，项目严格按照巴州蒙医医院（现巴州第二人民医院）财务制度和巴州蒙医医院（现巴州第二人民医院）项目补助经费管理暂行规定制度执行并具有完备的项目调整及支出调整手续；项目总结等资料齐全并及时归档；在项目实施过程中的人员条件、场地设施落实到位。</w:t>
      </w:r>
    </w:p>
    <w:p w14:paraId="6A0FE2FC">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此项权重分4分，得分4分。</w:t>
      </w:r>
    </w:p>
    <w:p w14:paraId="240862F4">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color w:val="auto"/>
          <w:highlight w:val="none"/>
        </w:rPr>
      </w:pPr>
      <w:r>
        <w:rPr>
          <w:rFonts w:hint="eastAsia"/>
          <w:color w:val="auto"/>
          <w:highlight w:val="none"/>
          <w:lang w:val="en-US" w:eastAsia="zh-CN"/>
        </w:rPr>
        <w:t>（三）</w:t>
      </w:r>
      <w:r>
        <w:rPr>
          <w:rFonts w:hint="eastAsia" w:ascii="仿宋_GB2312" w:eastAsia="仿宋_GB2312"/>
          <w:b w:val="0"/>
          <w:bCs w:val="0"/>
          <w:color w:val="auto"/>
          <w:highlight w:val="none"/>
        </w:rPr>
        <w:t>项目产出情况。</w:t>
      </w:r>
      <w:bookmarkEnd w:id="14"/>
    </w:p>
    <w:p w14:paraId="121ABD02">
      <w:pPr>
        <w:pageBreakBefore w:val="0"/>
        <w:numPr>
          <w:ilvl w:val="0"/>
          <w:numId w:val="2"/>
        </w:numPr>
        <w:kinsoku/>
        <w:wordWrap/>
        <w:overflowPunct/>
        <w:topLinePunct w:val="0"/>
        <w:autoSpaceDE/>
        <w:autoSpaceDN/>
        <w:bidi w:val="0"/>
        <w:adjustRightInd/>
        <w:snapToGrid/>
        <w:spacing w:line="560" w:lineRule="exact"/>
        <w:ind w:firstLine="600" w:firstLineChars="200"/>
        <w:textAlignment w:val="auto"/>
        <w:rPr>
          <w:rFonts w:hint="default"/>
          <w:color w:val="auto"/>
          <w:highlight w:val="none"/>
          <w:lang w:val="en-US"/>
        </w:rPr>
      </w:pPr>
      <w:r>
        <w:rPr>
          <w:rFonts w:hint="eastAsia"/>
          <w:color w:val="auto"/>
          <w:highlight w:val="none"/>
        </w:rPr>
        <w:t>数量指标</w:t>
      </w:r>
      <w:r>
        <w:rPr>
          <w:rFonts w:hint="eastAsia"/>
          <w:color w:val="auto"/>
          <w:highlight w:val="none"/>
          <w:lang w:eastAsia="zh-CN"/>
        </w:rPr>
        <w:t>完成情况</w:t>
      </w:r>
      <w:r>
        <w:rPr>
          <w:rFonts w:hint="eastAsia"/>
          <w:color w:val="auto"/>
          <w:highlight w:val="none"/>
        </w:rPr>
        <w:t>：指标1：人员工资发放次数，指标值：&gt;=12次，实际完成值12次，指标完成率</w:t>
      </w:r>
      <w:r>
        <w:rPr>
          <w:rFonts w:hint="eastAsia"/>
          <w:color w:val="auto"/>
          <w:highlight w:val="none"/>
          <w:lang w:val="en-US" w:eastAsia="zh-CN"/>
        </w:rPr>
        <w:t>100</w:t>
      </w:r>
      <w:r>
        <w:rPr>
          <w:rFonts w:hint="eastAsia"/>
          <w:color w:val="auto"/>
          <w:highlight w:val="none"/>
        </w:rPr>
        <w:t>%；指标2：人员工资发放人数，指标值：&gt;=280人，实际完成值280人，指标完成率</w:t>
      </w:r>
      <w:r>
        <w:rPr>
          <w:rFonts w:hint="eastAsia"/>
          <w:color w:val="auto"/>
          <w:highlight w:val="none"/>
          <w:lang w:val="en-US" w:eastAsia="zh-CN"/>
        </w:rPr>
        <w:t>100</w:t>
      </w:r>
      <w:r>
        <w:rPr>
          <w:rFonts w:hint="eastAsia"/>
          <w:color w:val="auto"/>
          <w:highlight w:val="none"/>
        </w:rPr>
        <w:t>%，指标</w:t>
      </w:r>
      <w:r>
        <w:rPr>
          <w:rFonts w:hint="eastAsia"/>
          <w:color w:val="auto"/>
          <w:highlight w:val="none"/>
          <w:lang w:val="en-US" w:eastAsia="zh-CN"/>
        </w:rPr>
        <w:t>3：保障医务人员及后勤人员数量，指标值：&gt;=280人，</w:t>
      </w:r>
      <w:r>
        <w:rPr>
          <w:rFonts w:hint="eastAsia"/>
          <w:color w:val="auto"/>
          <w:highlight w:val="none"/>
        </w:rPr>
        <w:t>实际完成值280人，指标完成率</w:t>
      </w:r>
      <w:r>
        <w:rPr>
          <w:rFonts w:hint="eastAsia"/>
          <w:color w:val="auto"/>
          <w:highlight w:val="none"/>
          <w:lang w:val="en-US" w:eastAsia="zh-CN"/>
        </w:rPr>
        <w:t>100</w:t>
      </w:r>
      <w:r>
        <w:rPr>
          <w:rFonts w:hint="eastAsia"/>
          <w:color w:val="auto"/>
          <w:highlight w:val="none"/>
        </w:rPr>
        <w:t>%；指标</w:t>
      </w:r>
      <w:r>
        <w:rPr>
          <w:rFonts w:hint="eastAsia"/>
          <w:color w:val="auto"/>
          <w:highlight w:val="none"/>
          <w:lang w:val="en-US" w:eastAsia="zh-CN"/>
        </w:rPr>
        <w:t>4：</w:t>
      </w:r>
      <w:r>
        <w:rPr>
          <w:rFonts w:hint="eastAsia"/>
          <w:color w:val="auto"/>
          <w:highlight w:val="none"/>
        </w:rPr>
        <w:t>公务保障用车数量</w:t>
      </w:r>
      <w:r>
        <w:rPr>
          <w:rFonts w:hint="eastAsia"/>
          <w:color w:val="auto"/>
          <w:highlight w:val="none"/>
          <w:lang w:eastAsia="zh-CN"/>
        </w:rPr>
        <w:t>，</w:t>
      </w:r>
      <w:r>
        <w:rPr>
          <w:rFonts w:hint="eastAsia"/>
          <w:color w:val="auto"/>
          <w:highlight w:val="none"/>
          <w:lang w:val="en-US" w:eastAsia="zh-CN"/>
        </w:rPr>
        <w:t>指标值：&gt;=6辆，</w:t>
      </w:r>
      <w:r>
        <w:rPr>
          <w:rFonts w:hint="eastAsia"/>
          <w:color w:val="auto"/>
          <w:highlight w:val="none"/>
        </w:rPr>
        <w:t>实际完成值</w:t>
      </w:r>
      <w:r>
        <w:rPr>
          <w:rFonts w:hint="eastAsia"/>
          <w:color w:val="auto"/>
          <w:highlight w:val="none"/>
          <w:lang w:val="en-US" w:eastAsia="zh-CN"/>
        </w:rPr>
        <w:t>6辆</w:t>
      </w:r>
      <w:r>
        <w:rPr>
          <w:rFonts w:hint="eastAsia"/>
          <w:color w:val="auto"/>
          <w:highlight w:val="none"/>
        </w:rPr>
        <w:t>，指标完成率</w:t>
      </w:r>
      <w:r>
        <w:rPr>
          <w:rFonts w:hint="eastAsia"/>
          <w:color w:val="auto"/>
          <w:highlight w:val="none"/>
          <w:lang w:val="en-US" w:eastAsia="zh-CN"/>
        </w:rPr>
        <w:t>100</w:t>
      </w:r>
      <w:r>
        <w:rPr>
          <w:rFonts w:hint="eastAsia"/>
          <w:color w:val="auto"/>
          <w:highlight w:val="none"/>
        </w:rPr>
        <w:t>%，指标</w:t>
      </w:r>
      <w:r>
        <w:rPr>
          <w:rFonts w:hint="eastAsia"/>
          <w:color w:val="auto"/>
          <w:highlight w:val="none"/>
          <w:lang w:val="en-US" w:eastAsia="zh-CN"/>
        </w:rPr>
        <w:t>5：专用材料采购数量，指标值：&gt;=12次，</w:t>
      </w:r>
      <w:r>
        <w:rPr>
          <w:rFonts w:hint="eastAsia"/>
          <w:color w:val="auto"/>
          <w:highlight w:val="none"/>
        </w:rPr>
        <w:t>实际完成值</w:t>
      </w:r>
      <w:r>
        <w:rPr>
          <w:rFonts w:hint="eastAsia"/>
          <w:color w:val="auto"/>
          <w:highlight w:val="none"/>
          <w:lang w:val="en-US" w:eastAsia="zh-CN"/>
        </w:rPr>
        <w:t>12次；</w:t>
      </w:r>
    </w:p>
    <w:p w14:paraId="0C96178E">
      <w:pPr>
        <w:pStyle w:val="2"/>
        <w:ind w:firstLine="600" w:firstLineChars="200"/>
        <w:jc w:val="left"/>
        <w:rPr>
          <w:rFonts w:hint="default"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此项权重分10分，得分10分。</w:t>
      </w:r>
    </w:p>
    <w:p w14:paraId="24E1EC9A">
      <w:pPr>
        <w:pageBreakBefore w:val="0"/>
        <w:numPr>
          <w:ilvl w:val="0"/>
          <w:numId w:val="2"/>
        </w:numPr>
        <w:kinsoku/>
        <w:wordWrap/>
        <w:overflowPunct/>
        <w:topLinePunct w:val="0"/>
        <w:autoSpaceDE/>
        <w:autoSpaceDN/>
        <w:bidi w:val="0"/>
        <w:adjustRightInd/>
        <w:snapToGrid/>
        <w:spacing w:line="560" w:lineRule="exact"/>
        <w:ind w:left="0" w:leftChars="0" w:firstLine="600" w:firstLineChars="200"/>
        <w:textAlignment w:val="auto"/>
        <w:rPr>
          <w:color w:val="auto"/>
          <w:highlight w:val="none"/>
        </w:rPr>
      </w:pPr>
      <w:r>
        <w:rPr>
          <w:rFonts w:hint="eastAsia"/>
          <w:color w:val="auto"/>
          <w:highlight w:val="none"/>
        </w:rPr>
        <w:t>质量指标</w:t>
      </w:r>
      <w:r>
        <w:rPr>
          <w:rFonts w:hint="eastAsia"/>
          <w:color w:val="auto"/>
          <w:highlight w:val="none"/>
          <w:lang w:eastAsia="zh-CN"/>
        </w:rPr>
        <w:t>完成情况</w:t>
      </w:r>
      <w:r>
        <w:rPr>
          <w:rFonts w:hint="eastAsia"/>
          <w:color w:val="auto"/>
          <w:highlight w:val="none"/>
        </w:rPr>
        <w:t>：指标1：人员工资发放准确率，指标值：&gt;=98%，实际完成值</w:t>
      </w:r>
      <w:r>
        <w:rPr>
          <w:rFonts w:hint="eastAsia"/>
          <w:color w:val="auto"/>
          <w:highlight w:val="none"/>
          <w:lang w:val="en-US" w:eastAsia="zh-CN"/>
        </w:rPr>
        <w:t>100</w:t>
      </w:r>
      <w:r>
        <w:rPr>
          <w:rFonts w:hint="eastAsia"/>
          <w:color w:val="auto"/>
          <w:highlight w:val="none"/>
        </w:rPr>
        <w:t>%，指标完成率</w:t>
      </w:r>
      <w:r>
        <w:rPr>
          <w:rFonts w:hint="eastAsia"/>
          <w:color w:val="auto"/>
          <w:highlight w:val="none"/>
          <w:lang w:val="en-US" w:eastAsia="zh-CN"/>
        </w:rPr>
        <w:t>102.04</w:t>
      </w:r>
      <w:r>
        <w:rPr>
          <w:rFonts w:hint="eastAsia"/>
          <w:color w:val="auto"/>
          <w:highlight w:val="none"/>
        </w:rPr>
        <w:t>%；</w:t>
      </w:r>
      <w:r>
        <w:rPr>
          <w:rFonts w:hint="eastAsia"/>
          <w:color w:val="auto"/>
          <w:highlight w:val="none"/>
          <w:lang w:val="en-US" w:eastAsia="zh-CN"/>
        </w:rPr>
        <w:t>偏差原因：</w:t>
      </w:r>
      <w:r>
        <w:rPr>
          <w:rFonts w:hint="eastAsia"/>
          <w:color w:val="auto"/>
          <w:highlight w:val="none"/>
        </w:rPr>
        <w:t>人员工资发放</w:t>
      </w:r>
      <w:r>
        <w:rPr>
          <w:rFonts w:hint="eastAsia"/>
          <w:color w:val="auto"/>
          <w:highlight w:val="none"/>
          <w:lang w:val="en-US" w:eastAsia="zh-CN"/>
        </w:rPr>
        <w:t>全部</w:t>
      </w:r>
      <w:r>
        <w:rPr>
          <w:rFonts w:hint="eastAsia"/>
          <w:color w:val="auto"/>
          <w:highlight w:val="none"/>
        </w:rPr>
        <w:t>准确</w:t>
      </w:r>
      <w:r>
        <w:rPr>
          <w:rFonts w:hint="eastAsia"/>
          <w:color w:val="auto"/>
          <w:highlight w:val="none"/>
          <w:lang w:eastAsia="zh-CN"/>
        </w:rPr>
        <w:t>；</w:t>
      </w:r>
      <w:r>
        <w:rPr>
          <w:rFonts w:hint="eastAsia"/>
          <w:color w:val="auto"/>
          <w:highlight w:val="none"/>
        </w:rPr>
        <w:t>指标2：专用材料验收合格率，指标值：=</w:t>
      </w:r>
      <w:r>
        <w:rPr>
          <w:rFonts w:hint="eastAsia"/>
          <w:color w:val="auto"/>
          <w:highlight w:val="none"/>
          <w:lang w:val="en-US" w:eastAsia="zh-CN"/>
        </w:rPr>
        <w:t>100%</w:t>
      </w:r>
      <w:r>
        <w:rPr>
          <w:rFonts w:hint="eastAsia"/>
          <w:color w:val="auto"/>
          <w:highlight w:val="none"/>
        </w:rPr>
        <w:t>，实际完成值</w:t>
      </w:r>
      <w:r>
        <w:rPr>
          <w:rFonts w:hint="eastAsia"/>
          <w:color w:val="auto"/>
          <w:highlight w:val="none"/>
          <w:lang w:val="en-US" w:eastAsia="zh-CN"/>
        </w:rPr>
        <w:t>100%</w:t>
      </w:r>
      <w:r>
        <w:rPr>
          <w:rFonts w:hint="eastAsia"/>
          <w:color w:val="auto"/>
          <w:highlight w:val="none"/>
        </w:rPr>
        <w:t>，指标完成率</w:t>
      </w:r>
      <w:r>
        <w:rPr>
          <w:rFonts w:hint="eastAsia"/>
          <w:color w:val="auto"/>
          <w:highlight w:val="none"/>
          <w:lang w:val="en-US" w:eastAsia="zh-CN"/>
        </w:rPr>
        <w:t>100</w:t>
      </w:r>
      <w:r>
        <w:rPr>
          <w:rFonts w:hint="eastAsia"/>
          <w:color w:val="auto"/>
          <w:highlight w:val="none"/>
        </w:rPr>
        <w:t>%，指标</w:t>
      </w:r>
      <w:r>
        <w:rPr>
          <w:rFonts w:hint="eastAsia"/>
          <w:color w:val="auto"/>
          <w:highlight w:val="none"/>
          <w:lang w:val="en-US" w:eastAsia="zh-CN"/>
        </w:rPr>
        <w:t>3：专业材料质量合格率，指标值：=100%，</w:t>
      </w:r>
      <w:r>
        <w:rPr>
          <w:rFonts w:hint="eastAsia"/>
          <w:color w:val="auto"/>
          <w:highlight w:val="none"/>
        </w:rPr>
        <w:t>实际完成值</w:t>
      </w:r>
      <w:r>
        <w:rPr>
          <w:rFonts w:hint="eastAsia"/>
          <w:color w:val="auto"/>
          <w:highlight w:val="none"/>
          <w:lang w:val="en-US" w:eastAsia="zh-CN"/>
        </w:rPr>
        <w:t>100%</w:t>
      </w:r>
      <w:r>
        <w:rPr>
          <w:rFonts w:hint="eastAsia"/>
          <w:color w:val="auto"/>
          <w:highlight w:val="none"/>
        </w:rPr>
        <w:t>，指标完成率</w:t>
      </w:r>
      <w:r>
        <w:rPr>
          <w:rFonts w:hint="eastAsia"/>
          <w:color w:val="auto"/>
          <w:highlight w:val="none"/>
          <w:lang w:val="en-US" w:eastAsia="zh-CN"/>
        </w:rPr>
        <w:t>100</w:t>
      </w:r>
      <w:r>
        <w:rPr>
          <w:rFonts w:hint="eastAsia"/>
          <w:color w:val="auto"/>
          <w:highlight w:val="none"/>
        </w:rPr>
        <w:t>%；</w:t>
      </w:r>
    </w:p>
    <w:p w14:paraId="413B6343">
      <w:pPr>
        <w:pStyle w:val="2"/>
        <w:ind w:firstLine="600" w:firstLineChars="200"/>
        <w:jc w:val="left"/>
        <w:rPr>
          <w:color w:val="auto"/>
          <w:highlight w:val="none"/>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此项权重分10分，得分10分。</w:t>
      </w:r>
    </w:p>
    <w:p w14:paraId="6344D932">
      <w:pPr>
        <w:pageBreakBefore w:val="0"/>
        <w:numPr>
          <w:ilvl w:val="0"/>
          <w:numId w:val="2"/>
        </w:numPr>
        <w:kinsoku/>
        <w:wordWrap/>
        <w:overflowPunct/>
        <w:topLinePunct w:val="0"/>
        <w:autoSpaceDE/>
        <w:autoSpaceDN/>
        <w:bidi w:val="0"/>
        <w:adjustRightInd/>
        <w:snapToGrid/>
        <w:spacing w:line="560" w:lineRule="exact"/>
        <w:ind w:left="0" w:leftChars="0" w:firstLine="600" w:firstLineChars="200"/>
        <w:textAlignment w:val="auto"/>
        <w:rPr>
          <w:rFonts w:hint="eastAsia"/>
          <w:color w:val="auto"/>
          <w:highlight w:val="none"/>
          <w:lang w:eastAsia="zh-CN"/>
        </w:rPr>
      </w:pPr>
      <w:r>
        <w:rPr>
          <w:rFonts w:hint="eastAsia"/>
          <w:color w:val="auto"/>
          <w:highlight w:val="none"/>
        </w:rPr>
        <w:t>时效指标</w:t>
      </w:r>
      <w:r>
        <w:rPr>
          <w:rFonts w:hint="eastAsia"/>
          <w:color w:val="auto"/>
          <w:highlight w:val="none"/>
          <w:lang w:eastAsia="zh-CN"/>
        </w:rPr>
        <w:t>完成情况</w:t>
      </w:r>
      <w:r>
        <w:rPr>
          <w:rFonts w:hint="eastAsia"/>
          <w:color w:val="auto"/>
          <w:highlight w:val="none"/>
        </w:rPr>
        <w:t>：指标1：公用经费支付及时率，指标值：=1</w:t>
      </w:r>
      <w:r>
        <w:rPr>
          <w:rFonts w:hint="eastAsia"/>
          <w:color w:val="auto"/>
          <w:highlight w:val="none"/>
          <w:lang w:val="en-US" w:eastAsia="zh-CN"/>
        </w:rPr>
        <w:t>00%</w:t>
      </w:r>
      <w:r>
        <w:rPr>
          <w:rFonts w:hint="eastAsia"/>
          <w:color w:val="auto"/>
          <w:highlight w:val="none"/>
        </w:rPr>
        <w:t>，实际完成值</w:t>
      </w:r>
      <w:r>
        <w:rPr>
          <w:rFonts w:hint="eastAsia"/>
          <w:color w:val="auto"/>
          <w:highlight w:val="none"/>
          <w:lang w:val="en-US" w:eastAsia="zh-CN"/>
        </w:rPr>
        <w:t>100%</w:t>
      </w:r>
      <w:r>
        <w:rPr>
          <w:rFonts w:hint="eastAsia"/>
          <w:color w:val="auto"/>
          <w:highlight w:val="none"/>
        </w:rPr>
        <w:t>，指标完成率</w:t>
      </w:r>
      <w:r>
        <w:rPr>
          <w:rFonts w:hint="eastAsia"/>
          <w:color w:val="auto"/>
          <w:highlight w:val="none"/>
          <w:lang w:val="en-US" w:eastAsia="zh-CN"/>
        </w:rPr>
        <w:t>100</w:t>
      </w:r>
      <w:r>
        <w:rPr>
          <w:rFonts w:hint="eastAsia"/>
          <w:color w:val="auto"/>
          <w:highlight w:val="none"/>
        </w:rPr>
        <w:t>%；指标2：人员工资发放及时率，指标值：&gt;=</w:t>
      </w:r>
      <w:r>
        <w:rPr>
          <w:rFonts w:hint="eastAsia"/>
          <w:color w:val="auto"/>
          <w:highlight w:val="none"/>
          <w:lang w:val="en-US" w:eastAsia="zh-CN"/>
        </w:rPr>
        <w:t>95%</w:t>
      </w:r>
      <w:r>
        <w:rPr>
          <w:rFonts w:hint="eastAsia"/>
          <w:color w:val="auto"/>
          <w:highlight w:val="none"/>
        </w:rPr>
        <w:t>，实际完成值</w:t>
      </w:r>
      <w:r>
        <w:rPr>
          <w:rFonts w:hint="eastAsia"/>
          <w:color w:val="auto"/>
          <w:highlight w:val="none"/>
          <w:lang w:val="en-US" w:eastAsia="zh-CN"/>
        </w:rPr>
        <w:t>100%</w:t>
      </w:r>
      <w:r>
        <w:rPr>
          <w:rFonts w:hint="eastAsia"/>
          <w:color w:val="auto"/>
          <w:highlight w:val="none"/>
        </w:rPr>
        <w:t>，指标完成率</w:t>
      </w:r>
      <w:r>
        <w:rPr>
          <w:rFonts w:hint="eastAsia"/>
          <w:color w:val="auto"/>
          <w:highlight w:val="none"/>
          <w:lang w:val="en-US" w:eastAsia="zh-CN"/>
        </w:rPr>
        <w:t>105.26</w:t>
      </w:r>
      <w:r>
        <w:rPr>
          <w:rFonts w:hint="eastAsia"/>
          <w:color w:val="auto"/>
          <w:highlight w:val="none"/>
        </w:rPr>
        <w:t>%</w:t>
      </w:r>
      <w:r>
        <w:rPr>
          <w:rFonts w:hint="eastAsia"/>
          <w:color w:val="auto"/>
          <w:highlight w:val="none"/>
          <w:lang w:eastAsia="zh-CN"/>
        </w:rPr>
        <w:t>，</w:t>
      </w:r>
      <w:r>
        <w:rPr>
          <w:rFonts w:hint="eastAsia"/>
          <w:color w:val="auto"/>
          <w:highlight w:val="none"/>
          <w:lang w:val="en-US" w:eastAsia="zh-CN"/>
        </w:rPr>
        <w:t>偏差原因：</w:t>
      </w:r>
      <w:r>
        <w:rPr>
          <w:rFonts w:hint="eastAsia"/>
          <w:color w:val="auto"/>
          <w:highlight w:val="none"/>
        </w:rPr>
        <w:t>人员工资</w:t>
      </w:r>
      <w:r>
        <w:rPr>
          <w:rFonts w:hint="eastAsia"/>
          <w:color w:val="auto"/>
          <w:highlight w:val="none"/>
          <w:lang w:eastAsia="zh-CN"/>
        </w:rPr>
        <w:t>全部及时发放。</w:t>
      </w:r>
    </w:p>
    <w:p w14:paraId="2DB711F7">
      <w:pPr>
        <w:pageBreakBefore w:val="0"/>
        <w:numPr>
          <w:ilvl w:val="0"/>
          <w:numId w:val="2"/>
        </w:numPr>
        <w:kinsoku/>
        <w:wordWrap/>
        <w:overflowPunct/>
        <w:topLinePunct w:val="0"/>
        <w:autoSpaceDE/>
        <w:autoSpaceDN/>
        <w:bidi w:val="0"/>
        <w:adjustRightInd/>
        <w:snapToGrid/>
        <w:spacing w:line="560" w:lineRule="exact"/>
        <w:ind w:left="0" w:leftChars="0" w:firstLine="600" w:firstLineChars="200"/>
        <w:textAlignment w:val="auto"/>
        <w:rPr>
          <w:rFonts w:hint="eastAsia"/>
          <w:color w:val="auto"/>
          <w:highlight w:val="none"/>
        </w:rPr>
      </w:pPr>
      <w:r>
        <w:rPr>
          <w:rFonts w:hint="eastAsia"/>
          <w:color w:val="auto"/>
          <w:highlight w:val="none"/>
          <w:lang w:val="en-US" w:eastAsia="zh-CN"/>
        </w:rPr>
        <w:t>经济成本指标完成情况</w:t>
      </w:r>
      <w:r>
        <w:rPr>
          <w:rFonts w:hint="eastAsia"/>
          <w:color w:val="auto"/>
          <w:highlight w:val="none"/>
          <w:lang w:eastAsia="zh-CN"/>
        </w:rPr>
        <w:t>：</w:t>
      </w:r>
      <w:r>
        <w:rPr>
          <w:rFonts w:hint="eastAsia"/>
          <w:color w:val="auto"/>
          <w:highlight w:val="none"/>
        </w:rPr>
        <w:t>指标1：人员经费成本控制数，指标值：&lt;=1896万元，实际完成值</w:t>
      </w:r>
      <w:r>
        <w:rPr>
          <w:rFonts w:hint="eastAsia"/>
          <w:color w:val="auto"/>
          <w:highlight w:val="none"/>
          <w:lang w:val="en-US" w:eastAsia="zh-CN"/>
        </w:rPr>
        <w:t>1896万元</w:t>
      </w:r>
      <w:r>
        <w:rPr>
          <w:rFonts w:hint="eastAsia"/>
          <w:color w:val="auto"/>
          <w:highlight w:val="none"/>
        </w:rPr>
        <w:t>，指标完成率</w:t>
      </w:r>
      <w:r>
        <w:rPr>
          <w:rFonts w:hint="eastAsia"/>
          <w:color w:val="auto"/>
          <w:highlight w:val="none"/>
          <w:lang w:val="en-US" w:eastAsia="zh-CN"/>
        </w:rPr>
        <w:t>100</w:t>
      </w:r>
      <w:r>
        <w:rPr>
          <w:rFonts w:hint="eastAsia"/>
          <w:color w:val="auto"/>
          <w:highlight w:val="none"/>
        </w:rPr>
        <w:t>%</w:t>
      </w:r>
      <w:r>
        <w:rPr>
          <w:rFonts w:hint="eastAsia"/>
          <w:color w:val="auto"/>
          <w:highlight w:val="none"/>
          <w:lang w:eastAsia="zh-CN"/>
        </w:rPr>
        <w:t>，</w:t>
      </w:r>
      <w:r>
        <w:rPr>
          <w:rFonts w:hint="eastAsia"/>
          <w:color w:val="auto"/>
          <w:highlight w:val="none"/>
        </w:rPr>
        <w:t>指标2：公用经费成本控制数，指标值：&lt;=784.7万元，实际完成值</w:t>
      </w:r>
      <w:r>
        <w:rPr>
          <w:rFonts w:hint="eastAsia"/>
          <w:color w:val="auto"/>
          <w:highlight w:val="none"/>
          <w:lang w:val="en-US" w:eastAsia="zh-CN"/>
        </w:rPr>
        <w:t>784.7万元</w:t>
      </w:r>
      <w:r>
        <w:rPr>
          <w:rFonts w:hint="eastAsia"/>
          <w:color w:val="auto"/>
          <w:highlight w:val="none"/>
        </w:rPr>
        <w:t>，指标完成率</w:t>
      </w:r>
      <w:r>
        <w:rPr>
          <w:rFonts w:hint="eastAsia"/>
          <w:color w:val="auto"/>
          <w:highlight w:val="none"/>
          <w:lang w:val="en-US" w:eastAsia="zh-CN"/>
        </w:rPr>
        <w:t>100</w:t>
      </w:r>
      <w:r>
        <w:rPr>
          <w:rFonts w:hint="eastAsia"/>
          <w:color w:val="auto"/>
          <w:highlight w:val="none"/>
        </w:rPr>
        <w:t>%，指标</w:t>
      </w:r>
      <w:r>
        <w:rPr>
          <w:rFonts w:hint="eastAsia"/>
          <w:color w:val="auto"/>
          <w:highlight w:val="none"/>
          <w:lang w:val="en-US" w:eastAsia="zh-CN"/>
        </w:rPr>
        <w:t>3：专用材料采购成本控制数，指标值：&lt;=1709.51万元，</w:t>
      </w:r>
      <w:r>
        <w:rPr>
          <w:rFonts w:hint="eastAsia"/>
          <w:color w:val="auto"/>
          <w:highlight w:val="none"/>
        </w:rPr>
        <w:t>实际完成值</w:t>
      </w:r>
      <w:r>
        <w:rPr>
          <w:rFonts w:hint="eastAsia"/>
          <w:color w:val="auto"/>
          <w:highlight w:val="none"/>
          <w:lang w:val="en-US" w:eastAsia="zh-CN"/>
        </w:rPr>
        <w:t>1709.51万元</w:t>
      </w:r>
      <w:r>
        <w:rPr>
          <w:rFonts w:hint="eastAsia"/>
          <w:color w:val="auto"/>
          <w:highlight w:val="none"/>
        </w:rPr>
        <w:t>，指标完成率</w:t>
      </w:r>
      <w:r>
        <w:rPr>
          <w:rFonts w:hint="eastAsia"/>
          <w:color w:val="auto"/>
          <w:highlight w:val="none"/>
          <w:lang w:val="en-US" w:eastAsia="zh-CN"/>
        </w:rPr>
        <w:t>100</w:t>
      </w:r>
      <w:r>
        <w:rPr>
          <w:rFonts w:hint="eastAsia"/>
          <w:color w:val="auto"/>
          <w:highlight w:val="none"/>
        </w:rPr>
        <w:t>%；</w:t>
      </w:r>
    </w:p>
    <w:p w14:paraId="744AF17E">
      <w:pPr>
        <w:pStyle w:val="2"/>
        <w:ind w:firstLine="600" w:firstLineChars="200"/>
        <w:jc w:val="left"/>
        <w:rPr>
          <w:rFonts w:hint="eastAsia"/>
          <w:highlight w:val="none"/>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此项权重分10分，得分10分</w:t>
      </w:r>
    </w:p>
    <w:p w14:paraId="2363A585">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highlight w:val="none"/>
        </w:rPr>
      </w:pPr>
      <w:bookmarkStart w:id="15" w:name="_Toc68703841"/>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四</w:t>
      </w:r>
      <w:r>
        <w:rPr>
          <w:rFonts w:hint="eastAsia" w:ascii="仿宋_GB2312" w:eastAsia="仿宋_GB2312"/>
          <w:b w:val="0"/>
          <w:bCs w:val="0"/>
          <w:color w:val="auto"/>
          <w:highlight w:val="none"/>
        </w:rPr>
        <w:t>）项目效益情况。</w:t>
      </w:r>
      <w:bookmarkEnd w:id="15"/>
    </w:p>
    <w:p w14:paraId="208ADB6D">
      <w:pPr>
        <w:pageBreakBefore w:val="0"/>
        <w:kinsoku/>
        <w:wordWrap/>
        <w:overflowPunct/>
        <w:topLinePunct w:val="0"/>
        <w:autoSpaceDE/>
        <w:autoSpaceDN/>
        <w:bidi w:val="0"/>
        <w:adjustRightInd/>
        <w:snapToGrid/>
        <w:spacing w:line="560" w:lineRule="exact"/>
        <w:ind w:firstLine="600" w:firstLineChars="200"/>
        <w:textAlignment w:val="auto"/>
        <w:rPr>
          <w:rFonts w:hint="default" w:eastAsia="仿宋_GB2312"/>
          <w:color w:val="auto"/>
          <w:highlight w:val="none"/>
          <w:lang w:val="en-US" w:eastAsia="zh-CN"/>
        </w:rPr>
      </w:pPr>
      <w:r>
        <w:rPr>
          <w:rFonts w:hint="eastAsia"/>
          <w:color w:val="auto"/>
          <w:highlight w:val="none"/>
        </w:rPr>
        <w:t>2</w:t>
      </w:r>
      <w:r>
        <w:rPr>
          <w:rFonts w:hint="eastAsia"/>
          <w:color w:val="auto"/>
          <w:highlight w:val="none"/>
          <w:lang w:val="en-US" w:eastAsia="zh-CN"/>
        </w:rPr>
        <w:t>.</w:t>
      </w:r>
      <w:r>
        <w:rPr>
          <w:rFonts w:hint="eastAsia"/>
          <w:color w:val="auto"/>
          <w:highlight w:val="none"/>
        </w:rPr>
        <w:t>社会效益指标</w:t>
      </w:r>
      <w:r>
        <w:rPr>
          <w:rFonts w:hint="eastAsia"/>
          <w:color w:val="auto"/>
          <w:highlight w:val="none"/>
          <w:lang w:eastAsia="zh-CN"/>
        </w:rPr>
        <w:t>完成情况</w:t>
      </w:r>
      <w:r>
        <w:rPr>
          <w:rFonts w:hint="eastAsia"/>
          <w:color w:val="auto"/>
          <w:highlight w:val="none"/>
        </w:rPr>
        <w:t>：指标1：医疗收入增幅，指标值：&gt;=</w:t>
      </w:r>
      <w:r>
        <w:rPr>
          <w:rFonts w:hint="eastAsia"/>
          <w:color w:val="auto"/>
          <w:highlight w:val="none"/>
          <w:lang w:val="en-US" w:eastAsia="zh-CN"/>
        </w:rPr>
        <w:t>20</w:t>
      </w:r>
      <w:r>
        <w:rPr>
          <w:rFonts w:hint="eastAsia"/>
          <w:color w:val="auto"/>
          <w:highlight w:val="none"/>
        </w:rPr>
        <w:t>%，实际完成值</w:t>
      </w:r>
      <w:r>
        <w:rPr>
          <w:rFonts w:hint="eastAsia"/>
          <w:color w:val="auto"/>
          <w:highlight w:val="none"/>
          <w:lang w:val="en-US" w:eastAsia="zh-CN"/>
        </w:rPr>
        <w:t>22.56%</w:t>
      </w:r>
      <w:r>
        <w:rPr>
          <w:rFonts w:hint="eastAsia"/>
          <w:color w:val="auto"/>
          <w:highlight w:val="none"/>
        </w:rPr>
        <w:t>，指标完成率</w:t>
      </w:r>
      <w:r>
        <w:rPr>
          <w:rFonts w:hint="eastAsia"/>
          <w:color w:val="auto"/>
          <w:highlight w:val="none"/>
          <w:lang w:val="en-US" w:eastAsia="zh-CN"/>
        </w:rPr>
        <w:t>112.8</w:t>
      </w:r>
      <w:r>
        <w:rPr>
          <w:rFonts w:hint="eastAsia"/>
          <w:color w:val="auto"/>
          <w:highlight w:val="none"/>
        </w:rPr>
        <w:t>%</w:t>
      </w:r>
      <w:r>
        <w:rPr>
          <w:rFonts w:hint="eastAsia"/>
          <w:color w:val="auto"/>
          <w:highlight w:val="none"/>
          <w:lang w:val="en-US" w:eastAsia="zh-CN"/>
        </w:rPr>
        <w:t>，偏差原因：2024年我院努力经营，收入增幅为22.56%</w:t>
      </w:r>
    </w:p>
    <w:p w14:paraId="739B48CF">
      <w:pPr>
        <w:pStyle w:val="20"/>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color w:val="auto"/>
          <w:kern w:val="2"/>
          <w:sz w:val="30"/>
          <w:szCs w:val="24"/>
          <w:highlight w:val="none"/>
          <w:lang w:val="en-US" w:eastAsia="zh-CN" w:bidi="ar-SA"/>
        </w:rPr>
      </w:pPr>
      <w:r>
        <w:rPr>
          <w:rFonts w:hint="eastAsia"/>
          <w:color w:val="auto"/>
          <w:highlight w:val="none"/>
          <w:lang w:val="en-US" w:eastAsia="zh-CN"/>
        </w:rPr>
        <w:t>4.</w:t>
      </w:r>
      <w:r>
        <w:rPr>
          <w:rFonts w:hint="eastAsia"/>
          <w:color w:val="auto"/>
          <w:highlight w:val="none"/>
        </w:rPr>
        <w:t>满意度指标</w:t>
      </w:r>
      <w:r>
        <w:rPr>
          <w:rFonts w:hint="eastAsia"/>
          <w:color w:val="auto"/>
          <w:highlight w:val="none"/>
          <w:lang w:eastAsia="zh-CN"/>
        </w:rPr>
        <w:t>完成情况分析</w:t>
      </w:r>
      <w:r>
        <w:rPr>
          <w:rFonts w:hint="eastAsia"/>
          <w:color w:val="auto"/>
          <w:highlight w:val="none"/>
        </w:rPr>
        <w:t>：指标1：职工满意度，指标值：&gt;=98%，实际完成值</w:t>
      </w:r>
      <w:r>
        <w:rPr>
          <w:rFonts w:hint="eastAsia"/>
          <w:color w:val="auto"/>
          <w:highlight w:val="none"/>
          <w:lang w:val="en-US" w:eastAsia="zh-CN"/>
        </w:rPr>
        <w:t>95%</w:t>
      </w:r>
      <w:r>
        <w:rPr>
          <w:rFonts w:hint="eastAsia"/>
          <w:color w:val="auto"/>
          <w:highlight w:val="none"/>
        </w:rPr>
        <w:t>，指标完成率</w:t>
      </w:r>
      <w:r>
        <w:rPr>
          <w:rFonts w:hint="eastAsia"/>
          <w:color w:val="auto"/>
          <w:highlight w:val="none"/>
          <w:lang w:val="en-US" w:eastAsia="zh-CN"/>
        </w:rPr>
        <w:t>96.94</w:t>
      </w:r>
      <w:r>
        <w:rPr>
          <w:rFonts w:hint="eastAsia"/>
          <w:color w:val="auto"/>
          <w:highlight w:val="none"/>
        </w:rPr>
        <w:t>%；</w:t>
      </w:r>
      <w:r>
        <w:rPr>
          <w:rFonts w:hint="eastAsia"/>
          <w:color w:val="auto"/>
          <w:highlight w:val="none"/>
          <w:lang w:eastAsia="zh-CN"/>
        </w:rPr>
        <w:t>偏差原因：</w:t>
      </w:r>
      <w:r>
        <w:rPr>
          <w:rFonts w:hint="eastAsia"/>
          <w:color w:val="auto"/>
          <w:highlight w:val="none"/>
        </w:rPr>
        <w:t>职工满意度未达到预期目标，</w:t>
      </w:r>
      <w:r>
        <w:rPr>
          <w:rFonts w:hint="eastAsia" w:ascii="Times New Roman" w:hAnsi="Times New Roman" w:eastAsia="仿宋_GB2312" w:cs="Times New Roman"/>
          <w:color w:val="auto"/>
          <w:kern w:val="2"/>
          <w:sz w:val="30"/>
          <w:szCs w:val="24"/>
          <w:highlight w:val="none"/>
          <w:lang w:val="en-US" w:eastAsia="zh-CN" w:bidi="ar-SA"/>
        </w:rPr>
        <w:t>下一年度合理设置绩效目标</w:t>
      </w:r>
      <w:r>
        <w:rPr>
          <w:rFonts w:hint="eastAsia" w:cs="Times New Roman"/>
          <w:color w:val="auto"/>
          <w:kern w:val="2"/>
          <w:sz w:val="30"/>
          <w:szCs w:val="24"/>
          <w:highlight w:val="none"/>
          <w:lang w:val="en-US" w:eastAsia="zh-CN" w:bidi="ar-SA"/>
        </w:rPr>
        <w:t>，做好职工满意度工作</w:t>
      </w:r>
      <w:r>
        <w:rPr>
          <w:rFonts w:hint="eastAsia" w:ascii="Times New Roman" w:hAnsi="Times New Roman" w:eastAsia="仿宋_GB2312" w:cs="Times New Roman"/>
          <w:color w:val="auto"/>
          <w:kern w:val="2"/>
          <w:sz w:val="30"/>
          <w:szCs w:val="24"/>
          <w:highlight w:val="none"/>
          <w:lang w:val="en-US" w:eastAsia="zh-CN" w:bidi="ar-SA"/>
        </w:rPr>
        <w:t xml:space="preserve">。 </w:t>
      </w:r>
    </w:p>
    <w:p w14:paraId="1BE73326">
      <w:pPr>
        <w:pStyle w:val="2"/>
        <w:ind w:firstLine="600" w:firstLineChars="200"/>
        <w:jc w:val="left"/>
        <w:rPr>
          <w:rFonts w:hint="default"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此项权重分20分，得分19.66分。</w:t>
      </w:r>
    </w:p>
    <w:p w14:paraId="5302148C">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color w:val="auto"/>
          <w:sz w:val="32"/>
          <w:szCs w:val="32"/>
          <w:highlight w:val="none"/>
          <w:lang w:eastAsia="zh-Hans"/>
        </w:rPr>
      </w:pPr>
      <w:bookmarkStart w:id="16" w:name="_Toc68703842"/>
      <w:r>
        <w:rPr>
          <w:rFonts w:hint="eastAsia" w:ascii="Times New Roman" w:hAnsi="Times New Roman" w:eastAsia="黑体" w:cs="Times New Roman"/>
          <w:color w:val="auto"/>
          <w:sz w:val="32"/>
          <w:szCs w:val="32"/>
          <w:highlight w:val="none"/>
          <w:lang w:eastAsia="zh-Hans"/>
        </w:rPr>
        <w:t>五、预算执行进度与绩效指标总体完成率偏差</w:t>
      </w:r>
    </w:p>
    <w:p w14:paraId="24992549">
      <w:pPr>
        <w:pStyle w:val="20"/>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color w:val="auto"/>
          <w:kern w:val="2"/>
          <w:sz w:val="30"/>
          <w:szCs w:val="24"/>
          <w:highlight w:val="none"/>
          <w:lang w:val="en-US" w:eastAsia="zh-CN" w:bidi="ar-SA"/>
        </w:rPr>
      </w:pPr>
      <w:r>
        <w:rPr>
          <w:rFonts w:hint="eastAsia" w:ascii="Times New Roman" w:hAnsi="Times New Roman" w:eastAsia="仿宋_GB2312" w:cs="Times New Roman"/>
          <w:color w:val="auto"/>
          <w:kern w:val="2"/>
          <w:sz w:val="30"/>
          <w:szCs w:val="24"/>
          <w:highlight w:val="none"/>
          <w:lang w:val="en-US" w:eastAsia="zh-CN" w:bidi="ar-SA"/>
        </w:rPr>
        <w:t>巴州第二人民医院单位经费项目年初预算4089.7万元，全年预算4089.7万元，实际支出4089.7万元，预算执行率为</w:t>
      </w:r>
      <w:r>
        <w:rPr>
          <w:rFonts w:hint="eastAsia" w:cs="Times New Roman"/>
          <w:color w:val="auto"/>
          <w:kern w:val="2"/>
          <w:sz w:val="30"/>
          <w:szCs w:val="24"/>
          <w:highlight w:val="none"/>
          <w:lang w:val="en-US" w:eastAsia="zh-CN" w:bidi="ar-SA"/>
        </w:rPr>
        <w:t>100</w:t>
      </w:r>
      <w:r>
        <w:rPr>
          <w:rFonts w:hint="eastAsia" w:ascii="Times New Roman" w:hAnsi="Times New Roman" w:eastAsia="仿宋_GB2312" w:cs="Times New Roman"/>
          <w:color w:val="auto"/>
          <w:kern w:val="2"/>
          <w:sz w:val="30"/>
          <w:szCs w:val="24"/>
          <w:highlight w:val="none"/>
          <w:lang w:val="en-US" w:eastAsia="zh-CN" w:bidi="ar-SA"/>
        </w:rPr>
        <w:t>%，项目绩效指标总体完成率为</w:t>
      </w:r>
      <w:r>
        <w:rPr>
          <w:rFonts w:hint="eastAsia" w:cs="Times New Roman"/>
          <w:color w:val="auto"/>
          <w:kern w:val="2"/>
          <w:sz w:val="30"/>
          <w:szCs w:val="24"/>
          <w:highlight w:val="none"/>
          <w:lang w:val="en-US" w:eastAsia="zh-CN" w:bidi="ar-SA"/>
        </w:rPr>
        <w:t>101.07</w:t>
      </w:r>
      <w:r>
        <w:rPr>
          <w:rFonts w:hint="eastAsia" w:ascii="Times New Roman" w:hAnsi="Times New Roman" w:eastAsia="仿宋_GB2312" w:cs="Times New Roman"/>
          <w:color w:val="auto"/>
          <w:kern w:val="2"/>
          <w:sz w:val="30"/>
          <w:szCs w:val="24"/>
          <w:highlight w:val="none"/>
          <w:lang w:val="en-US" w:eastAsia="zh-CN" w:bidi="ar-SA"/>
        </w:rPr>
        <w:t>%，</w:t>
      </w:r>
      <w:r>
        <w:rPr>
          <w:rFonts w:hint="eastAsia" w:ascii="Times New Roman" w:hAnsi="Times New Roman" w:eastAsia="仿宋_GB2312" w:cs="Times New Roman"/>
          <w:color w:val="auto"/>
          <w:kern w:val="2"/>
          <w:sz w:val="30"/>
          <w:szCs w:val="24"/>
          <w:highlight w:val="none"/>
          <w:lang w:val="en-US" w:eastAsia="zh-Hans" w:bidi="ar-SA"/>
        </w:rPr>
        <w:t>总体</w:t>
      </w:r>
      <w:r>
        <w:rPr>
          <w:rFonts w:hint="eastAsia" w:ascii="Times New Roman" w:hAnsi="Times New Roman" w:eastAsia="仿宋_GB2312" w:cs="Times New Roman"/>
          <w:color w:val="auto"/>
          <w:kern w:val="2"/>
          <w:sz w:val="30"/>
          <w:szCs w:val="24"/>
          <w:highlight w:val="none"/>
          <w:lang w:val="en-US" w:eastAsia="zh-CN" w:bidi="ar-SA"/>
        </w:rPr>
        <w:t>偏差率为</w:t>
      </w:r>
      <w:r>
        <w:rPr>
          <w:rFonts w:hint="eastAsia" w:cs="Times New Roman"/>
          <w:color w:val="auto"/>
          <w:kern w:val="2"/>
          <w:sz w:val="30"/>
          <w:szCs w:val="24"/>
          <w:highlight w:val="none"/>
          <w:lang w:val="en-US" w:eastAsia="zh-CN" w:bidi="ar-SA"/>
        </w:rPr>
        <w:t>1.07</w:t>
      </w:r>
      <w:r>
        <w:rPr>
          <w:rFonts w:hint="eastAsia" w:ascii="Times New Roman" w:hAnsi="Times New Roman" w:eastAsia="仿宋_GB2312" w:cs="Times New Roman"/>
          <w:color w:val="auto"/>
          <w:kern w:val="2"/>
          <w:sz w:val="30"/>
          <w:szCs w:val="24"/>
          <w:highlight w:val="none"/>
          <w:lang w:val="en-US" w:eastAsia="zh-CN" w:bidi="ar-SA"/>
        </w:rPr>
        <w:t>%,</w:t>
      </w:r>
      <w:r>
        <w:rPr>
          <w:rFonts w:hint="eastAsia" w:ascii="Times New Roman" w:hAnsi="Times New Roman" w:eastAsia="仿宋_GB2312" w:cs="Times New Roman"/>
          <w:color w:val="auto"/>
          <w:kern w:val="2"/>
          <w:sz w:val="30"/>
          <w:szCs w:val="24"/>
          <w:highlight w:val="none"/>
          <w:lang w:val="en-US" w:eastAsia="zh-Hans" w:bidi="ar-SA"/>
        </w:rPr>
        <w:t>偏差</w:t>
      </w:r>
      <w:r>
        <w:rPr>
          <w:rFonts w:hint="eastAsia" w:ascii="Times New Roman" w:hAnsi="Times New Roman" w:eastAsia="仿宋_GB2312" w:cs="Times New Roman"/>
          <w:color w:val="auto"/>
          <w:kern w:val="2"/>
          <w:sz w:val="30"/>
          <w:szCs w:val="24"/>
          <w:highlight w:val="none"/>
          <w:lang w:val="en-US" w:eastAsia="zh-CN" w:bidi="ar-SA"/>
        </w:rPr>
        <w:t>原因</w:t>
      </w:r>
      <w:r>
        <w:rPr>
          <w:rFonts w:hint="eastAsia" w:cs="Times New Roman"/>
          <w:color w:val="auto"/>
          <w:kern w:val="2"/>
          <w:sz w:val="30"/>
          <w:szCs w:val="24"/>
          <w:highlight w:val="none"/>
          <w:lang w:val="en-US" w:eastAsia="zh-CN" w:bidi="ar-SA"/>
        </w:rPr>
        <w:t>年初未做好绩效目标的设定工作，导致部分指标超出预期指标</w:t>
      </w:r>
      <w:r>
        <w:rPr>
          <w:rFonts w:hint="eastAsia" w:ascii="Times New Roman" w:hAnsi="Times New Roman" w:eastAsia="仿宋_GB2312" w:cs="Times New Roman"/>
          <w:color w:val="auto"/>
          <w:kern w:val="2"/>
          <w:sz w:val="30"/>
          <w:szCs w:val="24"/>
          <w:highlight w:val="none"/>
          <w:lang w:val="en-US" w:eastAsia="zh-CN" w:bidi="ar-SA"/>
        </w:rPr>
        <w:t xml:space="preserve">。改进措施：下一步将严格按照期初目标安排好资金情况，并在下一年度合理设置绩效目标。 </w:t>
      </w:r>
    </w:p>
    <w:p w14:paraId="6C3C5D25">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color w:val="auto"/>
          <w:sz w:val="32"/>
          <w:szCs w:val="32"/>
          <w:highlight w:val="none"/>
        </w:rPr>
      </w:pPr>
      <w:r>
        <w:rPr>
          <w:rFonts w:hint="eastAsia" w:ascii="宋体" w:hAnsi="宋体" w:eastAsia="宋体"/>
          <w:color w:val="auto"/>
          <w:sz w:val="32"/>
          <w:szCs w:val="32"/>
          <w:highlight w:val="none"/>
          <w:lang w:val="en-US" w:eastAsia="zh-CN"/>
        </w:rPr>
        <w:t>六</w:t>
      </w:r>
      <w:r>
        <w:rPr>
          <w:rFonts w:hint="eastAsia" w:ascii="宋体" w:hAnsi="宋体" w:eastAsia="宋体"/>
          <w:color w:val="auto"/>
          <w:sz w:val="32"/>
          <w:szCs w:val="32"/>
          <w:highlight w:val="none"/>
        </w:rPr>
        <w:t>、主要经验及做法、存在的问题及原因分析</w:t>
      </w:r>
      <w:bookmarkEnd w:id="16"/>
    </w:p>
    <w:p w14:paraId="3875666E">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Times New Roman" w:hAnsi="Times New Roman" w:eastAsia="仿宋_GB2312" w:cs="Times New Roman"/>
          <w:b w:val="0"/>
          <w:bCs w:val="0"/>
          <w:color w:val="auto"/>
          <w:kern w:val="2"/>
          <w:sz w:val="30"/>
          <w:szCs w:val="24"/>
          <w:highlight w:val="none"/>
          <w:lang w:val="en-US" w:eastAsia="zh-CN" w:bidi="ar-SA"/>
        </w:rPr>
      </w:pPr>
      <w:bookmarkStart w:id="17" w:name="_Toc68703843"/>
      <w:r>
        <w:rPr>
          <w:rFonts w:hint="eastAsia" w:ascii="Times New Roman" w:hAnsi="Times New Roman" w:eastAsia="仿宋_GB2312" w:cs="Times New Roman"/>
          <w:b w:val="0"/>
          <w:bCs w:val="0"/>
          <w:color w:val="auto"/>
          <w:kern w:val="2"/>
          <w:sz w:val="30"/>
          <w:szCs w:val="24"/>
          <w:highlight w:val="none"/>
          <w:lang w:val="en-US" w:eastAsia="zh-CN" w:bidi="ar-SA"/>
        </w:rPr>
        <w:t>（一）主要经验及做法</w:t>
      </w:r>
      <w:bookmarkEnd w:id="17"/>
    </w:p>
    <w:p w14:paraId="30DE4F50">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Times New Roman" w:hAnsi="Times New Roman" w:eastAsia="仿宋_GB2312" w:cs="Times New Roman"/>
          <w:b w:val="0"/>
          <w:bCs w:val="0"/>
          <w:color w:val="auto"/>
          <w:kern w:val="2"/>
          <w:sz w:val="30"/>
          <w:szCs w:val="24"/>
          <w:highlight w:val="none"/>
          <w:lang w:val="en-US" w:eastAsia="zh-CN" w:bidi="ar-SA"/>
        </w:rPr>
      </w:pPr>
      <w:bookmarkStart w:id="18" w:name="_Toc68703844"/>
      <w:r>
        <w:rPr>
          <w:rFonts w:hint="eastAsia" w:ascii="Times New Roman" w:hAnsi="Times New Roman" w:eastAsia="仿宋_GB2312" w:cs="Times New Roman"/>
          <w:b w:val="0"/>
          <w:bCs w:val="0"/>
          <w:color w:val="auto"/>
          <w:kern w:val="2"/>
          <w:sz w:val="30"/>
          <w:szCs w:val="24"/>
          <w:highlight w:val="none"/>
          <w:lang w:val="en-US" w:eastAsia="zh-CN" w:bidi="ar-SA"/>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5275D7C7">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（二）存在的问题及原因分析</w:t>
      </w:r>
      <w:bookmarkEnd w:id="18"/>
    </w:p>
    <w:p w14:paraId="008CD386">
      <w:pPr>
        <w:pageBreakBefore w:val="0"/>
        <w:shd w:val="clear"/>
        <w:kinsoku/>
        <w:wordWrap/>
        <w:overflowPunct/>
        <w:topLinePunct w:val="0"/>
        <w:autoSpaceDE/>
        <w:autoSpaceDN/>
        <w:bidi w:val="0"/>
        <w:adjustRightInd/>
        <w:snapToGrid/>
        <w:spacing w:line="560" w:lineRule="exact"/>
        <w:ind w:firstLine="600" w:firstLineChars="200"/>
        <w:textAlignment w:val="auto"/>
        <w:outlineLvl w:val="0"/>
        <w:rPr>
          <w:rFonts w:hint="eastAsia" w:ascii="Times New Roman" w:hAnsi="Times New Roman" w:eastAsia="仿宋_GB2312" w:cs="Times New Roman"/>
          <w:b w:val="0"/>
          <w:bCs w:val="0"/>
          <w:color w:val="auto"/>
          <w:kern w:val="2"/>
          <w:sz w:val="30"/>
          <w:szCs w:val="24"/>
          <w:highlight w:val="none"/>
          <w:lang w:val="en-US" w:eastAsia="zh-CN" w:bidi="ar-SA"/>
        </w:rPr>
      </w:pPr>
      <w:bookmarkStart w:id="19" w:name="_Toc68703845"/>
      <w:r>
        <w:rPr>
          <w:rFonts w:hint="eastAsia" w:ascii="Times New Roman" w:hAnsi="Times New Roman" w:eastAsia="仿宋_GB2312" w:cs="Times New Roman"/>
          <w:b w:val="0"/>
          <w:bCs w:val="0"/>
          <w:color w:val="auto"/>
          <w:kern w:val="2"/>
          <w:sz w:val="30"/>
          <w:szCs w:val="24"/>
          <w:highlight w:val="none"/>
          <w:lang w:val="en-US" w:eastAsia="zh-CN" w:bidi="ar-SA"/>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r>
        <w:rPr>
          <w:rFonts w:hint="eastAsia" w:ascii="Times New Roman" w:hAnsi="Times New Roman" w:eastAsia="仿宋_GB2312" w:cs="Times New Roman"/>
          <w:b w:val="0"/>
          <w:bCs w:val="0"/>
          <w:color w:val="auto"/>
          <w:kern w:val="2"/>
          <w:sz w:val="30"/>
          <w:szCs w:val="24"/>
          <w:highlight w:val="none"/>
          <w:lang w:val="en-US" w:eastAsia="zh-CN" w:bidi="ar-SA"/>
        </w:rPr>
        <w:cr/>
      </w:r>
      <w:r>
        <w:rPr>
          <w:rFonts w:hint="eastAsia" w:cs="Times New Roman"/>
          <w:b w:val="0"/>
          <w:bCs w:val="0"/>
          <w:color w:val="auto"/>
          <w:kern w:val="2"/>
          <w:sz w:val="30"/>
          <w:szCs w:val="24"/>
          <w:highlight w:val="none"/>
          <w:lang w:val="en-US" w:eastAsia="zh-CN" w:bidi="ar-SA"/>
        </w:rPr>
        <w:t xml:space="preserve">   </w:t>
      </w:r>
      <w:r>
        <w:rPr>
          <w:rFonts w:hint="eastAsia" w:ascii="Times New Roman" w:hAnsi="Times New Roman" w:eastAsia="仿宋_GB2312" w:cs="Times New Roman"/>
          <w:b w:val="0"/>
          <w:bCs w:val="0"/>
          <w:color w:val="auto"/>
          <w:kern w:val="2"/>
          <w:sz w:val="30"/>
          <w:szCs w:val="24"/>
          <w:highlight w:val="none"/>
          <w:lang w:val="en-US" w:eastAsia="zh-CN" w:bidi="ar-SA"/>
        </w:rPr>
        <w:t>七、有关建议</w:t>
      </w:r>
      <w:bookmarkEnd w:id="19"/>
    </w:p>
    <w:p w14:paraId="04A13665">
      <w:pPr>
        <w:pageBreakBefore w:val="0"/>
        <w:shd w:val="clear"/>
        <w:kinsoku/>
        <w:wordWrap/>
        <w:overflowPunct/>
        <w:topLinePunct w:val="0"/>
        <w:autoSpaceDE/>
        <w:autoSpaceDN/>
        <w:bidi w:val="0"/>
        <w:adjustRightInd/>
        <w:snapToGrid/>
        <w:spacing w:line="560" w:lineRule="exact"/>
        <w:ind w:firstLine="600" w:firstLineChars="200"/>
        <w:textAlignment w:val="auto"/>
        <w:outlineLvl w:val="0"/>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多进行有关绩效管理工作方面的培训。积极组织第三方开展绩效管理工作培训，进一步夯实业务基础，提高我单位绩效人员水平。</w:t>
      </w:r>
      <w:bookmarkStart w:id="20" w:name="_Toc68703846"/>
      <w:r>
        <w:rPr>
          <w:rFonts w:hint="eastAsia" w:cs="Times New Roman"/>
          <w:b w:val="0"/>
          <w:bCs w:val="0"/>
          <w:color w:val="auto"/>
          <w:kern w:val="2"/>
          <w:sz w:val="30"/>
          <w:szCs w:val="24"/>
          <w:highlight w:val="none"/>
          <w:lang w:val="en-US" w:eastAsia="zh-CN" w:bidi="ar-SA"/>
        </w:rPr>
        <w:t xml:space="preserve"> </w:t>
      </w:r>
      <w:r>
        <w:rPr>
          <w:rFonts w:hint="eastAsia" w:ascii="Times New Roman" w:hAnsi="Times New Roman" w:eastAsia="仿宋_GB2312" w:cs="Times New Roman"/>
          <w:b w:val="0"/>
          <w:bCs w:val="0"/>
          <w:color w:val="000000" w:themeColor="text1"/>
          <w:kern w:val="2"/>
          <w:sz w:val="30"/>
          <w:szCs w:val="24"/>
          <w:highlight w:val="none"/>
          <w:lang w:val="en-US" w:eastAsia="zh-CN" w:bidi="ar-SA"/>
          <w14:textFill>
            <w14:solidFill>
              <w14:schemeClr w14:val="tx1"/>
            </w14:solidFill>
          </w14:textFill>
        </w:rPr>
        <w:t>及时了解绩效管理工作新要求新标准，并</w:t>
      </w:r>
      <w:r>
        <w:rPr>
          <w:rFonts w:hint="default" w:ascii="Times New Roman" w:hAnsi="Times New Roman" w:eastAsia="仿宋_GB2312" w:cs="Times New Roman"/>
          <w:b w:val="0"/>
          <w:bCs w:val="0"/>
          <w:color w:val="000000" w:themeColor="text1"/>
          <w:kern w:val="2"/>
          <w:sz w:val="30"/>
          <w:szCs w:val="24"/>
          <w:highlight w:val="none"/>
          <w:lang w:val="en-US" w:eastAsia="zh-CN" w:bidi="ar-SA"/>
          <w14:textFill>
            <w14:solidFill>
              <w14:schemeClr w14:val="tx1"/>
            </w14:solidFill>
          </w14:textFill>
        </w:rPr>
        <w:t>专门设定对绩效工作人员定职、定岗、定责等相关制度措施，进一步提升我单位绩效管理工作业务水平，扎实做好绩效管理工作。</w:t>
      </w:r>
      <w:r>
        <w:rPr>
          <w:rFonts w:hint="eastAsia" w:cs="Times New Roman"/>
          <w:b w:val="0"/>
          <w:bCs w:val="0"/>
          <w:color w:val="auto"/>
          <w:kern w:val="2"/>
          <w:sz w:val="30"/>
          <w:szCs w:val="24"/>
          <w:highlight w:val="none"/>
          <w:lang w:val="en-US" w:eastAsia="zh-CN" w:bidi="ar-SA"/>
        </w:rPr>
        <w:t xml:space="preserve">    </w:t>
      </w:r>
    </w:p>
    <w:p w14:paraId="7AF0676A">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color w:val="auto"/>
          <w:sz w:val="32"/>
          <w:szCs w:val="32"/>
          <w:highlight w:val="none"/>
        </w:rPr>
      </w:pPr>
      <w:r>
        <w:rPr>
          <w:rFonts w:hint="eastAsia" w:ascii="宋体" w:hAnsi="宋体" w:eastAsia="宋体"/>
          <w:color w:val="auto"/>
          <w:sz w:val="32"/>
          <w:szCs w:val="32"/>
          <w:highlight w:val="none"/>
          <w:lang w:val="en-US" w:eastAsia="zh-CN"/>
        </w:rPr>
        <w:t>八</w:t>
      </w:r>
      <w:r>
        <w:rPr>
          <w:rFonts w:hint="eastAsia" w:ascii="宋体" w:hAnsi="宋体" w:eastAsia="宋体"/>
          <w:color w:val="auto"/>
          <w:sz w:val="32"/>
          <w:szCs w:val="32"/>
          <w:highlight w:val="none"/>
        </w:rPr>
        <w:t>、其他需要说明的问题</w:t>
      </w:r>
      <w:bookmarkEnd w:id="20"/>
    </w:p>
    <w:p w14:paraId="15C05678">
      <w:pPr>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仿宋_GB2312" w:eastAsia="仿宋_GB2312" w:cs="仿宋_GB2312"/>
          <w:b w:val="0"/>
          <w:bCs w:val="0"/>
          <w:color w:val="auto"/>
          <w:kern w:val="2"/>
          <w:sz w:val="32"/>
          <w:szCs w:val="32"/>
          <w:highlight w:val="none"/>
          <w:lang w:val="en-US" w:eastAsia="zh-CN" w:bidi="ar-SA"/>
        </w:rPr>
        <w:t>无</w:t>
      </w:r>
      <w:bookmarkStart w:id="21" w:name="_GoBack"/>
      <w:bookmarkEnd w:id="21"/>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0D1E6F"/>
    <w:multiLevelType w:val="singleLevel"/>
    <w:tmpl w:val="D10D1E6F"/>
    <w:lvl w:ilvl="0" w:tentative="0">
      <w:start w:val="1"/>
      <w:numFmt w:val="decimal"/>
      <w:lvlText w:val="%1."/>
      <w:lvlJc w:val="left"/>
      <w:pPr>
        <w:tabs>
          <w:tab w:val="left" w:pos="312"/>
        </w:tabs>
      </w:pPr>
    </w:lvl>
  </w:abstractNum>
  <w:abstractNum w:abstractNumId="1">
    <w:nsid w:val="093F397A"/>
    <w:multiLevelType w:val="singleLevel"/>
    <w:tmpl w:val="093F397A"/>
    <w:lvl w:ilvl="0" w:tentative="0">
      <w:start w:val="5"/>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liZGUwNWM5NjQxODUyZjhjYWVlMWZjZWZmNTI5Mzg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31A7868"/>
    <w:rsid w:val="05227DA5"/>
    <w:rsid w:val="08D20D13"/>
    <w:rsid w:val="0C4D0F1B"/>
    <w:rsid w:val="0F2A6BF7"/>
    <w:rsid w:val="10EB5707"/>
    <w:rsid w:val="116B2F2B"/>
    <w:rsid w:val="16D93709"/>
    <w:rsid w:val="179844F5"/>
    <w:rsid w:val="19EA0D2C"/>
    <w:rsid w:val="1D723F37"/>
    <w:rsid w:val="1D785367"/>
    <w:rsid w:val="230A3B21"/>
    <w:rsid w:val="278831F9"/>
    <w:rsid w:val="28A718C1"/>
    <w:rsid w:val="29AC162C"/>
    <w:rsid w:val="29D954B6"/>
    <w:rsid w:val="30B56372"/>
    <w:rsid w:val="32AE0DEC"/>
    <w:rsid w:val="358728D3"/>
    <w:rsid w:val="36B72533"/>
    <w:rsid w:val="3AB224E9"/>
    <w:rsid w:val="3E9D4B3A"/>
    <w:rsid w:val="3FA41314"/>
    <w:rsid w:val="4057649F"/>
    <w:rsid w:val="43182414"/>
    <w:rsid w:val="441A70BC"/>
    <w:rsid w:val="44CF719E"/>
    <w:rsid w:val="46507BB3"/>
    <w:rsid w:val="48AD2302"/>
    <w:rsid w:val="4A7C25BE"/>
    <w:rsid w:val="4BF21681"/>
    <w:rsid w:val="4C1C4A6D"/>
    <w:rsid w:val="4C22332E"/>
    <w:rsid w:val="4ECF4DC8"/>
    <w:rsid w:val="56796849"/>
    <w:rsid w:val="58813143"/>
    <w:rsid w:val="5D20445F"/>
    <w:rsid w:val="5DA95371"/>
    <w:rsid w:val="63FE4C1B"/>
    <w:rsid w:val="6874526D"/>
    <w:rsid w:val="68F11999"/>
    <w:rsid w:val="6ACF76C1"/>
    <w:rsid w:val="760246AA"/>
    <w:rsid w:val="763A02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qFormat/>
    <w:uiPriority w:val="0"/>
    <w:pPr>
      <w:jc w:val="left"/>
    </w:pPr>
  </w:style>
  <w:style w:type="paragraph" w:styleId="6">
    <w:name w:val="footer"/>
    <w:basedOn w:val="1"/>
    <w:link w:val="19"/>
    <w:semiHidden/>
    <w:unhideWhenUsed/>
    <w:qFormat/>
    <w:uiPriority w:val="99"/>
    <w:pPr>
      <w:tabs>
        <w:tab w:val="center" w:pos="4153"/>
        <w:tab w:val="right" w:pos="8306"/>
      </w:tabs>
      <w:snapToGrid w:val="0"/>
      <w:jc w:val="left"/>
    </w:pPr>
    <w:rPr>
      <w:sz w:val="18"/>
      <w:szCs w:val="18"/>
    </w:rPr>
  </w:style>
  <w:style w:type="paragraph" w:styleId="7">
    <w:name w:val="header"/>
    <w:basedOn w:val="1"/>
    <w:link w:val="1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footnote text"/>
    <w:basedOn w:val="1"/>
    <w:qFormat/>
    <w:uiPriority w:val="0"/>
    <w:pPr>
      <w:snapToGrid w:val="0"/>
      <w:jc w:val="left"/>
    </w:pPr>
    <w:rPr>
      <w:sz w:val="18"/>
      <w:szCs w:val="18"/>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3">
    <w:name w:val="Strong"/>
    <w:basedOn w:val="12"/>
    <w:qFormat/>
    <w:uiPriority w:val="0"/>
    <w:rPr>
      <w:b/>
      <w:bCs/>
    </w:rPr>
  </w:style>
  <w:style w:type="character" w:styleId="14">
    <w:name w:val="Hyperlink"/>
    <w:basedOn w:val="12"/>
    <w:unhideWhenUsed/>
    <w:qFormat/>
    <w:uiPriority w:val="99"/>
    <w:rPr>
      <w:color w:val="0563C1" w:themeColor="hyperlink"/>
      <w:u w:val="single"/>
      <w14:textFill>
        <w14:solidFill>
          <w14:schemeClr w14:val="hlink"/>
        </w14:solidFill>
      </w14:textFill>
    </w:rPr>
  </w:style>
  <w:style w:type="character" w:customStyle="1" w:styleId="15">
    <w:name w:val="标题 1 Char"/>
    <w:basedOn w:val="12"/>
    <w:link w:val="3"/>
    <w:qFormat/>
    <w:uiPriority w:val="9"/>
    <w:rPr>
      <w:rFonts w:ascii="Times New Roman" w:hAnsi="Times New Roman" w:eastAsia="仿宋_GB2312" w:cs="Times New Roman"/>
      <w:b/>
      <w:bCs/>
      <w:kern w:val="44"/>
      <w:sz w:val="44"/>
      <w:szCs w:val="44"/>
    </w:rPr>
  </w:style>
  <w:style w:type="character" w:customStyle="1" w:styleId="16">
    <w:name w:val="标题 2 Char"/>
    <w:basedOn w:val="12"/>
    <w:link w:val="4"/>
    <w:qFormat/>
    <w:uiPriority w:val="9"/>
    <w:rPr>
      <w:rFonts w:asciiTheme="majorHAnsi" w:hAnsiTheme="majorHAnsi" w:eastAsiaTheme="majorEastAsia" w:cstheme="majorBidi"/>
      <w:b/>
      <w:bCs/>
      <w:sz w:val="32"/>
      <w:szCs w:val="32"/>
    </w:rPr>
  </w:style>
  <w:style w:type="paragraph" w:customStyle="1" w:styleId="17">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8">
    <w:name w:val="页眉 Char"/>
    <w:basedOn w:val="12"/>
    <w:link w:val="7"/>
    <w:semiHidden/>
    <w:qFormat/>
    <w:uiPriority w:val="99"/>
    <w:rPr>
      <w:rFonts w:ascii="Times New Roman" w:hAnsi="Times New Roman" w:eastAsia="仿宋_GB2312" w:cs="Times New Roman"/>
      <w:sz w:val="18"/>
      <w:szCs w:val="18"/>
    </w:rPr>
  </w:style>
  <w:style w:type="character" w:customStyle="1" w:styleId="19">
    <w:name w:val="页脚 Char"/>
    <w:basedOn w:val="12"/>
    <w:link w:val="6"/>
    <w:semiHidden/>
    <w:qFormat/>
    <w:uiPriority w:val="99"/>
    <w:rPr>
      <w:rFonts w:ascii="Times New Roman" w:hAnsi="Times New Roman" w:eastAsia="仿宋_GB2312" w:cs="Times New Roman"/>
      <w:sz w:val="18"/>
      <w:szCs w:val="18"/>
    </w:rPr>
  </w:style>
  <w:style w:type="paragraph" w:customStyle="1" w:styleId="20">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6561</Words>
  <Characters>7015</Characters>
  <Lines>37</Lines>
  <Paragraphs>10</Paragraphs>
  <TotalTime>8</TotalTime>
  <ScaleCrop>false</ScaleCrop>
  <LinksUpToDate>false</LinksUpToDate>
  <CharactersWithSpaces>7032</CharactersWithSpaces>
  <Application>WPS Office_12.1.0.18196_F1E327BC-269C-435d-A152-05C5408002CA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U</cp:lastModifiedBy>
  <cp:lastPrinted>2024-05-16T08:16:00Z</cp:lastPrinted>
  <dcterms:modified xsi:type="dcterms:W3CDTF">2024-09-30T08:48:02Z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2052-12.1.0.18196</vt:lpwstr>
  </property>
  <property fmtid="{D5CDD505-2E9C-101B-9397-08002B2CF9AE}" pid="3" name="ICV">
    <vt:lpwstr>E9BD65EB1EF74067BDFBB4C01461E63E</vt:lpwstr>
  </property>
</Properties>
</file>