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eastAsia="zh-CN"/>
        </w:rPr>
      </w:pPr>
      <w:r>
        <w:rPr>
          <w:rFonts w:hint="eastAsia" w:ascii="宋体" w:hAnsi="宋体" w:eastAsia="宋体" w:cs="仿宋_GB2312"/>
          <w:b/>
          <w:bCs/>
          <w:color w:val="000000"/>
          <w:kern w:val="0"/>
          <w:sz w:val="32"/>
          <w:szCs w:val="32"/>
        </w:rPr>
        <w:t>项目名称：重点行业领域企业生产经营安全评估</w:t>
      </w:r>
      <w:r>
        <w:rPr>
          <w:rFonts w:hint="eastAsia" w:ascii="宋体" w:hAnsi="宋体" w:eastAsia="宋体" w:cs="仿宋_GB2312"/>
          <w:b/>
          <w:bCs/>
          <w:color w:val="000000"/>
          <w:kern w:val="0"/>
          <w:sz w:val="32"/>
          <w:szCs w:val="32"/>
          <w:lang w:eastAsia="zh-CN"/>
        </w:rPr>
        <w:t>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巴州应急管理局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巴州应急管理局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王斐、杨天民</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ighlight w:val="none"/>
          <w:lang w:val="en-US" w:eastAsia="zh-CN"/>
        </w:rPr>
        <w:t>为进一步加强巴州危险化学品、非煤矿山、煤矿、工贸企业安全生产管理，落实企业安全生产主体责任，强化安全风险辨识和管控，提升本质安全水平，预防和减少生产安全事故，给企业全面“深度体检”，现场“把脉会诊”，帮助企业全方位查找安全隐患，全面提升企业安全管理能力，不断夯实安全基础工作，确保巴州安全生产形势稳定。</w:t>
      </w:r>
      <w:r>
        <w:rPr>
          <w:rFonts w:hint="eastAsia" w:ascii="仿宋_GB2312" w:hAnsi="仿宋_GB2312" w:eastAsia="仿宋_GB2312" w:cs="仿宋_GB2312"/>
          <w:sz w:val="30"/>
          <w:szCs w:val="30"/>
        </w:rPr>
        <w:t>巴州应急管理局委托</w:t>
      </w:r>
      <w:r>
        <w:rPr>
          <w:rFonts w:hint="eastAsia" w:ascii="仿宋_GB2312" w:hAnsi="仿宋_GB2312" w:cs="仿宋_GB2312"/>
          <w:sz w:val="30"/>
          <w:szCs w:val="30"/>
          <w:lang w:val="en-US" w:eastAsia="zh-CN"/>
        </w:rPr>
        <w:t>2家</w:t>
      </w:r>
      <w:r>
        <w:rPr>
          <w:rFonts w:hint="eastAsia" w:ascii="仿宋_GB2312" w:hAnsi="仿宋_GB2312" w:eastAsia="仿宋_GB2312" w:cs="仿宋_GB2312"/>
          <w:sz w:val="30"/>
          <w:szCs w:val="30"/>
        </w:rPr>
        <w:t>第三方机构组织专家，对辖区内40家危险化学品企业、1家工贸企业、16家非煤矿山企业、5家煤矿企业进行安全风险评估。</w:t>
      </w:r>
    </w:p>
    <w:p>
      <w:pPr>
        <w:pageBreakBefore w:val="0"/>
        <w:kinsoku/>
        <w:wordWrap/>
        <w:overflowPunct/>
        <w:topLinePunct w:val="0"/>
        <w:autoSpaceDE/>
        <w:autoSpaceDN/>
        <w:bidi w:val="0"/>
        <w:adjustRightInd/>
        <w:snapToGrid/>
        <w:spacing w:line="54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仿宋_GB2312"/>
          <w:color w:val="auto"/>
          <w:highlight w:val="none"/>
        </w:rPr>
      </w:pPr>
      <w:r>
        <w:rPr>
          <w:rFonts w:hint="eastAsia" w:ascii="仿宋_GB2312"/>
          <w:highlight w:val="none"/>
        </w:rPr>
        <w:t>主要内容：</w:t>
      </w:r>
      <w:r>
        <w:rPr>
          <w:rFonts w:hint="eastAsia" w:ascii="仿宋_GB2312"/>
          <w:color w:val="auto"/>
          <w:highlight w:val="none"/>
        </w:rPr>
        <w:t>按照</w:t>
      </w:r>
      <w:r>
        <w:rPr>
          <w:rFonts w:hint="eastAsia" w:ascii="仿宋_GB2312"/>
          <w:highlight w:val="none"/>
        </w:rPr>
        <w:t>《危险化学品安全专项整治三年行动实施方案》</w:t>
      </w:r>
      <w:r>
        <w:rPr>
          <w:rFonts w:hint="eastAsia" w:ascii="仿宋_GB2312"/>
          <w:highlight w:val="none"/>
          <w:lang w:eastAsia="zh-CN"/>
        </w:rPr>
        <w:t>和</w:t>
      </w:r>
      <w:r>
        <w:rPr>
          <w:rFonts w:hint="eastAsia" w:ascii="仿宋_GB2312"/>
          <w:highlight w:val="none"/>
        </w:rPr>
        <w:t>《全国危险化学品安全风险集中治理工作方案》，</w:t>
      </w:r>
      <w:r>
        <w:rPr>
          <w:rFonts w:hint="eastAsia" w:ascii="仿宋_GB2312"/>
          <w:highlight w:val="none"/>
          <w:lang w:eastAsia="zh-CN"/>
        </w:rPr>
        <w:t>对</w:t>
      </w:r>
      <w:r>
        <w:rPr>
          <w:rFonts w:hint="eastAsia" w:ascii="仿宋_GB2312"/>
          <w:color w:val="auto"/>
          <w:highlight w:val="none"/>
        </w:rPr>
        <w:t>巴州40家重点监管的危险化学品生产和1家工贸企业（危险化学品使用企业）</w:t>
      </w:r>
      <w:r>
        <w:rPr>
          <w:rFonts w:hint="eastAsia" w:ascii="仿宋_GB2312"/>
          <w:color w:val="auto"/>
          <w:highlight w:val="none"/>
          <w:lang w:eastAsia="zh-CN"/>
        </w:rPr>
        <w:t>，</w:t>
      </w:r>
      <w:r>
        <w:rPr>
          <w:rFonts w:hint="eastAsia" w:ascii="仿宋_GB2312"/>
          <w:highlight w:val="none"/>
        </w:rPr>
        <w:t>加强危化企业“一企一策”建设和安全风险分级管理</w:t>
      </w:r>
      <w:r>
        <w:rPr>
          <w:rFonts w:hint="eastAsia" w:ascii="仿宋_GB2312"/>
          <w:highlight w:val="none"/>
          <w:lang w:eastAsia="zh-CN"/>
        </w:rPr>
        <w:t>，</w:t>
      </w:r>
      <w:r>
        <w:rPr>
          <w:rFonts w:hint="eastAsia" w:ascii="仿宋_GB2312"/>
          <w:highlight w:val="none"/>
        </w:rPr>
        <w:t>加大一二级重大危险源和有毒有害、易燃易爆化工企业本质安全检查力度；</w:t>
      </w:r>
      <w:r>
        <w:rPr>
          <w:rFonts w:hint="eastAsia" w:ascii="仿宋_GB2312"/>
          <w:color w:val="auto"/>
          <w:highlight w:val="none"/>
        </w:rPr>
        <w:t>对巴州危险化学品企业开展安全风险隐患排查，突出防控大风险、消除大隐患，围绕近期重特大事故暴露出的问题，重点以专项整治和综合治理的要求，对涉及“两重点一重大”的企业，尤其是涉及到硝化工艺、氯化工艺、氟化工艺、重氮化工艺、过氧化工艺等风险较大的危险工艺的企业，关注落后产能淘汰情况、自动化控制水平与人员素质情况。</w:t>
      </w:r>
      <w:r>
        <w:rPr>
          <w:rFonts w:hint="eastAsia" w:ascii="仿宋_GB2312"/>
          <w:color w:val="auto"/>
          <w:highlight w:val="none"/>
          <w:lang w:eastAsia="zh-CN"/>
        </w:rPr>
        <w:t>对照</w:t>
      </w:r>
      <w:r>
        <w:rPr>
          <w:rFonts w:hint="eastAsia" w:ascii="仿宋_GB2312"/>
          <w:highlight w:val="none"/>
        </w:rPr>
        <w:t>《自治州非煤矿山安全专项整治三年行动实施方案》和《自治州非煤矿山岁末年初安全生产大排查、大整治工作方案》</w:t>
      </w:r>
      <w:r>
        <w:rPr>
          <w:rFonts w:hint="eastAsia" w:ascii="仿宋_GB2312"/>
          <w:highlight w:val="none"/>
          <w:lang w:eastAsia="zh-CN"/>
        </w:rPr>
        <w:t>，</w:t>
      </w:r>
      <w:r>
        <w:rPr>
          <w:rFonts w:hint="eastAsia" w:ascii="仿宋_GB2312"/>
          <w:color w:val="auto"/>
          <w:highlight w:val="none"/>
        </w:rPr>
        <w:t>对我州</w:t>
      </w:r>
      <w:r>
        <w:rPr>
          <w:rFonts w:hint="eastAsia" w:ascii="仿宋_GB2312" w:hAnsi="仿宋_GB2312" w:eastAsia="仿宋_GB2312" w:cs="仿宋_GB2312"/>
          <w:sz w:val="30"/>
          <w:szCs w:val="30"/>
        </w:rPr>
        <w:t>16家非煤矿山企业、5家煤矿企业</w:t>
      </w:r>
      <w:r>
        <w:rPr>
          <w:rFonts w:hint="eastAsia" w:ascii="仿宋_GB2312"/>
          <w:color w:val="auto"/>
          <w:highlight w:val="none"/>
        </w:rPr>
        <w:t>完成全州正常生产、建设矿山安全检查工作，通过开展本次矿山领域安全检查工作，到针对煤矿安全生产面临的形势任务和新情况新动向，围绕查大系统、治大灾害、除大隐患、防大事故，组织技术专家，坚持发现隐患与整治隐患紧密结合，全面进行一次煤矿企业安全检查，摸清煤矿基本情况，查找薄弱环节和突出问题，抓紧治理安全隐患。</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仿宋_GB2312" w:eastAsia="仿宋_GB2312"/>
          <w:color w:val="auto"/>
          <w:highlight w:val="none"/>
          <w:lang w:eastAsia="zh-CN"/>
        </w:rPr>
      </w:pPr>
      <w:r>
        <w:rPr>
          <w:rFonts w:hint="eastAsia" w:ascii="仿宋_GB2312"/>
          <w:highlight w:val="none"/>
        </w:rPr>
        <w:t>实施情况：</w:t>
      </w:r>
      <w:r>
        <w:rPr>
          <w:rFonts w:hint="eastAsia" w:ascii="仿宋_GB2312"/>
          <w:color w:val="auto"/>
          <w:highlight w:val="none"/>
        </w:rPr>
        <w:t>2023年，按照工作安排，聘请委托中国化学品安全协会31名专家对全州重点监管的40家危险化学品企业和1家工贸企业（危险化学品使用企业）开展安全评估服务，费用140.8万；聘请应急管理部信息研究院矿山所对全州6家生产改扩建、新建煤矿山企业、12家非煤矿山企业开展第三方技术评估，服务费133.4万元</w:t>
      </w:r>
      <w:r>
        <w:rPr>
          <w:rFonts w:hint="eastAsia" w:ascii="仿宋_GB2312"/>
          <w:color w:val="auto"/>
          <w:highlight w:val="none"/>
          <w:lang w:eastAsia="zh-CN"/>
        </w:rPr>
        <w:t>。</w:t>
      </w:r>
      <w:r>
        <w:rPr>
          <w:rFonts w:hint="eastAsia" w:ascii="仿宋_GB2312"/>
          <w:color w:val="auto"/>
          <w:highlight w:val="none"/>
        </w:rPr>
        <w:t>对每家企业安全风险辨识覆盖达到100%</w:t>
      </w:r>
      <w:r>
        <w:rPr>
          <w:rFonts w:hint="eastAsia" w:ascii="仿宋_GB2312"/>
          <w:color w:val="auto"/>
          <w:highlight w:val="none"/>
          <w:lang w:eastAsia="zh-CN"/>
        </w:rPr>
        <w:t>，评估过程中共发现隐患2508条，完成整改2474条，隐患整改率98.64%。通过安全风险评估工作，帮助企业全方位查找安全隐患，全面提升企业安全管理能力，不断夯实安全基础工作。</w:t>
      </w:r>
    </w:p>
    <w:p>
      <w:pPr>
        <w:pageBreakBefore w:val="0"/>
        <w:kinsoku/>
        <w:wordWrap/>
        <w:overflowPunct/>
        <w:topLinePunct w:val="0"/>
        <w:autoSpaceDE/>
        <w:autoSpaceDN/>
        <w:bidi w:val="0"/>
        <w:adjustRightInd/>
        <w:snapToGrid/>
        <w:spacing w:line="54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4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274.2</w:t>
      </w:r>
      <w:r>
        <w:rPr>
          <w:rFonts w:hint="eastAsia"/>
          <w:color w:val="auto"/>
        </w:rPr>
        <w:t>万元，实际总投入</w:t>
      </w:r>
      <w:r>
        <w:rPr>
          <w:rFonts w:hint="eastAsia"/>
          <w:color w:val="auto"/>
          <w:lang w:val="en-US" w:eastAsia="zh-CN"/>
        </w:rPr>
        <w:t>274.2</w:t>
      </w:r>
      <w:r>
        <w:rPr>
          <w:rFonts w:hint="eastAsia"/>
          <w:color w:val="auto"/>
        </w:rPr>
        <w:t>万元，该项目资金已全部落实到位，资金来源为</w:t>
      </w:r>
      <w:r>
        <w:rPr>
          <w:rFonts w:hint="eastAsia"/>
          <w:color w:val="auto"/>
          <w:lang w:eastAsia="zh-CN"/>
        </w:rPr>
        <w:t>本级</w:t>
      </w:r>
      <w:r>
        <w:rPr>
          <w:rFonts w:hint="eastAsia"/>
          <w:color w:val="auto"/>
          <w:lang w:val="en-US" w:eastAsia="zh-CN"/>
        </w:rPr>
        <w:t>一般公共预算</w:t>
      </w:r>
      <w:r>
        <w:rPr>
          <w:rFonts w:hint="eastAsia"/>
          <w:color w:val="auto"/>
          <w:lang w:eastAsia="zh-CN"/>
        </w:rPr>
        <w:t>财政拨款</w:t>
      </w:r>
      <w:r>
        <w:rPr>
          <w:rFonts w:hint="eastAsia"/>
          <w:color w:val="auto"/>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eastAsia="仿宋_GB2312"/>
          <w:color w:val="auto"/>
          <w:lang w:eastAsia="zh-CN"/>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274.2</w:t>
      </w:r>
      <w:r>
        <w:rPr>
          <w:rFonts w:hint="eastAsia"/>
          <w:color w:val="auto"/>
        </w:rPr>
        <w:t>万元，全年执行数</w:t>
      </w:r>
      <w:r>
        <w:rPr>
          <w:rFonts w:hint="eastAsia"/>
          <w:color w:val="auto"/>
          <w:lang w:val="en-US" w:eastAsia="zh-CN"/>
        </w:rPr>
        <w:t>274.2</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eastAsia="zh-CN"/>
        </w:rPr>
        <w:t>聘请</w:t>
      </w:r>
      <w:r>
        <w:rPr>
          <w:rFonts w:hint="eastAsia" w:ascii="仿宋_GB2312"/>
          <w:color w:val="auto"/>
          <w:highlight w:val="none"/>
        </w:rPr>
        <w:t>中国化学品安全协会31名专家对全州重点监管的40家危险化学品企业和1家工贸企业（危险化学品使用企业）开展安全评估服务，费用140.8万；聘请应急管理部信息研究院矿山所对全州6家生产改扩建、新建煤矿山企业、12家非煤矿山企业开展第三方技术评估，服务费133.4万元</w:t>
      </w:r>
      <w:r>
        <w:rPr>
          <w:rFonts w:hint="eastAsia" w:ascii="仿宋_GB2312"/>
          <w:color w:val="auto"/>
          <w:highlight w:val="none"/>
          <w:lang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eastAsia="仿宋_GB2312"/>
          <w:color w:val="auto"/>
          <w:lang w:eastAsia="zh-CN"/>
        </w:rPr>
      </w:pPr>
      <w:r>
        <w:rPr>
          <w:rFonts w:hint="default" w:ascii="Calibri" w:hAnsi="Calibri" w:cs="Calibri"/>
          <w:color w:val="auto"/>
        </w:rPr>
        <w:t>①</w:t>
      </w:r>
      <w:r>
        <w:rPr>
          <w:rFonts w:hint="eastAsia"/>
          <w:color w:val="auto"/>
        </w:rPr>
        <w:t>进一步加强巴州危险化学品企业、巴州非煤矿山企业安全生产管理安全生产管理，落实企业安全生产主体责任，强化安全风险辨识和管控，提升本质安全水平，预防和减少生产安全事故，给企业全面“深度体检”，现场“把脉会诊”，帮助企业全方位查找安全隐患，全面提升企业安全管理能力，不断夯实安全基础工作，确保巴州安全生产形势稳定</w:t>
      </w:r>
      <w:r>
        <w:rPr>
          <w:rFonts w:hint="eastAsia"/>
          <w:color w:val="auto"/>
          <w:lang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eastAsia="仿宋_GB2312"/>
          <w:color w:val="auto"/>
          <w:lang w:eastAsia="zh-CN"/>
        </w:rPr>
      </w:pPr>
      <w:r>
        <w:rPr>
          <w:rFonts w:hint="default" w:ascii="Calibri" w:hAnsi="Calibri" w:cs="Calibri"/>
          <w:color w:val="auto"/>
        </w:rPr>
        <w:t>②</w:t>
      </w:r>
      <w:r>
        <w:rPr>
          <w:rFonts w:hint="eastAsia"/>
          <w:color w:val="auto"/>
        </w:rPr>
        <w:t>对照《危险化学品安全专项整治三年行动实施方案》和《全国危险化学品安全风险集中治理工作方案》，加强危化企业“一企一策”建设和安全风险分级管理；加大一二级重大危险源和有毒有害、易燃易爆化工企业本质安全检查力度；对照《自治州非煤矿山安全专项整治三年行动实施方案》和《自治州非煤矿山岁末年初安全生产大排查、大整治工作方案》，加强非煤矿山企业“一企一策”建设和安全风险分级管理；对检查发现的突出和共性问题开展根因分析讲解，提出整体解决方案建议，带动其他企业举一反三，消除同类问题造成的隐患</w:t>
      </w:r>
      <w:r>
        <w:rPr>
          <w:rFonts w:hint="eastAsia"/>
          <w:color w:val="auto"/>
          <w:lang w:eastAsia="zh-CN"/>
        </w:rPr>
        <w:t>。</w:t>
      </w:r>
    </w:p>
    <w:p>
      <w:pPr>
        <w:pageBreakBefore w:val="0"/>
        <w:kinsoku/>
        <w:wordWrap/>
        <w:overflowPunct/>
        <w:topLinePunct w:val="0"/>
        <w:autoSpaceDE/>
        <w:autoSpaceDN/>
        <w:bidi w:val="0"/>
        <w:adjustRightInd/>
        <w:snapToGrid/>
        <w:spacing w:line="540" w:lineRule="exact"/>
        <w:ind w:firstLine="600" w:firstLineChars="200"/>
        <w:textAlignment w:val="auto"/>
        <w:rPr>
          <w:color w:val="auto"/>
        </w:rPr>
      </w:pPr>
      <w:r>
        <w:rPr>
          <w:rFonts w:hint="default" w:ascii="Calibri" w:hAnsi="Calibri" w:cs="Calibri"/>
          <w:color w:val="auto"/>
        </w:rPr>
        <w:t>③</w:t>
      </w:r>
      <w:r>
        <w:rPr>
          <w:rFonts w:hint="eastAsia"/>
          <w:color w:val="auto"/>
        </w:rPr>
        <w:t>加强安全生产督导检查，督促生产经营企业落实安全生产主体责任，通过评估，找准问题所在，整改完善，不断提高企业本质安全水平，减少事故发生，为我州社会稳定和长治久安提供稳定生产环境。</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FF0000"/>
        </w:rPr>
      </w:pPr>
      <w:r>
        <w:t>2</w:t>
      </w:r>
      <w:r>
        <w:rPr>
          <w:rFonts w:hint="eastAsia"/>
          <w:lang w:val="en-US" w:eastAsia="zh-CN"/>
        </w:rPr>
        <w:t>.</w:t>
      </w:r>
      <w:r>
        <w:rPr>
          <w:rFonts w:hint="eastAsia"/>
        </w:rPr>
        <w:t>阶段性目标：</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color w:val="auto"/>
          <w:highlight w:val="none"/>
          <w:lang w:eastAsia="zh-CN"/>
        </w:rPr>
      </w:pPr>
      <w:r>
        <w:rPr>
          <w:rFonts w:hint="eastAsia"/>
          <w:lang w:val="en-US" w:eastAsia="zh-CN"/>
        </w:rPr>
        <w:t>1-2月，</w:t>
      </w:r>
      <w:r>
        <w:rPr>
          <w:rFonts w:hint="eastAsia"/>
        </w:rPr>
        <w:t>摸清了企业安全底数。全面掌握了当前全州危化品</w:t>
      </w:r>
      <w:r>
        <w:rPr>
          <w:rFonts w:hint="eastAsia"/>
          <w:lang w:eastAsia="zh-CN"/>
        </w:rPr>
        <w:t>、非煤矿山、煤矿、工贸</w:t>
      </w:r>
      <w:r>
        <w:rPr>
          <w:rFonts w:hint="eastAsia"/>
        </w:rPr>
        <w:t>企业安全生产现状、安全管理水平及安全风险情况。</w:t>
      </w:r>
      <w:r>
        <w:rPr>
          <w:rFonts w:hint="eastAsia" w:ascii="仿宋_GB2312"/>
          <w:color w:val="auto"/>
          <w:highlight w:val="none"/>
          <w:lang w:eastAsia="zh-CN"/>
        </w:rPr>
        <w:t>成立项目项目工作领导小组，</w:t>
      </w:r>
      <w:r>
        <w:rPr>
          <w:rFonts w:hint="eastAsia"/>
          <w:lang w:eastAsia="zh-CN"/>
        </w:rPr>
        <w:t>确定</w:t>
      </w:r>
      <w:r>
        <w:rPr>
          <w:rFonts w:hint="eastAsia" w:ascii="仿宋_GB2312"/>
          <w:color w:val="auto"/>
          <w:highlight w:val="none"/>
        </w:rPr>
        <w:t>开展安全评估服务</w:t>
      </w:r>
      <w:r>
        <w:rPr>
          <w:rFonts w:hint="eastAsia" w:ascii="仿宋_GB2312"/>
          <w:color w:val="auto"/>
          <w:highlight w:val="none"/>
          <w:lang w:eastAsia="zh-CN"/>
        </w:rPr>
        <w:t>的</w:t>
      </w:r>
      <w:r>
        <w:rPr>
          <w:rFonts w:hint="eastAsia" w:ascii="仿宋_GB2312"/>
          <w:color w:val="auto"/>
          <w:highlight w:val="none"/>
        </w:rPr>
        <w:t>重点监管的40家危险化学品企业和1家工贸企业（危险化学品使用企业）</w:t>
      </w:r>
      <w:r>
        <w:rPr>
          <w:rFonts w:hint="eastAsia" w:ascii="仿宋_GB2312"/>
          <w:color w:val="auto"/>
          <w:highlight w:val="none"/>
          <w:lang w:eastAsia="zh-CN"/>
        </w:rPr>
        <w:t>、</w:t>
      </w:r>
      <w:r>
        <w:rPr>
          <w:rFonts w:hint="eastAsia" w:ascii="仿宋_GB2312"/>
          <w:color w:val="auto"/>
          <w:highlight w:val="none"/>
        </w:rPr>
        <w:t>6家生产改扩建、新建煤矿山企业、12家非煤矿山企业</w:t>
      </w:r>
      <w:r>
        <w:rPr>
          <w:rFonts w:hint="eastAsia" w:ascii="仿宋_GB2312"/>
          <w:color w:val="auto"/>
          <w:highlight w:val="none"/>
          <w:lang w:eastAsia="zh-CN"/>
        </w:rPr>
        <w:t>，起草该项目工作方案，负责指导技术支撑单位遴选。</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 w:hAnsi="仿宋" w:eastAsia="仿宋" w:cs="宋体"/>
          <w:kern w:val="0"/>
          <w:sz w:val="30"/>
          <w:szCs w:val="30"/>
        </w:rPr>
      </w:pPr>
      <w:r>
        <w:rPr>
          <w:rFonts w:hint="eastAsia" w:ascii="Times New Roman" w:hAnsi="Times New Roman" w:cs="Times New Roman"/>
          <w:kern w:val="2"/>
          <w:sz w:val="30"/>
          <w:szCs w:val="24"/>
          <w:lang w:val="en-US" w:eastAsia="zh-CN" w:bidi="ar-SA"/>
        </w:rPr>
        <w:t>3-10月，</w:t>
      </w:r>
      <w:r>
        <w:rPr>
          <w:rFonts w:ascii="仿宋" w:hAnsi="仿宋" w:eastAsia="仿宋" w:cs="宋体"/>
          <w:kern w:val="0"/>
          <w:sz w:val="30"/>
          <w:szCs w:val="30"/>
        </w:rPr>
        <w:t>①</w:t>
      </w:r>
      <w:r>
        <w:rPr>
          <w:rFonts w:hint="eastAsia" w:ascii="仿宋" w:hAnsi="仿宋" w:eastAsia="仿宋" w:cs="宋体"/>
          <w:kern w:val="0"/>
          <w:sz w:val="30"/>
          <w:szCs w:val="30"/>
        </w:rPr>
        <w:t>委托2家第三方机构，对辖区内4</w:t>
      </w:r>
      <w:r>
        <w:rPr>
          <w:rFonts w:hint="eastAsia" w:ascii="仿宋" w:hAnsi="仿宋" w:eastAsia="仿宋" w:cs="宋体"/>
          <w:kern w:val="0"/>
          <w:sz w:val="30"/>
          <w:szCs w:val="30"/>
          <w:lang w:val="en-US" w:eastAsia="zh-CN"/>
        </w:rPr>
        <w:t>0</w:t>
      </w:r>
      <w:r>
        <w:rPr>
          <w:rFonts w:hint="eastAsia" w:ascii="仿宋" w:hAnsi="仿宋" w:eastAsia="仿宋" w:cs="宋体"/>
          <w:kern w:val="0"/>
          <w:sz w:val="30"/>
          <w:szCs w:val="30"/>
        </w:rPr>
        <w:t>家重点监管的危险化学品生产储存经营企业和1家工贸企业、</w:t>
      </w:r>
      <w:r>
        <w:rPr>
          <w:rFonts w:hint="eastAsia" w:ascii="仿宋" w:hAnsi="仿宋" w:eastAsia="仿宋" w:cs="宋体"/>
          <w:kern w:val="0"/>
          <w:sz w:val="30"/>
          <w:szCs w:val="30"/>
          <w:lang w:val="en-US" w:eastAsia="zh-CN"/>
        </w:rPr>
        <w:t>5家生产改扩建、新建煤矿</w:t>
      </w:r>
      <w:r>
        <w:rPr>
          <w:rFonts w:hint="eastAsia" w:ascii="仿宋" w:hAnsi="仿宋" w:eastAsia="仿宋" w:cs="宋体"/>
          <w:kern w:val="0"/>
          <w:sz w:val="30"/>
          <w:szCs w:val="30"/>
        </w:rPr>
        <w:t>，</w:t>
      </w:r>
      <w:r>
        <w:rPr>
          <w:rFonts w:hint="eastAsia" w:ascii="仿宋" w:hAnsi="仿宋" w:eastAsia="仿宋" w:cs="宋体"/>
          <w:kern w:val="0"/>
          <w:sz w:val="30"/>
          <w:szCs w:val="30"/>
          <w:lang w:val="en-US" w:eastAsia="zh-CN"/>
        </w:rPr>
        <w:t>16</w:t>
      </w:r>
      <w:r>
        <w:rPr>
          <w:rFonts w:hint="eastAsia" w:ascii="仿宋" w:hAnsi="仿宋" w:eastAsia="仿宋" w:cs="宋体"/>
          <w:kern w:val="0"/>
          <w:sz w:val="30"/>
          <w:szCs w:val="30"/>
        </w:rPr>
        <w:t>处非煤矿山</w:t>
      </w:r>
      <w:r>
        <w:rPr>
          <w:rFonts w:hint="eastAsia" w:ascii="仿宋" w:hAnsi="仿宋" w:eastAsia="仿宋" w:cs="宋体"/>
          <w:kern w:val="0"/>
          <w:sz w:val="30"/>
          <w:szCs w:val="30"/>
          <w:lang w:eastAsia="zh-CN"/>
        </w:rPr>
        <w:t>生产企业</w:t>
      </w:r>
      <w:r>
        <w:rPr>
          <w:rFonts w:hint="eastAsia" w:ascii="仿宋" w:hAnsi="仿宋" w:eastAsia="仿宋" w:cs="宋体"/>
          <w:kern w:val="0"/>
          <w:sz w:val="30"/>
          <w:szCs w:val="30"/>
          <w:lang w:val="en-US" w:eastAsia="zh-CN"/>
        </w:rPr>
        <w:t>。</w:t>
      </w:r>
      <w:r>
        <w:rPr>
          <w:rFonts w:hint="eastAsia" w:ascii="仿宋" w:hAnsi="仿宋" w:eastAsia="仿宋" w:cs="宋体"/>
          <w:kern w:val="0"/>
          <w:sz w:val="30"/>
          <w:szCs w:val="30"/>
        </w:rPr>
        <w:t>开展安全风险评估服务工作。</w:t>
      </w:r>
      <w:r>
        <w:rPr>
          <w:rFonts w:ascii="仿宋" w:hAnsi="仿宋" w:eastAsia="仿宋" w:cs="宋体"/>
          <w:kern w:val="0"/>
          <w:sz w:val="30"/>
          <w:szCs w:val="30"/>
        </w:rPr>
        <w:t>②</w:t>
      </w:r>
      <w:r>
        <w:rPr>
          <w:rFonts w:hint="eastAsia" w:ascii="仿宋" w:hAnsi="仿宋" w:eastAsia="仿宋" w:cs="宋体"/>
          <w:kern w:val="0"/>
          <w:sz w:val="30"/>
          <w:szCs w:val="30"/>
        </w:rPr>
        <w:t>完善和落实安全生产责任和管理制度，建立健全安全隐患排查和安全风险防控体系，对检查发现的突出和共性问题开展根本原因分析，提出整体解决方案，带动其他企业举一反三，消除同类问题造成的隐患。为实现社会稳定和长治久安总目标提供安全稳定环境。</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 w:hAnsi="仿宋" w:eastAsia="仿宋" w:cs="宋体"/>
          <w:kern w:val="0"/>
          <w:sz w:val="30"/>
          <w:szCs w:val="30"/>
        </w:rPr>
      </w:pPr>
      <w:r>
        <w:rPr>
          <w:rFonts w:hint="eastAsia" w:ascii="Times New Roman" w:hAnsi="Times New Roman" w:cs="Times New Roman"/>
          <w:kern w:val="2"/>
          <w:sz w:val="30"/>
          <w:szCs w:val="24"/>
          <w:lang w:val="en-US" w:eastAsia="zh-CN" w:bidi="ar-SA"/>
        </w:rPr>
        <w:t>11月，</w:t>
      </w:r>
      <w:r>
        <w:rPr>
          <w:rFonts w:hint="eastAsia" w:ascii="仿宋" w:hAnsi="仿宋" w:eastAsia="仿宋" w:cs="宋体"/>
          <w:kern w:val="0"/>
          <w:sz w:val="30"/>
          <w:szCs w:val="30"/>
        </w:rPr>
        <w:t>检查结束后专家组汇总检查所得到的各种资料数据，综合分析，提出建议，总结编制安全检查报告。经验收组验收合格后支付项目尾款。</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4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pacing w:line="540" w:lineRule="exact"/>
        <w:ind w:firstLine="600" w:firstLineChars="200"/>
        <w:textAlignment w:val="auto"/>
        <w:rPr>
          <w:rFonts w:hint="eastAsia" w:eastAsia="仿宋_GB2312"/>
          <w:color w:val="0000FF"/>
          <w:sz w:val="32"/>
          <w:szCs w:val="32"/>
        </w:rPr>
      </w:pPr>
      <w:r>
        <w:rPr>
          <w:rFonts w:hint="eastAsia"/>
          <w:lang w:val="en-US" w:eastAsia="zh-CN"/>
        </w:rPr>
        <w:t>通过绩效评价，客观地评判重点行业领域企业生产经营安全评估项目的管理绩效，了解和掌握重点监管危险化学品、非煤矿山、煤矿、工贸企业安全风险评估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napToGrid/>
        <w:spacing w:line="54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eastAsia="仿宋_GB2312"/>
          <w:color w:val="auto"/>
          <w:lang w:eastAsia="zh-CN"/>
        </w:rPr>
      </w:pPr>
      <w:r>
        <w:rPr>
          <w:rFonts w:hint="eastAsia"/>
          <w:color w:val="auto"/>
        </w:rPr>
        <w:t>重点行业领域企业生产经营安全评估</w:t>
      </w:r>
      <w:r>
        <w:rPr>
          <w:rFonts w:hint="eastAsia"/>
          <w:color w:val="auto"/>
          <w:lang w:eastAsia="zh-CN"/>
        </w:rPr>
        <w:t>项目</w:t>
      </w:r>
    </w:p>
    <w:p>
      <w:pPr>
        <w:pageBreakBefore w:val="0"/>
        <w:kinsoku/>
        <w:wordWrap/>
        <w:overflowPunct/>
        <w:topLinePunct w:val="0"/>
        <w:autoSpaceDE/>
        <w:autoSpaceDN/>
        <w:bidi w:val="0"/>
        <w:adjustRightInd/>
        <w:snapToGrid/>
        <w:spacing w:line="54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本次评价从项目决策（包括绩效目标、决策过程）、项目管理（包括项目资金、项目实施）、项目产出（包括项目产出数量、产出质量、产出时效和产出成本）、项目效益四个维度对</w:t>
      </w:r>
      <w:r>
        <w:rPr>
          <w:rFonts w:hint="eastAsia"/>
          <w:color w:val="auto"/>
        </w:rPr>
        <w:t>重点行业领域企业生产经营安全评估</w:t>
      </w:r>
      <w:r>
        <w:rPr>
          <w:rFonts w:hint="eastAsia"/>
          <w:color w:val="auto"/>
          <w:lang w:eastAsia="zh-CN"/>
        </w:rPr>
        <w:t>项目</w:t>
      </w:r>
      <w:r>
        <w:rPr>
          <w:rFonts w:hint="eastAsia"/>
          <w:lang w:val="en-US" w:eastAsia="zh-CN"/>
        </w:rPr>
        <w:t>进行绩效评价，评价核心为资金的支出完成情况和效果。</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auto"/>
          <w:lang w:val="zh-CN"/>
        </w:rPr>
      </w:pPr>
      <w:r>
        <w:rPr>
          <w:rFonts w:hint="eastAsia"/>
          <w:color w:val="auto"/>
          <w:lang w:val="zh-CN"/>
        </w:rPr>
        <w:t>（一）科学公正。</w:t>
      </w:r>
      <w:r>
        <w:rPr>
          <w:rFonts w:hint="eastAsia"/>
          <w:color w:val="auto"/>
          <w:lang w:val="en-US" w:eastAsia="zh-CN"/>
        </w:rPr>
        <w:t>项目</w:t>
      </w:r>
      <w:r>
        <w:rPr>
          <w:rFonts w:hint="eastAsia"/>
          <w:color w:val="auto"/>
          <w:lang w:val="zh-CN"/>
        </w:rPr>
        <w:t>前期调研确定评价目的、方法以及评价的原则，制定实际施方案；收集绩效评价相关数据资料进行相关分析形成初步结论；最后对绩效评价指标逐项进行打分、分析，最终综合汇总分析并形成评价结论，对项目绩效进行客观、公正的反映。</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auto"/>
          <w:lang w:val="zh-CN"/>
        </w:rPr>
      </w:pPr>
      <w:r>
        <w:rPr>
          <w:rFonts w:hint="eastAsia"/>
          <w:color w:val="auto"/>
          <w:lang w:val="zh-CN"/>
        </w:rPr>
        <w:t>（二）统筹兼顾。单位自评、部门评价和财政评价职责明确，各有侧重，相互衔接。单位自评由项目单位自主实际施，即“谁支出、谁自评”。部门评价和财政评价在单位自评的基础上开展监督审核。</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auto"/>
        </w:rPr>
      </w:pPr>
      <w:r>
        <w:rPr>
          <w:rFonts w:hint="eastAsia"/>
          <w:color w:val="auto"/>
          <w:lang w:val="zh-CN"/>
        </w:rPr>
        <w:t>（三）激励约束。该项目绩效评价结果与当年预算安排实际质性挂钩，体现奖优罚劣和激励相容导向，有效要安排、低效要压减，</w:t>
      </w:r>
      <w:r>
        <w:rPr>
          <w:rFonts w:hint="eastAsia"/>
          <w:color w:val="auto"/>
        </w:rPr>
        <w:t>使绩效评价结果与预算安排、实施结果相一致，体现了绩效激励约束的原则。</w:t>
      </w:r>
    </w:p>
    <w:p>
      <w:pPr>
        <w:pageBreakBefore w:val="0"/>
        <w:kinsoku/>
        <w:wordWrap/>
        <w:overflowPunct/>
        <w:topLinePunct w:val="0"/>
        <w:autoSpaceDE/>
        <w:autoSpaceDN/>
        <w:bidi w:val="0"/>
        <w:adjustRightInd/>
        <w:snapToGrid/>
        <w:spacing w:line="540" w:lineRule="exact"/>
        <w:ind w:firstLine="600" w:firstLineChars="200"/>
        <w:textAlignment w:val="auto"/>
        <w:rPr>
          <w:color w:val="auto"/>
        </w:rPr>
      </w:pPr>
      <w:r>
        <w:rPr>
          <w:rFonts w:hint="eastAsia"/>
          <w:color w:val="auto"/>
          <w:lang w:val="zh-CN"/>
        </w:rPr>
        <w:t>（四）公开透明。</w:t>
      </w:r>
      <w:r>
        <w:rPr>
          <w:rFonts w:hint="eastAsia" w:ascii="仿宋_GB2312"/>
          <w:bCs/>
          <w:color w:val="auto"/>
          <w:sz w:val="32"/>
          <w:szCs w:val="32"/>
        </w:rPr>
        <w:t>本次项目支出绩效评价结果已依法依规公开在</w:t>
      </w:r>
      <w:r>
        <w:rPr>
          <w:rFonts w:hint="eastAsia"/>
          <w:color w:val="auto"/>
          <w:lang w:val="zh-CN"/>
        </w:rPr>
        <w:t>州财政局门户网站</w:t>
      </w:r>
      <w:r>
        <w:rPr>
          <w:rFonts w:hint="eastAsia" w:ascii="仿宋_GB2312"/>
          <w:bCs/>
          <w:color w:val="auto"/>
          <w:sz w:val="32"/>
          <w:szCs w:val="32"/>
          <w:lang w:eastAsia="zh-CN"/>
        </w:rPr>
        <w:t>和巴州政府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color w:val="auto"/>
        </w:rPr>
      </w:pPr>
      <w:r>
        <w:rPr>
          <w:rFonts w:hint="eastAsia"/>
          <w:color w:val="auto"/>
        </w:rPr>
        <w:t>2、评价指标体系（附表说明）</w:t>
      </w:r>
    </w:p>
    <w:p>
      <w:pPr>
        <w:pageBreakBefore w:val="0"/>
        <w:kinsoku/>
        <w:wordWrap/>
        <w:overflowPunct/>
        <w:topLinePunct w:val="0"/>
        <w:autoSpaceDE/>
        <w:autoSpaceDN/>
        <w:bidi w:val="0"/>
        <w:adjustRightInd/>
        <w:snapToGrid/>
        <w:spacing w:line="540" w:lineRule="exact"/>
        <w:ind w:firstLine="668" w:firstLineChars="200"/>
        <w:textAlignment w:val="auto"/>
        <w:rPr>
          <w:rFonts w:eastAsia="仿宋_GB2312"/>
          <w:color w:val="auto"/>
          <w:spacing w:val="17"/>
          <w:sz w:val="30"/>
          <w:szCs w:val="30"/>
        </w:rPr>
      </w:pPr>
      <w:r>
        <w:rPr>
          <w:rFonts w:eastAsia="仿宋_GB2312"/>
          <w:color w:val="auto"/>
          <w:spacing w:val="17"/>
          <w:sz w:val="30"/>
          <w:szCs w:val="30"/>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w:t>
      </w:r>
      <w:r>
        <w:rPr>
          <w:rFonts w:hint="eastAsia"/>
          <w:color w:val="auto"/>
          <w:spacing w:val="17"/>
          <w:sz w:val="32"/>
          <w:szCs w:val="32"/>
          <w:lang w:val="en-US" w:eastAsia="zh-CN"/>
        </w:rPr>
        <w:t>20</w:t>
      </w:r>
      <w:r>
        <w:rPr>
          <w:rFonts w:eastAsia="仿宋_GB2312"/>
          <w:color w:val="auto"/>
          <w:spacing w:val="17"/>
          <w:sz w:val="32"/>
          <w:szCs w:val="32"/>
        </w:rPr>
        <w:t>分，项目过程权重为20分，项目产出权重为</w:t>
      </w:r>
      <w:r>
        <w:rPr>
          <w:rFonts w:hint="eastAsia"/>
          <w:color w:val="auto"/>
          <w:spacing w:val="17"/>
          <w:sz w:val="32"/>
          <w:szCs w:val="32"/>
          <w:lang w:val="en-US" w:eastAsia="zh-CN"/>
        </w:rPr>
        <w:t>40</w:t>
      </w:r>
      <w:r>
        <w:rPr>
          <w:rFonts w:eastAsia="仿宋_GB2312"/>
          <w:color w:val="auto"/>
          <w:spacing w:val="17"/>
          <w:sz w:val="32"/>
          <w:szCs w:val="32"/>
        </w:rPr>
        <w:t>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3、评价方法</w:t>
      </w:r>
    </w:p>
    <w:p>
      <w:pPr>
        <w:pageBreakBefore w:val="0"/>
        <w:kinsoku/>
        <w:wordWrap/>
        <w:overflowPunct/>
        <w:topLinePunct w:val="0"/>
        <w:autoSpaceDE/>
        <w:autoSpaceDN/>
        <w:bidi w:val="0"/>
        <w:adjustRightInd/>
        <w:snapToGrid/>
        <w:spacing w:line="54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本次项目支出绩效自评主要采用了成本效益分析法和公众评判法。原因是采用成本效益分析法才能更加准确的反映该项目产出与效益的关联性；通过专家评审和企业问卷方式进行评价，该项目社会效益指标达到了预期目标。</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评价标准</w:t>
      </w:r>
    </w:p>
    <w:p>
      <w:pPr>
        <w:pageBreakBefore w:val="0"/>
        <w:kinsoku/>
        <w:wordWrap/>
        <w:overflowPunct/>
        <w:topLinePunct w:val="0"/>
        <w:autoSpaceDE/>
        <w:autoSpaceDN/>
        <w:bidi w:val="0"/>
        <w:adjustRightInd/>
        <w:snapToGrid/>
        <w:spacing w:line="54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本次项目支出绩效自评主要采用了计划标准。原因是计划标准以预先制定的目标、计划、预算、定额等作为评价标准，通过预先制定的项目目标，资金预算和项目合同等，评价该项目各项指标完成率以及项目总目标和阶段目标完成情况。</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00" w:firstLineChars="200"/>
        <w:textAlignment w:val="auto"/>
        <w:rPr>
          <w:rFonts w:hint="default" w:ascii="Times New Roman" w:hAnsi="Times New Roman" w:eastAsia="仿宋_GB2312" w:cs="Times New Roman"/>
          <w:bCs/>
          <w:color w:val="auto"/>
          <w:sz w:val="30"/>
          <w:szCs w:val="30"/>
        </w:rPr>
      </w:pPr>
      <w:bookmarkStart w:id="7" w:name="_Toc68703834"/>
      <w:r>
        <w:rPr>
          <w:rFonts w:hint="default" w:ascii="Times New Roman" w:hAnsi="Times New Roman" w:eastAsia="仿宋_GB2312" w:cs="Times New Roman"/>
          <w:bCs/>
          <w:color w:val="auto"/>
          <w:sz w:val="30"/>
          <w:szCs w:val="30"/>
          <w:lang w:val="en-US" w:eastAsia="zh-CN"/>
        </w:rPr>
        <w:t>1.</w:t>
      </w:r>
      <w:r>
        <w:rPr>
          <w:rFonts w:hint="default" w:ascii="Times New Roman" w:hAnsi="Times New Roman" w:eastAsia="仿宋_GB2312" w:cs="Times New Roman"/>
          <w:bCs/>
          <w:color w:val="auto"/>
          <w:sz w:val="30"/>
          <w:szCs w:val="30"/>
        </w:rPr>
        <w:t>前期准备。</w:t>
      </w:r>
    </w:p>
    <w:p>
      <w:pPr>
        <w:pageBreakBefore w:val="0"/>
        <w:kinsoku/>
        <w:wordWrap/>
        <w:overflowPunct/>
        <w:topLinePunct w:val="0"/>
        <w:autoSpaceDE/>
        <w:autoSpaceDN/>
        <w:bidi w:val="0"/>
        <w:adjustRightInd/>
        <w:snapToGrid/>
        <w:spacing w:line="540" w:lineRule="exact"/>
        <w:ind w:firstLine="668" w:firstLineChars="200"/>
        <w:textAlignment w:val="auto"/>
        <w:rPr>
          <w:rFonts w:hint="default" w:ascii="Times New Roman" w:hAnsi="Times New Roman" w:eastAsia="仿宋_GB2312" w:cs="Times New Roman"/>
          <w:color w:val="auto"/>
          <w:spacing w:val="17"/>
          <w:sz w:val="30"/>
          <w:szCs w:val="30"/>
        </w:rPr>
      </w:pPr>
      <w:r>
        <w:rPr>
          <w:rFonts w:hint="default" w:ascii="Times New Roman" w:hAnsi="Times New Roman" w:eastAsia="仿宋_GB2312" w:cs="Times New Roman"/>
          <w:color w:val="auto"/>
          <w:spacing w:val="17"/>
          <w:sz w:val="30"/>
          <w:szCs w:val="30"/>
        </w:rPr>
        <w:t>202</w:t>
      </w:r>
      <w:r>
        <w:rPr>
          <w:rFonts w:hint="eastAsia" w:ascii="Times New Roman" w:hAnsi="Times New Roman" w:cs="Times New Roman"/>
          <w:color w:val="auto"/>
          <w:spacing w:val="17"/>
          <w:sz w:val="30"/>
          <w:szCs w:val="30"/>
          <w:lang w:val="en-US" w:eastAsia="zh-CN"/>
        </w:rPr>
        <w:t>4</w:t>
      </w:r>
      <w:r>
        <w:rPr>
          <w:rFonts w:hint="default" w:ascii="Times New Roman" w:hAnsi="Times New Roman" w:eastAsia="仿宋_GB2312" w:cs="Times New Roman"/>
          <w:color w:val="auto"/>
          <w:spacing w:val="17"/>
          <w:sz w:val="30"/>
          <w:szCs w:val="30"/>
        </w:rPr>
        <w:t>年</w:t>
      </w:r>
      <w:r>
        <w:rPr>
          <w:rFonts w:hint="default" w:ascii="Times New Roman" w:hAnsi="Times New Roman" w:eastAsia="仿宋_GB2312" w:cs="Times New Roman"/>
          <w:color w:val="auto"/>
          <w:spacing w:val="17"/>
          <w:sz w:val="30"/>
          <w:szCs w:val="30"/>
          <w:lang w:val="en-US" w:eastAsia="zh-CN"/>
        </w:rPr>
        <w:t>2</w:t>
      </w:r>
      <w:r>
        <w:rPr>
          <w:rFonts w:hint="default" w:ascii="Times New Roman" w:hAnsi="Times New Roman" w:eastAsia="仿宋_GB2312" w:cs="Times New Roman"/>
          <w:color w:val="auto"/>
          <w:spacing w:val="17"/>
          <w:sz w:val="30"/>
          <w:szCs w:val="30"/>
        </w:rPr>
        <w:t>月</w:t>
      </w:r>
      <w:r>
        <w:rPr>
          <w:rFonts w:hint="default" w:ascii="Times New Roman" w:hAnsi="Times New Roman" w:eastAsia="仿宋_GB2312" w:cs="Times New Roman"/>
          <w:color w:val="auto"/>
          <w:spacing w:val="17"/>
          <w:sz w:val="30"/>
          <w:szCs w:val="30"/>
          <w:lang w:val="en-US" w:eastAsia="zh-CN"/>
        </w:rPr>
        <w:t>1日--2月2</w:t>
      </w:r>
      <w:r>
        <w:rPr>
          <w:rFonts w:hint="eastAsia" w:ascii="Times New Roman" w:hAnsi="Times New Roman" w:cs="Times New Roman"/>
          <w:color w:val="auto"/>
          <w:spacing w:val="17"/>
          <w:sz w:val="30"/>
          <w:szCs w:val="30"/>
          <w:lang w:val="en-US" w:eastAsia="zh-CN"/>
        </w:rPr>
        <w:t>9</w:t>
      </w:r>
      <w:r>
        <w:rPr>
          <w:rFonts w:hint="default" w:ascii="Times New Roman" w:hAnsi="Times New Roman" w:eastAsia="仿宋_GB2312" w:cs="Times New Roman"/>
          <w:color w:val="auto"/>
          <w:spacing w:val="17"/>
          <w:sz w:val="30"/>
          <w:szCs w:val="30"/>
        </w:rPr>
        <w:t>日，</w:t>
      </w:r>
      <w:r>
        <w:rPr>
          <w:rFonts w:hint="default" w:ascii="Times New Roman" w:hAnsi="Times New Roman" w:eastAsia="仿宋_GB2312" w:cs="Times New Roman"/>
          <w:color w:val="auto"/>
          <w:spacing w:val="17"/>
          <w:sz w:val="30"/>
          <w:szCs w:val="30"/>
          <w:lang w:val="zh-CN"/>
        </w:rPr>
        <w:t>开始前期准备工作，评价组通过前期调研</w:t>
      </w:r>
      <w:r>
        <w:rPr>
          <w:rFonts w:hint="default" w:ascii="Times New Roman" w:hAnsi="Times New Roman" w:eastAsia="仿宋_GB2312" w:cs="Times New Roman"/>
          <w:color w:val="auto"/>
          <w:spacing w:val="17"/>
          <w:sz w:val="30"/>
          <w:szCs w:val="30"/>
        </w:rPr>
        <w:t>确定绩效评价对象和范围，</w:t>
      </w:r>
      <w:r>
        <w:rPr>
          <w:rFonts w:hint="default" w:ascii="Times New Roman" w:hAnsi="Times New Roman" w:eastAsia="仿宋_GB2312" w:cs="Times New Roman"/>
          <w:color w:val="auto"/>
          <w:spacing w:val="17"/>
          <w:sz w:val="30"/>
          <w:szCs w:val="30"/>
          <w:lang w:val="zh-CN"/>
        </w:rPr>
        <w:t>确定了评价的目的、方法以及评价的原则，根据项目的内容和特征制定了评价指标体系及评价标准以及评价实际施方案，修正并确定所需资料清单，最终确定</w:t>
      </w:r>
      <w:r>
        <w:rPr>
          <w:rFonts w:hint="default" w:ascii="Times New Roman" w:hAnsi="Times New Roman" w:eastAsia="仿宋_GB2312" w:cs="Times New Roman"/>
          <w:color w:val="auto"/>
          <w:spacing w:val="17"/>
          <w:sz w:val="30"/>
          <w:szCs w:val="30"/>
        </w:rPr>
        <w:t>绩效评价工作方案；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00" w:firstLineChars="200"/>
        <w:textAlignment w:val="auto"/>
        <w:rPr>
          <w:rFonts w:hint="default" w:ascii="Times New Roman" w:hAnsi="Times New Roman" w:eastAsia="仿宋_GB2312" w:cs="Times New Roman"/>
          <w:bCs/>
          <w:color w:val="auto"/>
          <w:sz w:val="30"/>
          <w:szCs w:val="30"/>
        </w:rPr>
      </w:pPr>
      <w:r>
        <w:rPr>
          <w:rFonts w:hint="default" w:ascii="Times New Roman" w:hAnsi="Times New Roman" w:eastAsia="仿宋_GB2312" w:cs="Times New Roman"/>
          <w:bCs/>
          <w:color w:val="auto"/>
          <w:sz w:val="30"/>
          <w:szCs w:val="30"/>
        </w:rPr>
        <w:t>组织实施。</w:t>
      </w:r>
    </w:p>
    <w:p>
      <w:pPr>
        <w:pageBreakBefore w:val="0"/>
        <w:kinsoku/>
        <w:wordWrap/>
        <w:overflowPunct/>
        <w:topLinePunct w:val="0"/>
        <w:autoSpaceDE/>
        <w:autoSpaceDN/>
        <w:bidi w:val="0"/>
        <w:adjustRightInd/>
        <w:snapToGrid/>
        <w:spacing w:line="540" w:lineRule="exact"/>
        <w:ind w:firstLine="668" w:firstLineChars="200"/>
        <w:textAlignment w:val="auto"/>
        <w:rPr>
          <w:rFonts w:hint="default" w:ascii="Times New Roman" w:hAnsi="Times New Roman" w:eastAsia="仿宋_GB2312" w:cs="Times New Roman"/>
          <w:color w:val="auto"/>
          <w:spacing w:val="17"/>
          <w:sz w:val="30"/>
          <w:szCs w:val="30"/>
        </w:rPr>
      </w:pPr>
      <w:r>
        <w:rPr>
          <w:rFonts w:hint="default" w:ascii="Times New Roman" w:hAnsi="Times New Roman" w:eastAsia="仿宋_GB2312" w:cs="Times New Roman"/>
          <w:color w:val="auto"/>
          <w:spacing w:val="17"/>
          <w:sz w:val="30"/>
          <w:szCs w:val="30"/>
        </w:rPr>
        <w:t>202</w:t>
      </w:r>
      <w:r>
        <w:rPr>
          <w:rFonts w:hint="eastAsia" w:ascii="Times New Roman" w:hAnsi="Times New Roman" w:cs="Times New Roman"/>
          <w:color w:val="auto"/>
          <w:spacing w:val="17"/>
          <w:sz w:val="30"/>
          <w:szCs w:val="30"/>
          <w:lang w:val="en-US" w:eastAsia="zh-CN"/>
        </w:rPr>
        <w:t>4</w:t>
      </w:r>
      <w:r>
        <w:rPr>
          <w:rFonts w:hint="default" w:ascii="Times New Roman" w:hAnsi="Times New Roman" w:eastAsia="仿宋_GB2312" w:cs="Times New Roman"/>
          <w:color w:val="auto"/>
          <w:spacing w:val="17"/>
          <w:sz w:val="30"/>
          <w:szCs w:val="30"/>
        </w:rPr>
        <w:t>年</w:t>
      </w:r>
      <w:r>
        <w:rPr>
          <w:rFonts w:hint="eastAsia" w:ascii="Times New Roman" w:hAnsi="Times New Roman" w:cs="Times New Roman"/>
          <w:color w:val="auto"/>
          <w:spacing w:val="17"/>
          <w:sz w:val="30"/>
          <w:szCs w:val="30"/>
          <w:lang w:val="en-US" w:eastAsia="zh-CN"/>
        </w:rPr>
        <w:t>3</w:t>
      </w:r>
      <w:r>
        <w:rPr>
          <w:rFonts w:hint="default" w:ascii="Times New Roman" w:hAnsi="Times New Roman" w:eastAsia="仿宋_GB2312" w:cs="Times New Roman"/>
          <w:color w:val="auto"/>
          <w:spacing w:val="17"/>
          <w:sz w:val="30"/>
          <w:szCs w:val="30"/>
        </w:rPr>
        <w:t>月</w:t>
      </w:r>
      <w:r>
        <w:rPr>
          <w:rFonts w:hint="eastAsia" w:ascii="Times New Roman" w:hAnsi="Times New Roman" w:cs="Times New Roman"/>
          <w:color w:val="auto"/>
          <w:spacing w:val="17"/>
          <w:sz w:val="30"/>
          <w:szCs w:val="30"/>
          <w:lang w:val="en-US" w:eastAsia="zh-CN"/>
        </w:rPr>
        <w:t>1</w:t>
      </w:r>
      <w:r>
        <w:rPr>
          <w:rFonts w:hint="default" w:ascii="Times New Roman" w:hAnsi="Times New Roman" w:eastAsia="仿宋_GB2312" w:cs="Times New Roman"/>
          <w:color w:val="auto"/>
          <w:spacing w:val="17"/>
          <w:sz w:val="30"/>
          <w:szCs w:val="30"/>
        </w:rPr>
        <w:t>日-</w:t>
      </w:r>
      <w:r>
        <w:rPr>
          <w:rFonts w:hint="default" w:ascii="Times New Roman" w:hAnsi="Times New Roman" w:eastAsia="仿宋_GB2312" w:cs="Times New Roman"/>
          <w:color w:val="auto"/>
          <w:spacing w:val="17"/>
          <w:sz w:val="30"/>
          <w:szCs w:val="30"/>
          <w:lang w:val="en-US" w:eastAsia="zh-CN"/>
        </w:rPr>
        <w:t>-</w:t>
      </w:r>
      <w:r>
        <w:rPr>
          <w:rFonts w:hint="eastAsia" w:ascii="Times New Roman" w:hAnsi="Times New Roman" w:cs="Times New Roman"/>
          <w:color w:val="auto"/>
          <w:spacing w:val="17"/>
          <w:sz w:val="30"/>
          <w:szCs w:val="30"/>
          <w:lang w:val="en-US" w:eastAsia="zh-CN"/>
        </w:rPr>
        <w:t>4</w:t>
      </w:r>
      <w:r>
        <w:rPr>
          <w:rFonts w:hint="default" w:ascii="Times New Roman" w:hAnsi="Times New Roman" w:eastAsia="仿宋_GB2312" w:cs="Times New Roman"/>
          <w:color w:val="auto"/>
          <w:spacing w:val="17"/>
          <w:sz w:val="30"/>
          <w:szCs w:val="30"/>
        </w:rPr>
        <w:t>月</w:t>
      </w:r>
      <w:r>
        <w:rPr>
          <w:rFonts w:hint="eastAsia" w:ascii="Times New Roman" w:hAnsi="Times New Roman" w:cs="Times New Roman"/>
          <w:color w:val="auto"/>
          <w:spacing w:val="17"/>
          <w:sz w:val="30"/>
          <w:szCs w:val="30"/>
          <w:lang w:val="en-US" w:eastAsia="zh-CN"/>
        </w:rPr>
        <w:t>8</w:t>
      </w:r>
      <w:r>
        <w:rPr>
          <w:rFonts w:hint="default" w:ascii="Times New Roman" w:hAnsi="Times New Roman" w:eastAsia="仿宋_GB2312" w:cs="Times New Roman"/>
          <w:color w:val="auto"/>
          <w:spacing w:val="17"/>
          <w:sz w:val="30"/>
          <w:szCs w:val="30"/>
        </w:rPr>
        <w:t>日，评价工作进入实际施阶段，评价组收集绩效评价相关数据资料，进行现场调研、座谈；并与项目实际施负责人沟通，了解资金的内容、操作流程、管理机制、资金使用方向等情况，分析形成初步结论。</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00" w:firstLineChars="200"/>
        <w:textAlignment w:val="auto"/>
        <w:rPr>
          <w:rFonts w:hint="default" w:ascii="Times New Roman" w:hAnsi="Times New Roman" w:eastAsia="仿宋_GB2312" w:cs="Times New Roman"/>
          <w:bCs/>
          <w:color w:val="auto"/>
          <w:sz w:val="30"/>
          <w:szCs w:val="30"/>
        </w:rPr>
      </w:pPr>
      <w:r>
        <w:rPr>
          <w:rFonts w:hint="default" w:ascii="Times New Roman" w:hAnsi="Times New Roman" w:eastAsia="仿宋_GB2312" w:cs="Times New Roman"/>
          <w:bCs/>
          <w:color w:val="auto"/>
          <w:sz w:val="30"/>
          <w:szCs w:val="30"/>
        </w:rPr>
        <w:t>分析评价。</w:t>
      </w:r>
    </w:p>
    <w:p>
      <w:pPr>
        <w:pageBreakBefore w:val="0"/>
        <w:kinsoku/>
        <w:wordWrap/>
        <w:overflowPunct/>
        <w:topLinePunct w:val="0"/>
        <w:autoSpaceDE/>
        <w:autoSpaceDN/>
        <w:bidi w:val="0"/>
        <w:adjustRightInd/>
        <w:snapToGrid/>
        <w:spacing w:line="540" w:lineRule="exact"/>
        <w:ind w:firstLine="668" w:firstLineChars="200"/>
        <w:textAlignment w:val="auto"/>
        <w:rPr>
          <w:rFonts w:hint="default" w:ascii="Times New Roman" w:hAnsi="Times New Roman" w:eastAsia="仿宋_GB2312" w:cs="Times New Roman"/>
          <w:color w:val="000000"/>
          <w:spacing w:val="17"/>
          <w:sz w:val="30"/>
          <w:szCs w:val="30"/>
        </w:rPr>
      </w:pPr>
      <w:r>
        <w:rPr>
          <w:rFonts w:hint="default" w:ascii="Times New Roman" w:hAnsi="Times New Roman" w:eastAsia="仿宋_GB2312" w:cs="Times New Roman"/>
          <w:color w:val="000000"/>
          <w:spacing w:val="17"/>
          <w:sz w:val="30"/>
          <w:szCs w:val="30"/>
        </w:rPr>
        <w:t>202</w:t>
      </w:r>
      <w:r>
        <w:rPr>
          <w:rFonts w:hint="eastAsia" w:ascii="Times New Roman" w:hAnsi="Times New Roman" w:cs="Times New Roman"/>
          <w:color w:val="000000"/>
          <w:spacing w:val="17"/>
          <w:sz w:val="30"/>
          <w:szCs w:val="30"/>
          <w:lang w:val="en-US" w:eastAsia="zh-CN"/>
        </w:rPr>
        <w:t>4</w:t>
      </w:r>
      <w:r>
        <w:rPr>
          <w:rFonts w:hint="default" w:ascii="Times New Roman" w:hAnsi="Times New Roman" w:eastAsia="仿宋_GB2312" w:cs="Times New Roman"/>
          <w:color w:val="000000"/>
          <w:spacing w:val="17"/>
          <w:sz w:val="30"/>
          <w:szCs w:val="30"/>
        </w:rPr>
        <w:t>年</w:t>
      </w:r>
      <w:r>
        <w:rPr>
          <w:rFonts w:hint="default" w:ascii="Times New Roman" w:hAnsi="Times New Roman" w:eastAsia="仿宋_GB2312" w:cs="Times New Roman"/>
          <w:color w:val="000000"/>
          <w:spacing w:val="17"/>
          <w:sz w:val="30"/>
          <w:szCs w:val="30"/>
          <w:lang w:val="en-US" w:eastAsia="zh-CN"/>
        </w:rPr>
        <w:t>4</w:t>
      </w:r>
      <w:r>
        <w:rPr>
          <w:rFonts w:hint="default" w:ascii="Times New Roman" w:hAnsi="Times New Roman" w:eastAsia="仿宋_GB2312" w:cs="Times New Roman"/>
          <w:color w:val="000000"/>
          <w:spacing w:val="17"/>
          <w:sz w:val="30"/>
          <w:szCs w:val="30"/>
        </w:rPr>
        <w:t>月</w:t>
      </w:r>
      <w:r>
        <w:rPr>
          <w:rFonts w:hint="eastAsia" w:ascii="Times New Roman" w:hAnsi="Times New Roman" w:cs="Times New Roman"/>
          <w:color w:val="000000"/>
          <w:spacing w:val="17"/>
          <w:sz w:val="30"/>
          <w:szCs w:val="30"/>
          <w:lang w:val="en-US" w:eastAsia="zh-CN"/>
        </w:rPr>
        <w:t>9</w:t>
      </w:r>
      <w:r>
        <w:rPr>
          <w:rFonts w:hint="default" w:ascii="Times New Roman" w:hAnsi="Times New Roman" w:eastAsia="仿宋_GB2312" w:cs="Times New Roman"/>
          <w:color w:val="000000"/>
          <w:spacing w:val="17"/>
          <w:sz w:val="30"/>
          <w:szCs w:val="30"/>
        </w:rPr>
        <w:t>日-</w:t>
      </w:r>
      <w:r>
        <w:rPr>
          <w:rFonts w:hint="default" w:ascii="Times New Roman" w:hAnsi="Times New Roman" w:eastAsia="仿宋_GB2312" w:cs="Times New Roman"/>
          <w:color w:val="000000"/>
          <w:spacing w:val="17"/>
          <w:sz w:val="30"/>
          <w:szCs w:val="30"/>
          <w:lang w:val="en-US" w:eastAsia="zh-CN"/>
        </w:rPr>
        <w:t>-</w:t>
      </w:r>
      <w:r>
        <w:rPr>
          <w:rFonts w:hint="eastAsia" w:ascii="Times New Roman" w:hAnsi="Times New Roman" w:cs="Times New Roman"/>
          <w:color w:val="000000"/>
          <w:spacing w:val="17"/>
          <w:sz w:val="30"/>
          <w:szCs w:val="30"/>
          <w:lang w:val="en-US" w:eastAsia="zh-CN"/>
        </w:rPr>
        <w:t>5</w:t>
      </w:r>
      <w:r>
        <w:rPr>
          <w:rFonts w:hint="default" w:ascii="Times New Roman" w:hAnsi="Times New Roman" w:eastAsia="仿宋_GB2312" w:cs="Times New Roman"/>
          <w:color w:val="000000"/>
          <w:spacing w:val="17"/>
          <w:sz w:val="30"/>
          <w:szCs w:val="30"/>
        </w:rPr>
        <w:t>月</w:t>
      </w:r>
      <w:r>
        <w:rPr>
          <w:rFonts w:hint="eastAsia" w:ascii="Times New Roman" w:hAnsi="Times New Roman" w:cs="Times New Roman"/>
          <w:color w:val="000000"/>
          <w:spacing w:val="17"/>
          <w:sz w:val="30"/>
          <w:szCs w:val="30"/>
          <w:lang w:val="en-US" w:eastAsia="zh-CN"/>
        </w:rPr>
        <w:t>9</w:t>
      </w:r>
      <w:r>
        <w:rPr>
          <w:rFonts w:hint="default" w:ascii="Times New Roman" w:hAnsi="Times New Roman" w:eastAsia="仿宋_GB2312" w:cs="Times New Roman"/>
          <w:color w:val="000000"/>
          <w:spacing w:val="17"/>
          <w:sz w:val="30"/>
          <w:szCs w:val="30"/>
        </w:rPr>
        <w:t xml:space="preserve"> 日，评价组按照绩效评价的原则和规范，对取得的资料进行审查核实际，对采集的数据进行分析，按照绩效评价指标评分表逐项进行打分、分析，汇总各方评价结果，综合分析并形成评价结论。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color w:val="FF0000"/>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p>
    <w:p>
      <w:pPr>
        <w:pageBreakBefore w:val="0"/>
        <w:kinsoku/>
        <w:wordWrap/>
        <w:overflowPunct/>
        <w:topLinePunct w:val="0"/>
        <w:autoSpaceDE/>
        <w:autoSpaceDN/>
        <w:bidi w:val="0"/>
        <w:adjustRightInd/>
        <w:snapToGrid/>
        <w:spacing w:line="540" w:lineRule="exact"/>
        <w:ind w:firstLine="668" w:firstLineChars="200"/>
        <w:textAlignment w:val="auto"/>
        <w:rPr>
          <w:rFonts w:hint="eastAsia" w:eastAsia="仿宋_GB2312"/>
          <w:color w:val="000000"/>
          <w:spacing w:val="17"/>
          <w:sz w:val="30"/>
          <w:szCs w:val="30"/>
        </w:rPr>
      </w:pPr>
      <w:r>
        <w:rPr>
          <w:rFonts w:hint="eastAsia" w:eastAsia="仿宋_GB2312"/>
          <w:color w:val="000000"/>
          <w:spacing w:val="17"/>
          <w:sz w:val="30"/>
          <w:szCs w:val="30"/>
        </w:rPr>
        <w:t>本项目严格按照科学公正、统筹兼顾、激励约束、公开透明绩效评价原则，采用成本效益分析法和公众评判评价方法，坚持计划标准，以预先制定的目标、计划、预算、定额等作为评价标准，通过预先制定的项目目标，资金预算和项目合同等，评价该项目各项指标完成率以及项目总目标和阶段目标完成情况。</w:t>
      </w:r>
    </w:p>
    <w:p>
      <w:pPr>
        <w:pStyle w:val="4"/>
        <w:pageBreakBefore w:val="0"/>
        <w:kinsoku/>
        <w:wordWrap/>
        <w:overflowPunct/>
        <w:topLinePunct w:val="0"/>
        <w:autoSpaceDE/>
        <w:autoSpaceDN/>
        <w:bidi w:val="0"/>
        <w:adjustRightInd/>
        <w:snapToGrid/>
        <w:spacing w:before="0" w:after="0" w:line="540" w:lineRule="exact"/>
        <w:ind w:firstLine="600" w:firstLineChars="200"/>
        <w:textAlignment w:val="auto"/>
        <w:rPr>
          <w:rFonts w:hint="eastAsia" w:ascii="仿宋_GB2312" w:eastAsia="仿宋_GB2312"/>
          <w:b w:val="0"/>
          <w:bCs w:val="0"/>
          <w:sz w:val="30"/>
          <w:szCs w:val="30"/>
        </w:rPr>
      </w:pPr>
      <w:bookmarkStart w:id="9" w:name="_Toc68703836"/>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评价结论</w:t>
      </w:r>
      <w:bookmarkEnd w:id="9"/>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Times New Roman" w:hAnsi="Times New Roman" w:eastAsia="仿宋_GB2312"/>
          <w:b w:val="0"/>
          <w:bCs w:val="0"/>
          <w:color w:val="FF0000"/>
          <w:sz w:val="30"/>
          <w:szCs w:val="30"/>
          <w:highlight w:val="none"/>
        </w:rPr>
      </w:pPr>
      <w:r>
        <w:rPr>
          <w:rFonts w:hint="eastAsia" w:ascii="Times New Roman" w:hAnsi="Times New Roman" w:eastAsia="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sz w:val="30"/>
          <w:szCs w:val="30"/>
          <w:highlight w:val="none"/>
        </w:rPr>
        <w:t>总得分为</w:t>
      </w:r>
      <w:r>
        <w:rPr>
          <w:rFonts w:hint="eastAsia"/>
          <w:b w:val="0"/>
          <w:bCs w:val="0"/>
          <w:color w:val="auto"/>
          <w:sz w:val="30"/>
          <w:szCs w:val="30"/>
          <w:highlight w:val="none"/>
          <w:lang w:val="en-US" w:eastAsia="zh-CN"/>
        </w:rPr>
        <w:t>95.30</w:t>
      </w:r>
      <w:r>
        <w:rPr>
          <w:rFonts w:hint="eastAsia" w:ascii="Times New Roman" w:hAnsi="Times New Roman" w:eastAsia="仿宋_GB2312"/>
          <w:b w:val="0"/>
          <w:bCs w:val="0"/>
          <w:color w:val="auto"/>
          <w:sz w:val="30"/>
          <w:szCs w:val="30"/>
          <w:highlight w:val="none"/>
        </w:rPr>
        <w:t>，属于“优”。其中，项目决策类指标权重为</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分，得分为</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 xml:space="preserve">分，得分率为 </w:t>
      </w:r>
      <w:r>
        <w:rPr>
          <w:rFonts w:hint="eastAsia"/>
          <w:b w:val="0"/>
          <w:bCs w:val="0"/>
          <w:color w:val="auto"/>
          <w:sz w:val="30"/>
          <w:szCs w:val="30"/>
          <w:highlight w:val="none"/>
          <w:lang w:val="en-US" w:eastAsia="zh-CN"/>
        </w:rPr>
        <w:t>100</w:t>
      </w:r>
      <w:r>
        <w:rPr>
          <w:rFonts w:hint="eastAsia" w:ascii="Times New Roman" w:hAnsi="Times New Roman" w:eastAsia="仿宋_GB2312"/>
          <w:b w:val="0"/>
          <w:bCs w:val="0"/>
          <w:color w:val="auto"/>
          <w:sz w:val="30"/>
          <w:szCs w:val="30"/>
          <w:highlight w:val="none"/>
        </w:rPr>
        <w:t>%。项目过程类指标权重为20分，得分为</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 xml:space="preserve">分，得分率为 </w:t>
      </w:r>
      <w:r>
        <w:rPr>
          <w:rFonts w:hint="eastAsia"/>
          <w:b w:val="0"/>
          <w:bCs w:val="0"/>
          <w:color w:val="auto"/>
          <w:sz w:val="30"/>
          <w:szCs w:val="30"/>
          <w:highlight w:val="none"/>
          <w:lang w:val="en-US" w:eastAsia="zh-CN"/>
        </w:rPr>
        <w:t>100</w:t>
      </w:r>
      <w:r>
        <w:rPr>
          <w:rFonts w:hint="eastAsia" w:ascii="Times New Roman" w:hAnsi="Times New Roman" w:eastAsia="仿宋_GB2312"/>
          <w:b w:val="0"/>
          <w:bCs w:val="0"/>
          <w:color w:val="auto"/>
          <w:sz w:val="30"/>
          <w:szCs w:val="30"/>
          <w:highlight w:val="none"/>
        </w:rPr>
        <w:t>%。项目产出类指标权重为</w:t>
      </w:r>
      <w:r>
        <w:rPr>
          <w:rFonts w:hint="eastAsia"/>
          <w:b w:val="0"/>
          <w:bCs w:val="0"/>
          <w:color w:val="auto"/>
          <w:sz w:val="30"/>
          <w:szCs w:val="30"/>
          <w:highlight w:val="none"/>
          <w:lang w:val="en-US" w:eastAsia="zh-CN"/>
        </w:rPr>
        <w:t>40</w:t>
      </w:r>
      <w:r>
        <w:rPr>
          <w:rFonts w:hint="eastAsia" w:ascii="Times New Roman" w:hAnsi="Times New Roman" w:eastAsia="仿宋_GB2312"/>
          <w:b w:val="0"/>
          <w:bCs w:val="0"/>
          <w:color w:val="auto"/>
          <w:sz w:val="30"/>
          <w:szCs w:val="30"/>
          <w:highlight w:val="none"/>
        </w:rPr>
        <w:t>分，得分为</w:t>
      </w:r>
      <w:r>
        <w:rPr>
          <w:rFonts w:hint="eastAsia"/>
          <w:b w:val="0"/>
          <w:bCs w:val="0"/>
          <w:color w:val="auto"/>
          <w:sz w:val="30"/>
          <w:szCs w:val="30"/>
          <w:highlight w:val="none"/>
          <w:lang w:val="en-US" w:eastAsia="zh-CN"/>
        </w:rPr>
        <w:t>35.30</w:t>
      </w:r>
      <w:r>
        <w:rPr>
          <w:rFonts w:hint="eastAsia" w:ascii="Times New Roman" w:hAnsi="Times New Roman" w:eastAsia="仿宋_GB2312"/>
          <w:b w:val="0"/>
          <w:bCs w:val="0"/>
          <w:color w:val="auto"/>
          <w:sz w:val="30"/>
          <w:szCs w:val="30"/>
          <w:highlight w:val="none"/>
        </w:rPr>
        <w:t>分，得分率为</w:t>
      </w:r>
      <w:r>
        <w:rPr>
          <w:rFonts w:hint="eastAsia"/>
          <w:b w:val="0"/>
          <w:bCs w:val="0"/>
          <w:color w:val="auto"/>
          <w:sz w:val="30"/>
          <w:szCs w:val="30"/>
          <w:highlight w:val="none"/>
          <w:lang w:val="en-US" w:eastAsia="zh-CN"/>
        </w:rPr>
        <w:t>88</w:t>
      </w:r>
      <w:r>
        <w:rPr>
          <w:rFonts w:hint="eastAsia" w:ascii="Times New Roman" w:hAnsi="Times New Roman" w:eastAsia="仿宋_GB2312"/>
          <w:b w:val="0"/>
          <w:bCs w:val="0"/>
          <w:color w:val="auto"/>
          <w:sz w:val="30"/>
          <w:szCs w:val="30"/>
          <w:highlight w:val="none"/>
        </w:rPr>
        <w:t>%。项目效益类指标权重为20分，得分为</w:t>
      </w:r>
      <w:r>
        <w:rPr>
          <w:rFonts w:hint="eastAsia"/>
          <w:b w:val="0"/>
          <w:bCs w:val="0"/>
          <w:color w:val="auto"/>
          <w:sz w:val="30"/>
          <w:szCs w:val="30"/>
          <w:highlight w:val="none"/>
          <w:lang w:val="en-US" w:eastAsia="zh-CN"/>
        </w:rPr>
        <w:t>20</w:t>
      </w:r>
      <w:r>
        <w:rPr>
          <w:rFonts w:hint="eastAsia" w:ascii="Times New Roman" w:hAnsi="Times New Roman" w:eastAsia="仿宋_GB2312"/>
          <w:b w:val="0"/>
          <w:bCs w:val="0"/>
          <w:color w:val="auto"/>
          <w:sz w:val="30"/>
          <w:szCs w:val="30"/>
          <w:highlight w:val="none"/>
        </w:rPr>
        <w:t>分，得分率为</w:t>
      </w:r>
      <w:r>
        <w:rPr>
          <w:rFonts w:hint="eastAsia"/>
          <w:b w:val="0"/>
          <w:bCs w:val="0"/>
          <w:color w:val="auto"/>
          <w:sz w:val="30"/>
          <w:szCs w:val="30"/>
          <w:highlight w:val="none"/>
          <w:lang w:val="en-US" w:eastAsia="zh-CN"/>
        </w:rPr>
        <w:t>100</w:t>
      </w:r>
      <w:r>
        <w:rPr>
          <w:rFonts w:hint="eastAsia" w:ascii="Times New Roman" w:hAnsi="Times New Roman" w:eastAsia="仿宋_GB2312"/>
          <w:b w:val="0"/>
          <w:bCs w:val="0"/>
          <w:color w:val="auto"/>
          <w:sz w:val="30"/>
          <w:szCs w:val="30"/>
          <w:highlight w:val="none"/>
        </w:rPr>
        <w:t>%。</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40" w:lineRule="exact"/>
        <w:jc w:val="center"/>
        <w:textAlignment w:val="auto"/>
        <w:rPr>
          <w:color w:val="auto"/>
          <w:sz w:val="30"/>
          <w:szCs w:val="30"/>
        </w:rPr>
      </w:pPr>
      <w:r>
        <w:rPr>
          <w:rFonts w:hint="eastAsia" w:eastAsia="仿宋_GB2312"/>
          <w:color w:val="auto"/>
          <w:spacing w:val="17"/>
          <w:sz w:val="30"/>
          <w:szCs w:val="30"/>
        </w:rPr>
        <w:t>重点行业领域企业生产经营安全评估项目</w:t>
      </w:r>
      <w:r>
        <w:rPr>
          <w:rFonts w:hint="eastAsia"/>
          <w:color w:val="auto"/>
          <w:sz w:val="30"/>
          <w:szCs w:val="30"/>
        </w:rPr>
        <w:t>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35.30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95.30</w:t>
            </w:r>
          </w:p>
        </w:tc>
      </w:tr>
    </w:tbl>
    <w:p>
      <w:pPr>
        <w:pStyle w:val="2"/>
        <w:pageBreakBefore w:val="0"/>
        <w:kinsoku/>
        <w:wordWrap/>
        <w:overflowPunct/>
        <w:topLinePunct w:val="0"/>
        <w:autoSpaceDE/>
        <w:autoSpaceDN/>
        <w:bidi w:val="0"/>
        <w:adjustRightInd/>
        <w:snapToGrid/>
        <w:spacing w:before="0" w:after="0" w:line="54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b w:val="0"/>
          <w:bCs w:val="0"/>
          <w:kern w:val="2"/>
          <w:sz w:val="30"/>
          <w:szCs w:val="30"/>
          <w:lang w:val="en-US" w:eastAsia="zh-CN" w:bidi="ar-SA"/>
        </w:rPr>
        <w:t>项目立项依据：</w:t>
      </w:r>
      <w:r>
        <w:rPr>
          <w:rFonts w:hint="eastAsia" w:ascii="仿宋_GB2312" w:hAnsi="仿宋_GB2312" w:eastAsia="仿宋_GB2312" w:cs="仿宋_GB2312"/>
          <w:sz w:val="30"/>
          <w:szCs w:val="30"/>
        </w:rPr>
        <w:t>①</w:t>
      </w:r>
      <w:r>
        <w:rPr>
          <w:rFonts w:hint="eastAsia" w:ascii="仿宋_GB2312" w:hAnsi="仿宋_GB2312" w:eastAsia="仿宋_GB2312" w:cs="仿宋_GB2312"/>
          <w:b w:val="0"/>
          <w:bCs w:val="0"/>
          <w:kern w:val="2"/>
          <w:sz w:val="30"/>
          <w:szCs w:val="30"/>
          <w:lang w:val="en-US" w:eastAsia="zh-CN" w:bidi="ar-SA"/>
        </w:rPr>
        <w:t>《中华人民共和国安全生产法》、安全生产年度考核细则、安全生产2023年工作要点、《自治州实施&lt;地方党政领导干部安全生产责任制规定&gt;细则》。</w:t>
      </w:r>
      <w:r>
        <w:rPr>
          <w:rFonts w:hint="eastAsia" w:ascii="仿宋_GB2312" w:hAnsi="仿宋_GB2312" w:eastAsia="仿宋_GB2312" w:cs="仿宋_GB2312"/>
          <w:sz w:val="30"/>
          <w:szCs w:val="30"/>
        </w:rPr>
        <w:t>②</w:t>
      </w:r>
      <w:r>
        <w:rPr>
          <w:rFonts w:hint="eastAsia" w:ascii="仿宋_GB2312" w:hAnsi="仿宋_GB2312" w:eastAsia="仿宋_GB2312" w:cs="仿宋_GB2312"/>
          <w:b w:val="0"/>
          <w:bCs w:val="0"/>
          <w:kern w:val="2"/>
          <w:sz w:val="30"/>
          <w:szCs w:val="30"/>
          <w:lang w:val="en-US" w:eastAsia="zh-CN" w:bidi="ar-SA"/>
        </w:rPr>
        <w:t>《国务院《危险化学品安全管理条例》591号令、《自治州安全生产专项整治三年行动实施方案》、《落实企业安全生产主体责任三年行动专题实施方案》。</w:t>
      </w:r>
      <w:r>
        <w:rPr>
          <w:rFonts w:hint="eastAsia" w:ascii="仿宋_GB2312" w:hAnsi="仿宋_GB2312" w:eastAsia="仿宋_GB2312" w:cs="仿宋_GB2312"/>
          <w:sz w:val="30"/>
          <w:szCs w:val="30"/>
        </w:rPr>
        <w:t>③</w:t>
      </w:r>
      <w:r>
        <w:rPr>
          <w:rFonts w:hint="eastAsia" w:ascii="仿宋_GB2312" w:hAnsi="仿宋_GB2312" w:eastAsia="仿宋_GB2312" w:cs="仿宋_GB2312"/>
          <w:b w:val="0"/>
          <w:bCs w:val="0"/>
          <w:kern w:val="2"/>
          <w:sz w:val="30"/>
          <w:szCs w:val="30"/>
          <w:lang w:val="en-US" w:eastAsia="zh-CN" w:bidi="ar-SA"/>
        </w:rPr>
        <w:t>《危险化学品安全专项整治三年行动实施方案》。④《国务院办公厅关于加强安全生产监管执法的通知》（国办发〔2015〕20号）。⑤自治州第十一届党委财经委员会第七次会议（巴党财（2023）1号），巴财收文[2023]206号，政府收文0901590号。立项符合国家法律法规、国民经济发展规划和相关政策；符合行业发展规划和政策要求；该项目立项与我单位部门职责中危险化学品化学品企业监管监督职能范围相符，属于部门履职所需；该项目属于公共财政支持范围，符合中央、地方事权支出责任划分原则；该项目没有与相关部门同类项目重复。</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此项权重4分，得分4分。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立项程序规范性</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重点行业领域企业生产经营安全评估项目按照规定的程序申请设立：项目年度计划方案完整，立项清晰；审批文件、材料符合相关要求：项目资金申请文件齐全，申报材料审批完整；事前已经过必要的可行性研究、专家论证、风险评估、绩效评估、集体决策。</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绩效目标合理性</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重点行业领域企业生产经营安全评估项目</w:t>
      </w:r>
      <w:r>
        <w:rPr>
          <w:rFonts w:hint="eastAsia" w:ascii="仿宋_GB2312" w:hAnsi="仿宋_GB2312" w:eastAsia="仿宋_GB2312" w:cs="仿宋_GB2312"/>
          <w:color w:val="000000" w:themeColor="text1"/>
          <w:sz w:val="30"/>
          <w:szCs w:val="30"/>
          <w:lang w:eastAsia="zh-CN"/>
        </w:rPr>
        <w:t>设立了项目</w:t>
      </w:r>
      <w:r>
        <w:rPr>
          <w:rFonts w:hint="eastAsia" w:ascii="仿宋_GB2312" w:hAnsi="仿宋_GB2312" w:eastAsia="仿宋_GB2312" w:cs="仿宋_GB2312"/>
          <w:color w:val="000000" w:themeColor="text1"/>
          <w:sz w:val="30"/>
          <w:szCs w:val="30"/>
        </w:rPr>
        <w:t>绩效目标，与危险化学品</w:t>
      </w:r>
      <w:r>
        <w:rPr>
          <w:rFonts w:hint="eastAsia" w:ascii="仿宋_GB2312" w:hAnsi="仿宋_GB2312" w:eastAsia="仿宋_GB2312" w:cs="仿宋_GB2312"/>
          <w:color w:val="000000" w:themeColor="text1"/>
          <w:sz w:val="30"/>
          <w:szCs w:val="30"/>
          <w:lang w:eastAsia="zh-CN"/>
        </w:rPr>
        <w:t>、非煤矿山、煤矿、工贸</w:t>
      </w:r>
      <w:r>
        <w:rPr>
          <w:rFonts w:hint="eastAsia" w:ascii="仿宋_GB2312" w:hAnsi="仿宋_GB2312" w:eastAsia="仿宋_GB2312" w:cs="仿宋_GB2312"/>
          <w:color w:val="000000" w:themeColor="text1"/>
          <w:sz w:val="30"/>
          <w:szCs w:val="30"/>
        </w:rPr>
        <w:t>企业安全</w:t>
      </w:r>
      <w:r>
        <w:rPr>
          <w:rFonts w:hint="eastAsia" w:ascii="仿宋_GB2312" w:hAnsi="仿宋_GB2312" w:eastAsia="仿宋_GB2312" w:cs="仿宋_GB2312"/>
          <w:color w:val="000000" w:themeColor="text1"/>
          <w:sz w:val="30"/>
          <w:szCs w:val="30"/>
          <w:lang w:eastAsia="zh-CN"/>
        </w:rPr>
        <w:t>隐患排查监管</w:t>
      </w:r>
      <w:r>
        <w:rPr>
          <w:rFonts w:hint="eastAsia" w:ascii="仿宋_GB2312" w:hAnsi="仿宋_GB2312" w:eastAsia="仿宋_GB2312" w:cs="仿宋_GB2312"/>
          <w:color w:val="000000" w:themeColor="text1"/>
          <w:sz w:val="30"/>
          <w:szCs w:val="30"/>
        </w:rPr>
        <w:t>实际工作</w:t>
      </w:r>
      <w:r>
        <w:rPr>
          <w:rFonts w:hint="eastAsia" w:ascii="仿宋_GB2312" w:hAnsi="仿宋_GB2312" w:eastAsia="仿宋_GB2312" w:cs="仿宋_GB2312"/>
          <w:color w:val="000000" w:themeColor="text1"/>
          <w:sz w:val="30"/>
          <w:szCs w:val="30"/>
          <w:lang w:eastAsia="zh-CN"/>
        </w:rPr>
        <w:t>具有相关性</w:t>
      </w:r>
      <w:r>
        <w:rPr>
          <w:rFonts w:hint="eastAsia" w:ascii="仿宋_GB2312" w:hAnsi="仿宋_GB2312" w:eastAsia="仿宋_GB2312" w:cs="仿宋_GB2312"/>
          <w:color w:val="000000" w:themeColor="text1"/>
          <w:sz w:val="30"/>
          <w:szCs w:val="30"/>
        </w:rPr>
        <w:t>；项目的预期产出效益和效果也均能符合正常的业绩水平，并且与预算确定的项目投资额或资金量相匹配。</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绩效指标明确性</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重点行业领域企业生产经营安全评估项目将绩效目标细化分解为具体的绩效指标；指标值清晰、可衡量。该项目一级指标共</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条，二级指标共</w:t>
      </w: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rPr>
        <w:t>条，三级指标共</w:t>
      </w:r>
      <w:r>
        <w:rPr>
          <w:rFonts w:hint="eastAsia" w:ascii="仿宋_GB2312" w:hAnsi="仿宋_GB2312" w:eastAsia="仿宋_GB2312" w:cs="仿宋_GB2312"/>
          <w:color w:val="auto"/>
          <w:sz w:val="30"/>
          <w:szCs w:val="30"/>
          <w:lang w:val="en-US" w:eastAsia="zh-CN"/>
        </w:rPr>
        <w:t>15</w:t>
      </w:r>
      <w:r>
        <w:rPr>
          <w:rFonts w:hint="eastAsia" w:ascii="仿宋_GB2312" w:hAnsi="仿宋_GB2312" w:eastAsia="仿宋_GB2312" w:cs="仿宋_GB2312"/>
          <w:color w:val="auto"/>
          <w:sz w:val="30"/>
          <w:szCs w:val="30"/>
        </w:rPr>
        <w:t>条，其中量化指标条数共</w:t>
      </w:r>
      <w:r>
        <w:rPr>
          <w:rFonts w:hint="eastAsia" w:ascii="仿宋_GB2312" w:hAnsi="仿宋_GB2312" w:eastAsia="仿宋_GB2312" w:cs="仿宋_GB2312"/>
          <w:color w:val="auto"/>
          <w:sz w:val="30"/>
          <w:szCs w:val="30"/>
          <w:lang w:val="en-US" w:eastAsia="zh-CN"/>
        </w:rPr>
        <w:t>14</w:t>
      </w:r>
      <w:r>
        <w:rPr>
          <w:rFonts w:hint="eastAsia" w:ascii="仿宋_GB2312" w:hAnsi="仿宋_GB2312" w:eastAsia="仿宋_GB2312" w:cs="仿宋_GB2312"/>
          <w:color w:val="auto"/>
          <w:sz w:val="30"/>
          <w:szCs w:val="30"/>
        </w:rPr>
        <w:t>条；并且做到了与项目目标任务数或计划数相对应。</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预算编制科学性</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color w:val="000000" w:themeColor="text1"/>
          <w:sz w:val="30"/>
          <w:szCs w:val="30"/>
        </w:rPr>
      </w:pPr>
      <w:r>
        <w:rPr>
          <w:rFonts w:hint="eastAsia" w:ascii="仿宋_GB2312" w:hAnsi="仿宋_GB2312" w:eastAsia="仿宋_GB2312" w:cs="仿宋_GB2312"/>
          <w:sz w:val="30"/>
          <w:szCs w:val="30"/>
        </w:rPr>
        <w:t>重点行业领域企业生产经营安全评估项目</w:t>
      </w:r>
      <w:r>
        <w:rPr>
          <w:rFonts w:hint="eastAsia" w:ascii="仿宋_GB2312" w:hAnsi="仿宋_GB2312" w:eastAsia="仿宋_GB2312" w:cs="仿宋_GB2312"/>
          <w:color w:val="000000" w:themeColor="text1"/>
          <w:sz w:val="30"/>
          <w:szCs w:val="30"/>
        </w:rPr>
        <w:t>预算编制经过合理合法合规论证；预算内容与项目内容匹配；</w:t>
      </w:r>
      <w:r>
        <w:rPr>
          <w:rFonts w:hint="eastAsia" w:ascii="仿宋_GB2312" w:hAnsi="仿宋_GB2312" w:cs="仿宋_GB2312"/>
          <w:color w:val="000000" w:themeColor="text1"/>
          <w:sz w:val="30"/>
          <w:szCs w:val="30"/>
          <w:lang w:eastAsia="zh-CN"/>
        </w:rPr>
        <w:t>按照工作量及市场行情，</w:t>
      </w:r>
      <w:r>
        <w:rPr>
          <w:rFonts w:hint="eastAsia" w:ascii="仿宋_GB2312" w:hAnsi="仿宋_GB2312" w:eastAsia="仿宋_GB2312" w:cs="仿宋_GB2312"/>
          <w:color w:val="000000" w:themeColor="text1"/>
          <w:sz w:val="30"/>
          <w:szCs w:val="30"/>
        </w:rPr>
        <w:t>预算额度测算依据充分，按照标准编制；预算确定的项目投资额能够与项目实际相匹配。</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6</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资金分配合理性</w:t>
      </w:r>
    </w:p>
    <w:p>
      <w:pPr>
        <w:pageBreakBefore w:val="0"/>
        <w:kinsoku/>
        <w:wordWrap/>
        <w:overflowPunct/>
        <w:topLinePunct w:val="0"/>
        <w:autoSpaceDE/>
        <w:autoSpaceDN/>
        <w:bidi w:val="0"/>
        <w:adjustRightIn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重点行业领域企业生产经营安全评估项目预算资金分配</w:t>
      </w:r>
      <w:r>
        <w:rPr>
          <w:rFonts w:hint="eastAsia" w:ascii="仿宋_GB2312" w:hAnsi="仿宋_GB2312" w:cs="仿宋_GB2312"/>
          <w:color w:val="auto"/>
          <w:sz w:val="30"/>
          <w:szCs w:val="30"/>
          <w:lang w:eastAsia="zh-CN"/>
        </w:rPr>
        <w:t>：</w:t>
      </w:r>
      <w:r>
        <w:rPr>
          <w:rFonts w:hint="eastAsia" w:ascii="仿宋_GB2312" w:hAnsi="仿宋_GB2312" w:eastAsia="仿宋_GB2312" w:cs="仿宋_GB2312"/>
          <w:color w:val="000000" w:themeColor="text1"/>
          <w:sz w:val="30"/>
          <w:szCs w:val="30"/>
        </w:rPr>
        <w:t>委托中国化学品安全协会31名专家对全州重点监管的40家危险化学品企业和1家工贸企业（危险化学品使用企业）开展安全评估服务，费用140.8万</w:t>
      </w:r>
      <w:r>
        <w:rPr>
          <w:rFonts w:hint="eastAsia" w:ascii="仿宋_GB2312" w:hAnsi="仿宋_GB2312" w:cs="仿宋_GB2312"/>
          <w:color w:val="000000" w:themeColor="text1"/>
          <w:sz w:val="30"/>
          <w:szCs w:val="30"/>
          <w:lang w:eastAsia="zh-CN"/>
        </w:rPr>
        <w:t>；</w:t>
      </w:r>
      <w:r>
        <w:rPr>
          <w:rFonts w:hint="eastAsia" w:ascii="仿宋_GB2312" w:hAnsi="仿宋_GB2312" w:eastAsia="仿宋_GB2312" w:cs="仿宋_GB2312"/>
          <w:color w:val="000000" w:themeColor="text1"/>
          <w:sz w:val="30"/>
          <w:szCs w:val="30"/>
        </w:rPr>
        <w:t>聘请应急管理部信息研究院矿山所对全州</w:t>
      </w:r>
      <w:r>
        <w:rPr>
          <w:rFonts w:hint="eastAsia" w:ascii="仿宋_GB2312" w:hAnsi="仿宋_GB2312" w:eastAsia="仿宋_GB2312" w:cs="仿宋_GB2312"/>
          <w:color w:val="000000" w:themeColor="text1"/>
          <w:sz w:val="30"/>
          <w:szCs w:val="30"/>
          <w:lang w:val="en-US" w:eastAsia="zh-CN"/>
        </w:rPr>
        <w:t>5家生产改扩建、新建煤矿</w:t>
      </w:r>
      <w:r>
        <w:rPr>
          <w:rFonts w:hint="eastAsia" w:ascii="仿宋_GB2312" w:hAnsi="仿宋_GB2312" w:eastAsia="仿宋_GB2312" w:cs="仿宋_GB2312"/>
          <w:color w:val="000000" w:themeColor="text1"/>
          <w:sz w:val="30"/>
          <w:szCs w:val="30"/>
        </w:rPr>
        <w:t>，</w:t>
      </w:r>
      <w:r>
        <w:rPr>
          <w:rFonts w:hint="eastAsia" w:ascii="仿宋_GB2312" w:hAnsi="仿宋_GB2312" w:eastAsia="仿宋_GB2312" w:cs="仿宋_GB2312"/>
          <w:color w:val="000000" w:themeColor="text1"/>
          <w:sz w:val="30"/>
          <w:szCs w:val="30"/>
          <w:lang w:val="en-US" w:eastAsia="zh-CN"/>
        </w:rPr>
        <w:t>12</w:t>
      </w:r>
      <w:r>
        <w:rPr>
          <w:rFonts w:hint="eastAsia" w:ascii="仿宋_GB2312" w:hAnsi="仿宋_GB2312" w:eastAsia="仿宋_GB2312" w:cs="仿宋_GB2312"/>
          <w:color w:val="000000" w:themeColor="text1"/>
          <w:sz w:val="30"/>
          <w:szCs w:val="30"/>
        </w:rPr>
        <w:t>处非煤矿山</w:t>
      </w:r>
      <w:r>
        <w:rPr>
          <w:rFonts w:hint="eastAsia" w:ascii="仿宋_GB2312" w:hAnsi="仿宋_GB2312" w:eastAsia="仿宋_GB2312" w:cs="仿宋_GB2312"/>
          <w:color w:val="000000" w:themeColor="text1"/>
          <w:sz w:val="30"/>
          <w:szCs w:val="30"/>
          <w:lang w:eastAsia="zh-CN"/>
        </w:rPr>
        <w:t>生产企业，</w:t>
      </w:r>
      <w:r>
        <w:rPr>
          <w:rFonts w:hint="eastAsia" w:ascii="仿宋_GB2312" w:hAnsi="仿宋_GB2312" w:eastAsia="仿宋_GB2312" w:cs="仿宋_GB2312"/>
          <w:color w:val="000000" w:themeColor="text1"/>
          <w:sz w:val="30"/>
          <w:szCs w:val="30"/>
          <w:lang w:val="en-US" w:eastAsia="zh-CN"/>
        </w:rPr>
        <w:t>59处复工复产非煤矿山企业</w:t>
      </w:r>
      <w:r>
        <w:rPr>
          <w:rFonts w:hint="eastAsia" w:ascii="仿宋_GB2312" w:hAnsi="仿宋_GB2312" w:eastAsia="仿宋_GB2312" w:cs="仿宋_GB2312"/>
          <w:color w:val="000000" w:themeColor="text1"/>
          <w:sz w:val="30"/>
          <w:szCs w:val="30"/>
          <w:lang w:eastAsia="zh-CN"/>
        </w:rPr>
        <w:t>开展</w:t>
      </w:r>
      <w:r>
        <w:rPr>
          <w:rFonts w:hint="eastAsia" w:ascii="仿宋_GB2312" w:hAnsi="仿宋_GB2312" w:eastAsia="仿宋_GB2312" w:cs="仿宋_GB2312"/>
          <w:color w:val="000000" w:themeColor="text1"/>
          <w:sz w:val="30"/>
          <w:szCs w:val="30"/>
        </w:rPr>
        <w:t>第三方技术评估，服务费133.4万元</w:t>
      </w:r>
      <w:r>
        <w:rPr>
          <w:rFonts w:hint="eastAsia" w:ascii="仿宋_GB2312" w:hAnsi="仿宋_GB2312" w:cs="仿宋_GB2312"/>
          <w:color w:val="000000" w:themeColor="text1"/>
          <w:sz w:val="30"/>
          <w:szCs w:val="30"/>
          <w:lang w:eastAsia="zh-CN"/>
        </w:rPr>
        <w:t>，分配</w:t>
      </w:r>
      <w:r>
        <w:rPr>
          <w:rFonts w:hint="eastAsia" w:ascii="仿宋_GB2312" w:hAnsi="仿宋_GB2312" w:eastAsia="仿宋_GB2312" w:cs="仿宋_GB2312"/>
          <w:color w:val="auto"/>
          <w:sz w:val="30"/>
          <w:szCs w:val="30"/>
        </w:rPr>
        <w:t>依据充分；项目资金分配额度合理，与项目</w:t>
      </w:r>
      <w:r>
        <w:rPr>
          <w:rFonts w:hint="eastAsia" w:ascii="仿宋_GB2312" w:hAnsi="仿宋_GB2312" w:eastAsia="仿宋_GB2312" w:cs="仿宋_GB2312"/>
          <w:color w:val="auto"/>
          <w:sz w:val="30"/>
          <w:szCs w:val="30"/>
          <w:lang w:val="en-US" w:eastAsia="zh-CN"/>
        </w:rPr>
        <w:t>与危险化学品</w:t>
      </w:r>
      <w:r>
        <w:rPr>
          <w:rFonts w:hint="eastAsia" w:ascii="仿宋_GB2312" w:hAnsi="仿宋_GB2312" w:cs="仿宋_GB2312"/>
          <w:color w:val="auto"/>
          <w:sz w:val="30"/>
          <w:szCs w:val="30"/>
          <w:lang w:val="en-US" w:eastAsia="zh-CN"/>
        </w:rPr>
        <w:t>、非煤矿山、煤矿、工贸</w:t>
      </w:r>
      <w:r>
        <w:rPr>
          <w:rFonts w:hint="eastAsia" w:ascii="仿宋_GB2312" w:hAnsi="仿宋_GB2312" w:eastAsia="仿宋_GB2312" w:cs="仿宋_GB2312"/>
          <w:color w:val="auto"/>
          <w:sz w:val="30"/>
          <w:szCs w:val="30"/>
          <w:lang w:val="en-US" w:eastAsia="zh-CN"/>
        </w:rPr>
        <w:t>企业监管、企业安全生产专项整治</w:t>
      </w:r>
      <w:r>
        <w:rPr>
          <w:rFonts w:hint="eastAsia" w:ascii="仿宋_GB2312" w:hAnsi="仿宋_GB2312" w:eastAsia="仿宋_GB2312" w:cs="仿宋_GB2312"/>
          <w:color w:val="auto"/>
          <w:sz w:val="30"/>
          <w:szCs w:val="30"/>
        </w:rPr>
        <w:t>实际情况相适应。</w:t>
      </w:r>
    </w:p>
    <w:p>
      <w:pPr>
        <w:pStyle w:val="2"/>
        <w:pageBreakBefore w:val="0"/>
        <w:kinsoku/>
        <w:wordWrap/>
        <w:overflowPunct/>
        <w:topLinePunct w:val="0"/>
        <w:autoSpaceDE/>
        <w:autoSpaceDN/>
        <w:bidi w:val="0"/>
        <w:adjustRightInd/>
        <w:spacing w:before="0" w:after="0" w:line="54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hAnsi="仿宋_GB2312" w:eastAsia="仿宋_GB2312" w:cs="仿宋_GB2312"/>
          <w:b w:val="0"/>
          <w:bCs w:val="0"/>
          <w:sz w:val="32"/>
          <w:szCs w:val="32"/>
        </w:rPr>
      </w:pPr>
      <w:bookmarkStart w:id="12" w:name="_Toc68703839"/>
      <w:r>
        <w:rPr>
          <w:rFonts w:hint="eastAsia" w:ascii="仿宋_GB2312" w:hAnsi="仿宋_GB2312" w:eastAsia="仿宋_GB2312" w:cs="仿宋_GB2312"/>
          <w:b w:val="0"/>
          <w:bCs w:val="0"/>
          <w:sz w:val="32"/>
          <w:szCs w:val="32"/>
        </w:rPr>
        <w:t>（二）项目过程情况。</w:t>
      </w:r>
      <w:bookmarkEnd w:id="12"/>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资金到位率：</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预算资金</w:t>
      </w:r>
      <w:r>
        <w:rPr>
          <w:rFonts w:hint="eastAsia" w:ascii="仿宋_GB2312" w:hAnsi="仿宋_GB2312" w:eastAsia="仿宋_GB2312" w:cs="仿宋_GB2312"/>
          <w:color w:val="auto"/>
          <w:sz w:val="32"/>
          <w:szCs w:val="32"/>
          <w:lang w:val="en-US" w:eastAsia="zh-CN"/>
        </w:rPr>
        <w:t>274.2</w:t>
      </w:r>
      <w:r>
        <w:rPr>
          <w:rFonts w:hint="eastAsia" w:ascii="仿宋_GB2312" w:hAnsi="仿宋_GB2312" w:eastAsia="仿宋_GB2312" w:cs="仿宋_GB2312"/>
          <w:color w:val="auto"/>
          <w:sz w:val="32"/>
          <w:szCs w:val="32"/>
        </w:rPr>
        <w:t>万元，实际到位资金</w:t>
      </w:r>
      <w:r>
        <w:rPr>
          <w:rFonts w:hint="eastAsia" w:ascii="仿宋_GB2312" w:hAnsi="仿宋_GB2312" w:eastAsia="仿宋_GB2312" w:cs="仿宋_GB2312"/>
          <w:color w:val="auto"/>
          <w:sz w:val="32"/>
          <w:szCs w:val="32"/>
          <w:lang w:val="en-US" w:eastAsia="zh-CN"/>
        </w:rPr>
        <w:t>274.2</w:t>
      </w:r>
      <w:r>
        <w:rPr>
          <w:rFonts w:hint="eastAsia" w:ascii="仿宋_GB2312" w:hAnsi="仿宋_GB2312" w:eastAsia="仿宋_GB2312" w:cs="仿宋_GB2312"/>
          <w:color w:val="auto"/>
          <w:sz w:val="32"/>
          <w:szCs w:val="32"/>
        </w:rPr>
        <w:t>万元，资金到位率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2"/>
        <w:pageBreakBefore w:val="0"/>
        <w:kinsoku/>
        <w:wordWrap/>
        <w:overflowPunct/>
        <w:topLinePunct w:val="0"/>
        <w:autoSpaceDE/>
        <w:autoSpaceDN/>
        <w:bidi w:val="0"/>
        <w:adjustRightInd/>
        <w:spacing w:before="0" w:after="0" w:line="54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预算执行率</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年初预算数</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274.2</w:t>
      </w:r>
      <w:r>
        <w:rPr>
          <w:rFonts w:hint="eastAsia" w:ascii="仿宋_GB2312" w:hAnsi="仿宋_GB2312" w:eastAsia="仿宋_GB2312" w:cs="仿宋_GB2312"/>
          <w:color w:val="auto"/>
          <w:sz w:val="32"/>
          <w:szCs w:val="32"/>
        </w:rPr>
        <w:t>万，全年执行数</w:t>
      </w:r>
      <w:r>
        <w:rPr>
          <w:rFonts w:hint="eastAsia" w:ascii="仿宋_GB2312" w:hAnsi="仿宋_GB2312" w:eastAsia="仿宋_GB2312" w:cs="仿宋_GB2312"/>
          <w:color w:val="auto"/>
          <w:sz w:val="32"/>
          <w:szCs w:val="32"/>
          <w:lang w:val="en-US" w:eastAsia="zh-CN"/>
        </w:rPr>
        <w:t>274.2</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pageBreakBefore w:val="0"/>
        <w:kinsoku/>
        <w:wordWrap/>
        <w:overflowPunct/>
        <w:topLinePunct w:val="0"/>
        <w:autoSpaceDE/>
        <w:autoSpaceDN/>
        <w:bidi w:val="0"/>
        <w:adjustRightInd/>
        <w:spacing w:before="0" w:after="0" w:line="54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资金使用合规性</w:t>
      </w:r>
    </w:p>
    <w:p>
      <w:pPr>
        <w:pStyle w:val="2"/>
        <w:pageBreakBefore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重点行业领域企业生产经营安全评估项目严格按照预期绩效目标执行预算资金。制定了《巴州应急管理局预算绩效管理办法》《巴州应急管理局财务管理制度》《巴州应急管理局行政事业单位内部控制制度》《巴州应急管理局预算编制审核管理办法》，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实施方案。资金不存在截留、挤占、挪用、虚列支出等情况。</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b w:val="0"/>
          <w:bCs w:val="0"/>
          <w:color w:val="auto"/>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管理制度健全性</w:t>
      </w:r>
    </w:p>
    <w:p>
      <w:pPr>
        <w:pageBreakBefore w:val="0"/>
        <w:kinsoku/>
        <w:wordWrap/>
        <w:overflowPunct/>
        <w:topLinePunct w:val="0"/>
        <w:autoSpaceDE/>
        <w:autoSpaceDN/>
        <w:bidi w:val="0"/>
        <w:adjustRightInd/>
        <w:spacing w:line="54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我单位</w:t>
      </w:r>
      <w:r>
        <w:rPr>
          <w:rFonts w:hint="eastAsia" w:ascii="仿宋_GB2312" w:hAnsi="仿宋_GB2312" w:eastAsia="仿宋_GB2312" w:cs="仿宋_GB2312"/>
          <w:color w:val="auto"/>
          <w:sz w:val="30"/>
          <w:szCs w:val="30"/>
          <w:lang w:eastAsia="zh-CN"/>
        </w:rPr>
        <w:t>制定了</w:t>
      </w:r>
      <w:r>
        <w:rPr>
          <w:rFonts w:hint="eastAsia" w:ascii="仿宋_GB2312" w:hAnsi="仿宋_GB2312" w:eastAsia="仿宋_GB2312" w:cs="仿宋_GB2312"/>
          <w:b w:val="0"/>
          <w:bCs w:val="0"/>
          <w:color w:val="auto"/>
          <w:kern w:val="2"/>
          <w:sz w:val="32"/>
          <w:szCs w:val="32"/>
          <w:lang w:val="en-US" w:eastAsia="zh-CN" w:bidi="ar-SA"/>
        </w:rPr>
        <w:t>《巴州应急管理局预算绩效管理办法》《巴州应急管理局财务管理制度》《巴州应急管理局行政事业单位内部控制制度》《巴州应急管理局预算编制审核管理办法》</w:t>
      </w:r>
      <w:r>
        <w:rPr>
          <w:rFonts w:hint="eastAsia" w:ascii="仿宋_GB2312" w:hAnsi="仿宋_GB2312" w:cs="仿宋_GB2312"/>
          <w:b w:val="0"/>
          <w:bCs w:val="0"/>
          <w:color w:val="auto"/>
          <w:kern w:val="2"/>
          <w:sz w:val="32"/>
          <w:szCs w:val="32"/>
          <w:lang w:val="en-US" w:eastAsia="zh-CN" w:bidi="ar-SA"/>
        </w:rPr>
        <w:t>《巴州应急管理局局固定资产管理制度》《巴州应急管理局政府采购管理办法》《巴州应急管理局专项资金管理办法》</w:t>
      </w:r>
      <w:r>
        <w:rPr>
          <w:rFonts w:hint="eastAsia" w:ascii="仿宋_GB2312" w:hAnsi="仿宋_GB2312" w:eastAsia="仿宋_GB2312" w:cs="仿宋_GB2312"/>
          <w:color w:val="auto"/>
          <w:sz w:val="30"/>
          <w:szCs w:val="30"/>
        </w:rPr>
        <w:t>等相关制度；财务和业务管理制度合法、合规、完整</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b w:val="0"/>
          <w:bCs w:val="0"/>
          <w:color w:val="auto"/>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制度执行有效性</w:t>
      </w:r>
    </w:p>
    <w:p>
      <w:pPr>
        <w:pageBreakBefore w:val="0"/>
        <w:kinsoku/>
        <w:wordWrap/>
        <w:overflowPunct/>
        <w:topLinePunct w:val="0"/>
        <w:autoSpaceDE/>
        <w:autoSpaceDN/>
        <w:bidi w:val="0"/>
        <w:adjustRightInd/>
        <w:spacing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该项目执行遵守</w:t>
      </w:r>
      <w:r>
        <w:rPr>
          <w:rFonts w:hint="eastAsia" w:ascii="仿宋_GB2312" w:hAnsi="仿宋_GB2312" w:cs="仿宋_GB2312"/>
          <w:color w:val="auto"/>
          <w:sz w:val="30"/>
          <w:szCs w:val="30"/>
          <w:lang w:eastAsia="zh-CN"/>
        </w:rPr>
        <w:t>《重点行业领域企业生产经营安全评估工作方案》《新疆巴州矿山安全体检技术服务合同》《</w:t>
      </w:r>
      <w:r>
        <w:rPr>
          <w:rFonts w:hint="eastAsia" w:ascii="仿宋_GB2312" w:hAnsi="仿宋_GB2312" w:cs="仿宋_GB2312"/>
          <w:color w:val="auto"/>
          <w:sz w:val="30"/>
          <w:szCs w:val="30"/>
          <w:lang w:val="en-US" w:eastAsia="zh-CN"/>
        </w:rPr>
        <w:t>2023年新疆维吾尔自治区巴音郭楞蒙古自治州危险化学品企业安全风险评估服务项目合同书</w:t>
      </w:r>
      <w:r>
        <w:rPr>
          <w:rFonts w:hint="eastAsia" w:ascii="仿宋_GB2312" w:hAnsi="仿宋_GB2312" w:cs="仿宋_GB2312"/>
          <w:color w:val="auto"/>
          <w:sz w:val="30"/>
          <w:szCs w:val="30"/>
          <w:lang w:eastAsia="zh-CN"/>
        </w:rPr>
        <w:t>》</w:t>
      </w:r>
      <w:r>
        <w:rPr>
          <w:rFonts w:hint="eastAsia" w:ascii="仿宋_GB2312" w:hAnsi="仿宋_GB2312" w:eastAsia="仿宋_GB2312" w:cs="仿宋_GB2312"/>
          <w:color w:val="auto"/>
          <w:sz w:val="30"/>
          <w:szCs w:val="30"/>
        </w:rPr>
        <w:t>规定；项目支出手续完备；项目</w:t>
      </w:r>
      <w:r>
        <w:rPr>
          <w:rFonts w:hint="eastAsia" w:ascii="仿宋_GB2312" w:hAnsi="仿宋_GB2312" w:eastAsia="仿宋_GB2312" w:cs="仿宋_GB2312"/>
          <w:color w:val="auto"/>
          <w:sz w:val="30"/>
          <w:szCs w:val="30"/>
          <w:lang w:eastAsia="zh-CN"/>
        </w:rPr>
        <w:t>采购程序、采购</w:t>
      </w:r>
      <w:r>
        <w:rPr>
          <w:rFonts w:hint="eastAsia" w:ascii="仿宋_GB2312" w:hAnsi="仿宋_GB2312" w:eastAsia="仿宋_GB2312" w:cs="仿宋_GB2312"/>
          <w:color w:val="auto"/>
          <w:sz w:val="30"/>
          <w:szCs w:val="30"/>
        </w:rPr>
        <w:t>合同、</w:t>
      </w:r>
      <w:r>
        <w:rPr>
          <w:rFonts w:hint="eastAsia" w:ascii="仿宋_GB2312" w:hAnsi="仿宋_GB2312" w:cs="仿宋_GB2312"/>
          <w:color w:val="auto"/>
          <w:sz w:val="30"/>
          <w:szCs w:val="30"/>
          <w:lang w:eastAsia="zh-CN"/>
        </w:rPr>
        <w:t>评估</w:t>
      </w:r>
      <w:r>
        <w:rPr>
          <w:rFonts w:hint="eastAsia" w:ascii="仿宋_GB2312" w:hAnsi="仿宋_GB2312" w:eastAsia="仿宋_GB2312" w:cs="仿宋_GB2312"/>
          <w:color w:val="auto"/>
          <w:sz w:val="30"/>
          <w:szCs w:val="30"/>
        </w:rPr>
        <w:t>报告齐全并及时归档；项目实际施的人员条件、场地设备、信息支撑落实到位。</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b w:val="0"/>
          <w:bCs w:val="0"/>
          <w:sz w:val="32"/>
          <w:szCs w:val="28"/>
          <w:highlight w:val="none"/>
        </w:rPr>
      </w:pPr>
      <w:bookmarkStart w:id="13" w:name="_Toc68703840"/>
      <w:r>
        <w:rPr>
          <w:rFonts w:hint="eastAsia"/>
          <w:color w:val="auto"/>
          <w:sz w:val="32"/>
          <w:szCs w:val="28"/>
          <w:highlight w:val="none"/>
          <w:lang w:val="en-US" w:eastAsia="zh-CN"/>
        </w:rPr>
        <w:t>（三）</w:t>
      </w:r>
      <w:r>
        <w:rPr>
          <w:rFonts w:hint="eastAsia" w:ascii="仿宋_GB2312" w:eastAsia="仿宋_GB2312"/>
          <w:b w:val="0"/>
          <w:bCs w:val="0"/>
          <w:color w:val="auto"/>
          <w:sz w:val="32"/>
          <w:szCs w:val="28"/>
          <w:highlight w:val="none"/>
        </w:rPr>
        <w:t>项</w:t>
      </w:r>
      <w:r>
        <w:rPr>
          <w:rFonts w:hint="eastAsia" w:ascii="仿宋_GB2312" w:eastAsia="仿宋_GB2312"/>
          <w:b w:val="0"/>
          <w:bCs w:val="0"/>
          <w:sz w:val="32"/>
          <w:szCs w:val="28"/>
          <w:highlight w:val="none"/>
        </w:rPr>
        <w:t>目产出情况。</w:t>
      </w:r>
      <w:bookmarkEnd w:id="13"/>
    </w:p>
    <w:p>
      <w:pPr>
        <w:pageBreakBefore w:val="0"/>
        <w:numPr>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1.</w:t>
      </w:r>
      <w:r>
        <w:rPr>
          <w:rFonts w:hint="eastAsia" w:ascii="仿宋_GB2312" w:hAnsi="仿宋_GB2312" w:eastAsia="仿宋_GB2312" w:cs="仿宋_GB2312"/>
          <w:color w:val="auto"/>
          <w:sz w:val="30"/>
          <w:szCs w:val="30"/>
        </w:rPr>
        <w:t>数量指标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：指标1：危险化学品企业安全风险评估数量，指标值：&gt;=40家，实际完成值40家，指标完成率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%；指标2：工贸企业开展安全风险评估数量，指标值：&gt;=1家，实际完成值1家，指标完成率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：非煤矿山企业开展安全风险评估数量，指标值：&gt;=1</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家，实际完成值1</w:t>
      </w: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rPr>
        <w:t>家，指标完成率</w:t>
      </w:r>
      <w:r>
        <w:rPr>
          <w:rFonts w:hint="eastAsia" w:ascii="仿宋_GB2312" w:hAnsi="仿宋_GB2312" w:eastAsia="仿宋_GB2312" w:cs="仿宋_GB2312"/>
          <w:color w:val="auto"/>
          <w:sz w:val="30"/>
          <w:szCs w:val="30"/>
          <w:lang w:val="en-US" w:eastAsia="zh-CN"/>
        </w:rPr>
        <w:t>145.45</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偏差原因：</w:t>
      </w:r>
      <w:r>
        <w:rPr>
          <w:rFonts w:hint="eastAsia" w:ascii="仿宋_GB2312" w:hAnsi="仿宋_GB2312" w:eastAsia="仿宋_GB2312" w:cs="仿宋_GB2312"/>
          <w:color w:val="auto"/>
          <w:sz w:val="30"/>
          <w:szCs w:val="30"/>
          <w:lang w:eastAsia="zh-CN"/>
        </w:rPr>
        <w:t>根据工作安排和单位实际，2023年对11家非煤矿山</w:t>
      </w:r>
      <w:r>
        <w:rPr>
          <w:rFonts w:hint="eastAsia" w:ascii="仿宋_GB2312" w:hAnsi="仿宋_GB2312" w:cs="仿宋_GB2312"/>
          <w:color w:val="auto"/>
          <w:sz w:val="30"/>
          <w:szCs w:val="30"/>
          <w:lang w:eastAsia="zh-CN"/>
        </w:rPr>
        <w:t>及</w:t>
      </w:r>
      <w:r>
        <w:rPr>
          <w:rFonts w:hint="eastAsia" w:ascii="仿宋_GB2312" w:hAnsi="仿宋_GB2312" w:eastAsia="仿宋_GB2312" w:cs="仿宋_GB2312"/>
          <w:color w:val="auto"/>
          <w:sz w:val="30"/>
          <w:szCs w:val="30"/>
          <w:lang w:eastAsia="zh-CN"/>
        </w:rPr>
        <w:t>5家尾矿库进行风险评估；</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：聘请安全风险评估服务单位，指标值：&gt;=</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家，实际完成值</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家，指标完成率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：煤矿企业安全风险评估数量，指标值：&gt;=</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家，实际完成值</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家，指标完成率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rPr>
        <w:t>：复工复产非煤矿山企业，指标值：&gt;=</w:t>
      </w:r>
      <w:r>
        <w:rPr>
          <w:rFonts w:hint="eastAsia" w:ascii="仿宋_GB2312" w:hAnsi="仿宋_GB2312" w:eastAsia="仿宋_GB2312" w:cs="仿宋_GB2312"/>
          <w:color w:val="auto"/>
          <w:sz w:val="30"/>
          <w:szCs w:val="30"/>
          <w:lang w:val="en-US" w:eastAsia="zh-CN"/>
        </w:rPr>
        <w:t>59</w:t>
      </w:r>
      <w:r>
        <w:rPr>
          <w:rFonts w:hint="eastAsia" w:ascii="仿宋_GB2312" w:hAnsi="仿宋_GB2312" w:eastAsia="仿宋_GB2312" w:cs="仿宋_GB2312"/>
          <w:color w:val="auto"/>
          <w:sz w:val="30"/>
          <w:szCs w:val="30"/>
        </w:rPr>
        <w:t>家，实际完成值</w:t>
      </w:r>
      <w:r>
        <w:rPr>
          <w:rFonts w:hint="eastAsia" w:ascii="仿宋_GB2312" w:hAnsi="仿宋_GB2312" w:eastAsia="仿宋_GB2312" w:cs="仿宋_GB2312"/>
          <w:color w:val="auto"/>
          <w:sz w:val="30"/>
          <w:szCs w:val="30"/>
          <w:lang w:val="en-US" w:eastAsia="zh-CN"/>
        </w:rPr>
        <w:t>0</w:t>
      </w:r>
      <w:r>
        <w:rPr>
          <w:rFonts w:hint="eastAsia" w:ascii="仿宋_GB2312" w:hAnsi="仿宋_GB2312" w:eastAsia="仿宋_GB2312" w:cs="仿宋_GB2312"/>
          <w:color w:val="auto"/>
          <w:sz w:val="30"/>
          <w:szCs w:val="30"/>
        </w:rPr>
        <w:t>家，指标完成率</w:t>
      </w:r>
      <w:r>
        <w:rPr>
          <w:rFonts w:hint="eastAsia" w:ascii="仿宋_GB2312" w:hAnsi="仿宋_GB2312" w:eastAsia="仿宋_GB2312" w:cs="仿宋_GB2312"/>
          <w:color w:val="auto"/>
          <w:sz w:val="30"/>
          <w:szCs w:val="30"/>
          <w:lang w:val="en-US" w:eastAsia="zh-CN"/>
        </w:rPr>
        <w:t>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偏差原因：因5-10月，自治区、国家矿山帮扶一致在巴州矿山进行帮扶检查，未避免重复检查，故2023年未开展复工复产非煤矿山复工复产风险评估，计划2024年完成这项工作。</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此项权重分10分，得分5.30分。</w:t>
      </w:r>
    </w:p>
    <w:p>
      <w:pPr>
        <w:pageBreakBefore w:val="0"/>
        <w:numPr>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2.</w:t>
      </w:r>
      <w:r>
        <w:rPr>
          <w:rFonts w:hint="eastAsia" w:ascii="仿宋_GB2312" w:hAnsi="仿宋_GB2312" w:eastAsia="仿宋_GB2312" w:cs="仿宋_GB2312"/>
          <w:color w:val="auto"/>
          <w:sz w:val="30"/>
          <w:szCs w:val="30"/>
        </w:rPr>
        <w:t>质量指标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：指标1：对全州重点监管的生产经营企业安全风险评估覆盖率，指标值：=100%，实际完成值100%，指标完成率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%；指标2：对每家安全风险辨识覆盖率，指标值：=100%，实际完成值100%，指标完成率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此项权重分10分，得分10分。</w:t>
      </w:r>
    </w:p>
    <w:p>
      <w:pPr>
        <w:pageBreakBefore w:val="0"/>
        <w:numPr>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3.</w:t>
      </w:r>
      <w:r>
        <w:rPr>
          <w:rFonts w:hint="eastAsia" w:ascii="仿宋_GB2312" w:hAnsi="仿宋_GB2312" w:eastAsia="仿宋_GB2312" w:cs="仿宋_GB2312"/>
          <w:color w:val="auto"/>
          <w:sz w:val="30"/>
          <w:szCs w:val="30"/>
        </w:rPr>
        <w:t>时效指标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：指标1：评估工作按时完成率，指标值：=100%，实际完成值100%，指标完成率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%；指标2：服务费支付及时率，指标值：=100%，实际完成值100%，指标完成率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此项权重分10分，得分10分。</w:t>
      </w:r>
    </w:p>
    <w:p>
      <w:pPr>
        <w:pageBreakBefore w:val="0"/>
        <w:numPr>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lang w:val="en-US" w:eastAsia="zh-CN"/>
        </w:rPr>
        <w:t>经济成本指标完成情况</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rPr>
        <w:t>指标1：危化品企业生产经营安全评估工作经费，指标值：&lt;=140.80万元，实际完成值</w:t>
      </w:r>
      <w:r>
        <w:rPr>
          <w:rFonts w:hint="eastAsia" w:ascii="仿宋_GB2312" w:hAnsi="仿宋_GB2312" w:eastAsia="仿宋_GB2312" w:cs="仿宋_GB2312"/>
          <w:color w:val="auto"/>
          <w:sz w:val="30"/>
          <w:szCs w:val="30"/>
          <w:lang w:val="en-US" w:eastAsia="zh-CN"/>
        </w:rPr>
        <w:t>140.80万元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%；指标2：矿山企业安全评估工作经费，指标值：&lt;=133.40万元，实际完成值133.40万元，指标完成率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4" w:name="_Toc68703841"/>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四</w:t>
      </w:r>
      <w:r>
        <w:rPr>
          <w:rFonts w:hint="eastAsia" w:ascii="仿宋_GB2312" w:hAnsi="仿宋_GB2312" w:eastAsia="仿宋_GB2312" w:cs="仿宋_GB2312"/>
          <w:b w:val="0"/>
          <w:bCs w:val="0"/>
          <w:color w:val="auto"/>
          <w:sz w:val="32"/>
          <w:szCs w:val="32"/>
          <w:highlight w:val="none"/>
        </w:rPr>
        <w:t>）项目效益情况。</w:t>
      </w:r>
      <w:bookmarkEnd w:id="14"/>
    </w:p>
    <w:p>
      <w:pPr>
        <w:pageBreakBefore w:val="0"/>
        <w:numPr>
          <w:ilvl w:val="0"/>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社会效益指标</w:t>
      </w:r>
      <w:r>
        <w:rPr>
          <w:rFonts w:hint="eastAsia" w:ascii="仿宋_GB2312" w:hAnsi="仿宋_GB2312" w:eastAsia="仿宋_GB2312" w:cs="仿宋_GB2312"/>
          <w:color w:val="auto"/>
          <w:sz w:val="30"/>
          <w:szCs w:val="30"/>
          <w:highlight w:val="none"/>
          <w:lang w:eastAsia="zh-CN"/>
        </w:rPr>
        <w:t>完成情况</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指标1：安全隐患问题整改落实率，指标值：=100%，实际完成值</w:t>
      </w:r>
      <w:r>
        <w:rPr>
          <w:rFonts w:hint="eastAsia" w:ascii="仿宋_GB2312" w:hAnsi="仿宋_GB2312" w:eastAsia="仿宋_GB2312" w:cs="仿宋_GB2312"/>
          <w:color w:val="auto"/>
          <w:sz w:val="30"/>
          <w:szCs w:val="30"/>
          <w:lang w:val="en-US" w:eastAsia="zh-CN"/>
        </w:rPr>
        <w:t>98.64</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98.64</w:t>
      </w:r>
      <w:r>
        <w:rPr>
          <w:rFonts w:hint="eastAsia" w:ascii="仿宋_GB2312" w:hAnsi="仿宋_GB2312" w:eastAsia="仿宋_GB2312" w:cs="仿宋_GB2312"/>
          <w:color w:val="auto"/>
          <w:sz w:val="30"/>
          <w:szCs w:val="30"/>
        </w:rPr>
        <w:t>%；指标2：提升企业安全生产管理能力和水平，指标值：不断提高，实际完成值</w:t>
      </w:r>
      <w:r>
        <w:rPr>
          <w:rFonts w:hint="eastAsia" w:ascii="仿宋_GB2312" w:hAnsi="仿宋_GB2312" w:eastAsia="仿宋_GB2312" w:cs="仿宋_GB2312"/>
          <w:color w:val="auto"/>
          <w:sz w:val="30"/>
          <w:szCs w:val="30"/>
          <w:lang w:eastAsia="zh-CN"/>
        </w:rPr>
        <w:t>达成目标</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此项权重分10分，得分10分。</w:t>
      </w:r>
    </w:p>
    <w:p>
      <w:pPr>
        <w:pageBreakBefore w:val="0"/>
        <w:numPr>
          <w:numId w:val="0"/>
        </w:numPr>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满意度指标</w:t>
      </w:r>
      <w:r>
        <w:rPr>
          <w:rFonts w:hint="eastAsia" w:ascii="仿宋_GB2312" w:hAnsi="仿宋_GB2312" w:eastAsia="仿宋_GB2312" w:cs="仿宋_GB2312"/>
          <w:color w:val="auto"/>
          <w:sz w:val="30"/>
          <w:szCs w:val="30"/>
          <w:highlight w:val="none"/>
          <w:lang w:eastAsia="zh-CN"/>
        </w:rPr>
        <w:t>完成情况分析</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指标1：企业满意度，指标值：&gt;=90%，实际完成值</w:t>
      </w:r>
      <w:r>
        <w:rPr>
          <w:rFonts w:hint="eastAsia" w:ascii="仿宋_GB2312" w:hAnsi="仿宋_GB2312" w:eastAsia="仿宋_GB2312" w:cs="仿宋_GB2312"/>
          <w:color w:val="auto"/>
          <w:sz w:val="30"/>
          <w:szCs w:val="30"/>
          <w:lang w:val="en-US" w:eastAsia="zh-CN"/>
        </w:rPr>
        <w:t>98</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108.89</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pStyle w:val="2"/>
        <w:pageBreakBefore w:val="0"/>
        <w:kinsoku/>
        <w:wordWrap/>
        <w:overflowPunct/>
        <w:topLinePunct w:val="0"/>
        <w:autoSpaceDE/>
        <w:autoSpaceDN/>
        <w:bidi w:val="0"/>
        <w:adjustRightInd/>
        <w:spacing w:before="0" w:after="0" w:line="54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 w:val="0"/>
          <w:bCs w:val="0"/>
          <w:color w:val="auto"/>
          <w:kern w:val="2"/>
          <w:sz w:val="30"/>
          <w:szCs w:val="30"/>
          <w:lang w:val="en-US" w:eastAsia="zh-CN" w:bidi="ar-SA"/>
        </w:rPr>
        <w:t>此项权重分10分，得分10分。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cs="Times New Roman"/>
          <w:sz w:val="32"/>
          <w:szCs w:val="32"/>
          <w:lang w:eastAsia="zh-Hans"/>
        </w:rPr>
      </w:pPr>
      <w:bookmarkStart w:id="15" w:name="_Toc68703842"/>
      <w:r>
        <w:rPr>
          <w:rFonts w:hint="eastAsia" w:ascii="Times New Roman" w:hAnsi="Times New Roman" w:eastAsia="黑体" w:cs="Times New Roman"/>
          <w:sz w:val="32"/>
          <w:szCs w:val="32"/>
          <w:lang w:eastAsia="zh-Hans"/>
        </w:rPr>
        <w:t>五、预算执行进度与绩效指标总体完成率偏差</w:t>
      </w:r>
    </w:p>
    <w:p>
      <w:pPr>
        <w:keepNext w:val="0"/>
        <w:keepLines w:val="0"/>
        <w:pageBreakBefore w:val="0"/>
        <w:widowControl w:val="0"/>
        <w:kinsoku/>
        <w:wordWrap/>
        <w:overflowPunct/>
        <w:topLinePunct w:val="0"/>
        <w:autoSpaceDE/>
        <w:autoSpaceDN/>
        <w:bidi w:val="0"/>
        <w:adjustRightInd/>
        <w:spacing w:line="540" w:lineRule="exact"/>
        <w:ind w:firstLine="543" w:firstLineChars="181"/>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val="en-US" w:eastAsia="zh-CN"/>
        </w:rPr>
        <w:t>重点行业领域企业生产经营安全评估</w:t>
      </w:r>
      <w:r>
        <w:rPr>
          <w:rFonts w:hint="eastAsia" w:ascii="仿宋_GB2312" w:hAnsi="仿宋_GB2312" w:eastAsia="仿宋_GB2312" w:cs="仿宋_GB2312"/>
          <w:color w:val="auto"/>
          <w:sz w:val="30"/>
          <w:szCs w:val="30"/>
          <w:highlight w:val="none"/>
        </w:rPr>
        <w:t>项目年初预算</w:t>
      </w:r>
      <w:r>
        <w:rPr>
          <w:rFonts w:hint="eastAsia" w:ascii="仿宋_GB2312" w:hAnsi="仿宋_GB2312" w:eastAsia="仿宋_GB2312" w:cs="仿宋_GB2312"/>
          <w:color w:val="auto"/>
          <w:sz w:val="30"/>
          <w:szCs w:val="30"/>
          <w:highlight w:val="none"/>
          <w:lang w:val="en-US" w:eastAsia="zh-CN"/>
        </w:rPr>
        <w:t>0</w:t>
      </w:r>
      <w:r>
        <w:rPr>
          <w:rFonts w:hint="eastAsia" w:ascii="仿宋_GB2312" w:hAnsi="仿宋_GB2312" w:eastAsia="仿宋_GB2312" w:cs="仿宋_GB2312"/>
          <w:color w:val="auto"/>
          <w:sz w:val="30"/>
          <w:szCs w:val="30"/>
          <w:highlight w:val="none"/>
        </w:rPr>
        <w:t>万元，全年预算</w:t>
      </w:r>
      <w:r>
        <w:rPr>
          <w:rFonts w:hint="eastAsia" w:ascii="仿宋_GB2312" w:hAnsi="仿宋_GB2312" w:eastAsia="仿宋_GB2312" w:cs="仿宋_GB2312"/>
          <w:color w:val="auto"/>
          <w:sz w:val="30"/>
          <w:szCs w:val="30"/>
          <w:highlight w:val="none"/>
          <w:lang w:val="en-US" w:eastAsia="zh-CN"/>
        </w:rPr>
        <w:t>274.2</w:t>
      </w:r>
      <w:r>
        <w:rPr>
          <w:rFonts w:hint="eastAsia" w:ascii="仿宋_GB2312" w:hAnsi="仿宋_GB2312" w:eastAsia="仿宋_GB2312" w:cs="仿宋_GB2312"/>
          <w:color w:val="auto"/>
          <w:sz w:val="30"/>
          <w:szCs w:val="30"/>
          <w:highlight w:val="none"/>
        </w:rPr>
        <w:t>万元，实际支出</w:t>
      </w:r>
      <w:r>
        <w:rPr>
          <w:rFonts w:hint="eastAsia" w:ascii="仿宋_GB2312" w:hAnsi="仿宋_GB2312" w:eastAsia="仿宋_GB2312" w:cs="仿宋_GB2312"/>
          <w:color w:val="auto"/>
          <w:sz w:val="30"/>
          <w:szCs w:val="30"/>
          <w:highlight w:val="none"/>
          <w:lang w:val="en-US" w:eastAsia="zh-CN"/>
        </w:rPr>
        <w:t>274.2</w:t>
      </w:r>
      <w:r>
        <w:rPr>
          <w:rFonts w:hint="eastAsia" w:ascii="仿宋_GB2312" w:hAnsi="仿宋_GB2312" w:eastAsia="仿宋_GB2312" w:cs="仿宋_GB2312"/>
          <w:color w:val="auto"/>
          <w:sz w:val="30"/>
          <w:szCs w:val="30"/>
          <w:highlight w:val="none"/>
        </w:rPr>
        <w:t>万元，</w:t>
      </w:r>
      <w:r>
        <w:rPr>
          <w:rFonts w:hint="eastAsia" w:ascii="仿宋_GB2312" w:hAnsi="仿宋_GB2312" w:eastAsia="仿宋_GB2312" w:cs="仿宋_GB2312"/>
          <w:color w:val="auto"/>
          <w:sz w:val="30"/>
          <w:szCs w:val="30"/>
          <w:highlight w:val="none"/>
          <w:shd w:val="clear" w:color="auto" w:fill="auto"/>
        </w:rPr>
        <w:t>预算执行率为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%，项目绩效指标总体完成率为</w:t>
      </w:r>
      <w:bookmarkStart w:id="20" w:name="_GoBack"/>
      <w:r>
        <w:rPr>
          <w:rFonts w:hint="eastAsia" w:ascii="仿宋_GB2312" w:hAnsi="仿宋_GB2312" w:eastAsia="仿宋_GB2312" w:cs="仿宋_GB2312"/>
          <w:color w:val="auto"/>
          <w:sz w:val="30"/>
          <w:szCs w:val="30"/>
          <w:highlight w:val="none"/>
          <w:shd w:val="clear" w:color="auto" w:fill="auto"/>
          <w:lang w:val="en-US" w:eastAsia="zh-CN"/>
        </w:rPr>
        <w:t>96.87</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eastAsia="zh-Hans"/>
        </w:rPr>
        <w:t>总</w:t>
      </w:r>
      <w:bookmarkEnd w:id="20"/>
      <w:r>
        <w:rPr>
          <w:rFonts w:hint="eastAsia" w:ascii="仿宋_GB2312" w:hAnsi="仿宋_GB2312" w:eastAsia="仿宋_GB2312" w:cs="仿宋_GB2312"/>
          <w:color w:val="auto"/>
          <w:sz w:val="30"/>
          <w:szCs w:val="30"/>
          <w:highlight w:val="none"/>
          <w:lang w:eastAsia="zh-Hans"/>
        </w:rPr>
        <w:t>体</w:t>
      </w:r>
      <w:r>
        <w:rPr>
          <w:rFonts w:hint="eastAsia" w:ascii="仿宋_GB2312" w:hAnsi="仿宋_GB2312" w:eastAsia="仿宋_GB2312" w:cs="仿宋_GB2312"/>
          <w:color w:val="auto"/>
          <w:sz w:val="30"/>
          <w:szCs w:val="30"/>
          <w:highlight w:val="none"/>
        </w:rPr>
        <w:t>偏差率为</w:t>
      </w:r>
      <w:r>
        <w:rPr>
          <w:rFonts w:hint="eastAsia" w:ascii="仿宋_GB2312" w:hAnsi="仿宋_GB2312" w:eastAsia="仿宋_GB2312" w:cs="仿宋_GB2312"/>
          <w:color w:val="auto"/>
          <w:sz w:val="30"/>
          <w:szCs w:val="30"/>
          <w:highlight w:val="none"/>
          <w:lang w:val="en-US" w:eastAsia="zh-CN"/>
        </w:rPr>
        <w:t>3.13</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eastAsia="zh-Hans"/>
        </w:rPr>
        <w:t>偏差</w:t>
      </w:r>
      <w:r>
        <w:rPr>
          <w:rFonts w:hint="eastAsia" w:ascii="仿宋_GB2312" w:hAnsi="仿宋_GB2312" w:eastAsia="仿宋_GB2312" w:cs="仿宋_GB2312"/>
          <w:color w:val="auto"/>
          <w:sz w:val="30"/>
          <w:szCs w:val="30"/>
          <w:highlight w:val="none"/>
        </w:rPr>
        <w:t>原因</w:t>
      </w:r>
      <w:r>
        <w:rPr>
          <w:rStyle w:val="16"/>
          <w:rFonts w:hint="eastAsia" w:ascii="仿宋_GB2312" w:hAnsi="仿宋_GB2312" w:eastAsia="仿宋_GB2312" w:cs="仿宋_GB2312"/>
          <w:b w:val="0"/>
          <w:color w:val="auto"/>
          <w:spacing w:val="-4"/>
          <w:sz w:val="30"/>
          <w:szCs w:val="30"/>
          <w:highlight w:val="none"/>
          <w:lang w:eastAsia="zh-CN"/>
        </w:rPr>
        <w:t>安全生产事故发生无法预估，全国各地一旦发生重大安全生产事故，各地立即要组织开展相关领域的安全生产检查督查，因此预算时检查企业数量、成本等绩效指标设置常常与实际值有偏差，绩效目标设置的</w:t>
      </w:r>
      <w:r>
        <w:rPr>
          <w:rStyle w:val="16"/>
          <w:rFonts w:hint="eastAsia" w:ascii="仿宋_GB2312" w:hAnsi="仿宋_GB2312" w:eastAsia="仿宋_GB2312" w:cs="仿宋_GB2312"/>
          <w:b w:val="0"/>
          <w:color w:val="auto"/>
          <w:spacing w:val="-4"/>
          <w:sz w:val="30"/>
          <w:szCs w:val="30"/>
          <w:highlight w:val="none"/>
        </w:rPr>
        <w:t>严谨性</w:t>
      </w:r>
      <w:r>
        <w:rPr>
          <w:rStyle w:val="16"/>
          <w:rFonts w:hint="eastAsia" w:ascii="仿宋_GB2312" w:hAnsi="仿宋_GB2312" w:eastAsia="仿宋_GB2312" w:cs="仿宋_GB2312"/>
          <w:b w:val="0"/>
          <w:color w:val="auto"/>
          <w:spacing w:val="-4"/>
          <w:sz w:val="30"/>
          <w:szCs w:val="30"/>
          <w:highlight w:val="none"/>
          <w:lang w:eastAsia="zh-CN"/>
        </w:rPr>
        <w:t>和精准性</w:t>
      </w:r>
      <w:r>
        <w:rPr>
          <w:rStyle w:val="16"/>
          <w:rFonts w:hint="eastAsia" w:ascii="仿宋_GB2312" w:hAnsi="仿宋_GB2312" w:eastAsia="仿宋_GB2312" w:cs="仿宋_GB2312"/>
          <w:b w:val="0"/>
          <w:color w:val="auto"/>
          <w:spacing w:val="-4"/>
          <w:sz w:val="30"/>
          <w:szCs w:val="30"/>
          <w:highlight w:val="none"/>
        </w:rPr>
        <w:t>不足</w:t>
      </w:r>
      <w:r>
        <w:rPr>
          <w:rStyle w:val="16"/>
          <w:rFonts w:hint="eastAsia" w:ascii="仿宋_GB2312" w:hAnsi="仿宋_GB2312" w:eastAsia="仿宋_GB2312" w:cs="仿宋_GB2312"/>
          <w:b w:val="0"/>
          <w:color w:val="auto"/>
          <w:spacing w:val="-4"/>
          <w:sz w:val="30"/>
          <w:szCs w:val="30"/>
          <w:highlight w:val="none"/>
          <w:lang w:eastAsia="zh-CN"/>
        </w:rPr>
        <w:t>。例如：</w:t>
      </w:r>
      <w:r>
        <w:rPr>
          <w:rFonts w:hint="eastAsia" w:ascii="仿宋_GB2312" w:hAnsi="仿宋_GB2312" w:eastAsia="仿宋_GB2312" w:cs="仿宋_GB2312"/>
          <w:color w:val="auto"/>
          <w:sz w:val="30"/>
          <w:szCs w:val="30"/>
          <w:highlight w:val="none"/>
        </w:rPr>
        <w:t>复工复产非煤矿山企业</w:t>
      </w:r>
      <w:r>
        <w:rPr>
          <w:rFonts w:hint="eastAsia" w:ascii="仿宋_GB2312" w:hAnsi="仿宋_GB2312" w:eastAsia="仿宋_GB2312" w:cs="仿宋_GB2312"/>
          <w:color w:val="auto"/>
          <w:sz w:val="30"/>
          <w:szCs w:val="30"/>
          <w:highlight w:val="none"/>
          <w:lang w:eastAsia="zh-CN"/>
        </w:rPr>
        <w:t>检查工作未开展</w:t>
      </w:r>
      <w:r>
        <w:rPr>
          <w:rStyle w:val="16"/>
          <w:rFonts w:hint="eastAsia" w:ascii="仿宋_GB2312" w:hAnsi="仿宋_GB2312" w:eastAsia="仿宋_GB2312" w:cs="仿宋_GB2312"/>
          <w:b w:val="0"/>
          <w:color w:val="auto"/>
          <w:spacing w:val="-4"/>
          <w:sz w:val="30"/>
          <w:szCs w:val="30"/>
          <w:highlight w:val="none"/>
          <w:lang w:eastAsia="zh-CN"/>
        </w:rPr>
        <w:t>，</w:t>
      </w:r>
      <w:r>
        <w:rPr>
          <w:rStyle w:val="16"/>
          <w:rFonts w:hint="eastAsia" w:ascii="仿宋_GB2312" w:hAnsi="仿宋_GB2312" w:eastAsia="仿宋_GB2312" w:cs="仿宋_GB2312"/>
          <w:b w:val="0"/>
          <w:color w:val="auto"/>
          <w:spacing w:val="-4"/>
          <w:sz w:val="30"/>
          <w:szCs w:val="30"/>
          <w:highlight w:val="none"/>
        </w:rPr>
        <w:t>偏差率</w:t>
      </w:r>
      <w:r>
        <w:rPr>
          <w:rStyle w:val="16"/>
          <w:rFonts w:hint="eastAsia" w:ascii="仿宋_GB2312" w:hAnsi="仿宋_GB2312" w:eastAsia="仿宋_GB2312" w:cs="仿宋_GB2312"/>
          <w:b w:val="0"/>
          <w:color w:val="auto"/>
          <w:spacing w:val="-4"/>
          <w:sz w:val="30"/>
          <w:szCs w:val="30"/>
          <w:highlight w:val="none"/>
          <w:lang w:eastAsia="zh-CN"/>
        </w:rPr>
        <w:t>为</w:t>
      </w:r>
      <w:r>
        <w:rPr>
          <w:rStyle w:val="16"/>
          <w:rFonts w:hint="eastAsia" w:ascii="仿宋_GB2312" w:hAnsi="仿宋_GB2312" w:eastAsia="仿宋_GB2312" w:cs="仿宋_GB2312"/>
          <w:b w:val="0"/>
          <w:color w:val="auto"/>
          <w:spacing w:val="-4"/>
          <w:sz w:val="30"/>
          <w:szCs w:val="30"/>
          <w:highlight w:val="none"/>
          <w:lang w:val="en-US" w:eastAsia="zh-CN"/>
        </w:rPr>
        <w:t>100</w:t>
      </w:r>
      <w:r>
        <w:rPr>
          <w:rStyle w:val="16"/>
          <w:rFonts w:hint="eastAsia" w:ascii="仿宋_GB2312" w:hAnsi="仿宋_GB2312" w:eastAsia="仿宋_GB2312" w:cs="仿宋_GB2312"/>
          <w:b w:val="0"/>
          <w:color w:val="auto"/>
          <w:spacing w:val="-4"/>
          <w:sz w:val="30"/>
          <w:szCs w:val="30"/>
          <w:highlight w:val="none"/>
        </w:rPr>
        <w:t>%</w:t>
      </w:r>
      <w:r>
        <w:rPr>
          <w:rStyle w:val="16"/>
          <w:rFonts w:hint="eastAsia" w:ascii="仿宋_GB2312" w:hAnsi="仿宋_GB2312" w:eastAsia="仿宋_GB2312" w:cs="仿宋_GB2312"/>
          <w:b w:val="0"/>
          <w:color w:val="auto"/>
          <w:spacing w:val="-4"/>
          <w:sz w:val="30"/>
          <w:szCs w:val="30"/>
          <w:highlight w:val="none"/>
          <w:lang w:eastAsia="zh-CN"/>
        </w:rPr>
        <w:t>。</w:t>
      </w:r>
      <w:r>
        <w:rPr>
          <w:rFonts w:hint="eastAsia" w:ascii="仿宋_GB2312" w:hAnsi="仿宋_GB2312" w:eastAsia="仿宋_GB2312" w:cs="仿宋_GB2312"/>
          <w:color w:val="auto"/>
          <w:sz w:val="30"/>
          <w:szCs w:val="30"/>
          <w:highlight w:val="none"/>
          <w:lang w:eastAsia="zh-Hans"/>
        </w:rPr>
        <w:t>改进</w:t>
      </w:r>
      <w:r>
        <w:rPr>
          <w:rFonts w:hint="eastAsia" w:ascii="仿宋_GB2312" w:hAnsi="仿宋_GB2312" w:eastAsia="仿宋_GB2312" w:cs="仿宋_GB2312"/>
          <w:color w:val="auto"/>
          <w:sz w:val="30"/>
          <w:szCs w:val="30"/>
          <w:highlight w:val="none"/>
        </w:rPr>
        <w:t>措施</w:t>
      </w:r>
      <w:r>
        <w:rPr>
          <w:rStyle w:val="16"/>
          <w:rFonts w:hint="eastAsia" w:ascii="仿宋_GB2312" w:hAnsi="仿宋_GB2312" w:eastAsia="仿宋_GB2312" w:cs="仿宋_GB2312"/>
          <w:b w:val="0"/>
          <w:color w:val="auto"/>
          <w:spacing w:val="-4"/>
          <w:kern w:val="2"/>
          <w:sz w:val="30"/>
          <w:szCs w:val="30"/>
          <w:highlight w:val="none"/>
          <w:lang w:val="en-US" w:eastAsia="zh-CN" w:bidi="ar-SA"/>
        </w:rPr>
        <w:t>业务科室与财务人员至少每月一次针对项目进展情况进行对接，及时掌握进度，出现偏差适时调整</w:t>
      </w:r>
      <w:r>
        <w:rPr>
          <w:rFonts w:hint="eastAsia" w:ascii="仿宋_GB2312" w:hAnsi="仿宋_GB2312" w:eastAsia="仿宋_GB2312" w:cs="仿宋_GB2312"/>
          <w:color w:val="auto"/>
          <w:sz w:val="30"/>
          <w:szCs w:val="30"/>
          <w:highlight w:val="none"/>
        </w:rPr>
        <w:t>。</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5"/>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16" w:name="_Toc68703843"/>
      <w:r>
        <w:rPr>
          <w:rFonts w:hint="eastAsia" w:ascii="仿宋_GB2312" w:eastAsia="仿宋_GB2312"/>
          <w:b w:val="0"/>
          <w:bCs w:val="0"/>
        </w:rPr>
        <w:t>（一）主要经验及做法</w:t>
      </w:r>
      <w:bookmarkEnd w:id="16"/>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①</w:t>
      </w:r>
      <w:r>
        <w:rPr>
          <w:rFonts w:hint="eastAsia" w:ascii="仿宋_GB2312" w:hAnsi="仿宋_GB2312" w:eastAsia="仿宋_GB2312" w:cs="仿宋_GB2312"/>
          <w:color w:val="auto"/>
          <w:sz w:val="30"/>
          <w:szCs w:val="30"/>
          <w:lang w:eastAsia="zh-CN"/>
        </w:rPr>
        <w:t>由分管领导亲自安排，财务室牵头，相关业务科室配合，认真分析项目实施过程中遇到的情况和问题，有计划、有步骤地推动此项工作的开展。②对项目支出的立项依据是否充分、绩效目标设置是否细化量化、计划执行是否到位等情况进行逐一评价，以专业化的视角认真撰写自评报告。③各业务科室和财务室积极沟通，对照项目绩效目标，从绩效自评报告的合理性、真实性、完整性进行了严格审核，不仅提升了单位绩效自评工作的质量，而且为绩效管理工作积累了经验。</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bookmarkStart w:id="17" w:name="_Toc68703844"/>
      <w:r>
        <w:rPr>
          <w:rFonts w:hint="eastAsia" w:ascii="仿宋_GB2312" w:eastAsia="仿宋_GB2312"/>
          <w:b w:val="0"/>
          <w:bCs w:val="0"/>
        </w:rPr>
        <w:t>（二）存在的问题及原因分析</w:t>
      </w:r>
      <w:bookmarkEnd w:id="17"/>
    </w:p>
    <w:p>
      <w:pPr>
        <w:keepNext w:val="0"/>
        <w:keepLines w:val="0"/>
        <w:pageBreakBefore w:val="0"/>
        <w:widowControl w:val="0"/>
        <w:kinsoku/>
        <w:wordWrap/>
        <w:overflowPunct/>
        <w:topLinePunct w:val="0"/>
        <w:autoSpaceDE/>
        <w:autoSpaceDN/>
        <w:bidi w:val="0"/>
        <w:adjustRightInd/>
        <w:spacing w:line="540" w:lineRule="exact"/>
        <w:ind w:firstLine="528" w:firstLineChars="181"/>
        <w:textAlignment w:val="auto"/>
        <w:rPr>
          <w:rFonts w:hint="eastAsia"/>
          <w:highlight w:val="none"/>
          <w:lang w:val="en-US" w:eastAsia="zh-CN"/>
        </w:rPr>
      </w:pPr>
      <w:r>
        <w:rPr>
          <w:rStyle w:val="16"/>
          <w:rFonts w:hint="eastAsia" w:ascii="仿宋_GB2312" w:hAnsi="楷体" w:eastAsia="仿宋_GB2312" w:cs="Times New Roman"/>
          <w:b w:val="0"/>
          <w:spacing w:val="-4"/>
          <w:sz w:val="30"/>
          <w:szCs w:val="30"/>
          <w:highlight w:val="none"/>
          <w:lang w:eastAsia="zh-CN"/>
        </w:rPr>
        <w:t>安全生产事故发生无法预估，全国各地一旦发生重大安全生产事故，各地立即要组织开展相关领域的安全生产检查督查，因此预算时检查企业数量、成本等绩效指标设置常常与实际值有偏差，</w:t>
      </w:r>
      <w:r>
        <w:rPr>
          <w:rStyle w:val="16"/>
          <w:rFonts w:hint="eastAsia" w:ascii="仿宋_GB2312" w:hAnsi="楷体" w:eastAsia="仿宋_GB2312" w:cs="Times New Roman"/>
          <w:b w:val="0"/>
          <w:color w:val="auto"/>
          <w:spacing w:val="-4"/>
          <w:sz w:val="30"/>
          <w:szCs w:val="30"/>
          <w:highlight w:val="none"/>
          <w:lang w:eastAsia="zh-CN"/>
        </w:rPr>
        <w:t>绩效目标设置的</w:t>
      </w:r>
      <w:r>
        <w:rPr>
          <w:rStyle w:val="16"/>
          <w:rFonts w:hint="eastAsia" w:ascii="仿宋_GB2312" w:hAnsi="楷体" w:eastAsia="仿宋_GB2312" w:cs="Times New Roman"/>
          <w:b w:val="0"/>
          <w:spacing w:val="-4"/>
          <w:sz w:val="30"/>
          <w:szCs w:val="30"/>
          <w:highlight w:val="none"/>
        </w:rPr>
        <w:t>严谨性</w:t>
      </w:r>
      <w:r>
        <w:rPr>
          <w:rStyle w:val="16"/>
          <w:rFonts w:hint="eastAsia" w:ascii="仿宋_GB2312" w:hAnsi="楷体" w:eastAsia="仿宋_GB2312" w:cs="Times New Roman"/>
          <w:b w:val="0"/>
          <w:spacing w:val="-4"/>
          <w:sz w:val="30"/>
          <w:szCs w:val="30"/>
          <w:highlight w:val="none"/>
          <w:lang w:eastAsia="zh-CN"/>
        </w:rPr>
        <w:t>和精准性</w:t>
      </w:r>
      <w:r>
        <w:rPr>
          <w:rStyle w:val="16"/>
          <w:rFonts w:hint="eastAsia" w:ascii="仿宋_GB2312" w:hAnsi="楷体" w:eastAsia="仿宋_GB2312" w:cs="Times New Roman"/>
          <w:b w:val="0"/>
          <w:spacing w:val="-4"/>
          <w:sz w:val="30"/>
          <w:szCs w:val="30"/>
          <w:highlight w:val="none"/>
        </w:rPr>
        <w:t>不足</w:t>
      </w:r>
      <w:r>
        <w:rPr>
          <w:rStyle w:val="16"/>
          <w:rFonts w:hint="eastAsia" w:ascii="仿宋_GB2312" w:hAnsi="楷体" w:eastAsia="仿宋_GB2312" w:cs="Times New Roman"/>
          <w:b w:val="0"/>
          <w:spacing w:val="-4"/>
          <w:sz w:val="30"/>
          <w:szCs w:val="30"/>
          <w:highlight w:val="none"/>
          <w:lang w:eastAsia="zh-CN"/>
        </w:rPr>
        <w:t>。例如：</w:t>
      </w:r>
      <w:r>
        <w:rPr>
          <w:rFonts w:hint="eastAsia"/>
          <w:color w:val="auto"/>
          <w:sz w:val="30"/>
          <w:szCs w:val="30"/>
        </w:rPr>
        <w:t>复工复产非煤矿山企业</w:t>
      </w:r>
      <w:r>
        <w:rPr>
          <w:rFonts w:hint="eastAsia"/>
          <w:color w:val="auto"/>
          <w:sz w:val="30"/>
          <w:szCs w:val="30"/>
          <w:lang w:eastAsia="zh-CN"/>
        </w:rPr>
        <w:t>检查工作未开展</w:t>
      </w:r>
      <w:r>
        <w:rPr>
          <w:rStyle w:val="16"/>
          <w:rFonts w:hint="eastAsia" w:ascii="仿宋_GB2312" w:hAnsi="楷体" w:eastAsia="仿宋_GB2312" w:cs="Times New Roman"/>
          <w:b w:val="0"/>
          <w:spacing w:val="-4"/>
          <w:sz w:val="30"/>
          <w:szCs w:val="30"/>
          <w:highlight w:val="none"/>
          <w:lang w:eastAsia="zh-CN"/>
        </w:rPr>
        <w:t>，</w:t>
      </w:r>
      <w:r>
        <w:rPr>
          <w:rStyle w:val="16"/>
          <w:rFonts w:hint="eastAsia" w:ascii="仿宋_GB2312" w:hAnsi="楷体" w:eastAsia="仿宋_GB2312" w:cs="Times New Roman"/>
          <w:b w:val="0"/>
          <w:color w:val="auto"/>
          <w:spacing w:val="-4"/>
          <w:sz w:val="30"/>
          <w:szCs w:val="30"/>
          <w:highlight w:val="none"/>
        </w:rPr>
        <w:t>偏差率</w:t>
      </w:r>
      <w:r>
        <w:rPr>
          <w:rStyle w:val="16"/>
          <w:rFonts w:hint="eastAsia" w:ascii="仿宋_GB2312" w:hAnsi="楷体" w:eastAsia="仿宋_GB2312" w:cs="Times New Roman"/>
          <w:b w:val="0"/>
          <w:color w:val="auto"/>
          <w:spacing w:val="-4"/>
          <w:sz w:val="30"/>
          <w:szCs w:val="30"/>
          <w:highlight w:val="none"/>
          <w:lang w:eastAsia="zh-CN"/>
        </w:rPr>
        <w:t>为</w:t>
      </w:r>
      <w:r>
        <w:rPr>
          <w:rStyle w:val="16"/>
          <w:rFonts w:hint="eastAsia" w:ascii="仿宋_GB2312" w:hAnsi="楷体" w:cs="Times New Roman"/>
          <w:b w:val="0"/>
          <w:color w:val="auto"/>
          <w:spacing w:val="-4"/>
          <w:sz w:val="30"/>
          <w:szCs w:val="30"/>
          <w:highlight w:val="none"/>
          <w:lang w:val="en-US" w:eastAsia="zh-CN"/>
        </w:rPr>
        <w:t>100</w:t>
      </w:r>
      <w:r>
        <w:rPr>
          <w:rStyle w:val="16"/>
          <w:rFonts w:hint="eastAsia" w:ascii="仿宋_GB2312" w:hAnsi="楷体" w:eastAsia="仿宋_GB2312" w:cs="Times New Roman"/>
          <w:b w:val="0"/>
          <w:color w:val="auto"/>
          <w:spacing w:val="-4"/>
          <w:sz w:val="30"/>
          <w:szCs w:val="30"/>
          <w:highlight w:val="none"/>
        </w:rPr>
        <w:t>%，</w:t>
      </w:r>
      <w:r>
        <w:rPr>
          <w:rStyle w:val="16"/>
          <w:rFonts w:hint="eastAsia" w:ascii="仿宋_GB2312" w:hAnsi="楷体" w:eastAsia="仿宋_GB2312" w:cs="Times New Roman"/>
          <w:b w:val="0"/>
          <w:color w:val="auto"/>
          <w:spacing w:val="-4"/>
          <w:sz w:val="30"/>
          <w:szCs w:val="30"/>
          <w:highlight w:val="none"/>
          <w:lang w:eastAsia="zh-CN"/>
        </w:rPr>
        <w:t>安全生产存在“头痛医头脚痛医脚”现象，被重特大生产安全事故牵着鼻子走，</w:t>
      </w:r>
      <w:r>
        <w:rPr>
          <w:rStyle w:val="16"/>
          <w:rFonts w:hint="eastAsia" w:ascii="仿宋_GB2312" w:hAnsi="楷体" w:cs="Times New Roman"/>
          <w:b w:val="0"/>
          <w:color w:val="auto"/>
          <w:spacing w:val="-4"/>
          <w:sz w:val="30"/>
          <w:szCs w:val="30"/>
          <w:highlight w:val="none"/>
          <w:lang w:eastAsia="zh-CN"/>
        </w:rPr>
        <w:t>为避免重复检查，</w:t>
      </w:r>
      <w:r>
        <w:rPr>
          <w:rStyle w:val="16"/>
          <w:rFonts w:hint="eastAsia" w:ascii="仿宋_GB2312" w:hAnsi="楷体" w:eastAsia="仿宋_GB2312" w:cs="Times New Roman"/>
          <w:b w:val="0"/>
          <w:color w:val="auto"/>
          <w:spacing w:val="-4"/>
          <w:sz w:val="30"/>
          <w:szCs w:val="30"/>
          <w:highlight w:val="none"/>
          <w:lang w:eastAsia="zh-CN"/>
        </w:rPr>
        <w:t>导致</w:t>
      </w:r>
      <w:r>
        <w:rPr>
          <w:rFonts w:hint="eastAsia"/>
          <w:color w:val="auto"/>
          <w:sz w:val="30"/>
          <w:szCs w:val="30"/>
        </w:rPr>
        <w:t>复工复产非煤矿山企业</w:t>
      </w:r>
      <w:r>
        <w:rPr>
          <w:rFonts w:hint="eastAsia"/>
          <w:color w:val="auto"/>
          <w:sz w:val="30"/>
          <w:szCs w:val="30"/>
          <w:lang w:eastAsia="zh-CN"/>
        </w:rPr>
        <w:t>检查</w:t>
      </w:r>
      <w:r>
        <w:rPr>
          <w:rStyle w:val="16"/>
          <w:rFonts w:hint="eastAsia" w:ascii="仿宋_GB2312" w:hAnsi="楷体" w:eastAsia="仿宋_GB2312" w:cs="Times New Roman"/>
          <w:b w:val="0"/>
          <w:color w:val="auto"/>
          <w:spacing w:val="-4"/>
          <w:sz w:val="30"/>
          <w:szCs w:val="30"/>
          <w:highlight w:val="none"/>
          <w:lang w:eastAsia="zh-CN"/>
        </w:rPr>
        <w:t>实际值与预期值偏差较大</w:t>
      </w:r>
      <w:r>
        <w:rPr>
          <w:rStyle w:val="16"/>
          <w:rFonts w:hint="eastAsia" w:ascii="仿宋_GB2312" w:hAnsi="楷体" w:eastAsia="仿宋_GB2312" w:cs="Times New Roman"/>
          <w:b w:val="0"/>
          <w:spacing w:val="-4"/>
          <w:sz w:val="30"/>
          <w:szCs w:val="30"/>
          <w:highlight w:val="none"/>
          <w:lang w:eastAsia="zh-CN"/>
        </w:rPr>
        <w:t>。</w:t>
      </w:r>
    </w:p>
    <w:p>
      <w:pPr>
        <w:pageBreakBefore w:val="0"/>
        <w:kinsoku/>
        <w:wordWrap/>
        <w:overflowPunct/>
        <w:topLinePunct w:val="0"/>
        <w:autoSpaceDE/>
        <w:autoSpaceDN/>
        <w:bidi w:val="0"/>
        <w:adjustRightInd/>
        <w:snapToGrid/>
        <w:spacing w:line="540" w:lineRule="exact"/>
        <w:ind w:firstLine="640" w:firstLineChars="200"/>
        <w:textAlignment w:val="auto"/>
        <w:rPr>
          <w:rFonts w:eastAsia="黑体"/>
          <w:color w:val="0000FF"/>
          <w:sz w:val="32"/>
          <w:szCs w:val="32"/>
        </w:rPr>
      </w:pPr>
      <w:bookmarkStart w:id="18"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8"/>
    </w:p>
    <w:p>
      <w:pPr>
        <w:pStyle w:val="24"/>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600" w:firstLineChars="200"/>
        <w:textAlignment w:val="auto"/>
        <w:rPr>
          <w:rStyle w:val="16"/>
          <w:rFonts w:hint="eastAsia" w:ascii="仿宋_GB2312" w:hAnsi="仿宋_GB2312" w:eastAsia="仿宋_GB2312" w:cs="仿宋_GB2312"/>
          <w:b w:val="0"/>
          <w:color w:val="auto"/>
          <w:spacing w:val="-4"/>
          <w:kern w:val="2"/>
          <w:sz w:val="30"/>
          <w:szCs w:val="30"/>
          <w:highlight w:val="none"/>
          <w:lang w:val="en-US" w:eastAsia="zh-CN" w:bidi="ar-SA"/>
        </w:rPr>
      </w:pPr>
      <w:r>
        <w:rPr>
          <w:rFonts w:hint="eastAsia" w:ascii="仿宋_GB2312" w:hAnsi="仿宋_GB2312" w:eastAsia="仿宋_GB2312" w:cs="仿宋_GB2312"/>
          <w:color w:val="auto"/>
          <w:sz w:val="30"/>
          <w:szCs w:val="30"/>
          <w:highlight w:val="none"/>
          <w:lang w:val="en-US" w:eastAsia="zh-CN"/>
        </w:rPr>
        <w:t>1.</w:t>
      </w:r>
      <w:r>
        <w:rPr>
          <w:rStyle w:val="16"/>
          <w:rFonts w:hint="eastAsia" w:ascii="仿宋_GB2312" w:hAnsi="仿宋_GB2312" w:eastAsia="仿宋_GB2312" w:cs="仿宋_GB2312"/>
          <w:b w:val="0"/>
          <w:color w:val="auto"/>
          <w:spacing w:val="-4"/>
          <w:kern w:val="2"/>
          <w:sz w:val="30"/>
          <w:szCs w:val="30"/>
          <w:highlight w:val="none"/>
          <w:lang w:val="en-US" w:eastAsia="zh-CN" w:bidi="ar-SA"/>
        </w:rPr>
        <w:t>单位委托专业的第三方机构开展绩效工作，让专业的人做专业的事，第三方机构有专业的人员和调查方法、调查方案，有利于更准确的确定绩效指标和数据。</w:t>
      </w:r>
    </w:p>
    <w:p>
      <w:pPr>
        <w:pageBreakBefore w:val="0"/>
        <w:shd w:val="clear"/>
        <w:kinsoku/>
        <w:wordWrap/>
        <w:overflowPunct/>
        <w:topLinePunct w:val="0"/>
        <w:autoSpaceDE/>
        <w:autoSpaceDN/>
        <w:bidi w:val="0"/>
        <w:adjustRightInd/>
        <w:snapToGrid/>
        <w:spacing w:line="54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4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3.专门设定对绩效工作人员定职、定岗、定责等相关制度措施，进一步提升我单位绩效管理工作业务水平，扎实做好绩效管理工作。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4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4.进一步加强对绩效管理工作的组织领导，提高对预算绩效管理工作重要性的认识，总结经验查找问题，抓紧研究制定更全面更完善的绩效评价管理办法。结合安全生产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color w:val="auto"/>
          <w:sz w:val="32"/>
          <w:szCs w:val="32"/>
        </w:rPr>
      </w:pPr>
      <w:bookmarkStart w:id="19"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19"/>
    </w:p>
    <w:p>
      <w:pPr>
        <w:pageBreakBefore w:val="0"/>
        <w:kinsoku/>
        <w:wordWrap/>
        <w:overflowPunct/>
        <w:topLinePunct w:val="0"/>
        <w:autoSpaceDE/>
        <w:autoSpaceDN/>
        <w:bidi w:val="0"/>
        <w:adjustRightInd/>
        <w:snapToGrid/>
        <w:spacing w:line="540" w:lineRule="exact"/>
        <w:ind w:firstLine="600" w:firstLineChars="200"/>
        <w:textAlignment w:val="auto"/>
        <w:rPr>
          <w:rFonts w:hint="eastAsia" w:eastAsia="仿宋_GB2312"/>
          <w:color w:val="auto"/>
          <w:sz w:val="30"/>
          <w:szCs w:val="30"/>
          <w:lang w:eastAsia="zh-CN"/>
        </w:rPr>
      </w:pPr>
      <w:r>
        <w:rPr>
          <w:rFonts w:hint="eastAsia"/>
          <w:color w:val="auto"/>
          <w:sz w:val="30"/>
          <w:szCs w:val="30"/>
          <w:lang w:eastAsia="zh-CN"/>
        </w:rPr>
        <w:t>无</w:t>
      </w:r>
    </w:p>
    <w:p>
      <w:pPr>
        <w:pageBreakBefore w:val="0"/>
        <w:kinsoku/>
        <w:wordWrap/>
        <w:overflowPunct/>
        <w:topLinePunct w:val="0"/>
        <w:autoSpaceDE/>
        <w:autoSpaceDN/>
        <w:bidi w:val="0"/>
        <w:adjustRightInd/>
        <w:snapToGrid/>
        <w:spacing w:line="540" w:lineRule="exact"/>
        <w:ind w:firstLine="600" w:firstLineChars="200"/>
        <w:textAlignment w:val="auto"/>
      </w:pPr>
    </w:p>
    <w:sectPr>
      <w:pgSz w:w="11906" w:h="16838"/>
      <w:pgMar w:top="1440" w:right="1587" w:bottom="1440" w:left="1587"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52B5D"/>
    <w:multiLevelType w:val="singleLevel"/>
    <w:tmpl w:val="86A52B5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C73121"/>
    <w:rsid w:val="00EB3433"/>
    <w:rsid w:val="018E79D1"/>
    <w:rsid w:val="026A1530"/>
    <w:rsid w:val="02796A74"/>
    <w:rsid w:val="031A7868"/>
    <w:rsid w:val="05227DA5"/>
    <w:rsid w:val="05FE70E3"/>
    <w:rsid w:val="06315841"/>
    <w:rsid w:val="08D20D13"/>
    <w:rsid w:val="0993496F"/>
    <w:rsid w:val="0C4D0F1B"/>
    <w:rsid w:val="0D725B91"/>
    <w:rsid w:val="0E2941CB"/>
    <w:rsid w:val="0ED92CE9"/>
    <w:rsid w:val="0F2A6BF7"/>
    <w:rsid w:val="101F360C"/>
    <w:rsid w:val="102705C9"/>
    <w:rsid w:val="104C2755"/>
    <w:rsid w:val="11C15FB0"/>
    <w:rsid w:val="128D0B7C"/>
    <w:rsid w:val="14727E35"/>
    <w:rsid w:val="150A4645"/>
    <w:rsid w:val="15A00A64"/>
    <w:rsid w:val="16A7467A"/>
    <w:rsid w:val="17D81AAF"/>
    <w:rsid w:val="183F64D4"/>
    <w:rsid w:val="18BE102D"/>
    <w:rsid w:val="1A2A429C"/>
    <w:rsid w:val="1B1535D9"/>
    <w:rsid w:val="1D723F37"/>
    <w:rsid w:val="1D785367"/>
    <w:rsid w:val="1DC65566"/>
    <w:rsid w:val="1E600C41"/>
    <w:rsid w:val="209A0536"/>
    <w:rsid w:val="23A936FD"/>
    <w:rsid w:val="25465145"/>
    <w:rsid w:val="254856B7"/>
    <w:rsid w:val="263B69FA"/>
    <w:rsid w:val="26732B8A"/>
    <w:rsid w:val="2ABE1D7A"/>
    <w:rsid w:val="2D7E11CF"/>
    <w:rsid w:val="31CA113F"/>
    <w:rsid w:val="32AE0DEC"/>
    <w:rsid w:val="337E33C2"/>
    <w:rsid w:val="36A92092"/>
    <w:rsid w:val="36B72533"/>
    <w:rsid w:val="378F5527"/>
    <w:rsid w:val="39EB2094"/>
    <w:rsid w:val="3E4378D3"/>
    <w:rsid w:val="3E6C6B19"/>
    <w:rsid w:val="3FE36AB7"/>
    <w:rsid w:val="4057649F"/>
    <w:rsid w:val="43182414"/>
    <w:rsid w:val="43D20B95"/>
    <w:rsid w:val="46507BB3"/>
    <w:rsid w:val="4A7C25BE"/>
    <w:rsid w:val="4A9D3E46"/>
    <w:rsid w:val="4ACC3676"/>
    <w:rsid w:val="4C22332E"/>
    <w:rsid w:val="4D4507B1"/>
    <w:rsid w:val="4ED3333D"/>
    <w:rsid w:val="504428BE"/>
    <w:rsid w:val="525C6D10"/>
    <w:rsid w:val="54790A35"/>
    <w:rsid w:val="56796849"/>
    <w:rsid w:val="583E3953"/>
    <w:rsid w:val="585D6406"/>
    <w:rsid w:val="59A3482E"/>
    <w:rsid w:val="59B067DC"/>
    <w:rsid w:val="59BD2B9B"/>
    <w:rsid w:val="5B1259FA"/>
    <w:rsid w:val="5B3202CB"/>
    <w:rsid w:val="5DA95371"/>
    <w:rsid w:val="5E3A0425"/>
    <w:rsid w:val="5E4D0FC9"/>
    <w:rsid w:val="5EFB2A62"/>
    <w:rsid w:val="60C0145B"/>
    <w:rsid w:val="64A35986"/>
    <w:rsid w:val="64AF16BF"/>
    <w:rsid w:val="651C646F"/>
    <w:rsid w:val="67C96719"/>
    <w:rsid w:val="68F11999"/>
    <w:rsid w:val="69485A1A"/>
    <w:rsid w:val="6DA5211F"/>
    <w:rsid w:val="6F5F27B7"/>
    <w:rsid w:val="755015F9"/>
    <w:rsid w:val="75625727"/>
    <w:rsid w:val="763A0251"/>
    <w:rsid w:val="78240EAC"/>
    <w:rsid w:val="78EB010B"/>
    <w:rsid w:val="794D2C6A"/>
    <w:rsid w:val="7AFE1FBB"/>
    <w:rsid w:val="7DB34B5B"/>
    <w:rsid w:val="7DDA62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Indent"/>
    <w:basedOn w:val="1"/>
    <w:next w:val="8"/>
    <w:qFormat/>
    <w:uiPriority w:val="0"/>
    <w:pPr>
      <w:spacing w:after="120" w:afterLines="0"/>
      <w:ind w:left="420" w:leftChars="200"/>
    </w:pPr>
    <w:rPr>
      <w:kern w:val="2"/>
      <w:sz w:val="21"/>
      <w:szCs w:val="24"/>
    </w:rPr>
  </w:style>
  <w:style w:type="paragraph" w:styleId="8">
    <w:name w:val="Normal (Web)"/>
    <w:basedOn w:val="1"/>
    <w:next w:val="1"/>
    <w:qFormat/>
    <w:uiPriority w:val="0"/>
    <w:pPr>
      <w:spacing w:before="100" w:beforeAutospacing="1" w:after="100" w:afterAutospacing="1"/>
      <w:ind w:left="0" w:right="0"/>
      <w:jc w:val="left"/>
    </w:pPr>
    <w:rPr>
      <w:kern w:val="0"/>
      <w:sz w:val="24"/>
      <w:lang w:val="en-US" w:eastAsia="zh-CN" w:bidi="ar"/>
    </w:r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Body Text First Indent 2"/>
    <w:basedOn w:val="7"/>
    <w:next w:val="7"/>
    <w:qFormat/>
    <w:uiPriority w:val="0"/>
    <w:pPr>
      <w:ind w:firstLine="420" w:firstLineChars="200"/>
    </w:pPr>
  </w:style>
  <w:style w:type="character" w:styleId="16">
    <w:name w:val="Strong"/>
    <w:basedOn w:val="15"/>
    <w:qFormat/>
    <w:uiPriority w:val="99"/>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3"/>
    <w:qFormat/>
    <w:uiPriority w:val="9"/>
    <w:rPr>
      <w:rFonts w:ascii="Times New Roman" w:hAnsi="Times New Roman" w:eastAsia="仿宋_GB2312" w:cs="Times New Roman"/>
      <w:b/>
      <w:bCs/>
      <w:kern w:val="44"/>
      <w:sz w:val="44"/>
      <w:szCs w:val="44"/>
    </w:rPr>
  </w:style>
  <w:style w:type="character" w:customStyle="1" w:styleId="19">
    <w:name w:val="标题 2 Char"/>
    <w:basedOn w:val="15"/>
    <w:link w:val="4"/>
    <w:qFormat/>
    <w:uiPriority w:val="9"/>
    <w:rPr>
      <w:rFonts w:asciiTheme="majorHAnsi" w:hAnsiTheme="majorHAnsi" w:eastAsiaTheme="majorEastAsia" w:cstheme="majorBidi"/>
      <w:b/>
      <w:bCs/>
      <w:sz w:val="32"/>
      <w:szCs w:val="32"/>
    </w:rPr>
  </w:style>
  <w:style w:type="paragraph" w:customStyle="1" w:styleId="20">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1">
    <w:name w:val="页眉 Char"/>
    <w:basedOn w:val="15"/>
    <w:link w:val="10"/>
    <w:semiHidden/>
    <w:qFormat/>
    <w:uiPriority w:val="99"/>
    <w:rPr>
      <w:rFonts w:ascii="Times New Roman" w:hAnsi="Times New Roman" w:eastAsia="仿宋_GB2312" w:cs="Times New Roman"/>
      <w:sz w:val="18"/>
      <w:szCs w:val="18"/>
    </w:rPr>
  </w:style>
  <w:style w:type="character" w:customStyle="1" w:styleId="22">
    <w:name w:val="页脚 Char"/>
    <w:basedOn w:val="15"/>
    <w:link w:val="9"/>
    <w:semiHidden/>
    <w:qFormat/>
    <w:uiPriority w:val="99"/>
    <w:rPr>
      <w:rFonts w:ascii="Times New Roman" w:hAnsi="Times New Roman" w:eastAsia="仿宋_GB2312" w:cs="Times New Roman"/>
      <w:sz w:val="18"/>
      <w:szCs w:val="18"/>
    </w:rPr>
  </w:style>
  <w:style w:type="paragraph" w:customStyle="1" w:styleId="23">
    <w:name w:val="闻政-正文段落文字"/>
    <w:basedOn w:val="1"/>
    <w:qFormat/>
    <w:uiPriority w:val="3"/>
    <w:pPr>
      <w:spacing w:line="500" w:lineRule="exact"/>
      <w:ind w:firstLine="200"/>
    </w:pPr>
    <w:rPr>
      <w:kern w:val="0"/>
      <w:szCs w:val="28"/>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2024-05-06T10:20:00Z</cp:lastPrinted>
  <dcterms:modified xsi:type="dcterms:W3CDTF">2024-05-07T10:43:11Z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