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lang w:eastAsia="zh-CN"/>
        </w:rPr>
      </w:pPr>
      <w:r>
        <w:rPr>
          <w:rFonts w:hint="eastAsia" w:ascii="方正仿宋_GBK" w:hAnsi="方正仿宋_GBK" w:eastAsia="方正仿宋_GBK" w:cs="方正仿宋_GBK"/>
          <w:b/>
          <w:bCs/>
          <w:color w:val="000000"/>
          <w:kern w:val="0"/>
          <w:sz w:val="32"/>
          <w:szCs w:val="32"/>
        </w:rPr>
        <w:t>项目名称：</w:t>
      </w:r>
      <w:r>
        <w:rPr>
          <w:rFonts w:hint="eastAsia" w:ascii="方正仿宋_GBK" w:hAnsi="方正仿宋_GBK" w:eastAsia="方正仿宋_GBK" w:cs="方正仿宋_GBK"/>
          <w:b/>
          <w:bCs/>
          <w:color w:val="000000"/>
          <w:kern w:val="0"/>
          <w:sz w:val="32"/>
          <w:szCs w:val="32"/>
          <w:lang w:eastAsia="zh-CN"/>
        </w:rPr>
        <w:t>（上年结转）2022年度自治区药品抽检经费</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rPr>
      </w:pPr>
      <w:r>
        <w:rPr>
          <w:rFonts w:hint="eastAsia" w:ascii="方正仿宋_GBK" w:hAnsi="方正仿宋_GBK" w:eastAsia="方正仿宋_GBK" w:cs="方正仿宋_GBK"/>
          <w:b/>
          <w:bCs/>
          <w:color w:val="000000"/>
          <w:kern w:val="0"/>
          <w:sz w:val="32"/>
          <w:szCs w:val="32"/>
        </w:rPr>
        <w:t>实施单位（公章）：巴州市场监督管理局</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bCs/>
          <w:color w:val="000000"/>
          <w:kern w:val="0"/>
          <w:sz w:val="32"/>
          <w:szCs w:val="32"/>
        </w:rPr>
        <w:t>主管部门（公章）：巴州市场监督管理局</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lang w:val="en-US" w:eastAsia="zh-CN"/>
        </w:rPr>
      </w:pPr>
      <w:r>
        <w:rPr>
          <w:rFonts w:hint="eastAsia" w:ascii="方正仿宋_GBK" w:hAnsi="方正仿宋_GBK" w:eastAsia="方正仿宋_GBK" w:cs="方正仿宋_GBK"/>
          <w:b/>
          <w:bCs/>
          <w:color w:val="000000"/>
          <w:kern w:val="0"/>
          <w:sz w:val="32"/>
          <w:szCs w:val="32"/>
        </w:rPr>
        <w:t>项目负责人（签章）：</w:t>
      </w:r>
      <w:r>
        <w:rPr>
          <w:rFonts w:hint="eastAsia" w:ascii="方正仿宋_GBK" w:hAnsi="方正仿宋_GBK" w:eastAsia="方正仿宋_GBK" w:cs="方正仿宋_GBK"/>
          <w:b/>
          <w:bCs/>
          <w:color w:val="000000"/>
          <w:kern w:val="0"/>
          <w:sz w:val="32"/>
          <w:szCs w:val="32"/>
          <w:highlight w:val="none"/>
          <w:lang w:val="en-US" w:eastAsia="zh-CN"/>
        </w:rPr>
        <w:t>张晓英</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rPr>
      </w:pPr>
      <w:r>
        <w:rPr>
          <w:rFonts w:hint="eastAsia" w:ascii="方正仿宋_GBK" w:hAnsi="方正仿宋_GBK" w:eastAsia="方正仿宋_GBK" w:cs="方正仿宋_GBK"/>
          <w:b/>
          <w:bCs/>
          <w:color w:val="000000"/>
          <w:kern w:val="0"/>
          <w:sz w:val="32"/>
          <w:szCs w:val="32"/>
        </w:rPr>
        <w:t>填报时间：202</w:t>
      </w:r>
      <w:r>
        <w:rPr>
          <w:rFonts w:hint="eastAsia" w:ascii="方正仿宋_GBK" w:hAnsi="方正仿宋_GBK" w:eastAsia="方正仿宋_GBK" w:cs="方正仿宋_GBK"/>
          <w:b/>
          <w:bCs/>
          <w:color w:val="000000"/>
          <w:kern w:val="0"/>
          <w:sz w:val="32"/>
          <w:szCs w:val="32"/>
          <w:lang w:val="en-US" w:eastAsia="zh-CN"/>
        </w:rPr>
        <w:t>4</w:t>
      </w:r>
      <w:r>
        <w:rPr>
          <w:rFonts w:hint="eastAsia" w:ascii="方正仿宋_GBK" w:hAnsi="方正仿宋_GBK" w:eastAsia="方正仿宋_GBK" w:cs="方正仿宋_GBK"/>
          <w:b/>
          <w:bCs/>
          <w:color w:val="000000"/>
          <w:kern w:val="0"/>
          <w:sz w:val="32"/>
          <w:szCs w:val="32"/>
        </w:rPr>
        <w:t>年</w:t>
      </w:r>
      <w:r>
        <w:rPr>
          <w:rFonts w:hint="eastAsia" w:ascii="方正仿宋_GBK" w:hAnsi="方正仿宋_GBK" w:eastAsia="方正仿宋_GBK" w:cs="方正仿宋_GBK"/>
          <w:b/>
          <w:bCs/>
          <w:color w:val="000000"/>
          <w:kern w:val="0"/>
          <w:sz w:val="32"/>
          <w:szCs w:val="32"/>
          <w:lang w:val="en-US" w:eastAsia="zh-CN"/>
        </w:rPr>
        <w:t>5</w:t>
      </w:r>
      <w:r>
        <w:rPr>
          <w:rFonts w:hint="eastAsia" w:ascii="方正仿宋_GBK" w:hAnsi="方正仿宋_GBK" w:eastAsia="方正仿宋_GBK" w:cs="方正仿宋_GBK"/>
          <w:b/>
          <w:bCs/>
          <w:color w:val="000000"/>
          <w:kern w:val="0"/>
          <w:sz w:val="32"/>
          <w:szCs w:val="32"/>
        </w:rPr>
        <w:t>月</w:t>
      </w:r>
      <w:r>
        <w:rPr>
          <w:rFonts w:hint="eastAsia" w:ascii="方正仿宋_GBK" w:hAnsi="方正仿宋_GBK" w:eastAsia="方正仿宋_GBK" w:cs="方正仿宋_GBK"/>
          <w:b/>
          <w:bCs/>
          <w:color w:val="000000"/>
          <w:kern w:val="0"/>
          <w:sz w:val="32"/>
          <w:szCs w:val="32"/>
          <w:lang w:val="en-US" w:eastAsia="zh-CN"/>
        </w:rPr>
        <w:t>9</w:t>
      </w:r>
      <w:r>
        <w:rPr>
          <w:rFonts w:hint="eastAsia" w:ascii="方正仿宋_GBK" w:hAnsi="方正仿宋_GBK" w:eastAsia="方正仿宋_GBK" w:cs="方正仿宋_GBK"/>
          <w:b/>
          <w:bCs/>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_GBK" w:hAnsi="方正小标宋_GBK" w:eastAsia="方正小标宋_GBK" w:cs="方正小标宋_GBK"/>
          <w:b/>
          <w:bCs/>
          <w:sz w:val="40"/>
          <w:szCs w:val="40"/>
        </w:rPr>
      </w:pPr>
      <w:r>
        <w:rPr>
          <w:rFonts w:hint="eastAsia" w:ascii="方正小标宋_GBK" w:hAnsi="方正小标宋_GBK" w:eastAsia="方正小标宋_GBK" w:cs="方正小标宋_GBK"/>
          <w:b w:val="0"/>
          <w:bCs w:val="0"/>
          <w:sz w:val="44"/>
          <w:szCs w:val="44"/>
        </w:rPr>
        <w:t>项目支出绩效评价报告</w:t>
      </w:r>
    </w:p>
    <w:p>
      <w:pPr>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_GBK" w:hAnsi="方正仿宋_GBK" w:eastAsia="方正仿宋_GBK" w:cs="方正仿宋_GBK"/>
          <w:sz w:val="32"/>
          <w:szCs w:val="32"/>
        </w:rPr>
      </w:pP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0" w:name="_Toc68703827"/>
      <w:r>
        <w:rPr>
          <w:rFonts w:hint="eastAsia" w:ascii="方正黑体_GBK" w:hAnsi="方正黑体_GBK" w:eastAsia="方正黑体_GBK" w:cs="方正黑体_GBK"/>
          <w:b w:val="0"/>
          <w:bCs w:val="0"/>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 w:name="_Toc68703828"/>
      <w:bookmarkStart w:id="2" w:name="OLE_LINK1"/>
      <w:r>
        <w:rPr>
          <w:rFonts w:hint="eastAsia" w:ascii="方正楷体_GBK" w:hAnsi="方正楷体_GBK" w:eastAsia="方正楷体_GBK" w:cs="方正楷体_GBK"/>
          <w:b w:val="0"/>
          <w:bCs w:val="0"/>
          <w:sz w:val="32"/>
          <w:szCs w:val="32"/>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1.</w:t>
      </w:r>
      <w:r>
        <w:rPr>
          <w:rFonts w:hint="eastAsia" w:ascii="方正仿宋_GBK" w:hAnsi="方正仿宋_GBK" w:eastAsia="方正仿宋_GBK" w:cs="方正仿宋_GBK"/>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为进一步加强全州药品、医疗器械、化妆品日常监管，全面推进质量风险防控，不断完善药械化监管长效机制，确保我州药械化质量安全，增强药品质量安全保障能力，保障全州药品监管工作顺利开展而设立此项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（2）主要内容及实施情况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主要内容</w:t>
      </w:r>
      <w:r>
        <w:rPr>
          <w:rFonts w:hint="eastAsia" w:ascii="方正仿宋_GBK" w:hAnsi="方正仿宋_GBK" w:eastAsia="方正仿宋_GBK" w:cs="方正仿宋_GBK"/>
          <w:sz w:val="32"/>
          <w:szCs w:val="32"/>
          <w:highlight w:val="none"/>
          <w:lang w:val="en-US" w:eastAsia="zh-CN"/>
        </w:rPr>
        <w:t>以发现安全问题为导向，及时发现苗头性、系统性、区域性安全风险和问题，本年完成举办业务培训，参加药品安全知识竞赛，药品抽检，交叉检查，增强药品质量安全保障能力，保障全区药品监管工作顺利开展。</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实施情况：</w:t>
      </w:r>
      <w:bookmarkEnd w:id="2"/>
      <w:r>
        <w:rPr>
          <w:rFonts w:hint="eastAsia" w:ascii="方正仿宋_GBK" w:hAnsi="方正仿宋_GBK" w:eastAsia="方正仿宋_GBK" w:cs="方正仿宋_GBK"/>
          <w:sz w:val="32"/>
          <w:szCs w:val="32"/>
          <w:highlight w:val="none"/>
          <w:lang w:val="en-US" w:eastAsia="zh-CN"/>
        </w:rPr>
        <w:t>本年完成已完成药品抽检8批次，参加知识竞赛一次，业务出差10次，质量互查1次，购置材料2批，聘请专家讲课1次，业务培训2次，为进一步加强“两品一械”安全监管、全面掌握“两品一械”安全总体状况，增强“两品一械”质量安全保障能力。</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2.</w:t>
      </w:r>
      <w:r>
        <w:rPr>
          <w:rFonts w:hint="eastAsia" w:ascii="方正仿宋_GBK" w:hAnsi="方正仿宋_GBK" w:eastAsia="方正仿宋_GBK" w:cs="方正仿宋_GBK"/>
          <w:sz w:val="32"/>
          <w:szCs w:val="32"/>
          <w:highlight w:val="none"/>
        </w:rPr>
        <w:t>资金投入和使用情况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资金投入情况：</w:t>
      </w:r>
      <w:r>
        <w:rPr>
          <w:rFonts w:hint="eastAsia" w:ascii="方正仿宋_GBK" w:hAnsi="方正仿宋_GBK" w:eastAsia="方正仿宋_GBK" w:cs="方正仿宋_GBK"/>
          <w:color w:val="auto"/>
          <w:sz w:val="32"/>
          <w:szCs w:val="32"/>
        </w:rPr>
        <w:t>该项目年初预算数</w:t>
      </w:r>
      <w:r>
        <w:rPr>
          <w:rFonts w:hint="eastAsia" w:ascii="方正仿宋_GBK" w:hAnsi="方正仿宋_GBK" w:eastAsia="方正仿宋_GBK" w:cs="方正仿宋_GBK"/>
          <w:color w:val="auto"/>
          <w:sz w:val="32"/>
          <w:szCs w:val="32"/>
          <w:lang w:val="en-US" w:eastAsia="zh-CN"/>
        </w:rPr>
        <w:t>11</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11</w:t>
      </w:r>
      <w:r>
        <w:rPr>
          <w:rFonts w:hint="eastAsia" w:ascii="方正仿宋_GBK" w:hAnsi="方正仿宋_GBK" w:eastAsia="方正仿宋_GBK" w:cs="方正仿宋_GBK"/>
          <w:color w:val="auto"/>
          <w:sz w:val="32"/>
          <w:szCs w:val="32"/>
        </w:rPr>
        <w:t>万元，实际总投入</w:t>
      </w:r>
      <w:r>
        <w:rPr>
          <w:rFonts w:hint="eastAsia" w:ascii="方正仿宋_GBK" w:hAnsi="方正仿宋_GBK" w:eastAsia="方正仿宋_GBK" w:cs="方正仿宋_GBK"/>
          <w:color w:val="auto"/>
          <w:sz w:val="32"/>
          <w:szCs w:val="32"/>
          <w:lang w:val="en-US" w:eastAsia="zh-CN"/>
        </w:rPr>
        <w:t>11</w:t>
      </w:r>
      <w:r>
        <w:rPr>
          <w:rFonts w:hint="eastAsia" w:ascii="方正仿宋_GBK" w:hAnsi="方正仿宋_GBK" w:eastAsia="方正仿宋_GBK" w:cs="方正仿宋_GBK"/>
          <w:color w:val="auto"/>
          <w:sz w:val="32"/>
          <w:szCs w:val="32"/>
        </w:rPr>
        <w:t>万元，该项目资金已全部落实到位，资金来源为</w:t>
      </w:r>
      <w:r>
        <w:rPr>
          <w:rFonts w:hint="eastAsia" w:ascii="方正仿宋_GBK" w:hAnsi="方正仿宋_GBK" w:eastAsia="方正仿宋_GBK" w:cs="方正仿宋_GBK"/>
          <w:color w:val="auto"/>
          <w:sz w:val="32"/>
          <w:szCs w:val="32"/>
          <w:lang w:eastAsia="zh-CN"/>
        </w:rPr>
        <w:t>上级专项转移支付资金</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资金使用情况：该项目年初预算数</w:t>
      </w:r>
      <w:r>
        <w:rPr>
          <w:rFonts w:hint="eastAsia" w:ascii="方正仿宋_GBK" w:hAnsi="方正仿宋_GBK" w:eastAsia="方正仿宋_GBK" w:cs="方正仿宋_GBK"/>
          <w:color w:val="auto"/>
          <w:sz w:val="32"/>
          <w:szCs w:val="32"/>
          <w:lang w:val="en-US" w:eastAsia="zh-CN"/>
        </w:rPr>
        <w:t>11</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11</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11</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%，用于举办业务培训4万元，聘请专家讲课0.5万元</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业务出差0.7万元</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药品安全知识竞赛1万元，质量互查2万元，材料购置2.8万元。</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bookmarkStart w:id="3" w:name="_Toc68703829"/>
      <w:r>
        <w:rPr>
          <w:rFonts w:hint="eastAsia" w:ascii="方正楷体_GBK" w:hAnsi="方正楷体_GBK" w:eastAsia="方正楷体_GBK" w:cs="方正楷体_GBK"/>
          <w:b w:val="0"/>
          <w:bCs w:val="0"/>
          <w:sz w:val="32"/>
          <w:szCs w:val="32"/>
        </w:rPr>
        <w:t>（二）项目绩效目标</w:t>
      </w:r>
      <w:bookmarkEnd w:id="3"/>
      <w:r>
        <w:rPr>
          <w:rFonts w:hint="eastAsia" w:ascii="方正楷体_GBK" w:hAnsi="方正楷体_GBK" w:eastAsia="方正楷体_GBK" w:cs="方正楷体_GBK"/>
          <w:b w:val="0"/>
          <w:bCs w:val="0"/>
          <w:color w:val="000000" w:themeColor="text1"/>
          <w:sz w:val="32"/>
          <w:szCs w:val="32"/>
          <w:lang w:eastAsia="zh-CN"/>
        </w:rPr>
        <w:t>，</w:t>
      </w:r>
      <w:r>
        <w:rPr>
          <w:rFonts w:hint="eastAsia" w:ascii="方正楷体_GBK" w:hAnsi="方正楷体_GBK" w:eastAsia="方正楷体_GBK" w:cs="方正楷体_GBK"/>
          <w:color w:val="000000" w:themeColor="text1"/>
          <w:sz w:val="32"/>
          <w:szCs w:val="32"/>
        </w:rPr>
        <w:t>包括总体目标和阶段性目标。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总体目标：</w:t>
      </w:r>
      <w:r>
        <w:rPr>
          <w:rFonts w:hint="eastAsia" w:ascii="方正仿宋_GBK" w:hAnsi="方正仿宋_GBK" w:eastAsia="方正仿宋_GBK" w:cs="方正仿宋_GBK"/>
          <w:sz w:val="32"/>
          <w:szCs w:val="32"/>
          <w:lang w:eastAsia="zh-CN"/>
        </w:rPr>
        <w:t>通过对药品、医疗器械抽样，不断完善和加强“两品一械”安全抽样检验工作,加强“两品一械”企业监管力度，加强药品安全监管，增强药品质量安全保障能力。</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阶段性目标：</w:t>
      </w:r>
      <w:r>
        <w:rPr>
          <w:rFonts w:hint="eastAsia" w:ascii="方正仿宋_GBK" w:hAnsi="方正仿宋_GBK" w:eastAsia="方正仿宋_GBK" w:cs="方正仿宋_GBK"/>
          <w:sz w:val="32"/>
          <w:szCs w:val="32"/>
          <w:lang w:val="en-US" w:eastAsia="zh-CN"/>
        </w:rPr>
        <w:t>2023年上半年计划完成</w:t>
      </w:r>
      <w:r>
        <w:rPr>
          <w:rFonts w:hint="eastAsia" w:ascii="方正仿宋_GBK" w:hAnsi="方正仿宋_GBK" w:eastAsia="方正仿宋_GBK" w:cs="方正仿宋_GBK"/>
          <w:sz w:val="32"/>
          <w:szCs w:val="32"/>
          <w:highlight w:val="none"/>
          <w:lang w:val="en-US" w:eastAsia="zh-CN"/>
        </w:rPr>
        <w:t>参加药品安全知识竞赛，药品抽检，不断完善和加强“两品一械”安全抽样检验工作</w:t>
      </w:r>
      <w:r>
        <w:rPr>
          <w:rFonts w:hint="eastAsia" w:ascii="方正仿宋_GBK" w:hAnsi="方正仿宋_GBK" w:eastAsia="方正仿宋_GBK" w:cs="方正仿宋_GBK"/>
          <w:sz w:val="32"/>
          <w:szCs w:val="32"/>
          <w:lang w:val="en-US" w:eastAsia="zh-CN"/>
        </w:rPr>
        <w:t>2023年下半年计划完成举办业务培训和</w:t>
      </w:r>
      <w:r>
        <w:rPr>
          <w:rFonts w:hint="eastAsia" w:ascii="方正仿宋_GBK" w:hAnsi="方正仿宋_GBK" w:eastAsia="方正仿宋_GBK" w:cs="方正仿宋_GBK"/>
          <w:sz w:val="32"/>
          <w:szCs w:val="32"/>
          <w:highlight w:val="none"/>
          <w:lang w:val="en-US" w:eastAsia="zh-CN"/>
        </w:rPr>
        <w:t>交叉检查，加强两品一械”安全监管，增强“两品一械”质量安全保障能力。</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4" w:name="_Toc68703830"/>
      <w:r>
        <w:rPr>
          <w:rFonts w:hint="eastAsia" w:ascii="方正黑体_GBK" w:hAnsi="方正黑体_GBK" w:eastAsia="方正黑体_GBK" w:cs="方正黑体_GBK"/>
          <w:b w:val="0"/>
          <w:bCs w:val="0"/>
          <w:sz w:val="32"/>
          <w:szCs w:val="32"/>
        </w:rPr>
        <w:t>二、绩效评价工作开展情况</w:t>
      </w:r>
      <w:bookmarkEnd w:id="4"/>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sz w:val="32"/>
          <w:szCs w:val="32"/>
          <w:lang w:val="en-US" w:eastAsia="zh-CN"/>
        </w:rPr>
      </w:pPr>
      <w:bookmarkStart w:id="5" w:name="_Toc68703831"/>
      <w:r>
        <w:rPr>
          <w:rFonts w:hint="eastAsia" w:ascii="方正楷体_GBK" w:hAnsi="方正楷体_GBK" w:eastAsia="方正楷体_GBK" w:cs="方正楷体_GBK"/>
          <w:b w:val="0"/>
          <w:bCs w:val="0"/>
          <w:sz w:val="32"/>
          <w:szCs w:val="32"/>
        </w:rPr>
        <w:t>（一）绩效评价目的、对象和范围。</w:t>
      </w:r>
      <w:bookmarkEnd w:id="5"/>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绩效评价目的：</w:t>
      </w:r>
    </w:p>
    <w:p>
      <w:pPr>
        <w:pStyle w:val="20"/>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绩效评价对象：</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（上年结转）2022年度自治区药品抽检经费</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绩效评价范围：</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本次评价从项目决策（包括绩效目标、决策过程）、项目管理（包括项目资金、项目实施）、项目产出（包括项目产出数量、产出质量、产出时效和产出成本）项目效益四个维度进行</w:t>
      </w:r>
      <w:r>
        <w:rPr>
          <w:rFonts w:hint="eastAsia" w:ascii="方正仿宋_GBK" w:hAnsi="方正仿宋_GBK" w:eastAsia="方正仿宋_GBK" w:cs="方正仿宋_GBK"/>
          <w:color w:val="auto"/>
          <w:sz w:val="32"/>
          <w:szCs w:val="32"/>
          <w:lang w:eastAsia="zh-CN"/>
        </w:rPr>
        <w:t>（上年结转）2022年度自治区药品抽检经费</w:t>
      </w:r>
      <w:r>
        <w:rPr>
          <w:rFonts w:hint="eastAsia" w:ascii="方正仿宋_GBK" w:hAnsi="方正仿宋_GBK" w:eastAsia="方正仿宋_GBK" w:cs="方正仿宋_GBK"/>
          <w:color w:val="auto"/>
          <w:sz w:val="32"/>
          <w:szCs w:val="32"/>
        </w:rPr>
        <w:t>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color w:val="auto"/>
          <w:sz w:val="32"/>
          <w:szCs w:val="32"/>
        </w:rPr>
      </w:pPr>
      <w:bookmarkStart w:id="6" w:name="_Toc68703832"/>
      <w:r>
        <w:rPr>
          <w:rFonts w:hint="eastAsia" w:ascii="方正楷体_GBK" w:hAnsi="方正楷体_GBK" w:eastAsia="方正楷体_GBK" w:cs="方正楷体_GBK"/>
          <w:b w:val="0"/>
          <w:bCs w:val="0"/>
          <w:color w:val="auto"/>
          <w:sz w:val="32"/>
          <w:szCs w:val="32"/>
        </w:rPr>
        <w:t>（二）绩效评价原则、评价指标体系</w:t>
      </w:r>
      <w:r>
        <w:rPr>
          <w:rFonts w:hint="eastAsia" w:ascii="方正楷体_GBK" w:hAnsi="方正楷体_GBK" w:eastAsia="方正楷体_GBK" w:cs="方正楷体_GBK"/>
          <w:b w:val="0"/>
          <w:bCs w:val="0"/>
          <w:color w:val="auto"/>
          <w:sz w:val="32"/>
          <w:szCs w:val="32"/>
          <w:lang w:eastAsia="zh-CN"/>
        </w:rPr>
        <w:t>（附表说明）</w:t>
      </w:r>
      <w:r>
        <w:rPr>
          <w:rFonts w:hint="eastAsia" w:ascii="方正楷体_GBK" w:hAnsi="方正楷体_GBK" w:eastAsia="方正楷体_GBK" w:cs="方正楷体_GBK"/>
          <w:b w:val="0"/>
          <w:bCs w:val="0"/>
          <w:color w:val="auto"/>
          <w:sz w:val="32"/>
          <w:szCs w:val="32"/>
        </w:rPr>
        <w:t>、评价方法、评价标准等。</w:t>
      </w:r>
      <w:bookmarkEnd w:id="6"/>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（1）科学公正。绩效评价运用科学合理的方法，按照规范的程序，对项目绩效进行客观、公正的反映。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（2）统筹兼顾。单位自评、部门评价和财政评价职责明确，各有侧重，相互衔接。单位自评应由项目单位自主实施，即“谁支出、谁自评”。部门评价和财政评价应在单位自评的基础上开展。</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（3）激励约束。绩效评价结果与预算安排、政策调整、改进管理实质性挂钩，体现奖优罚劣和激励相容导向，有效要安排、低效要压减、无效要问责。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（4）公开透明。绩效评价结果在巴州人民政府网站依法依规公开，并自觉接受社会监督。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指标标准值是绩效评价指标的尺度，既要反映同类项目的先进水平，又要符合项目的实际绩效水平。具体采用计划标准等确定此次绩效评价指标标准值。</w:t>
      </w:r>
    </w:p>
    <w:p>
      <w:pPr>
        <w:pStyle w:val="10"/>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ascii="方正仿宋_GBK" w:hAnsi="方正仿宋_GBK" w:eastAsia="方正仿宋_GBK" w:cs="方正仿宋_GBK"/>
          <w:b w:val="0"/>
          <w:bCs w:val="0"/>
          <w:color w:val="000000"/>
          <w:spacing w:val="17"/>
          <w:kern w:val="2"/>
          <w:sz w:val="32"/>
          <w:szCs w:val="32"/>
          <w:highlight w:val="none"/>
        </w:rPr>
      </w:pPr>
      <w:r>
        <w:rPr>
          <w:rFonts w:hint="eastAsia" w:ascii="方正仿宋_GBK" w:hAnsi="方正仿宋_GBK" w:eastAsia="方正仿宋_GBK" w:cs="方正仿宋_GBK"/>
          <w:b w:val="0"/>
          <w:bCs w:val="0"/>
          <w:color w:val="000000"/>
          <w:spacing w:val="17"/>
          <w:kern w:val="2"/>
          <w:sz w:val="32"/>
          <w:szCs w:val="3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3、评价方法</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本次评价指标中，既有定性指标又有定量指标，各类指标因考核内容不同和客观标准不同存在较大差异，因此核定具体指标时采用了比较法，具体评价方法如下：</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通过对绩效目标与实施情况、历史与当期完成情况，综合分析绩效目标实现程度，对项目最终验收情况与年度绩效目标对比、预算资金执行情况等相关因素进行比较。</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评价标准</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bCs/>
          <w:sz w:val="32"/>
          <w:szCs w:val="32"/>
        </w:rPr>
      </w:pPr>
      <w:bookmarkStart w:id="7" w:name="_Toc68703833"/>
      <w:r>
        <w:rPr>
          <w:rFonts w:hint="eastAsia" w:ascii="方正仿宋_GBK" w:hAnsi="方正仿宋_GBK" w:eastAsia="方正仿宋_GBK" w:cs="方正仿宋_GBK"/>
          <w:color w:val="000000"/>
          <w:spacing w:val="17"/>
          <w:sz w:val="32"/>
          <w:szCs w:val="32"/>
        </w:rPr>
        <w:t>绩效评价标准通常包括计划标准、行业标准、历史标准等，用于对绩效指标完成情况进行比较、分析、评价。本次评价主要采用了</w:t>
      </w:r>
      <w:r>
        <w:rPr>
          <w:rFonts w:hint="eastAsia" w:ascii="方正仿宋_GBK" w:hAnsi="方正仿宋_GBK" w:eastAsia="方正仿宋_GBK" w:cs="方正仿宋_GBK"/>
          <w:color w:val="000000"/>
          <w:spacing w:val="17"/>
          <w:sz w:val="32"/>
          <w:szCs w:val="32"/>
          <w:lang w:val="en-US" w:eastAsia="zh-CN"/>
        </w:rPr>
        <w:t>计划</w:t>
      </w:r>
      <w:r>
        <w:rPr>
          <w:rFonts w:hint="eastAsia" w:ascii="方正仿宋_GBK" w:hAnsi="方正仿宋_GBK" w:eastAsia="方正仿宋_GBK" w:cs="方正仿宋_GBK"/>
          <w:color w:val="000000"/>
          <w:spacing w:val="17"/>
          <w:sz w:val="32"/>
          <w:szCs w:val="32"/>
        </w:rPr>
        <w:t>标准</w:t>
      </w:r>
      <w:r>
        <w:rPr>
          <w:rFonts w:hint="eastAsia" w:ascii="方正仿宋_GBK" w:hAnsi="方正仿宋_GBK" w:eastAsia="方正仿宋_GBK" w:cs="方正仿宋_GBK"/>
          <w:color w:val="000000"/>
          <w:spacing w:val="17"/>
          <w:sz w:val="32"/>
          <w:szCs w:val="32"/>
          <w:lang w:eastAsia="zh-CN"/>
        </w:rPr>
        <w:t>，原因是：以预先制定的目标、计划、预算、定额等作为评价标准，将实际完成值与预定值对比，找出两者的差异，可以更好的反应业务实际开展情况，更准确的开展绩效评价</w:t>
      </w:r>
      <w:r>
        <w:rPr>
          <w:rFonts w:hint="eastAsia" w:ascii="方正仿宋_GBK" w:hAnsi="方正仿宋_GBK" w:eastAsia="方正仿宋_GBK" w:cs="方正仿宋_GBK"/>
          <w:color w:val="000000"/>
          <w:spacing w:val="17"/>
          <w:sz w:val="32"/>
          <w:szCs w:val="32"/>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rPr>
        <w:t>（三）绩效评价工作过程。</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bookmarkStart w:id="8" w:name="_Toc68703834"/>
      <w:r>
        <w:rPr>
          <w:rFonts w:hint="eastAsia" w:ascii="方正仿宋_GBK" w:hAnsi="方正仿宋_GBK" w:eastAsia="方正仿宋_GBK" w:cs="方正仿宋_GBK"/>
          <w:bCs/>
          <w:color w:val="auto"/>
          <w:sz w:val="32"/>
          <w:szCs w:val="32"/>
          <w:lang w:val="en-US" w:eastAsia="zh-CN"/>
        </w:rPr>
        <w:t>1.</w:t>
      </w:r>
      <w:r>
        <w:rPr>
          <w:rFonts w:hint="eastAsia" w:ascii="方正仿宋_GBK" w:hAnsi="方正仿宋_GBK" w:eastAsia="方正仿宋_GBK" w:cs="方正仿宋_GBK"/>
          <w:bCs/>
          <w:color w:val="auto"/>
          <w:sz w:val="32"/>
          <w:szCs w:val="32"/>
        </w:rPr>
        <w:t>前期准备。首先财审科牵头成立评价工作组；其次明确项目绩效目标，设计绩效评价指标体系并确定绩效评价方法；接着确定现场和非现场评价范围；最后制定评价实施方案并进行论证。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lang w:val="en-US" w:eastAsia="zh-CN"/>
        </w:rPr>
        <w:t>2.</w:t>
      </w:r>
      <w:r>
        <w:rPr>
          <w:rFonts w:hint="eastAsia" w:ascii="方正仿宋_GBK" w:hAnsi="方正仿宋_GBK" w:eastAsia="方正仿宋_GBK" w:cs="方正仿宋_GBK"/>
          <w:bCs/>
          <w:color w:val="auto"/>
          <w:sz w:val="32"/>
          <w:szCs w:val="32"/>
        </w:rPr>
        <w:t>组织实施。制定绩效评价工作方案，具体包括项目概况、评价思路、方法手段、组织实施、进度安排等。收集项目立项依据、相关会议纪要、实施方案</w:t>
      </w:r>
      <w:r>
        <w:rPr>
          <w:rFonts w:hint="eastAsia" w:ascii="方正仿宋_GBK" w:hAnsi="方正仿宋_GBK" w:eastAsia="方正仿宋_GBK" w:cs="方正仿宋_GBK"/>
          <w:bCs/>
          <w:color w:val="auto"/>
          <w:sz w:val="32"/>
          <w:szCs w:val="32"/>
          <w:lang w:eastAsia="zh-CN"/>
        </w:rPr>
        <w:t>、</w:t>
      </w:r>
      <w:r>
        <w:rPr>
          <w:rFonts w:hint="eastAsia" w:ascii="方正仿宋_GBK" w:hAnsi="方正仿宋_GBK" w:eastAsia="方正仿宋_GBK" w:cs="方正仿宋_GBK"/>
          <w:bCs/>
          <w:color w:val="auto"/>
          <w:sz w:val="32"/>
          <w:szCs w:val="32"/>
        </w:rPr>
        <w:t>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Cs/>
          <w:color w:val="auto"/>
          <w:sz w:val="32"/>
          <w:szCs w:val="32"/>
          <w:lang w:val="en-US" w:eastAsia="zh-CN"/>
        </w:rPr>
        <w:t>3.</w:t>
      </w:r>
      <w:r>
        <w:rPr>
          <w:rFonts w:hint="eastAsia" w:ascii="方正仿宋_GBK" w:hAnsi="方正仿宋_GBK" w:eastAsia="方正仿宋_GBK" w:cs="方正仿宋_GBK"/>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三、综合评价情况及评价结论</w:t>
      </w:r>
      <w:bookmarkEnd w:id="8"/>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lang w:eastAsia="zh-CN"/>
        </w:rPr>
      </w:pPr>
      <w:bookmarkStart w:id="9" w:name="_Toc68703835"/>
      <w:r>
        <w:rPr>
          <w:rFonts w:hint="eastAsia" w:ascii="方正楷体_GBK" w:hAnsi="方正楷体_GBK" w:eastAsia="方正楷体_GBK" w:cs="方正楷体_GBK"/>
          <w:b w:val="0"/>
          <w:bCs w:val="0"/>
          <w:sz w:val="32"/>
          <w:szCs w:val="32"/>
        </w:rPr>
        <w:t>（一）综合评价情况</w:t>
      </w:r>
      <w:bookmarkEnd w:id="9"/>
      <w:r>
        <w:rPr>
          <w:rFonts w:hint="eastAsia" w:ascii="方正楷体_GBK" w:hAnsi="方正楷体_GBK" w:eastAsia="方正楷体_GBK" w:cs="方正楷体_GBK"/>
          <w:b w:val="0"/>
          <w:bCs w:val="0"/>
          <w:sz w:val="32"/>
          <w:szCs w:val="32"/>
          <w:lang w:eastAsia="zh-CN"/>
        </w:rPr>
        <w:t>及评价结论</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kern w:val="28"/>
          <w:sz w:val="32"/>
          <w:szCs w:val="32"/>
          <w:lang w:val="en-US" w:eastAsia="zh-CN" w:bidi="ar-SA"/>
        </w:rPr>
      </w:pPr>
      <w:r>
        <w:rPr>
          <w:rFonts w:hint="eastAsia" w:ascii="方正仿宋_GBK" w:hAnsi="方正仿宋_GBK" w:eastAsia="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rPr>
        <w:t>综合评价情况</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（上年结转）2022年度自治区药品抽检经费评价项目严格按照</w:t>
      </w:r>
      <w:r>
        <w:rPr>
          <w:rFonts w:hint="eastAsia" w:ascii="方正仿宋_GBK" w:hAnsi="方正仿宋_GBK" w:eastAsia="方正仿宋_GBK" w:cs="方正仿宋_GBK"/>
          <w:bCs/>
          <w:color w:val="auto"/>
          <w:kern w:val="0"/>
          <w:sz w:val="32"/>
          <w:szCs w:val="32"/>
        </w:rPr>
        <w:t>科学公正、统筹兼顾、激励约束、公开透明的</w:t>
      </w:r>
      <w:r>
        <w:rPr>
          <w:rFonts w:hint="eastAsia" w:ascii="方正仿宋_GBK" w:hAnsi="方正仿宋_GBK" w:eastAsia="方正仿宋_GBK" w:cs="方正仿宋_GBK"/>
          <w:color w:val="auto"/>
          <w:sz w:val="32"/>
          <w:szCs w:val="32"/>
        </w:rPr>
        <w:t>绩效评价原则，采用</w:t>
      </w:r>
      <w:r>
        <w:rPr>
          <w:rFonts w:hint="eastAsia" w:ascii="方正仿宋_GBK" w:hAnsi="方正仿宋_GBK" w:eastAsia="方正仿宋_GBK" w:cs="方正仿宋_GBK"/>
          <w:color w:val="auto"/>
          <w:spacing w:val="17"/>
          <w:sz w:val="32"/>
          <w:szCs w:val="32"/>
        </w:rPr>
        <w:t>比较法</w:t>
      </w:r>
      <w:r>
        <w:rPr>
          <w:rFonts w:hint="eastAsia" w:ascii="方正仿宋_GBK" w:hAnsi="方正仿宋_GBK" w:eastAsia="方正仿宋_GBK" w:cs="方正仿宋_GBK"/>
          <w:color w:val="auto"/>
          <w:sz w:val="32"/>
          <w:szCs w:val="32"/>
        </w:rPr>
        <w:t>，坚持</w:t>
      </w:r>
      <w:r>
        <w:rPr>
          <w:rFonts w:hint="eastAsia" w:ascii="方正仿宋_GBK" w:hAnsi="方正仿宋_GBK" w:eastAsia="方正仿宋_GBK" w:cs="方正仿宋_GBK"/>
          <w:color w:val="auto"/>
          <w:spacing w:val="17"/>
          <w:sz w:val="32"/>
          <w:szCs w:val="32"/>
          <w:lang w:val="en-US" w:eastAsia="zh-CN"/>
        </w:rPr>
        <w:t>计划</w:t>
      </w:r>
      <w:r>
        <w:rPr>
          <w:rFonts w:hint="eastAsia" w:ascii="方正仿宋_GBK" w:hAnsi="方正仿宋_GBK" w:eastAsia="方正仿宋_GBK" w:cs="方正仿宋_GBK"/>
          <w:color w:val="auto"/>
          <w:spacing w:val="17"/>
          <w:sz w:val="32"/>
          <w:szCs w:val="32"/>
        </w:rPr>
        <w:t>标准</w:t>
      </w:r>
      <w:r>
        <w:rPr>
          <w:rFonts w:hint="eastAsia" w:ascii="方正仿宋_GBK" w:hAnsi="方正仿宋_GBK" w:eastAsia="方正仿宋_GBK" w:cs="方正仿宋_GBK"/>
          <w:color w:val="auto"/>
          <w:sz w:val="32"/>
          <w:szCs w:val="32"/>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bookmarkStart w:id="10" w:name="_Toc68703836"/>
      <w:r>
        <w:rPr>
          <w:rFonts w:hint="eastAsia" w:ascii="方正仿宋_GBK" w:hAnsi="方正仿宋_GBK" w:eastAsia="方正仿宋_GBK" w:cs="方正仿宋_GBK"/>
          <w:b w:val="0"/>
          <w:bCs w:val="0"/>
          <w:color w:val="auto"/>
          <w:sz w:val="32"/>
          <w:szCs w:val="32"/>
          <w:lang w:val="en-US" w:eastAsia="zh-CN"/>
        </w:rPr>
        <w:t>2.</w:t>
      </w:r>
      <w:r>
        <w:rPr>
          <w:rFonts w:hint="eastAsia" w:ascii="方正仿宋_GBK" w:hAnsi="方正仿宋_GBK" w:eastAsia="方正仿宋_GBK" w:cs="方正仿宋_GBK"/>
          <w:b w:val="0"/>
          <w:bCs w:val="0"/>
          <w:color w:val="auto"/>
          <w:sz w:val="32"/>
          <w:szCs w:val="32"/>
        </w:rPr>
        <w:t>评价结论</w:t>
      </w:r>
      <w:bookmarkEnd w:id="10"/>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方正仿宋_GBK" w:hAnsi="方正仿宋_GBK" w:eastAsia="方正仿宋_GBK" w:cs="方正仿宋_GBK"/>
          <w:b w:val="0"/>
          <w:bCs w:val="0"/>
          <w:color w:val="auto"/>
          <w:sz w:val="32"/>
          <w:szCs w:val="32"/>
          <w:highlight w:val="none"/>
        </w:rPr>
        <w:t>总得分为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 xml:space="preserve">分，属于“优”。其中，项目决策类指标权重为20分，得分为 </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 xml:space="preserve">分，得分率为 </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%。项目过程类指标权重为20分，得分为</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%。项目产出类指标权重为40分，得分为</w:t>
      </w:r>
      <w:r>
        <w:rPr>
          <w:rFonts w:hint="eastAsia" w:ascii="方正仿宋_GBK" w:hAnsi="方正仿宋_GBK" w:eastAsia="方正仿宋_GBK" w:cs="方正仿宋_GBK"/>
          <w:b w:val="0"/>
          <w:bCs w:val="0"/>
          <w:color w:val="auto"/>
          <w:sz w:val="32"/>
          <w:szCs w:val="32"/>
          <w:highlight w:val="none"/>
          <w:lang w:val="en-US" w:eastAsia="zh-CN"/>
        </w:rPr>
        <w:t>40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%。项目效益类指标权重为20分，得分为</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highlight w:val="none"/>
          <w:lang w:eastAsia="zh-CN"/>
        </w:rPr>
      </w:pPr>
      <w:r>
        <w:rPr>
          <w:rFonts w:hint="eastAsia" w:ascii="方正楷体_GBK" w:hAnsi="方正楷体_GBK" w:eastAsia="方正楷体_GBK" w:cs="方正楷体_GBK"/>
          <w:b w:val="0"/>
          <w:bCs w:val="0"/>
          <w:sz w:val="32"/>
          <w:szCs w:val="32"/>
          <w:highlight w:val="none"/>
        </w:rPr>
        <w:t>（</w:t>
      </w:r>
      <w:r>
        <w:rPr>
          <w:rFonts w:hint="eastAsia" w:ascii="方正楷体_GBK" w:hAnsi="方正楷体_GBK" w:eastAsia="方正楷体_GBK" w:cs="方正楷体_GBK"/>
          <w:b w:val="0"/>
          <w:bCs w:val="0"/>
          <w:sz w:val="32"/>
          <w:szCs w:val="32"/>
          <w:highlight w:val="none"/>
          <w:lang w:eastAsia="zh-CN"/>
        </w:rPr>
        <w:t>二</w:t>
      </w:r>
      <w:r>
        <w:rPr>
          <w:rFonts w:hint="eastAsia" w:ascii="方正楷体_GBK" w:hAnsi="方正楷体_GBK" w:eastAsia="方正楷体_GBK" w:cs="方正楷体_GBK"/>
          <w:b w:val="0"/>
          <w:bCs w:val="0"/>
          <w:sz w:val="32"/>
          <w:szCs w:val="32"/>
          <w:highlight w:val="none"/>
        </w:rPr>
        <w:t>）</w:t>
      </w:r>
      <w:r>
        <w:rPr>
          <w:rFonts w:hint="eastAsia" w:ascii="方正楷体_GBK" w:hAnsi="方正楷体_GBK" w:eastAsia="方正楷体_GBK" w:cs="方正楷体_GBK"/>
          <w:b w:val="0"/>
          <w:bCs w:val="0"/>
          <w:sz w:val="32"/>
          <w:szCs w:val="32"/>
          <w:highlight w:val="none"/>
          <w:lang w:eastAsia="zh-CN"/>
        </w:rPr>
        <w:t>相关评分表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highlight w:val="none"/>
          <w:lang w:eastAsia="zh-CN"/>
        </w:rPr>
      </w:pPr>
      <w:r>
        <w:rPr>
          <w:rFonts w:hint="eastAsia" w:ascii="方正仿宋_GBK" w:hAnsi="方正仿宋_GBK" w:eastAsia="方正仿宋_GBK" w:cs="方正仿宋_GBK"/>
          <w:b w:val="0"/>
          <w:bCs w:val="0"/>
          <w:sz w:val="32"/>
          <w:szCs w:val="32"/>
          <w:highlight w:val="none"/>
        </w:rPr>
        <w:t>具体打分情况详见：附件1综合评分表</w:t>
      </w:r>
      <w:r>
        <w:rPr>
          <w:rFonts w:hint="eastAsia" w:ascii="方正仿宋_GBK" w:hAnsi="方正仿宋_GBK" w:eastAsia="方正仿宋_GBK" w:cs="方正仿宋_GBK"/>
          <w:b w:val="0"/>
          <w:bCs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560" w:firstLineChars="200"/>
        <w:jc w:val="center"/>
        <w:textAlignment w:val="auto"/>
        <w:rPr>
          <w:color w:val="auto"/>
          <w:sz w:val="28"/>
          <w:szCs w:val="22"/>
        </w:rPr>
      </w:pPr>
      <w:r>
        <w:rPr>
          <w:rFonts w:hint="eastAsia" w:ascii="方正仿宋_GBK" w:hAnsi="方正仿宋_GBK" w:eastAsia="方正仿宋_GBK" w:cs="方正仿宋_GBK"/>
          <w:color w:val="auto"/>
          <w:sz w:val="28"/>
          <w:szCs w:val="28"/>
          <w:lang w:eastAsia="zh-CN"/>
        </w:rPr>
        <w:t>（上年结转）2022年度自治区药品抽检经费</w:t>
      </w:r>
      <w:r>
        <w:rPr>
          <w:rFonts w:hint="eastAsia" w:ascii="方正仿宋_GBK" w:hAnsi="方正仿宋_GBK" w:eastAsia="方正仿宋_GBK" w:cs="方正仿宋_GBK"/>
          <w:color w:val="auto"/>
          <w:sz w:val="28"/>
          <w:szCs w:val="28"/>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lang w:val="en-US" w:eastAsia="zh-CN"/>
              </w:rPr>
            </w:pPr>
            <w:r>
              <w:rPr>
                <w:rFonts w:hint="eastAsia" w:ascii="方正仿宋_GBK" w:hAnsi="方正仿宋_GBK" w:eastAsia="方正仿宋_GBK" w:cs="方正仿宋_GBK"/>
                <w:b/>
                <w:bCs/>
                <w:color w:val="000000"/>
                <w:sz w:val="28"/>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b/>
                <w:bCs/>
                <w:color w:val="000000"/>
                <w:sz w:val="28"/>
                <w:szCs w:val="32"/>
                <w:lang w:val="en-US" w:eastAsia="zh-CN"/>
              </w:rPr>
            </w:pPr>
            <w:r>
              <w:rPr>
                <w:rFonts w:hint="eastAsia" w:ascii="方正仿宋_GBK" w:hAnsi="方正仿宋_GBK" w:eastAsia="方正仿宋_GBK" w:cs="方正仿宋_GBK"/>
                <w:b/>
                <w:bCs/>
                <w:color w:val="000000"/>
                <w:sz w:val="28"/>
                <w:szCs w:val="32"/>
                <w:lang w:val="en-US" w:eastAsia="zh-CN"/>
              </w:rPr>
              <w:t>100</w:t>
            </w:r>
          </w:p>
        </w:tc>
      </w:tr>
    </w:tbl>
    <w:p>
      <w:pPr>
        <w:pStyle w:val="10"/>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11" w:name="_Toc68703837"/>
      <w:r>
        <w:rPr>
          <w:rFonts w:hint="eastAsia" w:ascii="方正黑体_GBK" w:hAnsi="方正黑体_GBK" w:eastAsia="方正黑体_GBK" w:cs="方正黑体_GBK"/>
          <w:b w:val="0"/>
          <w:bCs w:val="0"/>
          <w:sz w:val="32"/>
          <w:szCs w:val="32"/>
        </w:rPr>
        <w:t>四、绩效评价指标分析</w:t>
      </w:r>
      <w:bookmarkEnd w:id="11"/>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2" w:name="_Toc68703838"/>
      <w:r>
        <w:rPr>
          <w:rFonts w:hint="eastAsia" w:ascii="方正楷体_GBK" w:hAnsi="方正楷体_GBK" w:eastAsia="方正楷体_GBK" w:cs="方正楷体_GBK"/>
          <w:b w:val="0"/>
          <w:bCs w:val="0"/>
          <w:sz w:val="32"/>
          <w:szCs w:val="32"/>
        </w:rPr>
        <w:t>（一）项目决策情况。</w:t>
      </w:r>
      <w:bookmarkEnd w:id="12"/>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立项依据充分性</w:t>
      </w:r>
    </w:p>
    <w:p>
      <w:pPr>
        <w:shd w:val="clear"/>
        <w:spacing w:line="600" w:lineRule="exact"/>
        <w:ind w:firstLine="640" w:firstLineChars="200"/>
        <w:outlineLvl w:val="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rPr>
        <w:t>项目立项依据</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新财行【2022】297号《</w:t>
      </w:r>
      <w:r>
        <w:rPr>
          <w:rFonts w:hint="eastAsia" w:ascii="方正仿宋_GBK" w:hAnsi="方正仿宋_GBK" w:eastAsia="方正仿宋_GBK" w:cs="方正仿宋_GBK"/>
          <w:color w:val="auto"/>
          <w:sz w:val="32"/>
          <w:szCs w:val="32"/>
          <w:highlight w:val="none"/>
          <w:lang w:val="en-US" w:eastAsia="zh-CN"/>
        </w:rPr>
        <w:t>关于拨付</w:t>
      </w:r>
      <w:r>
        <w:rPr>
          <w:rFonts w:hint="eastAsia" w:ascii="方正仿宋_GBK" w:hAnsi="方正仿宋_GBK" w:eastAsia="方正仿宋_GBK" w:cs="方正仿宋_GBK"/>
          <w:color w:val="auto"/>
          <w:sz w:val="32"/>
          <w:szCs w:val="32"/>
          <w:highlight w:val="none"/>
          <w:lang w:eastAsia="zh-CN"/>
        </w:rPr>
        <w:t>2022年度自治区药品抽检经费</w:t>
      </w:r>
      <w:r>
        <w:rPr>
          <w:rFonts w:hint="eastAsia" w:ascii="方正仿宋_GBK" w:hAnsi="方正仿宋_GBK" w:eastAsia="方正仿宋_GBK" w:cs="方正仿宋_GBK"/>
          <w:color w:val="auto"/>
          <w:sz w:val="32"/>
          <w:szCs w:val="32"/>
          <w:highlight w:val="none"/>
        </w:rPr>
        <w:t>的通知》</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该项目立项符合国家相关法律法规及发展政策，符合行业规划要求，</w:t>
      </w:r>
      <w:r>
        <w:rPr>
          <w:rFonts w:hint="eastAsia" w:ascii="方正仿宋_GBK" w:hAnsi="方正仿宋_GBK" w:eastAsia="方正仿宋_GBK" w:cs="方正仿宋_GBK"/>
          <w:color w:val="auto"/>
          <w:sz w:val="32"/>
          <w:szCs w:val="32"/>
          <w:highlight w:val="none"/>
        </w:rPr>
        <w:t>与部门职责范围相符，属于部门履职所需</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属于公共财政支持范围，符合中央、地方事权支出责任划分原则</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本项目与部门内部其他相关项目不重</w:t>
      </w:r>
      <w:r>
        <w:rPr>
          <w:rFonts w:hint="eastAsia" w:ascii="方正仿宋_GBK" w:hAnsi="方正仿宋_GBK" w:eastAsia="方正仿宋_GBK" w:cs="方正仿宋_GBK"/>
          <w:color w:val="auto"/>
          <w:sz w:val="32"/>
          <w:szCs w:val="32"/>
          <w:highlight w:val="none"/>
          <w:lang w:val="en-US" w:eastAsia="zh-CN"/>
        </w:rPr>
        <w:t>复。</w:t>
      </w:r>
    </w:p>
    <w:p>
      <w:pPr>
        <w:shd w:val="clear"/>
        <w:spacing w:line="600" w:lineRule="exact"/>
        <w:ind w:firstLine="640" w:firstLineChars="200"/>
        <w:outlineLvl w:val="0"/>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立项程序规范性</w:t>
      </w:r>
    </w:p>
    <w:p>
      <w:pPr>
        <w:shd w:val="clear"/>
        <w:spacing w:line="600" w:lineRule="exact"/>
        <w:ind w:firstLine="640" w:firstLineChars="200"/>
        <w:outlineLvl w:val="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lang w:val="en-US" w:eastAsia="zh-CN"/>
        </w:rPr>
        <w:t>（上年结转）2022年度自治区药品抽检经费评价</w:t>
      </w:r>
      <w:r>
        <w:rPr>
          <w:rFonts w:hint="eastAsia" w:ascii="方正仿宋_GBK" w:hAnsi="方正仿宋_GBK" w:eastAsia="方正仿宋_GBK" w:cs="方正仿宋_GBK"/>
          <w:sz w:val="32"/>
          <w:szCs w:val="32"/>
        </w:rPr>
        <w:t>项目申请、设立过程符合相关要求，</w:t>
      </w:r>
      <w:r>
        <w:rPr>
          <w:rFonts w:hint="eastAsia" w:ascii="方正仿宋_GBK" w:hAnsi="方正仿宋_GBK" w:eastAsia="方正仿宋_GBK" w:cs="方正仿宋_GBK"/>
          <w:sz w:val="32"/>
          <w:szCs w:val="32"/>
          <w:lang w:eastAsia="zh-Hans"/>
        </w:rPr>
        <w:t>严格按照审批流程准备符合要求的文件、材料；</w:t>
      </w:r>
      <w:r>
        <w:rPr>
          <w:rFonts w:hint="eastAsia" w:ascii="方正仿宋_GBK" w:hAnsi="方正仿宋_GBK" w:eastAsia="方正仿宋_GBK" w:cs="方正仿宋_GBK"/>
          <w:sz w:val="32"/>
          <w:szCs w:val="32"/>
          <w:lang w:val="en-US" w:eastAsia="zh-CN"/>
        </w:rPr>
        <w:t>根据决算依据编制工作计划和经费预算，经过与部门项目分管领导沟通、筛选确定经费预算计划，确定最终预算方案。项目的审批文件、</w:t>
      </w:r>
      <w:r>
        <w:rPr>
          <w:rFonts w:hint="eastAsia" w:ascii="方正仿宋_GBK" w:hAnsi="方正仿宋_GBK" w:eastAsia="方正仿宋_GBK" w:cs="方正仿宋_GBK"/>
          <w:sz w:val="32"/>
          <w:szCs w:val="32"/>
          <w:highlight w:val="none"/>
          <w:lang w:val="en-US" w:eastAsia="zh-CN"/>
        </w:rPr>
        <w:t>材料符合相关要求，项目事前经过必要的</w:t>
      </w:r>
      <w:r>
        <w:rPr>
          <w:rFonts w:hint="eastAsia" w:ascii="方正仿宋_GBK" w:hAnsi="方正仿宋_GBK" w:eastAsia="方正仿宋_GBK" w:cs="方正仿宋_GBK"/>
          <w:color w:val="auto"/>
          <w:sz w:val="32"/>
          <w:szCs w:val="32"/>
          <w:highlight w:val="none"/>
          <w:lang w:val="en-US" w:eastAsia="zh-CN"/>
        </w:rPr>
        <w:t>绩效评估、集体决策，保障了程序的规范性。</w:t>
      </w:r>
    </w:p>
    <w:p>
      <w:pPr>
        <w:shd w:val="clear"/>
        <w:spacing w:line="600" w:lineRule="exact"/>
        <w:ind w:firstLine="640" w:firstLineChars="200"/>
        <w:outlineLvl w:val="0"/>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绩效目标合理性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highlight w:val="none"/>
          <w:lang w:eastAsia="zh-CN"/>
        </w:rPr>
        <w:t>（上年结转）2022年度自治区药品抽检经费</w:t>
      </w:r>
      <w:r>
        <w:rPr>
          <w:rFonts w:hint="eastAsia" w:ascii="方正仿宋_GBK" w:hAnsi="方正仿宋_GBK" w:eastAsia="方正仿宋_GBK" w:cs="方正仿宋_GBK"/>
          <w:color w:val="auto"/>
          <w:sz w:val="32"/>
          <w:szCs w:val="32"/>
          <w:highlight w:val="none"/>
        </w:rPr>
        <w:t>项目设立了项目绩效目标，与</w:t>
      </w:r>
      <w:r>
        <w:rPr>
          <w:rFonts w:hint="eastAsia" w:ascii="方正仿宋_GBK" w:hAnsi="方正仿宋_GBK" w:eastAsia="方正仿宋_GBK" w:cs="方正仿宋_GBK"/>
          <w:sz w:val="32"/>
          <w:szCs w:val="32"/>
          <w:highlight w:val="none"/>
          <w:lang w:val="en-US" w:eastAsia="zh-CN"/>
        </w:rPr>
        <w:t>参加药品安全知识竞赛，经行药品抽检，交叉检查，举办业务培训</w:t>
      </w:r>
      <w:r>
        <w:rPr>
          <w:rFonts w:hint="eastAsia" w:ascii="方正仿宋_GBK" w:hAnsi="方正仿宋_GBK" w:eastAsia="方正仿宋_GBK" w:cs="方正仿宋_GBK"/>
          <w:color w:val="auto"/>
          <w:sz w:val="32"/>
          <w:szCs w:val="32"/>
          <w:highlight w:val="none"/>
          <w:lang w:eastAsia="zh-CN"/>
        </w:rPr>
        <w:t>等</w:t>
      </w:r>
      <w:r>
        <w:rPr>
          <w:rFonts w:hint="eastAsia" w:ascii="方正仿宋_GBK" w:hAnsi="方正仿宋_GBK" w:eastAsia="方正仿宋_GBK" w:cs="方正仿宋_GBK"/>
          <w:color w:val="auto"/>
          <w:sz w:val="32"/>
          <w:szCs w:val="32"/>
          <w:highlight w:val="none"/>
        </w:rPr>
        <w:t>具</w:t>
      </w:r>
      <w:r>
        <w:rPr>
          <w:rFonts w:hint="eastAsia" w:ascii="方正仿宋_GBK" w:hAnsi="方正仿宋_GBK" w:eastAsia="方正仿宋_GBK" w:cs="方正仿宋_GBK"/>
          <w:color w:val="auto"/>
          <w:sz w:val="32"/>
          <w:szCs w:val="32"/>
        </w:rPr>
        <w:t>有相关性，项目的预期产出效益和效果也均能符合正常的业绩水平，并且与预算确定的项目投资额相匹配。</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绩效指标明确性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bookmarkStart w:id="13" w:name="_Hlk68699917"/>
      <w:r>
        <w:rPr>
          <w:rFonts w:hint="eastAsia" w:ascii="方正仿宋_GBK" w:hAnsi="方正仿宋_GBK" w:eastAsia="方正仿宋_GBK" w:cs="方正仿宋_GBK"/>
          <w:color w:val="auto"/>
          <w:sz w:val="32"/>
          <w:szCs w:val="32"/>
          <w:lang w:eastAsia="zh-CN"/>
        </w:rPr>
        <w:t>（上年结转）2022年度自治区药品抽检经费</w:t>
      </w:r>
      <w:r>
        <w:rPr>
          <w:rFonts w:hint="eastAsia" w:ascii="方正仿宋_GBK" w:hAnsi="方正仿宋_GBK" w:eastAsia="方正仿宋_GBK" w:cs="方正仿宋_GBK"/>
          <w:color w:val="auto"/>
          <w:sz w:val="32"/>
          <w:szCs w:val="32"/>
        </w:rPr>
        <w:t>项目将项目绩效目标细化分解为具体的绩效指标，一级指标共</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条，二级指标共</w:t>
      </w:r>
      <w:r>
        <w:rPr>
          <w:rFonts w:hint="eastAsia" w:ascii="方正仿宋_GBK" w:hAnsi="方正仿宋_GBK" w:eastAsia="方正仿宋_GBK" w:cs="方正仿宋_GBK"/>
          <w:color w:val="auto"/>
          <w:sz w:val="32"/>
          <w:szCs w:val="32"/>
          <w:lang w:val="en-US" w:eastAsia="zh-CN"/>
        </w:rPr>
        <w:t>6</w:t>
      </w:r>
      <w:r>
        <w:rPr>
          <w:rFonts w:hint="eastAsia" w:ascii="方正仿宋_GBK" w:hAnsi="方正仿宋_GBK" w:eastAsia="方正仿宋_GBK" w:cs="方正仿宋_GBK"/>
          <w:color w:val="auto"/>
          <w:sz w:val="32"/>
          <w:szCs w:val="32"/>
        </w:rPr>
        <w:t>条，三级指标共</w:t>
      </w:r>
      <w:r>
        <w:rPr>
          <w:rFonts w:hint="eastAsia" w:ascii="方正仿宋_GBK" w:hAnsi="方正仿宋_GBK" w:eastAsia="方正仿宋_GBK" w:cs="方正仿宋_GBK"/>
          <w:color w:val="auto"/>
          <w:sz w:val="32"/>
          <w:szCs w:val="32"/>
          <w:lang w:val="en-US" w:eastAsia="zh-CN"/>
        </w:rPr>
        <w:t>24</w:t>
      </w:r>
      <w:r>
        <w:rPr>
          <w:rFonts w:hint="eastAsia" w:ascii="方正仿宋_GBK" w:hAnsi="方正仿宋_GBK" w:eastAsia="方正仿宋_GBK" w:cs="方正仿宋_GBK"/>
          <w:color w:val="auto"/>
          <w:sz w:val="32"/>
          <w:szCs w:val="32"/>
        </w:rPr>
        <w:t>条，其中量化指标条数共</w:t>
      </w:r>
      <w:r>
        <w:rPr>
          <w:rFonts w:hint="eastAsia" w:ascii="方正仿宋_GBK" w:hAnsi="方正仿宋_GBK" w:eastAsia="方正仿宋_GBK" w:cs="方正仿宋_GBK"/>
          <w:color w:val="auto"/>
          <w:sz w:val="32"/>
          <w:szCs w:val="32"/>
          <w:lang w:val="en-US" w:eastAsia="zh-CN"/>
        </w:rPr>
        <w:t>22</w:t>
      </w:r>
      <w:r>
        <w:rPr>
          <w:rFonts w:hint="eastAsia" w:ascii="方正仿宋_GBK" w:hAnsi="方正仿宋_GBK" w:eastAsia="方正仿宋_GBK" w:cs="方正仿宋_GBK"/>
          <w:color w:val="auto"/>
          <w:sz w:val="32"/>
          <w:szCs w:val="32"/>
        </w:rPr>
        <w:t>条，所有绩效指标均通过清晰、可衡量的指标值予以体现，并且做到了与项目目标任务数相对应。</w:t>
      </w:r>
      <w:bookmarkEnd w:id="13"/>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预算编制科学性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资金分配合理性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资金分配额度与项目单位实际工作内容相适应，资金分配额度合理，资金分配依据充分。</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此项权重分2分，得分2分。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4" w:name="_Toc68703839"/>
      <w:r>
        <w:rPr>
          <w:rFonts w:hint="eastAsia" w:ascii="方正楷体_GBK" w:hAnsi="方正楷体_GBK" w:eastAsia="方正楷体_GBK" w:cs="方正楷体_GBK"/>
          <w:b w:val="0"/>
          <w:bCs w:val="0"/>
          <w:sz w:val="32"/>
          <w:szCs w:val="32"/>
        </w:rPr>
        <w:t>（二）项目过程情况。</w:t>
      </w:r>
      <w:bookmarkEnd w:id="14"/>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资金到位率：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预算资金</w:t>
      </w:r>
      <w:r>
        <w:rPr>
          <w:rFonts w:hint="eastAsia" w:ascii="方正仿宋_GBK" w:hAnsi="方正仿宋_GBK" w:eastAsia="方正仿宋_GBK" w:cs="方正仿宋_GBK"/>
          <w:color w:val="auto"/>
          <w:sz w:val="32"/>
          <w:szCs w:val="32"/>
          <w:lang w:val="en-US" w:eastAsia="zh-CN"/>
        </w:rPr>
        <w:t>11</w:t>
      </w:r>
      <w:r>
        <w:rPr>
          <w:rFonts w:hint="eastAsia" w:ascii="方正仿宋_GBK" w:hAnsi="方正仿宋_GBK" w:eastAsia="方正仿宋_GBK" w:cs="方正仿宋_GBK"/>
          <w:color w:val="auto"/>
          <w:sz w:val="32"/>
          <w:szCs w:val="32"/>
        </w:rPr>
        <w:t>万元，实际到位资金</w:t>
      </w:r>
      <w:r>
        <w:rPr>
          <w:rFonts w:hint="eastAsia" w:ascii="方正仿宋_GBK" w:hAnsi="方正仿宋_GBK" w:eastAsia="方正仿宋_GBK" w:cs="方正仿宋_GBK"/>
          <w:color w:val="auto"/>
          <w:sz w:val="32"/>
          <w:szCs w:val="32"/>
          <w:lang w:val="en-US" w:eastAsia="zh-CN"/>
        </w:rPr>
        <w:t>11</w:t>
      </w:r>
      <w:r>
        <w:rPr>
          <w:rFonts w:hint="eastAsia" w:ascii="方正仿宋_GBK" w:hAnsi="方正仿宋_GBK" w:eastAsia="方正仿宋_GBK" w:cs="方正仿宋_GBK"/>
          <w:color w:val="auto"/>
          <w:sz w:val="32"/>
          <w:szCs w:val="32"/>
        </w:rPr>
        <w:t>万元，资金到位率</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预算执行率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年初预算数</w:t>
      </w:r>
      <w:r>
        <w:rPr>
          <w:rFonts w:hint="eastAsia" w:ascii="方正仿宋_GBK" w:hAnsi="方正仿宋_GBK" w:eastAsia="方正仿宋_GBK" w:cs="方正仿宋_GBK"/>
          <w:color w:val="auto"/>
          <w:sz w:val="32"/>
          <w:szCs w:val="32"/>
          <w:lang w:val="en-US" w:eastAsia="zh-CN"/>
        </w:rPr>
        <w:t>11</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11</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11</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资金使用合规性</w:t>
      </w:r>
    </w:p>
    <w:p>
      <w:pPr>
        <w:pStyle w:val="1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项目严格按照预期绩效目标执行预算资金。制定了《巴州市场监督管理局财务管理办法》和《巴州市场监督管理局预算绩效目标管理办法》等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管理制度健全性</w:t>
      </w:r>
    </w:p>
    <w:p>
      <w:pPr>
        <w:pStyle w:val="1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制定了</w:t>
      </w:r>
      <w:r>
        <w:rPr>
          <w:rFonts w:hint="eastAsia" w:ascii="方正仿宋_GBK" w:hAnsi="方正仿宋_GBK" w:eastAsia="方正仿宋_GBK" w:cs="方正仿宋_GBK"/>
          <w:b w:val="0"/>
          <w:bCs w:val="0"/>
          <w:color w:val="auto"/>
          <w:sz w:val="32"/>
          <w:szCs w:val="32"/>
          <w:highlight w:val="none"/>
        </w:rPr>
        <w:t>《巴州市场监督管理局财务管理</w:t>
      </w:r>
      <w:r>
        <w:rPr>
          <w:rFonts w:hint="eastAsia" w:ascii="方正仿宋_GBK" w:hAnsi="方正仿宋_GBK" w:eastAsia="方正仿宋_GBK" w:cs="方正仿宋_GBK"/>
          <w:b w:val="0"/>
          <w:bCs w:val="0"/>
          <w:color w:val="auto"/>
          <w:sz w:val="32"/>
          <w:szCs w:val="32"/>
          <w:highlight w:val="none"/>
          <w:lang w:eastAsia="zh-CN"/>
        </w:rPr>
        <w:t>办法</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和</w:t>
      </w:r>
      <w:r>
        <w:rPr>
          <w:rFonts w:hint="eastAsia" w:ascii="方正仿宋_GBK" w:hAnsi="方正仿宋_GBK" w:eastAsia="方正仿宋_GBK" w:cs="方正仿宋_GBK"/>
          <w:b w:val="0"/>
          <w:bCs w:val="0"/>
          <w:color w:val="auto"/>
          <w:sz w:val="32"/>
          <w:szCs w:val="32"/>
          <w:highlight w:val="none"/>
        </w:rPr>
        <w:t>《巴州市场监督管理局</w:t>
      </w:r>
      <w:r>
        <w:rPr>
          <w:rFonts w:hint="eastAsia" w:ascii="方正仿宋_GBK" w:hAnsi="方正仿宋_GBK" w:eastAsia="方正仿宋_GBK" w:cs="方正仿宋_GBK"/>
          <w:b w:val="0"/>
          <w:bCs w:val="0"/>
          <w:color w:val="auto"/>
          <w:sz w:val="32"/>
          <w:szCs w:val="32"/>
          <w:highlight w:val="none"/>
          <w:lang w:eastAsia="zh-CN"/>
        </w:rPr>
        <w:t>预算绩效目标</w:t>
      </w:r>
      <w:r>
        <w:rPr>
          <w:rFonts w:hint="eastAsia" w:ascii="方正仿宋_GBK" w:hAnsi="方正仿宋_GBK" w:eastAsia="方正仿宋_GBK" w:cs="方正仿宋_GBK"/>
          <w:b w:val="0"/>
          <w:bCs w:val="0"/>
          <w:color w:val="auto"/>
          <w:sz w:val="32"/>
          <w:szCs w:val="32"/>
          <w:highlight w:val="none"/>
        </w:rPr>
        <w:t>管理办法</w:t>
      </w:r>
      <w:r>
        <w:rPr>
          <w:rFonts w:hint="eastAsia" w:ascii="方正仿宋_GBK" w:hAnsi="方正仿宋_GBK" w:eastAsia="方正仿宋_GBK" w:cs="方正仿宋_GBK"/>
          <w:b w:val="0"/>
          <w:bCs w:val="0"/>
          <w:color w:val="auto"/>
          <w:sz w:val="32"/>
          <w:szCs w:val="32"/>
          <w:highlight w:val="none"/>
          <w:lang w:eastAsia="zh-CN"/>
        </w:rPr>
        <w:t>》等</w:t>
      </w:r>
      <w:r>
        <w:rPr>
          <w:rFonts w:hint="eastAsia" w:ascii="方正仿宋_GBK" w:hAnsi="方正仿宋_GBK" w:eastAsia="方正仿宋_GBK" w:cs="方正仿宋_GBK"/>
          <w:b w:val="0"/>
          <w:bCs w:val="0"/>
          <w:color w:val="auto"/>
          <w:sz w:val="32"/>
          <w:szCs w:val="32"/>
          <w:highlight w:val="none"/>
          <w:lang w:val="en-US" w:eastAsia="zh-CN"/>
        </w:rPr>
        <w:t>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制度执行有效性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5" w:name="_Toc68703840"/>
      <w:r>
        <w:rPr>
          <w:rFonts w:hint="eastAsia" w:ascii="方正楷体_GBK" w:hAnsi="方正楷体_GBK" w:eastAsia="方正楷体_GBK" w:cs="方正楷体_GBK"/>
          <w:color w:val="auto"/>
          <w:sz w:val="32"/>
          <w:szCs w:val="32"/>
          <w:highlight w:val="none"/>
          <w:lang w:val="en-US" w:eastAsia="zh-CN"/>
        </w:rPr>
        <w:t>（三）</w:t>
      </w:r>
      <w:r>
        <w:rPr>
          <w:rFonts w:hint="eastAsia" w:ascii="方正楷体_GBK" w:hAnsi="方正楷体_GBK" w:eastAsia="方正楷体_GBK" w:cs="方正楷体_GBK"/>
          <w:b w:val="0"/>
          <w:bCs w:val="0"/>
          <w:color w:val="auto"/>
          <w:sz w:val="32"/>
          <w:szCs w:val="32"/>
          <w:highlight w:val="none"/>
        </w:rPr>
        <w:t>项目产出情况。</w:t>
      </w:r>
      <w:bookmarkEnd w:id="15"/>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数量指标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：指标1：药品抽检批次，指标值：&gt;=8批次，实际完成值</w:t>
      </w:r>
      <w:r>
        <w:rPr>
          <w:rFonts w:hint="eastAsia" w:ascii="方正仿宋_GBK" w:hAnsi="方正仿宋_GBK" w:eastAsia="方正仿宋_GBK" w:cs="方正仿宋_GBK"/>
          <w:color w:val="auto"/>
          <w:sz w:val="32"/>
          <w:szCs w:val="32"/>
          <w:lang w:val="en-US" w:eastAsia="zh-CN"/>
        </w:rPr>
        <w:t>8批</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%；指标2：参加药品安全知识竞赛，指标值=</w:t>
      </w:r>
      <w:r>
        <w:rPr>
          <w:rFonts w:hint="eastAsia" w:ascii="方正仿宋_GBK" w:hAnsi="方正仿宋_GBK" w:eastAsia="方正仿宋_GBK" w:cs="方正仿宋_GBK"/>
          <w:color w:val="auto"/>
          <w:sz w:val="32"/>
          <w:szCs w:val="32"/>
          <w:lang w:val="en-US" w:eastAsia="zh-CN"/>
        </w:rPr>
        <w:t>1次</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1次</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；指标</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lang w:eastAsia="zh-CN"/>
        </w:rPr>
        <w:t>：业务出差次数，指标值：&gt;=</w:t>
      </w:r>
      <w:r>
        <w:rPr>
          <w:rFonts w:hint="eastAsia" w:ascii="方正仿宋_GBK" w:hAnsi="方正仿宋_GBK" w:eastAsia="方正仿宋_GBK" w:cs="方正仿宋_GBK"/>
          <w:color w:val="auto"/>
          <w:sz w:val="32"/>
          <w:szCs w:val="32"/>
          <w:lang w:val="en-US" w:eastAsia="zh-CN"/>
        </w:rPr>
        <w:t>10次</w:t>
      </w:r>
      <w:r>
        <w:rPr>
          <w:rFonts w:hint="eastAsia" w:ascii="方正仿宋_GBK" w:hAnsi="方正仿宋_GBK" w:eastAsia="方正仿宋_GBK" w:cs="方正仿宋_GBK"/>
          <w:color w:val="auto"/>
          <w:sz w:val="32"/>
          <w:szCs w:val="32"/>
          <w:lang w:eastAsia="zh-CN"/>
        </w:rPr>
        <w:t>，实际完成值</w:t>
      </w:r>
      <w:r>
        <w:rPr>
          <w:rFonts w:hint="eastAsia" w:ascii="方正仿宋_GBK" w:hAnsi="方正仿宋_GBK" w:eastAsia="方正仿宋_GBK" w:cs="方正仿宋_GBK"/>
          <w:color w:val="auto"/>
          <w:sz w:val="32"/>
          <w:szCs w:val="32"/>
          <w:lang w:val="en-US" w:eastAsia="zh-CN"/>
        </w:rPr>
        <w:t>10次</w:t>
      </w:r>
      <w:r>
        <w:rPr>
          <w:rFonts w:hint="eastAsia" w:ascii="方正仿宋_GBK" w:hAnsi="方正仿宋_GBK" w:eastAsia="方正仿宋_GBK" w:cs="方正仿宋_GBK"/>
          <w:color w:val="auto"/>
          <w:sz w:val="32"/>
          <w:szCs w:val="32"/>
          <w:lang w:eastAsia="zh-CN"/>
        </w:rPr>
        <w:t>，指标完成率100.00%</w:t>
      </w:r>
      <w:r>
        <w:rPr>
          <w:rFonts w:hint="eastAsia" w:ascii="方正仿宋_GBK" w:hAnsi="方正仿宋_GBK" w:eastAsia="方正仿宋_GBK" w:cs="方正仿宋_GBK"/>
          <w:color w:val="auto"/>
          <w:sz w:val="32"/>
          <w:szCs w:val="32"/>
          <w:lang w:val="en-US" w:eastAsia="zh-CN"/>
        </w:rPr>
        <w:t>；指标4：质量互查次数，指标值：=1次，实际完成值1次，指标完成率100.00%；指标5：购置材料批次，指标值：&gt;=2批，实际完成值2批，指标完成率100.00%；指标6：聘请专家讲课，指标值：=1次，实际完成值1次，指标完成率100.00%；指标7：业务培训天数，指标值：&gt;=8天，实际完成值8天，指标完成率100.00%；指标8：业务培训次数，指标值：&gt;=2次，实际完成值2次，指标完成率100.00%；指标9：业务培训人数，指标值：&gt;=102人，实际完成值102人，指标完成率100.00%</w:t>
      </w:r>
      <w:r>
        <w:rPr>
          <w:rFonts w:hint="eastAsia" w:ascii="方正仿宋_GBK" w:hAnsi="方正仿宋_GBK" w:eastAsia="方正仿宋_GBK" w:cs="方正仿宋_GBK"/>
          <w:color w:val="auto"/>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质量指标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：指标1：药品生产企业检查覆盖率，指标值：&gt;=9</w:t>
      </w:r>
      <w:r>
        <w:rPr>
          <w:rFonts w:hint="eastAsia" w:ascii="方正仿宋_GBK" w:hAnsi="方正仿宋_GBK" w:eastAsia="方正仿宋_GBK" w:cs="方正仿宋_GBK"/>
          <w:color w:val="auto"/>
          <w:sz w:val="32"/>
          <w:szCs w:val="32"/>
          <w:lang w:val="en-US" w:eastAsia="zh-CN"/>
        </w:rPr>
        <w:t>0</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111.11</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偏差原因：年初设置的质量指标值较为保守，本年完成较好，造成偏差</w:t>
      </w:r>
      <w:r>
        <w:rPr>
          <w:rFonts w:hint="eastAsia" w:ascii="方正仿宋_GBK" w:hAnsi="方正仿宋_GBK" w:eastAsia="方正仿宋_GBK" w:cs="方正仿宋_GBK"/>
          <w:color w:val="auto"/>
          <w:sz w:val="32"/>
          <w:szCs w:val="32"/>
        </w:rPr>
        <w:t>；指标2：业务培训出勤率，指标值：&gt;=90%，实际完成值100%，指标完成率111.11%，偏差原因：年初设置的质量指标值较为保守，本年完成较好，造成偏差；指标</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：材料购置合格率，指标值：&gt;=95%，实际完成值100%，指标完成率105.26%</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偏差原因：年初设置的质量指标值较为保守，本年完成较好，造成偏差</w:t>
      </w:r>
      <w:r>
        <w:rPr>
          <w:rFonts w:hint="eastAsia" w:ascii="方正仿宋_GBK" w:hAnsi="方正仿宋_GBK" w:eastAsia="方正仿宋_GBK" w:cs="方正仿宋_GBK"/>
          <w:color w:val="auto"/>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时效指标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：指标1：参加药品安全知识竞赛按时完成率：&gt;=95%，实际完成值100%，指标完成率105.26%，偏差原因：年初设置的</w:t>
      </w:r>
      <w:r>
        <w:rPr>
          <w:rFonts w:hint="eastAsia" w:ascii="方正仿宋_GBK" w:hAnsi="方正仿宋_GBK" w:eastAsia="方正仿宋_GBK" w:cs="方正仿宋_GBK"/>
          <w:color w:val="auto"/>
          <w:sz w:val="32"/>
          <w:szCs w:val="32"/>
          <w:lang w:val="en-US" w:eastAsia="zh-CN"/>
        </w:rPr>
        <w:t>时效</w:t>
      </w:r>
      <w:r>
        <w:rPr>
          <w:rFonts w:hint="eastAsia" w:ascii="方正仿宋_GBK" w:hAnsi="方正仿宋_GBK" w:eastAsia="方正仿宋_GBK" w:cs="方正仿宋_GBK"/>
          <w:color w:val="auto"/>
          <w:sz w:val="32"/>
          <w:szCs w:val="32"/>
        </w:rPr>
        <w:t>指标值较为保守，本年完成较好，造成偏差；指标2：业务培训按时完成率，指标值：&gt;=95%，实际完成值100%，指标完成率105.26%，偏差原因：年初设置的时效指标值较为保守，本年完成较好，造成偏差；指标3：购置材料按时完成率，指标值：&gt;=95%，实际完成值100%，指标完成率105.26%，偏差原因：年初设置的时效指标值较为保守，本年完成较好，造成偏差。</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val="en-US" w:eastAsia="zh-CN"/>
        </w:rPr>
        <w:t>4.经济成本指标完成情况</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rPr>
        <w:t>指标1：举办业务培训成本，指标值：&lt;=</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4万元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：聘请专家讲课成本，指标值：&lt;=</w:t>
      </w:r>
      <w:r>
        <w:rPr>
          <w:rFonts w:hint="eastAsia" w:ascii="方正仿宋_GBK" w:hAnsi="方正仿宋_GBK" w:eastAsia="方正仿宋_GBK" w:cs="方正仿宋_GBK"/>
          <w:color w:val="auto"/>
          <w:sz w:val="32"/>
          <w:szCs w:val="32"/>
          <w:lang w:val="en-US" w:eastAsia="zh-CN"/>
        </w:rPr>
        <w:t>0.5</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0.5万元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：业务出差成本，指标值：&lt;=</w:t>
      </w:r>
      <w:r>
        <w:rPr>
          <w:rFonts w:hint="eastAsia" w:ascii="方正仿宋_GBK" w:hAnsi="方正仿宋_GBK" w:eastAsia="方正仿宋_GBK" w:cs="方正仿宋_GBK"/>
          <w:color w:val="auto"/>
          <w:sz w:val="32"/>
          <w:szCs w:val="32"/>
          <w:lang w:val="en-US" w:eastAsia="zh-CN"/>
        </w:rPr>
        <w:t>0.7</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0.7万元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：药品安全知识竞赛保障经费，指标值：&lt;=</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1万元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5</w:t>
      </w:r>
      <w:r>
        <w:rPr>
          <w:rFonts w:hint="eastAsia" w:ascii="方正仿宋_GBK" w:hAnsi="方正仿宋_GBK" w:eastAsia="方正仿宋_GBK" w:cs="方正仿宋_GBK"/>
          <w:color w:val="auto"/>
          <w:sz w:val="32"/>
          <w:szCs w:val="32"/>
        </w:rPr>
        <w:t>：质量互查成本，指标值：&lt;=</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万元，指标完成率100.00%</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6</w:t>
      </w:r>
      <w:r>
        <w:rPr>
          <w:rFonts w:hint="eastAsia" w:ascii="方正仿宋_GBK" w:hAnsi="方正仿宋_GBK" w:eastAsia="方正仿宋_GBK" w:cs="方正仿宋_GBK"/>
          <w:color w:val="auto"/>
          <w:sz w:val="32"/>
          <w:szCs w:val="32"/>
        </w:rPr>
        <w:t>：材料购置成本，指标值：&lt;=</w:t>
      </w:r>
      <w:r>
        <w:rPr>
          <w:rFonts w:hint="eastAsia" w:ascii="方正仿宋_GBK" w:hAnsi="方正仿宋_GBK" w:eastAsia="方正仿宋_GBK" w:cs="方正仿宋_GBK"/>
          <w:color w:val="auto"/>
          <w:sz w:val="32"/>
          <w:szCs w:val="32"/>
          <w:lang w:val="en-US" w:eastAsia="zh-CN"/>
        </w:rPr>
        <w:t>2.8</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2.8万元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eastAsia="zh-CN"/>
        </w:rPr>
        <w:t>此项权重分10分，得分10分。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color w:val="auto"/>
          <w:sz w:val="32"/>
          <w:szCs w:val="32"/>
          <w:highlight w:val="none"/>
        </w:rPr>
      </w:pPr>
      <w:bookmarkStart w:id="16" w:name="_Toc68703841"/>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四</w:t>
      </w:r>
      <w:r>
        <w:rPr>
          <w:rFonts w:hint="eastAsia" w:ascii="方正仿宋_GBK" w:hAnsi="方正仿宋_GBK" w:eastAsia="方正仿宋_GBK" w:cs="方正仿宋_GBK"/>
          <w:b w:val="0"/>
          <w:bCs w:val="0"/>
          <w:color w:val="auto"/>
          <w:sz w:val="32"/>
          <w:szCs w:val="32"/>
          <w:highlight w:val="none"/>
        </w:rPr>
        <w:t>）项目效益情况。</w:t>
      </w:r>
      <w:bookmarkEnd w:id="16"/>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default" w:ascii="方正仿宋_GBK" w:hAnsi="方正仿宋_GBK" w:eastAsia="方正仿宋_GBK" w:cs="方正仿宋_GBK"/>
          <w:color w:val="auto"/>
          <w:sz w:val="32"/>
          <w:szCs w:val="32"/>
          <w:highlight w:val="none"/>
          <w:lang w:val="en-US" w:eastAsia="zh-CN"/>
        </w:rPr>
        <w:t>1</w:t>
      </w:r>
      <w:r>
        <w:rPr>
          <w:rFonts w:hint="eastAsia" w:ascii="方正仿宋_GBK" w:hAnsi="方正仿宋_GBK" w:eastAsia="方正仿宋_GBK" w:cs="方正仿宋_GBK"/>
          <w:color w:val="auto"/>
          <w:sz w:val="32"/>
          <w:szCs w:val="32"/>
          <w:highlight w:val="none"/>
          <w:lang w:val="en-US" w:eastAsia="zh-CN"/>
        </w:rPr>
        <w:t>.</w:t>
      </w:r>
      <w:r>
        <w:rPr>
          <w:rFonts w:hint="eastAsia" w:ascii="方正仿宋_GBK" w:hAnsi="方正仿宋_GBK" w:eastAsia="方正仿宋_GBK" w:cs="方正仿宋_GBK"/>
          <w:color w:val="auto"/>
          <w:sz w:val="32"/>
          <w:szCs w:val="32"/>
          <w:highlight w:val="none"/>
        </w:rPr>
        <w:t>社会效益指标</w:t>
      </w:r>
      <w:r>
        <w:rPr>
          <w:rFonts w:hint="eastAsia" w:ascii="方正仿宋_GBK" w:hAnsi="方正仿宋_GBK" w:eastAsia="方正仿宋_GBK" w:cs="方正仿宋_GBK"/>
          <w:color w:val="auto"/>
          <w:sz w:val="32"/>
          <w:szCs w:val="32"/>
          <w:highlight w:val="none"/>
          <w:lang w:eastAsia="zh-CN"/>
        </w:rPr>
        <w:t>完成情况</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rPr>
        <w:t>指标1：两品一械”总体安全水平，指标值：不断提高，实际完成值</w:t>
      </w:r>
      <w:r>
        <w:rPr>
          <w:rFonts w:hint="eastAsia" w:ascii="方正仿宋_GBK" w:hAnsi="方正仿宋_GBK" w:eastAsia="方正仿宋_GBK" w:cs="方正仿宋_GBK"/>
          <w:color w:val="auto"/>
          <w:sz w:val="32"/>
          <w:szCs w:val="32"/>
          <w:lang w:val="en-US" w:eastAsia="zh-CN"/>
        </w:rPr>
        <w:t>达成目标</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%；指标2：假冒伪劣产品制售行为，指标值：</w:t>
      </w:r>
      <w:r>
        <w:rPr>
          <w:rFonts w:hint="eastAsia" w:ascii="方正仿宋_GBK" w:hAnsi="方正仿宋_GBK" w:eastAsia="方正仿宋_GBK" w:cs="方正仿宋_GBK"/>
          <w:color w:val="auto"/>
          <w:sz w:val="32"/>
          <w:szCs w:val="32"/>
          <w:lang w:val="en-US" w:eastAsia="zh-CN"/>
        </w:rPr>
        <w:t>不断降低</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达成目标</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eastAsia="zh-CN"/>
        </w:rPr>
        <w:t>此项权重分</w:t>
      </w:r>
      <w:r>
        <w:rPr>
          <w:rFonts w:hint="eastAsia" w:ascii="方正仿宋_GBK" w:hAnsi="方正仿宋_GBK" w:eastAsia="方正仿宋_GBK" w:cs="方正仿宋_GBK"/>
          <w:color w:val="auto"/>
          <w:sz w:val="32"/>
          <w:szCs w:val="32"/>
          <w:highlight w:val="none"/>
          <w:lang w:val="en-US" w:eastAsia="zh-CN"/>
        </w:rPr>
        <w:t>10</w:t>
      </w:r>
      <w:r>
        <w:rPr>
          <w:rFonts w:hint="eastAsia" w:ascii="方正仿宋_GBK" w:hAnsi="方正仿宋_GBK" w:eastAsia="方正仿宋_GBK" w:cs="方正仿宋_GBK"/>
          <w:color w:val="auto"/>
          <w:sz w:val="32"/>
          <w:szCs w:val="32"/>
          <w:highlight w:val="none"/>
          <w:lang w:eastAsia="zh-CN"/>
        </w:rPr>
        <w:t>分，得分</w:t>
      </w:r>
      <w:r>
        <w:rPr>
          <w:rFonts w:hint="eastAsia" w:ascii="方正仿宋_GBK" w:hAnsi="方正仿宋_GBK" w:eastAsia="方正仿宋_GBK" w:cs="方正仿宋_GBK"/>
          <w:color w:val="auto"/>
          <w:sz w:val="32"/>
          <w:szCs w:val="32"/>
          <w:highlight w:val="none"/>
          <w:lang w:val="en-US" w:eastAsia="zh-CN"/>
        </w:rPr>
        <w:t>10</w:t>
      </w:r>
      <w:r>
        <w:rPr>
          <w:rFonts w:hint="eastAsia" w:ascii="方正仿宋_GBK" w:hAnsi="方正仿宋_GBK" w:eastAsia="方正仿宋_GBK" w:cs="方正仿宋_GBK"/>
          <w:color w:val="auto"/>
          <w:sz w:val="32"/>
          <w:szCs w:val="32"/>
          <w:highlight w:val="none"/>
          <w:lang w:eastAsia="zh-CN"/>
        </w:rPr>
        <w:t>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highlight w:val="none"/>
          <w:lang w:val="en-US" w:eastAsia="zh-CN"/>
        </w:rPr>
        <w:t>2.</w:t>
      </w:r>
      <w:r>
        <w:rPr>
          <w:rFonts w:hint="eastAsia" w:ascii="方正仿宋_GBK" w:hAnsi="方正仿宋_GBK" w:eastAsia="方正仿宋_GBK" w:cs="方正仿宋_GBK"/>
          <w:color w:val="auto"/>
          <w:sz w:val="32"/>
          <w:szCs w:val="32"/>
          <w:highlight w:val="none"/>
        </w:rPr>
        <w:t>满意度指标</w:t>
      </w:r>
      <w:r>
        <w:rPr>
          <w:rFonts w:hint="eastAsia" w:ascii="方正仿宋_GBK" w:hAnsi="方正仿宋_GBK" w:eastAsia="方正仿宋_GBK" w:cs="方正仿宋_GBK"/>
          <w:color w:val="auto"/>
          <w:sz w:val="32"/>
          <w:szCs w:val="32"/>
          <w:highlight w:val="none"/>
          <w:lang w:eastAsia="zh-CN"/>
        </w:rPr>
        <w:t>完成情况分析</w:t>
      </w:r>
      <w:r>
        <w:rPr>
          <w:rFonts w:hint="eastAsia" w:ascii="方正仿宋_GBK" w:hAnsi="方正仿宋_GBK" w:eastAsia="方正仿宋_GBK" w:cs="方正仿宋_GBK"/>
          <w:color w:val="auto"/>
          <w:sz w:val="32"/>
          <w:szCs w:val="32"/>
          <w:highlight w:val="none"/>
        </w:rPr>
        <w:t>：指标1：公众对药品监管满意度，指标值：&gt;=90%，实际完成值</w:t>
      </w:r>
      <w:r>
        <w:rPr>
          <w:rFonts w:hint="eastAsia" w:ascii="方正仿宋_GBK" w:hAnsi="方正仿宋_GBK" w:eastAsia="方正仿宋_GBK" w:cs="方正仿宋_GBK"/>
          <w:color w:val="auto"/>
          <w:sz w:val="32"/>
          <w:szCs w:val="32"/>
          <w:highlight w:val="none"/>
          <w:lang w:val="en-US" w:eastAsia="zh-CN"/>
        </w:rPr>
        <w:t>98.9</w:t>
      </w:r>
      <w:r>
        <w:rPr>
          <w:rFonts w:hint="eastAsia" w:ascii="方正仿宋_GBK" w:hAnsi="方正仿宋_GBK" w:eastAsia="方正仿宋_GBK" w:cs="方正仿宋_GBK"/>
          <w:color w:val="auto"/>
          <w:sz w:val="32"/>
          <w:szCs w:val="32"/>
          <w:highlight w:val="none"/>
        </w:rPr>
        <w:t>%，指标完成率1</w:t>
      </w:r>
      <w:r>
        <w:rPr>
          <w:rFonts w:hint="eastAsia" w:ascii="方正仿宋_GBK" w:hAnsi="方正仿宋_GBK" w:eastAsia="方正仿宋_GBK" w:cs="方正仿宋_GBK"/>
          <w:color w:val="auto"/>
          <w:sz w:val="32"/>
          <w:szCs w:val="32"/>
          <w:highlight w:val="none"/>
          <w:lang w:val="en-US" w:eastAsia="zh-CN"/>
        </w:rPr>
        <w:t>09.89</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CN"/>
        </w:rPr>
        <w:t>，偏差原因：年初设置的</w:t>
      </w:r>
      <w:r>
        <w:rPr>
          <w:rFonts w:hint="eastAsia" w:ascii="方正仿宋_GBK" w:hAnsi="方正仿宋_GBK" w:eastAsia="方正仿宋_GBK" w:cs="方正仿宋_GBK"/>
          <w:color w:val="auto"/>
          <w:sz w:val="32"/>
          <w:szCs w:val="32"/>
          <w:highlight w:val="none"/>
          <w:lang w:val="en-US" w:eastAsia="zh-CN"/>
        </w:rPr>
        <w:t>满意度</w:t>
      </w:r>
      <w:r>
        <w:rPr>
          <w:rFonts w:hint="eastAsia" w:ascii="方正仿宋_GBK" w:hAnsi="方正仿宋_GBK" w:eastAsia="方正仿宋_GBK" w:cs="方正仿宋_GBK"/>
          <w:color w:val="auto"/>
          <w:sz w:val="32"/>
          <w:szCs w:val="32"/>
          <w:highlight w:val="none"/>
          <w:lang w:eastAsia="zh-CN"/>
        </w:rPr>
        <w:t>指标值较为保守，本年完成较好，造成偏差。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green"/>
        </w:rPr>
      </w:pPr>
      <w:r>
        <w:rPr>
          <w:rFonts w:hint="eastAsia" w:ascii="方正仿宋_GBK" w:hAnsi="方正仿宋_GBK" w:eastAsia="方正仿宋_GBK" w:cs="方正仿宋_GBK"/>
          <w:color w:val="auto"/>
          <w:sz w:val="32"/>
          <w:szCs w:val="32"/>
          <w:lang w:eastAsia="zh-CN"/>
        </w:rPr>
        <w:t>此项权重分</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lang w:eastAsia="zh-CN"/>
        </w:rPr>
        <w:t>分，得分</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lang w:eastAsia="zh-CN"/>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Hans"/>
        </w:rPr>
      </w:pPr>
      <w:bookmarkStart w:id="17" w:name="_Toc68703842"/>
      <w:r>
        <w:rPr>
          <w:rFonts w:hint="eastAsia" w:ascii="方正仿宋_GBK" w:hAnsi="方正仿宋_GBK" w:eastAsia="方正仿宋_GBK" w:cs="方正仿宋_GBK"/>
          <w:color w:val="auto"/>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（上年结转）2022年度自治区药品抽检经费</w:t>
      </w:r>
      <w:r>
        <w:rPr>
          <w:rFonts w:hint="eastAsia" w:ascii="方正仿宋_GBK" w:hAnsi="方正仿宋_GBK" w:eastAsia="方正仿宋_GBK" w:cs="方正仿宋_GBK"/>
          <w:color w:val="auto"/>
          <w:sz w:val="32"/>
          <w:szCs w:val="32"/>
          <w:highlight w:val="none"/>
        </w:rPr>
        <w:t>项目年初预算</w:t>
      </w:r>
      <w:r>
        <w:rPr>
          <w:rFonts w:hint="eastAsia" w:ascii="方正仿宋_GBK" w:hAnsi="方正仿宋_GBK" w:eastAsia="方正仿宋_GBK" w:cs="方正仿宋_GBK"/>
          <w:color w:val="auto"/>
          <w:sz w:val="32"/>
          <w:szCs w:val="32"/>
          <w:highlight w:val="none"/>
          <w:lang w:val="en-US" w:eastAsia="zh-CN"/>
        </w:rPr>
        <w:t>11</w:t>
      </w:r>
      <w:r>
        <w:rPr>
          <w:rFonts w:hint="eastAsia" w:ascii="方正仿宋_GBK" w:hAnsi="方正仿宋_GBK" w:eastAsia="方正仿宋_GBK" w:cs="方正仿宋_GBK"/>
          <w:color w:val="auto"/>
          <w:sz w:val="32"/>
          <w:szCs w:val="32"/>
          <w:highlight w:val="none"/>
        </w:rPr>
        <w:t>万元，全年预算</w:t>
      </w:r>
      <w:r>
        <w:rPr>
          <w:rFonts w:hint="eastAsia" w:ascii="方正仿宋_GBK" w:hAnsi="方正仿宋_GBK" w:eastAsia="方正仿宋_GBK" w:cs="方正仿宋_GBK"/>
          <w:color w:val="auto"/>
          <w:sz w:val="32"/>
          <w:szCs w:val="32"/>
          <w:highlight w:val="none"/>
          <w:lang w:val="en-US" w:eastAsia="zh-CN"/>
        </w:rPr>
        <w:t>11</w:t>
      </w:r>
      <w:r>
        <w:rPr>
          <w:rFonts w:hint="eastAsia" w:ascii="方正仿宋_GBK" w:hAnsi="方正仿宋_GBK" w:eastAsia="方正仿宋_GBK" w:cs="方正仿宋_GBK"/>
          <w:color w:val="auto"/>
          <w:sz w:val="32"/>
          <w:szCs w:val="32"/>
          <w:highlight w:val="none"/>
        </w:rPr>
        <w:t>万元，实际支出</w:t>
      </w:r>
      <w:r>
        <w:rPr>
          <w:rFonts w:hint="eastAsia" w:ascii="方正仿宋_GBK" w:hAnsi="方正仿宋_GBK" w:eastAsia="方正仿宋_GBK" w:cs="方正仿宋_GBK"/>
          <w:color w:val="auto"/>
          <w:sz w:val="32"/>
          <w:szCs w:val="32"/>
          <w:highlight w:val="none"/>
          <w:lang w:val="en-US" w:eastAsia="zh-CN"/>
        </w:rPr>
        <w:t>11</w:t>
      </w:r>
      <w:r>
        <w:rPr>
          <w:rFonts w:hint="eastAsia" w:ascii="方正仿宋_GBK" w:hAnsi="方正仿宋_GBK" w:eastAsia="方正仿宋_GBK" w:cs="方正仿宋_GBK"/>
          <w:color w:val="auto"/>
          <w:sz w:val="32"/>
          <w:szCs w:val="32"/>
          <w:highlight w:val="none"/>
        </w:rPr>
        <w:t>万元，预算执行率为</w:t>
      </w:r>
      <w:r>
        <w:rPr>
          <w:rFonts w:hint="eastAsia" w:ascii="方正仿宋_GBK" w:hAnsi="方正仿宋_GBK" w:eastAsia="方正仿宋_GBK" w:cs="方正仿宋_GBK"/>
          <w:color w:val="auto"/>
          <w:sz w:val="32"/>
          <w:szCs w:val="32"/>
          <w:highlight w:val="none"/>
          <w:lang w:val="en-US" w:eastAsia="zh-CN"/>
        </w:rPr>
        <w:t>100</w:t>
      </w:r>
      <w:r>
        <w:rPr>
          <w:rFonts w:hint="eastAsia" w:ascii="方正仿宋_GBK" w:hAnsi="方正仿宋_GBK" w:eastAsia="方正仿宋_GBK" w:cs="方正仿宋_GBK"/>
          <w:color w:val="auto"/>
          <w:sz w:val="32"/>
          <w:szCs w:val="32"/>
          <w:highlight w:val="none"/>
        </w:rPr>
        <w:t>%，项目绩效指标总体完成率为</w:t>
      </w:r>
      <w:r>
        <w:rPr>
          <w:rFonts w:hint="eastAsia" w:ascii="方正仿宋_GBK" w:hAnsi="方正仿宋_GBK" w:eastAsia="方正仿宋_GBK" w:cs="方正仿宋_GBK"/>
          <w:color w:val="auto"/>
          <w:sz w:val="32"/>
          <w:szCs w:val="32"/>
          <w:highlight w:val="none"/>
          <w:lang w:val="en-US" w:eastAsia="zh-CN"/>
        </w:rPr>
        <w:t>102.21</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Hans"/>
        </w:rPr>
        <w:t>总体</w:t>
      </w:r>
      <w:r>
        <w:rPr>
          <w:rFonts w:hint="eastAsia" w:ascii="方正仿宋_GBK" w:hAnsi="方正仿宋_GBK" w:eastAsia="方正仿宋_GBK" w:cs="方正仿宋_GBK"/>
          <w:color w:val="auto"/>
          <w:sz w:val="32"/>
          <w:szCs w:val="32"/>
          <w:highlight w:val="none"/>
        </w:rPr>
        <w:t>偏差率为</w:t>
      </w:r>
      <w:r>
        <w:rPr>
          <w:rFonts w:hint="eastAsia" w:ascii="方正仿宋_GBK" w:hAnsi="方正仿宋_GBK" w:eastAsia="方正仿宋_GBK" w:cs="方正仿宋_GBK"/>
          <w:color w:val="auto"/>
          <w:sz w:val="32"/>
          <w:szCs w:val="32"/>
          <w:highlight w:val="none"/>
          <w:lang w:val="en-US" w:eastAsia="zh-CN"/>
        </w:rPr>
        <w:t>2.21</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Hans"/>
        </w:rPr>
        <w:t>偏差</w:t>
      </w:r>
      <w:r>
        <w:rPr>
          <w:rFonts w:hint="eastAsia" w:ascii="方正仿宋_GBK" w:hAnsi="方正仿宋_GBK" w:eastAsia="方正仿宋_GBK" w:cs="方正仿宋_GBK"/>
          <w:color w:val="auto"/>
          <w:sz w:val="32"/>
          <w:szCs w:val="32"/>
          <w:highlight w:val="none"/>
        </w:rPr>
        <w:t>原因</w:t>
      </w:r>
      <w:r>
        <w:rPr>
          <w:rFonts w:hint="eastAsia" w:ascii="方正仿宋_GBK" w:hAnsi="方正仿宋_GBK" w:eastAsia="方正仿宋_GBK" w:cs="方正仿宋_GBK"/>
          <w:color w:val="auto"/>
          <w:sz w:val="32"/>
          <w:szCs w:val="32"/>
          <w:highlight w:val="none"/>
          <w:lang w:val="en-US" w:eastAsia="zh-CN"/>
        </w:rPr>
        <w:t>年初设置的质量指标和满意度指标绩效目标值偏低，项目实际完成较好，造成偏差；</w:t>
      </w:r>
      <w:r>
        <w:rPr>
          <w:rFonts w:hint="eastAsia" w:ascii="方正仿宋_GBK" w:hAnsi="方正仿宋_GBK" w:eastAsia="方正仿宋_GBK" w:cs="方正仿宋_GBK"/>
          <w:color w:val="auto"/>
          <w:sz w:val="32"/>
          <w:szCs w:val="32"/>
          <w:highlight w:val="none"/>
          <w:lang w:eastAsia="zh-Hans"/>
        </w:rPr>
        <w:t>改进</w:t>
      </w:r>
      <w:r>
        <w:rPr>
          <w:rFonts w:hint="eastAsia" w:ascii="方正仿宋_GBK" w:hAnsi="方正仿宋_GBK" w:eastAsia="方正仿宋_GBK" w:cs="方正仿宋_GBK"/>
          <w:color w:val="auto"/>
          <w:sz w:val="32"/>
          <w:szCs w:val="32"/>
          <w:highlight w:val="none"/>
        </w:rPr>
        <w:t>措施</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下年根据历史经验精准设置绩效目标值，减少偏差</w:t>
      </w:r>
      <w:r>
        <w:rPr>
          <w:rFonts w:hint="eastAsia" w:ascii="方正仿宋_GBK" w:hAnsi="方正仿宋_GBK" w:eastAsia="方正仿宋_GBK" w:cs="方正仿宋_GBK"/>
          <w:color w:val="auto"/>
          <w:sz w:val="32"/>
          <w:szCs w:val="32"/>
          <w:highlight w:val="none"/>
        </w:rPr>
        <w:t>。</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六</w:t>
      </w:r>
      <w:r>
        <w:rPr>
          <w:rFonts w:hint="eastAsia" w:ascii="方正仿宋_GBK" w:hAnsi="方正仿宋_GBK" w:eastAsia="方正仿宋_GBK" w:cs="方正仿宋_GBK"/>
          <w:color w:val="auto"/>
          <w:sz w:val="32"/>
          <w:szCs w:val="32"/>
        </w:rPr>
        <w:t>、主要经验及做法、存在的问题及原因分析</w:t>
      </w:r>
      <w:bookmarkEnd w:id="1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bookmarkStart w:id="18" w:name="_Toc68703843"/>
      <w:r>
        <w:rPr>
          <w:rFonts w:hint="eastAsia" w:ascii="方正仿宋_GBK" w:hAnsi="方正仿宋_GBK" w:eastAsia="方正仿宋_GBK" w:cs="方正仿宋_GBK"/>
          <w:b w:val="0"/>
          <w:bCs w:val="0"/>
          <w:color w:val="auto"/>
          <w:sz w:val="32"/>
          <w:szCs w:val="32"/>
        </w:rPr>
        <w:t>（一）主要经验及做法</w:t>
      </w:r>
      <w:bookmarkEnd w:id="18"/>
    </w:p>
    <w:p>
      <w:pPr>
        <w:pStyle w:val="10"/>
        <w:spacing w:before="0" w:after="0" w:line="560" w:lineRule="exact"/>
        <w:ind w:firstLine="640" w:firstLineChars="200"/>
        <w:jc w:val="left"/>
        <w:rPr>
          <w:rFonts w:hint="eastAsia" w:ascii="方正仿宋_GBK" w:hAnsi="方正仿宋_GBK" w:eastAsia="方正仿宋_GBK" w:cs="方正仿宋_GBK"/>
          <w:b w:val="0"/>
          <w:bCs w:val="0"/>
          <w:color w:val="auto"/>
          <w:kern w:val="2"/>
          <w:sz w:val="32"/>
          <w:szCs w:val="32"/>
        </w:rPr>
      </w:pPr>
      <w:bookmarkStart w:id="19" w:name="_Toc68703844"/>
      <w:r>
        <w:rPr>
          <w:rFonts w:hint="eastAsia" w:ascii="方正仿宋_GBK" w:hAnsi="方正仿宋_GBK" w:eastAsia="方正仿宋_GBK" w:cs="方正仿宋_GBK"/>
          <w:b w:val="0"/>
          <w:bCs w:val="0"/>
          <w:color w:val="auto"/>
          <w:kern w:val="2"/>
          <w:sz w:val="32"/>
          <w:szCs w:val="32"/>
        </w:rPr>
        <w:t>严格坚持先做事、后验收、再拨付的原则，基本杜绝了资金被挤占和挪用现象的发生，跟踪检查到位。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rPr>
        <w:t>（二）存在的问题及原因分析</w:t>
      </w:r>
      <w:bookmarkEnd w:id="19"/>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bookmarkStart w:id="20" w:name="_Toc68703845"/>
      <w:r>
        <w:rPr>
          <w:rFonts w:hint="eastAsia" w:ascii="方正仿宋_GBK" w:hAnsi="方正仿宋_GBK" w:eastAsia="方正仿宋_GBK" w:cs="方正仿宋_GBK"/>
          <w:color w:val="auto"/>
          <w:sz w:val="32"/>
          <w:szCs w:val="32"/>
          <w:highlight w:val="none"/>
          <w:lang w:val="en-US" w:eastAsia="zh-CN"/>
        </w:rPr>
        <w:t>由于缺少专业人员缺乏必要的内部监督机制对内部控制的监控力度不够,监督考核机制不到位。财务审计科肩负内审与会计职能,主要是发挥执行机构,单位监督机构只能由其他部门担任。由于党建和纪检也是同属一个部门兼任，实际情况是人员少精力有限权威性和独立性不够,对内部审计和监督工作无法胜任和发挥最大作用。内部审计仅限于对财务控制的监督,缺乏对内部空制的设计和运行的有效性分析,以及做出客观公正的评价。</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lang w:val="en-US" w:eastAsia="zh-CN"/>
        </w:rPr>
        <w:t>七</w:t>
      </w:r>
      <w:r>
        <w:rPr>
          <w:rFonts w:hint="eastAsia" w:ascii="方正仿宋_GBK" w:hAnsi="方正仿宋_GBK" w:eastAsia="方正仿宋_GBK" w:cs="方正仿宋_GBK"/>
          <w:b/>
          <w:bCs/>
          <w:color w:val="auto"/>
          <w:sz w:val="32"/>
          <w:szCs w:val="32"/>
        </w:rPr>
        <w:t>、有关建议</w:t>
      </w:r>
      <w:bookmarkEnd w:id="20"/>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1.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highlight w:val="none"/>
          <w:lang w:val="en-US" w:eastAsia="zh-CN"/>
        </w:rPr>
        <w:t>2.进一步完善项目评价过程中有关数据和资料的收集、整理、审核及分析。项目启动时同步做好档案的归纳与整理，及时整理、收集、汇总，健全档案资料。项目后续管理有待进一步加强和跟踪</w:t>
      </w:r>
      <w:r>
        <w:rPr>
          <w:rFonts w:hint="eastAsia" w:ascii="方正仿宋_GBK" w:hAnsi="方正仿宋_GBK" w:eastAsia="方正仿宋_GBK" w:cs="方正仿宋_GBK"/>
          <w:color w:val="auto"/>
          <w:sz w:val="32"/>
          <w:szCs w:val="32"/>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3.进一步加强对绩效管理工作的组织领导，提高对预算绩效管理工作重要性的认识，总结经验查找问题，抓紧研究制定更全面更完善的绩效评价管理办法。结合“两品一械”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sz w:val="32"/>
          <w:szCs w:val="32"/>
        </w:rPr>
      </w:pPr>
      <w:bookmarkStart w:id="21" w:name="_Toc68703846"/>
      <w:r>
        <w:rPr>
          <w:rFonts w:hint="eastAsia" w:ascii="方正仿宋_GBK" w:hAnsi="方正仿宋_GBK" w:eastAsia="方正仿宋_GBK" w:cs="方正仿宋_GBK"/>
          <w:sz w:val="32"/>
          <w:szCs w:val="32"/>
          <w:lang w:val="en-US" w:eastAsia="zh-CN"/>
        </w:rPr>
        <w:t>八</w:t>
      </w:r>
      <w:r>
        <w:rPr>
          <w:rFonts w:hint="eastAsia" w:ascii="方正仿宋_GBK" w:hAnsi="方正仿宋_GBK" w:eastAsia="方正仿宋_GBK" w:cs="方正仿宋_GBK"/>
          <w:sz w:val="32"/>
          <w:szCs w:val="32"/>
        </w:rPr>
        <w:t>、其他需要说明的问题</w:t>
      </w:r>
      <w:bookmarkEnd w:id="21"/>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bookmarkStart w:id="22" w:name="_GoBack"/>
      <w:r>
        <w:rPr>
          <w:rFonts w:hint="eastAsia" w:ascii="方正仿宋_GBK" w:hAnsi="方正仿宋_GBK" w:eastAsia="方正仿宋_GBK" w:cs="方正仿宋_GBK"/>
          <w:color w:val="auto"/>
          <w:sz w:val="32"/>
          <w:szCs w:val="32"/>
          <w:lang w:eastAsia="zh-CN"/>
        </w:rPr>
        <w:t>本项目无其他需说明的问题。</w:t>
      </w:r>
    </w:p>
    <w:bookmarkEnd w:id="22"/>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VmYWIxYWUyN2YwZjMzY2VjOWNlYThkYjlmYjE4ND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FE632E"/>
    <w:rsid w:val="05227DA5"/>
    <w:rsid w:val="08D20D13"/>
    <w:rsid w:val="0ABC7565"/>
    <w:rsid w:val="0C4D0F1B"/>
    <w:rsid w:val="0F2A6BF7"/>
    <w:rsid w:val="14612E8F"/>
    <w:rsid w:val="149D72C0"/>
    <w:rsid w:val="193445F1"/>
    <w:rsid w:val="1D723F37"/>
    <w:rsid w:val="1D785367"/>
    <w:rsid w:val="1F4E4E8F"/>
    <w:rsid w:val="3165254F"/>
    <w:rsid w:val="32AE0DEC"/>
    <w:rsid w:val="332F6889"/>
    <w:rsid w:val="333862B5"/>
    <w:rsid w:val="36B72533"/>
    <w:rsid w:val="4057649F"/>
    <w:rsid w:val="43182414"/>
    <w:rsid w:val="46507BB3"/>
    <w:rsid w:val="495F2783"/>
    <w:rsid w:val="4A7C25BE"/>
    <w:rsid w:val="4ADD1BD8"/>
    <w:rsid w:val="4C22332E"/>
    <w:rsid w:val="4F5D1109"/>
    <w:rsid w:val="53193C5A"/>
    <w:rsid w:val="56796849"/>
    <w:rsid w:val="589C3A86"/>
    <w:rsid w:val="58C956E1"/>
    <w:rsid w:val="5DA95371"/>
    <w:rsid w:val="5E6278FB"/>
    <w:rsid w:val="68F11999"/>
    <w:rsid w:val="6F3D2D8B"/>
    <w:rsid w:val="70030F17"/>
    <w:rsid w:val="74955DE0"/>
    <w:rsid w:val="763A0251"/>
    <w:rsid w:val="7706569E"/>
    <w:rsid w:val="7BED1A05"/>
    <w:rsid w:val="7D980925"/>
    <w:rsid w:val="7E330F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napToGrid w:val="0"/>
      <w:spacing w:line="560" w:lineRule="exact"/>
      <w:jc w:val="center"/>
    </w:pPr>
    <w:rPr>
      <w:rFonts w:ascii="宋体" w:eastAsia="宋体"/>
      <w:b/>
      <w:sz w:val="44"/>
      <w:szCs w:val="24"/>
    </w:rPr>
  </w:style>
  <w:style w:type="paragraph" w:styleId="5">
    <w:name w:val="annotation text"/>
    <w:basedOn w:val="1"/>
    <w:qFormat/>
    <w:uiPriority w:val="0"/>
    <w:pPr>
      <w:jc w:val="left"/>
    </w:p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7"/>
    <w:semiHidden/>
    <w:qFormat/>
    <w:uiPriority w:val="99"/>
    <w:rPr>
      <w:rFonts w:ascii="Times New Roman" w:hAnsi="Times New Roman" w:eastAsia="仿宋_GB2312" w:cs="Times New Roman"/>
      <w:sz w:val="18"/>
      <w:szCs w:val="18"/>
    </w:rPr>
  </w:style>
  <w:style w:type="character" w:customStyle="1" w:styleId="19">
    <w:name w:val="页脚 Char"/>
    <w:basedOn w:val="12"/>
    <w:link w:val="6"/>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14</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2024-05-13T09:41:48Z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