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项目名称：市场监管综合执法业务费</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实施单位（公章）：巴州市场监督管理局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主管部门（公章）：巴州市场监督管理局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红霞</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eastAsia" w:ascii="宋体" w:hAnsi="宋体" w:eastAsia="宋体" w:cs="仿宋_GB2312"/>
          <w:b/>
          <w:bCs/>
          <w:color w:val="000000"/>
          <w:kern w:val="0"/>
          <w:sz w:val="32"/>
          <w:szCs w:val="32"/>
          <w:lang w:val="en-US" w:eastAsia="zh-CN"/>
        </w:rPr>
        <w:t>5</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7</w:t>
      </w:r>
      <w:r>
        <w:rPr>
          <w:rFonts w:hint="eastAsia" w:ascii="宋体" w:hAnsi="宋体" w:eastAsia="宋体" w:cs="仿宋_GB2312"/>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leftChars="0" w:firstLine="720" w:firstLineChars="200"/>
        <w:jc w:val="center"/>
        <w:textAlignment w:val="auto"/>
        <w:rPr>
          <w:rFonts w:ascii="Arial" w:hAnsi="Arial" w:eastAsia="宋体" w:cs="Arial"/>
          <w:b/>
          <w:bCs/>
          <w:sz w:val="36"/>
          <w:szCs w:val="36"/>
        </w:rPr>
      </w:pPr>
      <w:r>
        <w:rPr>
          <w:rFonts w:hint="eastAsia" w:ascii="方正小标宋_GBK" w:hAnsi="方正小标宋_GBK" w:eastAsia="方正小标宋_GBK" w:cs="方正小标宋_GBK"/>
          <w:b/>
          <w:bCs/>
          <w:sz w:val="36"/>
          <w:szCs w:val="36"/>
        </w:rPr>
        <w:t>项目支出绩效评价报告</w:t>
      </w:r>
    </w:p>
    <w:p>
      <w:pPr>
        <w:pageBreakBefore w:val="0"/>
        <w:kinsoku/>
        <w:wordWrap/>
        <w:overflowPunct/>
        <w:topLinePunct w:val="0"/>
        <w:autoSpaceDE/>
        <w:autoSpaceDN/>
        <w:bidi w:val="0"/>
        <w:adjustRightInd/>
        <w:snapToGrid/>
        <w:spacing w:line="560" w:lineRule="exact"/>
        <w:ind w:leftChars="0"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sz w:val="32"/>
          <w:szCs w:val="32"/>
        </w:rPr>
      </w:pPr>
      <w:bookmarkStart w:id="0" w:name="_Toc68703827"/>
      <w:r>
        <w:rPr>
          <w:rFonts w:hint="eastAsia" w:ascii="方正黑体_GBK" w:hAnsi="方正黑体_GBK" w:eastAsia="方正黑体_GBK" w:cs="方正黑体_GBK"/>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rPr>
      </w:pPr>
      <w:bookmarkStart w:id="1" w:name="_Toc68703828"/>
      <w:bookmarkStart w:id="2" w:name="OLE_LINK1"/>
      <w:r>
        <w:rPr>
          <w:rFonts w:hint="eastAsia" w:ascii="方正楷体_GBK" w:hAnsi="方正楷体_GBK" w:eastAsia="方正楷体_GBK" w:cs="方正楷体_GBK"/>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市场监督管理机制有助于提高我国经济的整体竞争力，促进企业更好的适应当下发展环境。建立较为完善的市场监督管理运营机制，加强市场监督管理人才配置，构建相对专业的市场建队管理人才队伍，有助于市场监督管理工作的发展。通过一系列市场监督管理经验积累与理论方法的推广，有助于大力推进市场监督管理的快速发展，进一步优化了市场环境，通过市场监督管理活动还满足了市场资源个性化发展与创新发展的现实需求，对于促进市场规范化经营建立市场品牌，促进市场主体履行社会责任有重要价值，为了强化食品药品监管，持续完善食品安全制度机制，加大食品安全执法力度，推进食用农产品生产取证企业转型升级，全面提高依法监管能力，维护市场价格秩序，进一步规范执法行为，推进法治建设，提升监管效能，而设立此项目。</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（2）主要内容及实施情况</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主要内容：①市场秩序执法：创作企业年报公示宣传片、编印《市场主体登记注册窗口工作指导手册》，为广大人民群众开展普法宣传，举办市场监管系统执法办案和电子取证大比武等执法业务培训7次，进一步规范执法行为，推进法治建设，提升监管效能，逐步建立了市场主体自律、政府监管、社会监督互为支撑的协同监管格局；②质量基础：申报立项地方标准发布37项，进行121家针对生产、销售方面的商户进行产品质量检查工作，完成检验报告数量121个，维护特种设备监管平台3个，租赁特种设备业务网络2个，强化计量和标准化人才培养，提高检验检测能力，实现数据信息互通共享，促进全州质量水平整体跃升，守稳质量安全底线；③药品事务：主要有举办业务培训，印刷资料，制作宣传视频，通过执法监督检查，开展医疗机构、“两品一械”网络销售、疫苗质量等专项整治，推动医疗器械全生命周期追溯管理，有力保障群众用械、用药安全，有力维护市场消费环境；④食品安全监管委托第三方机构对全州9个县市食品安全工作开展公众满意度调查，开展食品安全抽检批次15次，强化食品药品监管，持续完善食品安全制度机制，加强食品安全监管；⑤行政管理事务及机关服</w:t>
      </w:r>
      <w:r>
        <w:rPr>
          <w:rFonts w:hint="eastAsia" w:ascii="方正仿宋_GBK" w:hAnsi="方正仿宋_GBK" w:eastAsia="方正仿宋_GBK" w:cs="方正仿宋_GBK"/>
          <w:color w:val="auto"/>
          <w:sz w:val="32"/>
          <w:szCs w:val="32"/>
          <w:highlight w:val="none"/>
          <w:lang w:val="en-US" w:eastAsia="zh-CN"/>
        </w:rPr>
        <w:t>务：一是对工作队及工作队干部、西部志愿者、退休干部、聘用人员工资等，后勤保障慰问等费用；二是用于开展主题党日活动、民族团结一家亲活动；三是是保障机关运行的各项费用，办公费、资料印刷、维修、物业、信息化、租赁服务等；四是保障新取得执法证干部执法制服配备等，工作保证机关运行。</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FF0000"/>
          <w:sz w:val="32"/>
          <w:szCs w:val="32"/>
          <w:highlight w:val="none"/>
        </w:rPr>
      </w:pPr>
      <w:r>
        <w:rPr>
          <w:rFonts w:hint="eastAsia" w:ascii="方正仿宋_GBK" w:hAnsi="方正仿宋_GBK" w:eastAsia="方正仿宋_GBK" w:cs="方正仿宋_GBK"/>
          <w:sz w:val="32"/>
          <w:szCs w:val="32"/>
          <w:highlight w:val="none"/>
          <w:lang w:val="en-US" w:eastAsia="zh-CN"/>
        </w:rPr>
        <w:t>实施情况：已完成市场监管综合执法业务培训10期，印刷26批次，购买办公用品9批，申报立项地方标准发布37项，举办联谊活动次数4次，机关后勤维修次数41次，聘用人员发放工资次数12次，开展8次市场监管执法法律顾问咨询，进行121家针对生产、销售方面的商户进行产品质量检查工作，完成检验报告数量121个，维护特种设备监管平台3个，租赁特种设备业务网络2个，购置6批市场监管综合执法设备，办公出差30次，慰</w:t>
      </w:r>
      <w:r>
        <w:rPr>
          <w:rFonts w:hint="eastAsia" w:ascii="方正仿宋_GBK" w:hAnsi="方正仿宋_GBK" w:eastAsia="方正仿宋_GBK" w:cs="方正仿宋_GBK"/>
          <w:color w:val="auto"/>
          <w:sz w:val="32"/>
          <w:szCs w:val="32"/>
          <w:highlight w:val="none"/>
          <w:lang w:val="en-US" w:eastAsia="zh-CN"/>
        </w:rPr>
        <w:t>问离退休老干部及驻村工作队7次。本年度强化了食品药品监管，持续完善食品安全制度机制，加大食品安全执法力度，推进食用农产品生产取证企业转型升级，全面提高依法监管能力，维护市场价格</w:t>
      </w:r>
      <w:r>
        <w:rPr>
          <w:rFonts w:hint="eastAsia" w:ascii="方正仿宋_GBK" w:hAnsi="方正仿宋_GBK" w:eastAsia="方正仿宋_GBK" w:cs="方正仿宋_GBK"/>
          <w:sz w:val="32"/>
          <w:szCs w:val="32"/>
          <w:highlight w:val="none"/>
          <w:lang w:val="en-US" w:eastAsia="zh-CN"/>
        </w:rPr>
        <w:t>秩序，进一步规范执法行为，推进法治建设，提升监管效能，逐步建立了市场主体自律、政府监管、社会监督互为支撑的协同监管格局。</w:t>
      </w:r>
    </w:p>
    <w:bookmarkEnd w:id="2"/>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rPr>
      </w:pPr>
      <w:r>
        <w:rPr>
          <w:rFonts w:hint="eastAsia" w:ascii="方正楷体_GBK" w:hAnsi="方正楷体_GBK" w:eastAsia="方正楷体_GBK" w:cs="方正楷体_GBK"/>
          <w:b w:val="0"/>
          <w:bCs w:val="0"/>
          <w:lang w:val="en-US" w:eastAsia="zh-CN"/>
        </w:rPr>
        <w:t>2.</w:t>
      </w:r>
      <w:r>
        <w:rPr>
          <w:rFonts w:hint="eastAsia" w:ascii="方正楷体_GBK" w:hAnsi="方正楷体_GBK" w:eastAsia="方正楷体_GBK" w:cs="方正楷体_GBK"/>
          <w:b w:val="0"/>
          <w:bCs w:val="0"/>
        </w:rPr>
        <w:t>资金投入和使用情况</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资金投入情况：</w:t>
      </w:r>
      <w:r>
        <w:rPr>
          <w:rFonts w:hint="eastAsia" w:ascii="方正仿宋_GBK" w:hAnsi="方正仿宋_GBK" w:eastAsia="方正仿宋_GBK" w:cs="方正仿宋_GBK"/>
          <w:color w:val="auto"/>
          <w:sz w:val="32"/>
          <w:szCs w:val="32"/>
        </w:rPr>
        <w:t>该项目年初预算数</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rPr>
        <w:t>万元，实际总投入</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rPr>
        <w:t>万元，该项目资金已全部落实到位，资金来源为</w:t>
      </w:r>
      <w:r>
        <w:rPr>
          <w:rFonts w:hint="eastAsia" w:ascii="方正仿宋_GBK" w:hAnsi="方正仿宋_GBK" w:eastAsia="方正仿宋_GBK" w:cs="方正仿宋_GBK"/>
          <w:color w:val="auto"/>
          <w:sz w:val="32"/>
          <w:szCs w:val="32"/>
          <w:lang w:eastAsia="zh-CN"/>
        </w:rPr>
        <w:t>当年财政拨款</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资金使用情况：该项目年初预算数</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447.54</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99.45</w:t>
      </w:r>
      <w:r>
        <w:rPr>
          <w:rFonts w:hint="eastAsia" w:ascii="方正仿宋_GBK" w:hAnsi="方正仿宋_GBK" w:eastAsia="方正仿宋_GBK" w:cs="方正仿宋_GBK"/>
          <w:color w:val="auto"/>
          <w:sz w:val="32"/>
          <w:szCs w:val="32"/>
        </w:rPr>
        <w:t>%，用于：市场监管综合执法业务培训</w:t>
      </w:r>
      <w:r>
        <w:rPr>
          <w:rFonts w:hint="eastAsia" w:ascii="方正仿宋_GBK" w:hAnsi="方正仿宋_GBK" w:eastAsia="方正仿宋_GBK" w:cs="方正仿宋_GBK"/>
          <w:color w:val="auto"/>
          <w:sz w:val="32"/>
          <w:szCs w:val="32"/>
          <w:lang w:val="en-US" w:eastAsia="zh-CN"/>
        </w:rPr>
        <w:t>24.65万元，</w:t>
      </w:r>
      <w:r>
        <w:rPr>
          <w:rFonts w:hint="eastAsia" w:ascii="方正仿宋_GBK" w:hAnsi="方正仿宋_GBK" w:eastAsia="方正仿宋_GBK" w:cs="方正仿宋_GBK"/>
          <w:color w:val="auto"/>
          <w:sz w:val="32"/>
          <w:szCs w:val="32"/>
        </w:rPr>
        <w:t>业务宣传</w:t>
      </w:r>
      <w:r>
        <w:rPr>
          <w:rFonts w:hint="eastAsia" w:ascii="方正仿宋_GBK" w:hAnsi="方正仿宋_GBK" w:eastAsia="方正仿宋_GBK" w:cs="方正仿宋_GBK"/>
          <w:color w:val="auto"/>
          <w:sz w:val="32"/>
          <w:szCs w:val="32"/>
          <w:lang w:val="en-US" w:eastAsia="zh-CN"/>
        </w:rPr>
        <w:t>69.02</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eastAsia="zh-CN"/>
        </w:rPr>
        <w:t>，办公用品购置</w:t>
      </w:r>
      <w:r>
        <w:rPr>
          <w:rFonts w:hint="eastAsia" w:ascii="方正仿宋_GBK" w:hAnsi="方正仿宋_GBK" w:eastAsia="方正仿宋_GBK" w:cs="方正仿宋_GBK"/>
          <w:color w:val="auto"/>
          <w:sz w:val="32"/>
          <w:szCs w:val="32"/>
          <w:lang w:val="en-US" w:eastAsia="zh-CN"/>
        </w:rPr>
        <w:t>17.5万元，</w:t>
      </w:r>
      <w:r>
        <w:rPr>
          <w:rFonts w:hint="eastAsia" w:ascii="方正仿宋_GBK" w:hAnsi="方正仿宋_GBK" w:eastAsia="方正仿宋_GBK" w:cs="方正仿宋_GBK"/>
          <w:color w:val="auto"/>
          <w:sz w:val="32"/>
          <w:szCs w:val="32"/>
          <w:lang w:eastAsia="zh-CN"/>
        </w:rPr>
        <w:t>租赁服务</w:t>
      </w:r>
      <w:r>
        <w:rPr>
          <w:rFonts w:hint="eastAsia" w:ascii="方正仿宋_GBK" w:hAnsi="方正仿宋_GBK" w:eastAsia="方正仿宋_GBK" w:cs="方正仿宋_GBK"/>
          <w:color w:val="auto"/>
          <w:sz w:val="32"/>
          <w:szCs w:val="32"/>
          <w:lang w:val="en-US" w:eastAsia="zh-CN"/>
        </w:rPr>
        <w:t>7.5万元，</w:t>
      </w:r>
      <w:r>
        <w:rPr>
          <w:rFonts w:hint="eastAsia" w:ascii="方正仿宋_GBK" w:hAnsi="方正仿宋_GBK" w:eastAsia="方正仿宋_GBK" w:cs="方正仿宋_GBK"/>
          <w:color w:val="auto"/>
          <w:sz w:val="32"/>
          <w:szCs w:val="32"/>
          <w:lang w:eastAsia="zh-CN"/>
        </w:rPr>
        <w:t>食品安全公众满意度调查</w:t>
      </w:r>
      <w:r>
        <w:rPr>
          <w:rFonts w:hint="eastAsia" w:ascii="方正仿宋_GBK" w:hAnsi="方正仿宋_GBK" w:eastAsia="方正仿宋_GBK" w:cs="方正仿宋_GBK"/>
          <w:color w:val="auto"/>
          <w:sz w:val="32"/>
          <w:szCs w:val="32"/>
          <w:lang w:val="en-US" w:eastAsia="zh-CN"/>
        </w:rPr>
        <w:t>8万元，</w:t>
      </w:r>
      <w:r>
        <w:rPr>
          <w:rFonts w:hint="eastAsia" w:ascii="方正仿宋_GBK" w:hAnsi="方正仿宋_GBK" w:eastAsia="方正仿宋_GBK" w:cs="方正仿宋_GBK"/>
          <w:color w:val="auto"/>
          <w:sz w:val="32"/>
          <w:szCs w:val="32"/>
          <w:lang w:eastAsia="zh-CN"/>
        </w:rPr>
        <w:t>食品安全抽检检查</w:t>
      </w:r>
      <w:r>
        <w:rPr>
          <w:rFonts w:hint="eastAsia" w:ascii="方正仿宋_GBK" w:hAnsi="方正仿宋_GBK" w:eastAsia="方正仿宋_GBK" w:cs="方正仿宋_GBK"/>
          <w:color w:val="auto"/>
          <w:sz w:val="32"/>
          <w:szCs w:val="32"/>
          <w:lang w:val="en-US" w:eastAsia="zh-CN"/>
        </w:rPr>
        <w:t>4.35万元，</w:t>
      </w:r>
      <w:r>
        <w:rPr>
          <w:rFonts w:hint="eastAsia" w:ascii="方正仿宋_GBK" w:hAnsi="方正仿宋_GBK" w:eastAsia="方正仿宋_GBK" w:cs="方正仿宋_GBK"/>
          <w:color w:val="auto"/>
          <w:sz w:val="32"/>
          <w:szCs w:val="32"/>
          <w:lang w:eastAsia="zh-CN"/>
        </w:rPr>
        <w:t>办公出差</w:t>
      </w:r>
      <w:r>
        <w:rPr>
          <w:rFonts w:hint="eastAsia" w:ascii="方正仿宋_GBK" w:hAnsi="方正仿宋_GBK" w:eastAsia="方正仿宋_GBK" w:cs="方正仿宋_GBK"/>
          <w:color w:val="auto"/>
          <w:sz w:val="32"/>
          <w:szCs w:val="32"/>
          <w:lang w:val="en-US" w:eastAsia="zh-CN"/>
        </w:rPr>
        <w:t>14万元，</w:t>
      </w:r>
      <w:r>
        <w:rPr>
          <w:rFonts w:hint="eastAsia" w:ascii="方正仿宋_GBK" w:hAnsi="方正仿宋_GBK" w:eastAsia="方正仿宋_GBK" w:cs="方正仿宋_GBK"/>
          <w:color w:val="auto"/>
          <w:sz w:val="32"/>
          <w:szCs w:val="32"/>
          <w:lang w:eastAsia="zh-CN"/>
        </w:rPr>
        <w:t>购买快速检测试剂</w:t>
      </w:r>
      <w:r>
        <w:rPr>
          <w:rFonts w:hint="eastAsia" w:ascii="方正仿宋_GBK" w:hAnsi="方正仿宋_GBK" w:eastAsia="方正仿宋_GBK" w:cs="方正仿宋_GBK"/>
          <w:color w:val="auto"/>
          <w:sz w:val="32"/>
          <w:szCs w:val="32"/>
          <w:lang w:val="en-US" w:eastAsia="zh-CN"/>
        </w:rPr>
        <w:t>1.5万元，</w:t>
      </w:r>
      <w:r>
        <w:rPr>
          <w:rFonts w:hint="eastAsia" w:ascii="方正仿宋_GBK" w:hAnsi="方正仿宋_GBK" w:eastAsia="方正仿宋_GBK" w:cs="方正仿宋_GBK"/>
          <w:color w:val="auto"/>
          <w:sz w:val="32"/>
          <w:szCs w:val="32"/>
          <w:lang w:eastAsia="zh-CN"/>
        </w:rPr>
        <w:t>产品质量检查</w:t>
      </w:r>
      <w:r>
        <w:rPr>
          <w:rFonts w:hint="eastAsia" w:ascii="方正仿宋_GBK" w:hAnsi="方正仿宋_GBK" w:eastAsia="方正仿宋_GBK" w:cs="方正仿宋_GBK"/>
          <w:color w:val="auto"/>
          <w:sz w:val="32"/>
          <w:szCs w:val="32"/>
          <w:lang w:val="en-US" w:eastAsia="zh-CN"/>
        </w:rPr>
        <w:t>52.9万元，</w:t>
      </w:r>
      <w:r>
        <w:rPr>
          <w:rFonts w:hint="eastAsia" w:ascii="方正仿宋_GBK" w:hAnsi="方正仿宋_GBK" w:eastAsia="方正仿宋_GBK" w:cs="方正仿宋_GBK"/>
          <w:color w:val="auto"/>
          <w:sz w:val="32"/>
          <w:szCs w:val="32"/>
          <w:lang w:eastAsia="zh-CN"/>
        </w:rPr>
        <w:t>地方标准发布项目</w:t>
      </w:r>
      <w:r>
        <w:rPr>
          <w:rFonts w:hint="eastAsia" w:ascii="方正仿宋_GBK" w:hAnsi="方正仿宋_GBK" w:eastAsia="方正仿宋_GBK" w:cs="方正仿宋_GBK"/>
          <w:color w:val="auto"/>
          <w:sz w:val="32"/>
          <w:szCs w:val="32"/>
          <w:lang w:val="en-US" w:eastAsia="zh-CN"/>
        </w:rPr>
        <w:t>7万元，</w:t>
      </w:r>
      <w:r>
        <w:rPr>
          <w:rFonts w:hint="eastAsia" w:ascii="方正仿宋_GBK" w:hAnsi="方正仿宋_GBK" w:eastAsia="方正仿宋_GBK" w:cs="方正仿宋_GBK"/>
          <w:color w:val="auto"/>
          <w:sz w:val="32"/>
          <w:szCs w:val="32"/>
          <w:lang w:eastAsia="zh-CN"/>
        </w:rPr>
        <w:t>市场监管综合业务</w:t>
      </w:r>
      <w:r>
        <w:rPr>
          <w:rFonts w:hint="eastAsia" w:ascii="方正仿宋_GBK" w:hAnsi="方正仿宋_GBK" w:eastAsia="方正仿宋_GBK" w:cs="方正仿宋_GBK"/>
          <w:color w:val="auto"/>
          <w:sz w:val="32"/>
          <w:szCs w:val="32"/>
          <w:lang w:val="en-US" w:eastAsia="zh-CN"/>
        </w:rPr>
        <w:t>54.57万元，</w:t>
      </w:r>
      <w:r>
        <w:rPr>
          <w:rFonts w:hint="eastAsia" w:ascii="方正仿宋_GBK" w:hAnsi="方正仿宋_GBK" w:eastAsia="方正仿宋_GBK" w:cs="方正仿宋_GBK"/>
          <w:color w:val="auto"/>
          <w:sz w:val="32"/>
          <w:szCs w:val="32"/>
          <w:lang w:eastAsia="zh-CN"/>
        </w:rPr>
        <w:t>发放聘用人员工资</w:t>
      </w:r>
      <w:r>
        <w:rPr>
          <w:rFonts w:hint="eastAsia" w:ascii="方正仿宋_GBK" w:hAnsi="方正仿宋_GBK" w:eastAsia="方正仿宋_GBK" w:cs="方正仿宋_GBK"/>
          <w:color w:val="auto"/>
          <w:sz w:val="32"/>
          <w:szCs w:val="32"/>
          <w:lang w:val="en-US" w:eastAsia="zh-CN"/>
        </w:rPr>
        <w:t>38.19万元，</w:t>
      </w:r>
      <w:r>
        <w:rPr>
          <w:rFonts w:hint="eastAsia" w:ascii="方正仿宋_GBK" w:hAnsi="方正仿宋_GBK" w:eastAsia="方正仿宋_GBK" w:cs="方正仿宋_GBK"/>
          <w:color w:val="auto"/>
          <w:sz w:val="32"/>
          <w:szCs w:val="32"/>
          <w:lang w:eastAsia="zh-CN"/>
        </w:rPr>
        <w:t>配备市场监管执法制服</w:t>
      </w:r>
      <w:r>
        <w:rPr>
          <w:rFonts w:hint="eastAsia" w:ascii="方正仿宋_GBK" w:hAnsi="方正仿宋_GBK" w:eastAsia="方正仿宋_GBK" w:cs="方正仿宋_GBK"/>
          <w:color w:val="auto"/>
          <w:sz w:val="32"/>
          <w:szCs w:val="32"/>
          <w:lang w:val="en-US" w:eastAsia="zh-CN"/>
        </w:rPr>
        <w:t>4.5万元，</w:t>
      </w:r>
      <w:r>
        <w:rPr>
          <w:rFonts w:hint="eastAsia" w:ascii="方正仿宋_GBK" w:hAnsi="方正仿宋_GBK" w:eastAsia="方正仿宋_GBK" w:cs="方正仿宋_GBK"/>
          <w:color w:val="auto"/>
          <w:sz w:val="32"/>
          <w:szCs w:val="32"/>
          <w:lang w:eastAsia="zh-CN"/>
        </w:rPr>
        <w:t>法律顾问咨询</w:t>
      </w:r>
      <w:r>
        <w:rPr>
          <w:rFonts w:hint="eastAsia" w:ascii="方正仿宋_GBK" w:hAnsi="方正仿宋_GBK" w:eastAsia="方正仿宋_GBK" w:cs="方正仿宋_GBK"/>
          <w:color w:val="auto"/>
          <w:sz w:val="32"/>
          <w:szCs w:val="32"/>
          <w:lang w:val="en-US" w:eastAsia="zh-CN"/>
        </w:rPr>
        <w:t>4.8万元，</w:t>
      </w:r>
      <w:r>
        <w:rPr>
          <w:rFonts w:hint="eastAsia" w:ascii="方正仿宋_GBK" w:hAnsi="方正仿宋_GBK" w:eastAsia="方正仿宋_GBK" w:cs="方正仿宋_GBK"/>
          <w:color w:val="auto"/>
          <w:sz w:val="32"/>
          <w:szCs w:val="32"/>
          <w:lang w:eastAsia="zh-CN"/>
        </w:rPr>
        <w:t>举办联谊活动</w:t>
      </w:r>
      <w:r>
        <w:rPr>
          <w:rFonts w:hint="eastAsia" w:ascii="方正仿宋_GBK" w:hAnsi="方正仿宋_GBK" w:eastAsia="方正仿宋_GBK" w:cs="方正仿宋_GBK"/>
          <w:color w:val="auto"/>
          <w:sz w:val="32"/>
          <w:szCs w:val="32"/>
          <w:lang w:val="en-US" w:eastAsia="zh-CN"/>
        </w:rPr>
        <w:t>4.8万元，</w:t>
      </w:r>
      <w:r>
        <w:rPr>
          <w:rFonts w:hint="eastAsia" w:ascii="方正仿宋_GBK" w:hAnsi="方正仿宋_GBK" w:eastAsia="方正仿宋_GBK" w:cs="方正仿宋_GBK"/>
          <w:color w:val="auto"/>
          <w:sz w:val="32"/>
          <w:szCs w:val="32"/>
          <w:lang w:eastAsia="zh-CN"/>
        </w:rPr>
        <w:t>慰问离退休老干部及驻村工作队</w:t>
      </w:r>
      <w:r>
        <w:rPr>
          <w:rFonts w:hint="eastAsia" w:ascii="方正仿宋_GBK" w:hAnsi="方正仿宋_GBK" w:eastAsia="方正仿宋_GBK" w:cs="方正仿宋_GBK"/>
          <w:color w:val="auto"/>
          <w:sz w:val="32"/>
          <w:szCs w:val="32"/>
          <w:lang w:val="en-US" w:eastAsia="zh-CN"/>
        </w:rPr>
        <w:t>10.5万元，</w:t>
      </w:r>
      <w:r>
        <w:rPr>
          <w:rFonts w:hint="eastAsia" w:ascii="方正仿宋_GBK" w:hAnsi="方正仿宋_GBK" w:eastAsia="方正仿宋_GBK" w:cs="方正仿宋_GBK"/>
          <w:color w:val="auto"/>
          <w:sz w:val="32"/>
          <w:szCs w:val="32"/>
          <w:lang w:eastAsia="zh-CN"/>
        </w:rPr>
        <w:t>工作队开支</w:t>
      </w:r>
      <w:r>
        <w:rPr>
          <w:rFonts w:hint="eastAsia" w:ascii="方正仿宋_GBK" w:hAnsi="方正仿宋_GBK" w:eastAsia="方正仿宋_GBK" w:cs="方正仿宋_GBK"/>
          <w:color w:val="auto"/>
          <w:sz w:val="32"/>
          <w:szCs w:val="32"/>
          <w:lang w:val="en-US" w:eastAsia="zh-CN"/>
        </w:rPr>
        <w:t>3.3万元，</w:t>
      </w:r>
      <w:r>
        <w:rPr>
          <w:rFonts w:hint="eastAsia" w:ascii="方正仿宋_GBK" w:hAnsi="方正仿宋_GBK" w:eastAsia="方正仿宋_GBK" w:cs="方正仿宋_GBK"/>
          <w:color w:val="auto"/>
          <w:sz w:val="32"/>
          <w:szCs w:val="32"/>
          <w:lang w:eastAsia="zh-CN"/>
        </w:rPr>
        <w:t>平台维护</w:t>
      </w:r>
      <w:r>
        <w:rPr>
          <w:rFonts w:hint="eastAsia" w:ascii="方正仿宋_GBK" w:hAnsi="方正仿宋_GBK" w:eastAsia="方正仿宋_GBK" w:cs="方正仿宋_GBK"/>
          <w:color w:val="auto"/>
          <w:sz w:val="32"/>
          <w:szCs w:val="32"/>
          <w:lang w:val="en-US" w:eastAsia="zh-CN"/>
        </w:rPr>
        <w:t>81.4万元，</w:t>
      </w:r>
      <w:r>
        <w:rPr>
          <w:rFonts w:hint="eastAsia" w:ascii="方正仿宋_GBK" w:hAnsi="方正仿宋_GBK" w:eastAsia="方正仿宋_GBK" w:cs="方正仿宋_GBK"/>
          <w:color w:val="auto"/>
          <w:sz w:val="32"/>
          <w:szCs w:val="32"/>
          <w:lang w:eastAsia="zh-CN"/>
        </w:rPr>
        <w:t>设备采购</w:t>
      </w:r>
      <w:r>
        <w:rPr>
          <w:rFonts w:hint="eastAsia" w:ascii="方正仿宋_GBK" w:hAnsi="方正仿宋_GBK" w:eastAsia="方正仿宋_GBK" w:cs="方正仿宋_GBK"/>
          <w:color w:val="auto"/>
          <w:sz w:val="32"/>
          <w:szCs w:val="32"/>
          <w:lang w:val="en-US" w:eastAsia="zh-CN"/>
        </w:rPr>
        <w:t>39.06万元</w:t>
      </w:r>
      <w:r>
        <w:rPr>
          <w:rFonts w:hint="eastAsia" w:ascii="方正仿宋_GBK" w:hAnsi="方正仿宋_GBK" w:eastAsia="方正仿宋_GBK" w:cs="方正仿宋_GBK"/>
          <w:color w:val="auto"/>
          <w:sz w:val="32"/>
          <w:szCs w:val="32"/>
        </w:rPr>
        <w:t>。</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lang w:val="en-US" w:eastAsia="zh-CN"/>
        </w:rPr>
      </w:pPr>
      <w:bookmarkStart w:id="3" w:name="_Toc68703829"/>
      <w:r>
        <w:rPr>
          <w:rFonts w:hint="eastAsia" w:ascii="方正楷体_GBK" w:hAnsi="方正楷体_GBK" w:eastAsia="方正楷体_GBK" w:cs="方正楷体_GBK"/>
          <w:b w:val="0"/>
          <w:bCs w:val="0"/>
        </w:rPr>
        <w:t>（二）项目绩效目标</w:t>
      </w:r>
      <w:bookmarkEnd w:id="3"/>
      <w:r>
        <w:rPr>
          <w:rFonts w:hint="eastAsia" w:ascii="方正楷体_GBK" w:hAnsi="方正楷体_GBK" w:eastAsia="方正楷体_GBK" w:cs="方正楷体_GBK"/>
          <w:b w:val="0"/>
          <w:bCs w:val="0"/>
          <w:lang w:eastAsia="zh-CN"/>
        </w:rPr>
        <w:t>，</w:t>
      </w:r>
      <w:r>
        <w:rPr>
          <w:rFonts w:hint="eastAsia" w:ascii="方正楷体_GBK" w:hAnsi="方正楷体_GBK" w:eastAsia="方正楷体_GBK" w:cs="方正楷体_GBK"/>
          <w:b w:val="0"/>
          <w:bCs w:val="0"/>
        </w:rPr>
        <w:t>包括总体目标和阶段性目标。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color w:val="auto"/>
          <w:sz w:val="32"/>
          <w:szCs w:val="32"/>
        </w:rPr>
        <w:t>通过举办市场监管综合执法业务培训，食品安全有奖举报等强化食品药品监管，持续完善食品安全制度机制，加强食品安全监管，加大食品安全执法力度，推进食用农产品生产取证企业转型升级；</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 xml:space="preserve">通过食品安全抽检，聘请法律顾问，市场监管综合执法业务宣传等全面提高依法监管能力，维护市场价格秩序； </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通过购置特种设备，租赁特种设备业务网络等强化机关服务及信息化建设，强化智慧监管；</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确保脱贫攻坚，广泛开展“民族团结一家亲”认真落实全覆盖；</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通过印刷资料、购置办公用品、发放劳务费等加强机关后勤保障及人员保障；</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积极开展党建专项活动，慰问工作队及老干部。</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val="en-US" w:eastAsia="zh-CN"/>
        </w:rPr>
        <w:t>2023年上半年计划完成业务培训6期，印刷宣传等业务资料，制作宣传视频，购买办公用品，申报立项地方标准发布22项，进行30家针对生产、销售方面的商户进行产品质量检查工作，完成检验报告数量30个，维护特种设备监管平台3个，租赁特种设备业务网络2个，购置1批设备</w:t>
      </w:r>
      <w:r>
        <w:rPr>
          <w:rFonts w:hint="eastAsia" w:ascii="方正仿宋_GBK" w:hAnsi="方正仿宋_GBK" w:eastAsia="方正仿宋_GBK" w:cs="方正仿宋_GBK"/>
          <w:color w:val="auto"/>
          <w:sz w:val="32"/>
          <w:szCs w:val="32"/>
          <w:lang w:val="en-US" w:eastAsia="zh-CN"/>
        </w:rPr>
        <w:t>。2023年下</w:t>
      </w:r>
      <w:r>
        <w:rPr>
          <w:rFonts w:hint="eastAsia" w:ascii="方正仿宋_GBK" w:hAnsi="方正仿宋_GBK" w:eastAsia="方正仿宋_GBK" w:cs="方正仿宋_GBK"/>
          <w:sz w:val="32"/>
          <w:szCs w:val="32"/>
          <w:lang w:val="en-US" w:eastAsia="zh-CN"/>
        </w:rPr>
        <w:t>半年计划完成</w:t>
      </w:r>
      <w:r>
        <w:rPr>
          <w:rFonts w:hint="eastAsia" w:ascii="方正仿宋_GBK" w:hAnsi="方正仿宋_GBK" w:eastAsia="方正仿宋_GBK" w:cs="方正仿宋_GBK"/>
          <w:color w:val="auto"/>
          <w:sz w:val="32"/>
          <w:szCs w:val="32"/>
          <w:highlight w:val="none"/>
        </w:rPr>
        <w:t>市场监管综合执法业务培训</w:t>
      </w:r>
      <w:r>
        <w:rPr>
          <w:rFonts w:hint="eastAsia" w:ascii="方正仿宋_GBK" w:hAnsi="方正仿宋_GBK" w:eastAsia="方正仿宋_GBK" w:cs="方正仿宋_GBK"/>
          <w:color w:val="auto"/>
          <w:sz w:val="32"/>
          <w:szCs w:val="32"/>
          <w:highlight w:val="none"/>
          <w:lang w:val="en-US" w:eastAsia="zh-CN"/>
        </w:rPr>
        <w:t>16</w:t>
      </w:r>
      <w:r>
        <w:rPr>
          <w:rFonts w:hint="eastAsia" w:ascii="方正仿宋_GBK" w:hAnsi="方正仿宋_GBK" w:eastAsia="方正仿宋_GBK" w:cs="方正仿宋_GBK"/>
          <w:color w:val="auto"/>
          <w:sz w:val="32"/>
          <w:szCs w:val="32"/>
          <w:highlight w:val="none"/>
        </w:rPr>
        <w:t>期</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申报立项地方标准发布</w:t>
      </w:r>
      <w:r>
        <w:rPr>
          <w:rFonts w:hint="eastAsia" w:ascii="方正仿宋_GBK" w:hAnsi="方正仿宋_GBK" w:eastAsia="方正仿宋_GBK" w:cs="方正仿宋_GBK"/>
          <w:color w:val="auto"/>
          <w:sz w:val="32"/>
          <w:szCs w:val="32"/>
          <w:highlight w:val="none"/>
          <w:lang w:val="en-US" w:eastAsia="zh-CN"/>
        </w:rPr>
        <w:t>15</w:t>
      </w:r>
      <w:r>
        <w:rPr>
          <w:rFonts w:hint="eastAsia" w:ascii="方正仿宋_GBK" w:hAnsi="方正仿宋_GBK" w:eastAsia="方正仿宋_GBK" w:cs="方正仿宋_GBK"/>
          <w:color w:val="auto"/>
          <w:sz w:val="32"/>
          <w:szCs w:val="32"/>
          <w:highlight w:val="none"/>
        </w:rPr>
        <w:t>项，开展8次市场监管执法法律顾问咨询，进行</w:t>
      </w:r>
      <w:r>
        <w:rPr>
          <w:rFonts w:hint="eastAsia" w:ascii="方正仿宋_GBK" w:hAnsi="方正仿宋_GBK" w:eastAsia="方正仿宋_GBK" w:cs="方正仿宋_GBK"/>
          <w:color w:val="auto"/>
          <w:sz w:val="32"/>
          <w:szCs w:val="32"/>
          <w:highlight w:val="none"/>
          <w:lang w:val="en-US" w:eastAsia="zh-CN"/>
        </w:rPr>
        <w:t>91</w:t>
      </w:r>
      <w:r>
        <w:rPr>
          <w:rFonts w:hint="eastAsia" w:ascii="方正仿宋_GBK" w:hAnsi="方正仿宋_GBK" w:eastAsia="方正仿宋_GBK" w:cs="方正仿宋_GBK"/>
          <w:color w:val="auto"/>
          <w:sz w:val="32"/>
          <w:szCs w:val="32"/>
          <w:highlight w:val="none"/>
        </w:rPr>
        <w:t>家针对生产、销售方面的商户进行产品质量检查工作，完成检验报告数量</w:t>
      </w:r>
      <w:r>
        <w:rPr>
          <w:rFonts w:hint="eastAsia" w:ascii="方正仿宋_GBK" w:hAnsi="方正仿宋_GBK" w:eastAsia="方正仿宋_GBK" w:cs="方正仿宋_GBK"/>
          <w:color w:val="auto"/>
          <w:sz w:val="32"/>
          <w:szCs w:val="32"/>
          <w:highlight w:val="none"/>
          <w:lang w:val="en-US" w:eastAsia="zh-CN"/>
        </w:rPr>
        <w:t>90</w:t>
      </w:r>
      <w:r>
        <w:rPr>
          <w:rFonts w:hint="eastAsia" w:ascii="方正仿宋_GBK" w:hAnsi="方正仿宋_GBK" w:eastAsia="方正仿宋_GBK" w:cs="方正仿宋_GBK"/>
          <w:color w:val="auto"/>
          <w:sz w:val="32"/>
          <w:szCs w:val="32"/>
          <w:highlight w:val="none"/>
        </w:rPr>
        <w:t>个</w:t>
      </w:r>
      <w:r>
        <w:rPr>
          <w:rFonts w:hint="eastAsia" w:ascii="方正仿宋_GBK" w:hAnsi="方正仿宋_GBK" w:eastAsia="方正仿宋_GBK" w:cs="方正仿宋_GBK"/>
          <w:sz w:val="32"/>
          <w:szCs w:val="32"/>
          <w:lang w:val="en-US" w:eastAsia="zh-CN"/>
        </w:rPr>
        <w:t>。</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4" w:name="_Toc68703830"/>
      <w:r>
        <w:rPr>
          <w:rFonts w:hint="eastAsia" w:ascii="方正黑体_GBK" w:hAnsi="方正黑体_GBK" w:eastAsia="方正黑体_GBK" w:cs="方正黑体_GBK"/>
          <w:b w:val="0"/>
          <w:bCs w:val="0"/>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lang w:val="en-US" w:eastAsia="zh-CN"/>
        </w:rPr>
      </w:pPr>
      <w:bookmarkStart w:id="5" w:name="_Toc68703831"/>
      <w:r>
        <w:rPr>
          <w:rFonts w:hint="eastAsia" w:ascii="方正楷体_GBK" w:hAnsi="方正楷体_GBK" w:eastAsia="方正楷体_GBK" w:cs="方正楷体_GBK"/>
          <w:b w:val="0"/>
          <w:bCs w:val="0"/>
        </w:rPr>
        <w:t>（一）绩效评价目的、对象和范围。</w:t>
      </w:r>
      <w:bookmarkEnd w:id="5"/>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绩效评价目的：</w:t>
      </w:r>
    </w:p>
    <w:p>
      <w:pPr>
        <w:pStyle w:val="2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绩效评价对象：</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市场监管综合执法业务费</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绩效评价范围：</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次评价从项目决策（包括绩效目标、决策过程）、项目管理（包括项目资金、项目实施）、项目产出（包括项目产出数量、产出质量、产出时效和产出成本）项目效益四个维度进行市场监管综合执法业务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6" w:name="_Toc68703832"/>
      <w:r>
        <w:rPr>
          <w:rFonts w:hint="eastAsia" w:ascii="方正楷体_GBK" w:hAnsi="方正楷体_GBK" w:eastAsia="方正楷体_GBK" w:cs="方正楷体_GBK"/>
          <w:b w:val="0"/>
          <w:bCs w:val="0"/>
          <w:color w:val="auto"/>
          <w:sz w:val="32"/>
          <w:szCs w:val="32"/>
        </w:rPr>
        <w:t>（二）绩效评价原则、评价指标体系</w:t>
      </w:r>
      <w:r>
        <w:rPr>
          <w:rFonts w:hint="eastAsia" w:ascii="方正楷体_GBK" w:hAnsi="方正楷体_GBK" w:eastAsia="方正楷体_GBK" w:cs="方正楷体_GBK"/>
          <w:b w:val="0"/>
          <w:bCs w:val="0"/>
          <w:color w:val="auto"/>
          <w:sz w:val="32"/>
          <w:szCs w:val="32"/>
          <w:lang w:eastAsia="zh-CN"/>
        </w:rPr>
        <w:t>（附表说明）</w:t>
      </w:r>
      <w:r>
        <w:rPr>
          <w:rFonts w:hint="eastAsia" w:ascii="方正楷体_GBK" w:hAnsi="方正楷体_GBK" w:eastAsia="方正楷体_GBK" w:cs="方正楷体_GBK"/>
          <w:b w:val="0"/>
          <w:bCs w:val="0"/>
          <w:color w:val="auto"/>
          <w:sz w:val="32"/>
          <w:szCs w:val="32"/>
        </w:rPr>
        <w:t>、评价方法、评价标准等。</w:t>
      </w:r>
      <w:bookmarkEnd w:id="6"/>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绩效评价原则</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（1）科学公正。绩效评价运用科学合理的方法，按照规范的程序，对项目绩效进行客观、公正的反映。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（2）统筹兼顾。单位自评、部门评价和财政评价职责明确，各有侧重，相互衔接。单位自评应由项目单位自主实施，即“谁支出、谁自评”。部门评价和财政评价应在单位自评的基础上开展。</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（3）激励约束。绩效评价结果与预算安排、政策调整、改进管理实质性挂钩，体现奖优罚劣和激励相容导向，有效要安排、低效要压减、无效要问责。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（4）公开透明。绩效评价结果在巴州人民政府网站依法依规公开，并自觉接受社会监督。</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2、评价指标体系（附表说明）</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（2）确定权重</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10"/>
        <w:pageBreakBefore w:val="0"/>
        <w:kinsoku/>
        <w:wordWrap/>
        <w:overflowPunct/>
        <w:topLinePunct w:val="0"/>
        <w:autoSpaceDE/>
        <w:autoSpaceDN/>
        <w:bidi w:val="0"/>
        <w:adjustRightInd/>
        <w:snapToGrid/>
        <w:spacing w:before="0" w:after="0" w:line="560" w:lineRule="exact"/>
        <w:ind w:leftChars="0" w:firstLine="708" w:firstLineChars="200"/>
        <w:jc w:val="both"/>
        <w:textAlignment w:val="auto"/>
        <w:rPr>
          <w:rFonts w:hint="eastAsia" w:ascii="方正仿宋_GBK" w:hAnsi="方正仿宋_GBK" w:eastAsia="方正仿宋_GBK" w:cs="方正仿宋_GBK"/>
          <w:b w:val="0"/>
          <w:bCs w:val="0"/>
          <w:color w:val="000000"/>
          <w:spacing w:val="17"/>
          <w:kern w:val="2"/>
          <w:sz w:val="32"/>
          <w:szCs w:val="32"/>
          <w:highlight w:val="none"/>
        </w:rPr>
      </w:pPr>
      <w:r>
        <w:rPr>
          <w:rFonts w:hint="eastAsia" w:ascii="方正仿宋_GBK" w:hAnsi="方正仿宋_GBK" w:eastAsia="方正仿宋_GBK" w:cs="方正仿宋_GBK"/>
          <w:b w:val="0"/>
          <w:bCs w:val="0"/>
          <w:color w:val="000000"/>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3、评价方法</w:t>
      </w:r>
    </w:p>
    <w:p>
      <w:pPr>
        <w:pageBreakBefore w:val="0"/>
        <w:kinsoku/>
        <w:wordWrap/>
        <w:overflowPunct/>
        <w:topLinePunct w:val="0"/>
        <w:autoSpaceDE/>
        <w:autoSpaceDN/>
        <w:bidi w:val="0"/>
        <w:adjustRightInd/>
        <w:snapToGrid/>
        <w:spacing w:line="560" w:lineRule="exact"/>
        <w:ind w:leftChars="0"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leftChars="0"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w:t>
      </w:r>
      <w:r>
        <w:rPr>
          <w:rFonts w:hint="eastAsia" w:ascii="方正仿宋_GBK" w:hAnsi="方正仿宋_GBK" w:eastAsia="方正仿宋_GBK" w:cs="方正仿宋_GBK"/>
          <w:color w:val="000000"/>
          <w:spacing w:val="17"/>
          <w:sz w:val="32"/>
          <w:szCs w:val="32"/>
          <w:lang w:eastAsia="zh-CN"/>
        </w:rPr>
        <w:t>比较</w:t>
      </w:r>
      <w:r>
        <w:rPr>
          <w:rFonts w:hint="eastAsia" w:ascii="方正仿宋_GBK" w:hAnsi="方正仿宋_GBK" w:eastAsia="方正仿宋_GBK" w:cs="方正仿宋_GBK"/>
          <w:color w:val="000000"/>
          <w:spacing w:val="17"/>
          <w:sz w:val="32"/>
          <w:szCs w:val="32"/>
        </w:rPr>
        <w:t>法，具体评价方法如下：</w:t>
      </w:r>
    </w:p>
    <w:p>
      <w:pPr>
        <w:pageBreakBefore w:val="0"/>
        <w:kinsoku/>
        <w:wordWrap/>
        <w:overflowPunct/>
        <w:topLinePunct w:val="0"/>
        <w:autoSpaceDE/>
        <w:autoSpaceDN/>
        <w:bidi w:val="0"/>
        <w:adjustRightInd/>
        <w:snapToGrid/>
        <w:spacing w:line="560" w:lineRule="exact"/>
        <w:ind w:leftChars="0"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通过对绩效目标与实施情况、历史与当期完成情况，综合分析绩效目标实现程度，对项目最终验收情况与年度绩效目标对比、预算资金执行情况等相关因素进行比较。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评价标准</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color w:val="000000"/>
          <w:spacing w:val="17"/>
          <w:sz w:val="32"/>
          <w:szCs w:val="32"/>
        </w:rPr>
        <w:t>绩效评价标准通常包括计划标准、行业标准、历史标准等，用于对绩效指标完成情况进行比较、分析、评价。本次评价主要采用了</w:t>
      </w:r>
      <w:r>
        <w:rPr>
          <w:rFonts w:hint="eastAsia" w:ascii="方正仿宋_GBK" w:hAnsi="方正仿宋_GBK" w:eastAsia="方正仿宋_GBK" w:cs="方正仿宋_GBK"/>
          <w:color w:val="000000"/>
          <w:spacing w:val="17"/>
          <w:sz w:val="32"/>
          <w:szCs w:val="32"/>
          <w:lang w:val="en-US" w:eastAsia="zh-CN"/>
        </w:rPr>
        <w:t>计划</w:t>
      </w:r>
      <w:r>
        <w:rPr>
          <w:rFonts w:hint="eastAsia" w:ascii="方正仿宋_GBK" w:hAnsi="方正仿宋_GBK" w:eastAsia="方正仿宋_GBK" w:cs="方正仿宋_GBK"/>
          <w:color w:val="000000"/>
          <w:spacing w:val="17"/>
          <w:sz w:val="32"/>
          <w:szCs w:val="32"/>
        </w:rPr>
        <w:t>标准</w:t>
      </w:r>
      <w:r>
        <w:rPr>
          <w:rFonts w:hint="eastAsia" w:ascii="方正仿宋_GBK" w:hAnsi="方正仿宋_GBK" w:eastAsia="方正仿宋_GBK" w:cs="方正仿宋_GBK"/>
          <w:color w:val="000000"/>
          <w:spacing w:val="17"/>
          <w:sz w:val="32"/>
          <w:szCs w:val="32"/>
          <w:lang w:eastAsia="zh-CN"/>
        </w:rPr>
        <w:t>，原因是：以预先制定的目标、计划、预算、定额等作为评价标准，将实际完成值与预定值对比，找出两者的差异，可以更好的反应业务实际开展情况，更准确的开展绩效评价</w:t>
      </w:r>
      <w:r>
        <w:rPr>
          <w:rFonts w:hint="eastAsia" w:ascii="方正仿宋_GBK" w:hAnsi="方正仿宋_GBK" w:eastAsia="方正仿宋_GBK" w:cs="方正仿宋_GBK"/>
          <w:color w:val="000000"/>
          <w:spacing w:val="17"/>
          <w:sz w:val="32"/>
          <w:szCs w:val="32"/>
        </w:rPr>
        <w:t>。</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7" w:name="_Toc68703833"/>
      <w:r>
        <w:rPr>
          <w:rFonts w:hint="eastAsia" w:ascii="方正楷体_GBK" w:hAnsi="方正楷体_GBK" w:eastAsia="方正楷体_GBK" w:cs="方正楷体_GBK"/>
          <w:b w:val="0"/>
          <w:bCs w:val="0"/>
          <w:color w:val="auto"/>
          <w:sz w:val="32"/>
          <w:szCs w:val="32"/>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bookmarkStart w:id="8" w:name="_Toc68703834"/>
      <w:r>
        <w:rPr>
          <w:rFonts w:hint="eastAsia"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rPr>
        <w:t>前期准备。首先</w:t>
      </w:r>
      <w:r>
        <w:rPr>
          <w:rFonts w:hint="eastAsia" w:ascii="方正仿宋_GBK" w:hAnsi="方正仿宋_GBK" w:eastAsia="方正仿宋_GBK" w:cs="方正仿宋_GBK"/>
          <w:bCs/>
          <w:color w:val="auto"/>
          <w:sz w:val="32"/>
          <w:szCs w:val="32"/>
          <w:lang w:eastAsia="zh-CN"/>
        </w:rPr>
        <w:t>财审科牵头</w:t>
      </w:r>
      <w:r>
        <w:rPr>
          <w:rFonts w:hint="eastAsia" w:ascii="方正仿宋_GBK" w:hAnsi="方正仿宋_GBK" w:eastAsia="方正仿宋_GBK" w:cs="方正仿宋_GBK"/>
          <w:bCs/>
          <w:color w:val="auto"/>
          <w:sz w:val="32"/>
          <w:szCs w:val="32"/>
        </w:rPr>
        <w:t>成立评价工作组；其次明确项目绩效目标，设计绩效评价指标体系并确定绩效评价方法；接着确定现场和非现场评价范围；最后制定评价实施方案并进行论证。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lang w:val="en-US" w:eastAsia="zh-CN"/>
        </w:rPr>
        <w:t>2.</w:t>
      </w:r>
      <w:r>
        <w:rPr>
          <w:rFonts w:hint="eastAsia" w:ascii="方正仿宋_GBK" w:hAnsi="方正仿宋_GBK" w:eastAsia="方正仿宋_GBK" w:cs="方正仿宋_GBK"/>
          <w:bCs/>
          <w:color w:val="auto"/>
          <w:sz w:val="32"/>
          <w:szCs w:val="32"/>
        </w:rPr>
        <w:t>组织实施。制定绩效评价工作方案，具体包括项目概况、评价思路、方法手段、组织实施、进度安排等。收集项目立项依据、相关会议纪要、实施方案</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rPr>
        <w:t>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lang w:eastAsia="zh-CN"/>
        </w:rPr>
      </w:pPr>
      <w:bookmarkStart w:id="9" w:name="_Toc68703835"/>
      <w:r>
        <w:rPr>
          <w:rFonts w:hint="eastAsia" w:ascii="方正楷体_GBK" w:hAnsi="方正楷体_GBK" w:eastAsia="方正楷体_GBK" w:cs="方正楷体_GBK"/>
          <w:b w:val="0"/>
          <w:bCs w:val="0"/>
          <w:color w:val="auto"/>
          <w:sz w:val="32"/>
          <w:szCs w:val="32"/>
        </w:rPr>
        <w:t>（一）综合评价情况</w:t>
      </w:r>
      <w:bookmarkEnd w:id="9"/>
      <w:r>
        <w:rPr>
          <w:rFonts w:hint="eastAsia" w:ascii="方正楷体_GBK" w:hAnsi="方正楷体_GBK" w:eastAsia="方正楷体_GBK" w:cs="方正楷体_GBK"/>
          <w:b w:val="0"/>
          <w:bCs w:val="0"/>
          <w:color w:val="auto"/>
          <w:sz w:val="32"/>
          <w:szCs w:val="32"/>
          <w:lang w:eastAsia="zh-CN"/>
        </w:rPr>
        <w:t>及评价结论</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b w:val="0"/>
          <w:bCs w:val="0"/>
          <w:kern w:val="28"/>
          <w:sz w:val="32"/>
          <w:szCs w:val="32"/>
          <w:lang w:val="en-US" w:eastAsia="zh-CN" w:bidi="ar-SA"/>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综合评价情况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本项目严格按照</w:t>
      </w:r>
      <w:r>
        <w:rPr>
          <w:rFonts w:hint="eastAsia" w:ascii="方正仿宋_GBK" w:hAnsi="方正仿宋_GBK" w:eastAsia="方正仿宋_GBK" w:cs="方正仿宋_GBK"/>
          <w:bCs/>
          <w:color w:val="auto"/>
          <w:kern w:val="0"/>
          <w:sz w:val="32"/>
          <w:szCs w:val="32"/>
        </w:rPr>
        <w:t>科学公正、统筹兼顾、激励约束、公开透明的</w:t>
      </w:r>
      <w:r>
        <w:rPr>
          <w:rFonts w:hint="eastAsia" w:ascii="方正仿宋_GBK" w:hAnsi="方正仿宋_GBK" w:eastAsia="方正仿宋_GBK" w:cs="方正仿宋_GBK"/>
          <w:color w:val="auto"/>
          <w:sz w:val="32"/>
          <w:szCs w:val="32"/>
        </w:rPr>
        <w:t>绩效评价原则，采用</w:t>
      </w:r>
      <w:r>
        <w:rPr>
          <w:rFonts w:hint="eastAsia" w:ascii="方正仿宋_GBK" w:hAnsi="方正仿宋_GBK" w:eastAsia="方正仿宋_GBK" w:cs="方正仿宋_GBK"/>
          <w:color w:val="auto"/>
          <w:spacing w:val="17"/>
          <w:sz w:val="32"/>
          <w:szCs w:val="32"/>
        </w:rPr>
        <w:t>比较法</w:t>
      </w:r>
      <w:r>
        <w:rPr>
          <w:rFonts w:hint="eastAsia" w:ascii="方正仿宋_GBK" w:hAnsi="方正仿宋_GBK" w:eastAsia="方正仿宋_GBK" w:cs="方正仿宋_GBK"/>
          <w:color w:val="auto"/>
          <w:sz w:val="32"/>
          <w:szCs w:val="32"/>
        </w:rPr>
        <w:t>，坚持</w:t>
      </w:r>
      <w:r>
        <w:rPr>
          <w:rFonts w:hint="eastAsia" w:ascii="方正仿宋_GBK" w:hAnsi="方正仿宋_GBK" w:eastAsia="方正仿宋_GBK" w:cs="方正仿宋_GBK"/>
          <w:color w:val="auto"/>
          <w:spacing w:val="17"/>
          <w:sz w:val="32"/>
          <w:szCs w:val="32"/>
          <w:lang w:val="en-US" w:eastAsia="zh-CN"/>
        </w:rPr>
        <w:t>计划</w:t>
      </w:r>
      <w:r>
        <w:rPr>
          <w:rFonts w:hint="eastAsia" w:ascii="方正仿宋_GBK" w:hAnsi="方正仿宋_GBK" w:eastAsia="方正仿宋_GBK" w:cs="方正仿宋_GBK"/>
          <w:color w:val="auto"/>
          <w:spacing w:val="17"/>
          <w:sz w:val="32"/>
          <w:szCs w:val="32"/>
        </w:rPr>
        <w:t>标准</w:t>
      </w:r>
      <w:r>
        <w:rPr>
          <w:rFonts w:hint="eastAsia" w:ascii="方正仿宋_GBK" w:hAnsi="方正仿宋_GBK" w:eastAsia="方正仿宋_GBK" w:cs="方正仿宋_GBK"/>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仿宋_GBK" w:hAnsi="方正仿宋_GBK" w:eastAsia="方正仿宋_GBK" w:cs="方正仿宋_GBK"/>
          <w:b w:val="0"/>
          <w:bCs w:val="0"/>
          <w:color w:val="auto"/>
          <w:sz w:val="32"/>
          <w:szCs w:val="32"/>
        </w:rPr>
      </w:pPr>
      <w:bookmarkStart w:id="10" w:name="_Toc68703836"/>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评价结论</w:t>
      </w:r>
      <w:bookmarkEnd w:id="10"/>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方正仿宋_GBK" w:hAnsi="方正仿宋_GBK" w:eastAsia="方正仿宋_GBK" w:cs="方正仿宋_GBK"/>
          <w:b w:val="0"/>
          <w:bCs w:val="0"/>
          <w:color w:val="auto"/>
          <w:sz w:val="32"/>
          <w:szCs w:val="32"/>
          <w:highlight w:val="none"/>
        </w:rPr>
        <w:t xml:space="preserve">总得分为 </w:t>
      </w:r>
      <w:r>
        <w:rPr>
          <w:rFonts w:hint="eastAsia" w:ascii="方正仿宋_GBK" w:hAnsi="方正仿宋_GBK" w:eastAsia="方正仿宋_GBK" w:cs="方正仿宋_GBK"/>
          <w:b w:val="0"/>
          <w:bCs w:val="0"/>
          <w:color w:val="auto"/>
          <w:sz w:val="32"/>
          <w:szCs w:val="32"/>
          <w:highlight w:val="none"/>
          <w:lang w:val="en-US" w:eastAsia="zh-CN"/>
        </w:rPr>
        <w:t>95.58</w:t>
      </w:r>
      <w:r>
        <w:rPr>
          <w:rFonts w:hint="eastAsia" w:ascii="方正仿宋_GBK" w:hAnsi="方正仿宋_GBK" w:eastAsia="方正仿宋_GBK" w:cs="方正仿宋_GBK"/>
          <w:b w:val="0"/>
          <w:bCs w:val="0"/>
          <w:color w:val="auto"/>
          <w:sz w:val="32"/>
          <w:szCs w:val="32"/>
          <w:highlight w:val="none"/>
        </w:rPr>
        <w:t xml:space="preserve">分，属于“优”。其中，项目决策类指标权重为20分，得分为 </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%。项目过程类指标权重为20分，得分为</w:t>
      </w:r>
      <w:r>
        <w:rPr>
          <w:rFonts w:hint="eastAsia" w:ascii="方正仿宋_GBK" w:hAnsi="方正仿宋_GBK" w:eastAsia="方正仿宋_GBK" w:cs="方正仿宋_GBK"/>
          <w:b w:val="0"/>
          <w:bCs w:val="0"/>
          <w:color w:val="auto"/>
          <w:sz w:val="32"/>
          <w:szCs w:val="32"/>
          <w:highlight w:val="none"/>
          <w:lang w:val="en-US" w:eastAsia="zh-CN"/>
        </w:rPr>
        <w:t>19.98</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99.9</w:t>
      </w:r>
      <w:r>
        <w:rPr>
          <w:rFonts w:hint="eastAsia" w:ascii="方正仿宋_GBK" w:hAnsi="方正仿宋_GBK" w:eastAsia="方正仿宋_GBK" w:cs="方正仿宋_GBK"/>
          <w:b w:val="0"/>
          <w:bCs w:val="0"/>
          <w:color w:val="auto"/>
          <w:sz w:val="32"/>
          <w:szCs w:val="32"/>
          <w:highlight w:val="none"/>
        </w:rPr>
        <w:t>%。项目产出类指标权重为40分，得分为</w:t>
      </w:r>
      <w:r>
        <w:rPr>
          <w:rFonts w:hint="eastAsia" w:ascii="方正仿宋_GBK" w:hAnsi="方正仿宋_GBK" w:eastAsia="方正仿宋_GBK" w:cs="方正仿宋_GBK"/>
          <w:b w:val="0"/>
          <w:bCs w:val="0"/>
          <w:color w:val="auto"/>
          <w:sz w:val="32"/>
          <w:szCs w:val="32"/>
          <w:highlight w:val="none"/>
          <w:lang w:val="en-US" w:eastAsia="zh-CN"/>
        </w:rPr>
        <w:t>34.6</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86.5</w:t>
      </w:r>
      <w:r>
        <w:rPr>
          <w:rFonts w:hint="eastAsia" w:ascii="方正仿宋_GBK" w:hAnsi="方正仿宋_GBK" w:eastAsia="方正仿宋_GBK" w:cs="方正仿宋_GBK"/>
          <w:b w:val="0"/>
          <w:bCs w:val="0"/>
          <w:color w:val="auto"/>
          <w:sz w:val="32"/>
          <w:szCs w:val="32"/>
          <w:highlight w:val="none"/>
        </w:rPr>
        <w:t>%。项目效益类指标权重为20分，得分为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rPr>
        <w:t>（</w:t>
      </w:r>
      <w:r>
        <w:rPr>
          <w:rFonts w:hint="eastAsia" w:ascii="方正楷体_GBK" w:hAnsi="方正楷体_GBK" w:eastAsia="方正楷体_GBK" w:cs="方正楷体_GBK"/>
          <w:b w:val="0"/>
          <w:bCs w:val="0"/>
          <w:color w:val="auto"/>
          <w:sz w:val="32"/>
          <w:szCs w:val="32"/>
          <w:lang w:eastAsia="zh-CN"/>
        </w:rPr>
        <w:t>二</w:t>
      </w:r>
      <w:r>
        <w:rPr>
          <w:rFonts w:hint="eastAsia" w:ascii="方正楷体_GBK" w:hAnsi="方正楷体_GBK" w:eastAsia="方正楷体_GBK" w:cs="方正楷体_GBK"/>
          <w:b w:val="0"/>
          <w:bCs w:val="0"/>
          <w:color w:val="auto"/>
          <w:sz w:val="32"/>
          <w:szCs w:val="32"/>
        </w:rPr>
        <w:t>）</w:t>
      </w:r>
      <w:r>
        <w:rPr>
          <w:rFonts w:hint="eastAsia" w:ascii="方正楷体_GBK" w:hAnsi="方正楷体_GBK" w:eastAsia="方正楷体_GBK" w:cs="方正楷体_GBK"/>
          <w:b w:val="0"/>
          <w:bCs w:val="0"/>
          <w:color w:val="auto"/>
          <w:sz w:val="32"/>
          <w:szCs w:val="32"/>
          <w:lang w:eastAsia="zh-CN"/>
        </w:rPr>
        <w:t>相关评分表</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具体打分情况详见：附件1综合评分表</w:t>
      </w:r>
      <w:r>
        <w:rPr>
          <w:rFonts w:hint="eastAsia" w:ascii="方正仿宋_GBK" w:hAnsi="方正仿宋_GBK" w:eastAsia="方正仿宋_GBK" w:cs="方正仿宋_GBK"/>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leftChars="0" w:firstLine="640" w:firstLineChars="200"/>
        <w:jc w:val="center"/>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市场监管综合执法业务费项目评价得分情况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19.98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35.6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95.58</w:t>
            </w:r>
          </w:p>
        </w:tc>
      </w:tr>
    </w:tbl>
    <w:p>
      <w:pPr>
        <w:pStyle w:val="10"/>
        <w:pageBreakBefore w:val="0"/>
        <w:kinsoku/>
        <w:wordWrap/>
        <w:overflowPunct/>
        <w:topLinePunct w:val="0"/>
        <w:autoSpaceDE/>
        <w:autoSpaceDN/>
        <w:bidi w:val="0"/>
        <w:adjustRightInd/>
        <w:snapToGrid/>
        <w:spacing w:before="0" w:after="0" w:line="560" w:lineRule="exact"/>
        <w:ind w:leftChars="0"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11" w:name="_Toc68703837"/>
      <w:r>
        <w:rPr>
          <w:rFonts w:hint="eastAsia" w:ascii="方正黑体_GBK" w:hAnsi="方正黑体_GBK" w:eastAsia="方正黑体_GBK" w:cs="方正黑体_GBK"/>
          <w:b w:val="0"/>
          <w:bCs w:val="0"/>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60" w:lineRule="exact"/>
        <w:ind w:leftChars="0" w:firstLine="600" w:firstLineChars="200"/>
        <w:textAlignment w:val="auto"/>
        <w:rPr>
          <w:rFonts w:hint="eastAsia" w:ascii="方正楷体_GBK" w:hAnsi="方正楷体_GBK" w:eastAsia="方正楷体_GBK" w:cs="方正楷体_GBK"/>
          <w:b w:val="0"/>
          <w:bCs w:val="0"/>
          <w:color w:val="auto"/>
          <w:sz w:val="30"/>
          <w:szCs w:val="30"/>
        </w:rPr>
      </w:pPr>
      <w:bookmarkStart w:id="12" w:name="_Toc68703838"/>
      <w:r>
        <w:rPr>
          <w:rFonts w:hint="eastAsia" w:ascii="方正楷体_GBK" w:hAnsi="方正楷体_GBK" w:eastAsia="方正楷体_GBK" w:cs="方正楷体_GBK"/>
          <w:b w:val="0"/>
          <w:bCs w:val="0"/>
          <w:color w:val="auto"/>
          <w:sz w:val="30"/>
          <w:szCs w:val="30"/>
        </w:rPr>
        <w:t>（一）项目决策情况。</w:t>
      </w:r>
      <w:bookmarkEnd w:id="12"/>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bookmarkStart w:id="22" w:name="_GoBack"/>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立项依据充分性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color w:val="FF0000"/>
          <w:sz w:val="32"/>
          <w:szCs w:val="32"/>
          <w:highlight w:val="none"/>
        </w:rPr>
      </w:pPr>
      <w:r>
        <w:rPr>
          <w:rFonts w:hint="eastAsia" w:ascii="方正仿宋_GBK" w:hAnsi="方正仿宋_GBK" w:eastAsia="方正仿宋_GBK" w:cs="方正仿宋_GBK"/>
          <w:color w:val="auto"/>
          <w:sz w:val="32"/>
          <w:szCs w:val="32"/>
        </w:rPr>
        <w:t>项目立项依据《关于印发&lt;自治州在市场监管领域全面推行部门联合“双随机、一公开”监管实施方案&gt;的通知》（巴政发〔2019〕135 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《关于印发&lt;运用推广“丝路有信”新疆企业信用码试点工作实施方案&gt;的通知》（新市监办信〔2022〕66 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《关于印发&lt;自治区市场监督管理局开展 信用监管“六讲一争”创新试点培育 工作实施方案&gt;的通知》（新市监办信〔2023〕11 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自治区市场监督管理局关于开展2023“守护公平竞争”专项行动的通知》、《自治区市场监督管理局关于开展2023打击传销整治行动的通知》、《国家市场监督管理局关于开展2023年反不正当竞争“守护”行动专项的通知》</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自治区党委 自治区人民政府关于印发《新疆维吾尔自治区质量强区建设实施方案》的通知（新党发〔2023〕11号）、关于印发《2023年质量强区暨质量提升行动工作要点》的通知（新质量强区办〔2023〕6 号）、关于印发《2023年质量工作考核方案》的通知（新质量强区办〔2023〕16号）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《产品质量法》第15条《产品质量监督抽查管理办法》第6条</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自治区《2023年各地州市食品安全工作评议考核细则》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自治区药品监督管理局关于开展医疗器械质量安全专项整治的通知》、《巴州市场监督管理局2023年度医疗器械质量安全专项交叉检查方案》、《自治区药品监督管理局关于开展2023年医疗器械科安全宣传周活动的通知》</w:t>
      </w:r>
      <w:r>
        <w:rPr>
          <w:rFonts w:hint="eastAsia" w:ascii="方正仿宋_GBK" w:hAnsi="方正仿宋_GBK" w:eastAsia="方正仿宋_GBK" w:cs="方正仿宋_GBK"/>
          <w:color w:val="auto"/>
          <w:sz w:val="32"/>
          <w:szCs w:val="32"/>
          <w:lang w:eastAsia="zh-CN"/>
        </w:rPr>
        <w:t>和</w:t>
      </w:r>
      <w:r>
        <w:rPr>
          <w:rFonts w:hint="eastAsia" w:ascii="方正仿宋_GBK" w:hAnsi="方正仿宋_GBK" w:eastAsia="方正仿宋_GBK" w:cs="方正仿宋_GBK"/>
          <w:color w:val="auto"/>
          <w:sz w:val="32"/>
          <w:szCs w:val="32"/>
        </w:rPr>
        <w:t>《中华人民共和国食品安全法》、国务院食安办关于印发《国家食品安全示范城市评价细则（2021版）》的通知、《市场监管领域重大违法行为举报奖励暂行办法》</w:t>
      </w:r>
      <w:r>
        <w:rPr>
          <w:rFonts w:hint="eastAsia" w:ascii="方正仿宋_GBK" w:hAnsi="方正仿宋_GBK" w:eastAsia="方正仿宋_GBK" w:cs="方正仿宋_GBK"/>
          <w:color w:val="auto"/>
          <w:sz w:val="32"/>
          <w:szCs w:val="32"/>
          <w:lang w:eastAsia="zh-CN"/>
        </w:rPr>
        <w:t>和</w:t>
      </w:r>
      <w:r>
        <w:rPr>
          <w:rFonts w:hint="eastAsia" w:ascii="方正仿宋_GBK" w:hAnsi="方正仿宋_GBK" w:eastAsia="方正仿宋_GBK" w:cs="方正仿宋_GBK"/>
          <w:color w:val="auto"/>
          <w:sz w:val="32"/>
          <w:szCs w:val="32"/>
        </w:rPr>
        <w:t>《中华人民共和国食品安全法》、《中华人民共和国食品安全法实施条例》、《中共中央、国务院 关于深化改革加强食品安全工作的意见》、《食品经营许可和备案管理办法》（2023版）、《食品经营许可审查通则》、《企业落实食品安全主体责任监督管理规定》、《食用农产品市场销售质量安全监督管理办法》（2023版）</w:t>
      </w:r>
      <w:r>
        <w:rPr>
          <w:rFonts w:hint="eastAsia" w:ascii="方正仿宋_GBK" w:hAnsi="方正仿宋_GBK" w:eastAsia="方正仿宋_GBK" w:cs="方正仿宋_GBK"/>
          <w:color w:val="auto"/>
          <w:sz w:val="32"/>
          <w:szCs w:val="32"/>
          <w:lang w:eastAsia="zh-CN"/>
        </w:rPr>
        <w:t>等文件，</w:t>
      </w:r>
      <w:r>
        <w:rPr>
          <w:rFonts w:hint="eastAsia" w:ascii="方正仿宋_GBK" w:hAnsi="方正仿宋_GBK" w:eastAsia="方正仿宋_GBK" w:cs="方正仿宋_GBK"/>
          <w:color w:val="auto"/>
          <w:sz w:val="32"/>
          <w:szCs w:val="32"/>
          <w:lang w:val="en-US" w:eastAsia="zh-CN"/>
        </w:rPr>
        <w:t>该项目立</w:t>
      </w:r>
      <w:r>
        <w:rPr>
          <w:rFonts w:hint="eastAsia" w:ascii="方正仿宋_GBK" w:hAnsi="方正仿宋_GBK" w:eastAsia="方正仿宋_GBK" w:cs="方正仿宋_GBK"/>
          <w:color w:val="auto"/>
          <w:sz w:val="32"/>
          <w:szCs w:val="32"/>
          <w:highlight w:val="none"/>
          <w:lang w:val="en-US" w:eastAsia="zh-CN"/>
        </w:rPr>
        <w:t>项符合国家相关法律法规及发展政策，符合行业规划要求，</w:t>
      </w:r>
      <w:r>
        <w:rPr>
          <w:rFonts w:hint="eastAsia" w:ascii="方正仿宋_GBK" w:hAnsi="方正仿宋_GBK" w:eastAsia="方正仿宋_GBK" w:cs="方正仿宋_GBK"/>
          <w:color w:val="auto"/>
          <w:sz w:val="32"/>
          <w:szCs w:val="32"/>
          <w:highlight w:val="none"/>
        </w:rPr>
        <w:t>与部门职责范围相符，属于部门履职所需</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属于公共财政支持范围</w:t>
      </w:r>
      <w:r>
        <w:rPr>
          <w:rFonts w:hint="eastAsia" w:ascii="方正仿宋_GBK" w:hAnsi="方正仿宋_GBK" w:eastAsia="方正仿宋_GBK" w:cs="方正仿宋_GBK"/>
          <w:color w:val="auto"/>
          <w:sz w:val="32"/>
          <w:szCs w:val="32"/>
          <w:highlight w:val="none"/>
          <w:lang w:eastAsia="zh-CN"/>
        </w:rPr>
        <w:t>，不与相关部门同类项目重复</w:t>
      </w:r>
      <w:r>
        <w:rPr>
          <w:rFonts w:hint="eastAsia" w:ascii="方正仿宋_GBK" w:hAnsi="方正仿宋_GBK" w:eastAsia="方正仿宋_GBK" w:cs="方正仿宋_GBK"/>
          <w:color w:val="auto"/>
          <w:sz w:val="32"/>
          <w:szCs w:val="32"/>
          <w:highlight w:val="none"/>
          <w:lang w:val="en-US" w:eastAsia="zh-CN"/>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b w:val="0"/>
          <w:bCs w:val="0"/>
          <w:kern w:val="2"/>
          <w:sz w:val="32"/>
          <w:szCs w:val="32"/>
          <w:highlight w:val="none"/>
          <w:lang w:val="en-US" w:eastAsia="zh-CN" w:bidi="ar-SA"/>
        </w:rPr>
      </w:pPr>
      <w:r>
        <w:rPr>
          <w:rFonts w:hint="eastAsia" w:ascii="方正仿宋_GBK" w:hAnsi="方正仿宋_GBK" w:eastAsia="方正仿宋_GBK" w:cs="方正仿宋_GBK"/>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highlight w:val="none"/>
        </w:rPr>
        <w:t>立项程序规范性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color w:val="0000FF"/>
          <w:sz w:val="32"/>
          <w:szCs w:val="32"/>
          <w:lang w:val="en-US" w:eastAsia="zh-CN"/>
        </w:rPr>
      </w:pPr>
      <w:r>
        <w:rPr>
          <w:rFonts w:hint="eastAsia" w:ascii="方正仿宋_GBK" w:hAnsi="方正仿宋_GBK" w:eastAsia="方正仿宋_GBK" w:cs="方正仿宋_GBK"/>
          <w:color w:val="auto"/>
          <w:sz w:val="32"/>
          <w:szCs w:val="32"/>
          <w:lang w:val="en-US" w:eastAsia="zh-CN"/>
        </w:rPr>
        <w:t>本</w:t>
      </w:r>
      <w:r>
        <w:rPr>
          <w:rFonts w:hint="eastAsia" w:ascii="方正仿宋_GBK" w:hAnsi="方正仿宋_GBK" w:eastAsia="方正仿宋_GBK" w:cs="方正仿宋_GBK"/>
          <w:sz w:val="32"/>
          <w:szCs w:val="32"/>
        </w:rPr>
        <w:t>项目申请、设立过程符合相关要求，</w:t>
      </w:r>
      <w:r>
        <w:rPr>
          <w:rFonts w:hint="eastAsia" w:ascii="方正仿宋_GBK" w:hAnsi="方正仿宋_GBK" w:eastAsia="方正仿宋_GBK" w:cs="方正仿宋_GBK"/>
          <w:sz w:val="32"/>
          <w:szCs w:val="32"/>
          <w:lang w:eastAsia="zh-Hans"/>
        </w:rPr>
        <w:t>严格按照审批流程准备符合要求的文件、材料；</w:t>
      </w:r>
      <w:r>
        <w:rPr>
          <w:rFonts w:hint="eastAsia" w:ascii="方正仿宋_GBK" w:hAnsi="方正仿宋_GBK" w:eastAsia="方正仿宋_GBK" w:cs="方正仿宋_GBK"/>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r>
        <w:rPr>
          <w:rFonts w:hint="eastAsia" w:ascii="方正仿宋_GBK" w:hAnsi="方正仿宋_GBK" w:eastAsia="方正仿宋_GBK" w:cs="方正仿宋_GBK"/>
          <w:color w:val="auto"/>
          <w:sz w:val="32"/>
          <w:szCs w:val="32"/>
          <w:lang w:val="en-US" w:eastAsia="zh-CN"/>
        </w:rPr>
        <w:t>绩效评估、集体决策，保障了程序的规范性。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绩效目标合理性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市场监管综合执法业务费项目设立了项目绩效目标，与</w:t>
      </w:r>
      <w:r>
        <w:rPr>
          <w:rFonts w:hint="eastAsia" w:ascii="方正仿宋_GBK" w:hAnsi="方正仿宋_GBK" w:eastAsia="方正仿宋_GBK" w:cs="方正仿宋_GBK"/>
          <w:color w:val="auto"/>
          <w:sz w:val="32"/>
          <w:szCs w:val="32"/>
          <w:highlight w:val="none"/>
          <w:lang w:eastAsia="zh-CN"/>
        </w:rPr>
        <w:t>举办</w:t>
      </w:r>
      <w:r>
        <w:rPr>
          <w:rFonts w:hint="eastAsia" w:ascii="方正仿宋_GBK" w:hAnsi="方正仿宋_GBK" w:eastAsia="方正仿宋_GBK" w:cs="方正仿宋_GBK"/>
          <w:color w:val="auto"/>
          <w:sz w:val="32"/>
          <w:szCs w:val="32"/>
          <w:highlight w:val="none"/>
        </w:rPr>
        <w:t>市场监管综合执法业务培训</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印刷</w:t>
      </w:r>
      <w:r>
        <w:rPr>
          <w:rFonts w:hint="eastAsia" w:ascii="方正仿宋_GBK" w:hAnsi="方正仿宋_GBK" w:eastAsia="方正仿宋_GBK" w:cs="方正仿宋_GBK"/>
          <w:color w:val="auto"/>
          <w:sz w:val="32"/>
          <w:szCs w:val="32"/>
          <w:highlight w:val="none"/>
          <w:lang w:eastAsia="zh-CN"/>
        </w:rPr>
        <w:t>资料</w:t>
      </w:r>
      <w:r>
        <w:rPr>
          <w:rFonts w:hint="eastAsia" w:ascii="方正仿宋_GBK" w:hAnsi="方正仿宋_GBK" w:eastAsia="方正仿宋_GBK" w:cs="方正仿宋_GBK"/>
          <w:color w:val="auto"/>
          <w:sz w:val="32"/>
          <w:szCs w:val="32"/>
          <w:highlight w:val="none"/>
        </w:rPr>
        <w:t>，制作宣传视频</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购买办公用品</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委托第三方机构对全州9个县市食品安全工作开展公众满意度调查</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申报立项地方标准发布</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举办联谊活动次数</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配备执法制服</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进行121家针对生产、销售方面的商户进行产品质量检查工作，维护特种设备监管平台租赁特种设备业务网络</w:t>
      </w:r>
      <w:r>
        <w:rPr>
          <w:rFonts w:hint="eastAsia" w:ascii="方正仿宋_GBK" w:hAnsi="方正仿宋_GBK" w:eastAsia="方正仿宋_GBK" w:cs="方正仿宋_GBK"/>
          <w:color w:val="auto"/>
          <w:sz w:val="32"/>
          <w:szCs w:val="32"/>
          <w:highlight w:val="none"/>
          <w:lang w:eastAsia="zh-CN"/>
        </w:rPr>
        <w:t>等</w:t>
      </w:r>
      <w:r>
        <w:rPr>
          <w:rFonts w:hint="eastAsia" w:ascii="方正仿宋_GBK" w:hAnsi="方正仿宋_GBK" w:eastAsia="方正仿宋_GBK" w:cs="方正仿宋_GBK"/>
          <w:color w:val="auto"/>
          <w:sz w:val="32"/>
          <w:szCs w:val="32"/>
        </w:rPr>
        <w:t>具有相关性，项目的预期产出效益和效果也均能符合正常的业绩水平，并且与预算确定的资金量相匹配。</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绩效指标明确性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highlight w:val="none"/>
        </w:rPr>
      </w:pPr>
      <w:bookmarkStart w:id="13" w:name="_Hlk68699917"/>
      <w:r>
        <w:rPr>
          <w:rFonts w:hint="eastAsia" w:ascii="方正仿宋_GBK" w:hAnsi="方正仿宋_GBK" w:eastAsia="方正仿宋_GBK" w:cs="方正仿宋_GBK"/>
          <w:color w:val="auto"/>
          <w:sz w:val="32"/>
          <w:szCs w:val="32"/>
        </w:rPr>
        <w:t>市场监管综合执法业务费项目将项目绩效目标细化分解为具体的绩效指标，一级指标共</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条，二级指标共</w:t>
      </w:r>
      <w:r>
        <w:rPr>
          <w:rFonts w:hint="eastAsia" w:ascii="方正仿宋_GBK" w:hAnsi="方正仿宋_GBK" w:eastAsia="方正仿宋_GBK" w:cs="方正仿宋_GBK"/>
          <w:color w:val="auto"/>
          <w:sz w:val="32"/>
          <w:szCs w:val="32"/>
          <w:lang w:val="en-US" w:eastAsia="zh-CN"/>
        </w:rPr>
        <w:t>7</w:t>
      </w:r>
      <w:r>
        <w:rPr>
          <w:rFonts w:hint="eastAsia" w:ascii="方正仿宋_GBK" w:hAnsi="方正仿宋_GBK" w:eastAsia="方正仿宋_GBK" w:cs="方正仿宋_GBK"/>
          <w:color w:val="auto"/>
          <w:sz w:val="32"/>
          <w:szCs w:val="32"/>
        </w:rPr>
        <w:t>条，三级指标共</w:t>
      </w:r>
      <w:r>
        <w:rPr>
          <w:rFonts w:hint="eastAsia" w:ascii="方正仿宋_GBK" w:hAnsi="方正仿宋_GBK" w:eastAsia="方正仿宋_GBK" w:cs="方正仿宋_GBK"/>
          <w:color w:val="auto"/>
          <w:sz w:val="32"/>
          <w:szCs w:val="32"/>
          <w:lang w:val="en-US" w:eastAsia="zh-CN"/>
        </w:rPr>
        <w:t>82</w:t>
      </w:r>
      <w:r>
        <w:rPr>
          <w:rFonts w:hint="eastAsia" w:ascii="方正仿宋_GBK" w:hAnsi="方正仿宋_GBK" w:eastAsia="方正仿宋_GBK" w:cs="方正仿宋_GBK"/>
          <w:color w:val="auto"/>
          <w:sz w:val="32"/>
          <w:szCs w:val="32"/>
        </w:rPr>
        <w:t>条，其中量化指标条数共</w:t>
      </w:r>
      <w:r>
        <w:rPr>
          <w:rFonts w:hint="eastAsia" w:ascii="方正仿宋_GBK" w:hAnsi="方正仿宋_GBK" w:eastAsia="方正仿宋_GBK" w:cs="方正仿宋_GBK"/>
          <w:color w:val="auto"/>
          <w:sz w:val="32"/>
          <w:szCs w:val="32"/>
          <w:lang w:val="en-US" w:eastAsia="zh-CN"/>
        </w:rPr>
        <w:t>81</w:t>
      </w:r>
      <w:r>
        <w:rPr>
          <w:rFonts w:hint="eastAsia" w:ascii="方正仿宋_GBK" w:hAnsi="方正仿宋_GBK" w:eastAsia="方正仿宋_GBK" w:cs="方正仿宋_GBK"/>
          <w:color w:val="auto"/>
          <w:sz w:val="32"/>
          <w:szCs w:val="32"/>
        </w:rPr>
        <w:t>条，所有绩效指标均通过</w:t>
      </w:r>
      <w:r>
        <w:rPr>
          <w:rFonts w:hint="eastAsia" w:ascii="方正仿宋_GBK" w:hAnsi="方正仿宋_GBK" w:eastAsia="方正仿宋_GBK" w:cs="方正仿宋_GBK"/>
          <w:color w:val="auto"/>
          <w:sz w:val="32"/>
          <w:szCs w:val="32"/>
          <w:highlight w:val="none"/>
        </w:rPr>
        <w:t>清晰、可衡量的指标值予以体现，并且做到了与项目目标任务数相对应。</w:t>
      </w:r>
      <w:bookmarkEnd w:id="13"/>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val="0"/>
          <w:bCs w:val="0"/>
          <w:kern w:val="2"/>
          <w:sz w:val="32"/>
          <w:szCs w:val="32"/>
          <w:highlight w:val="none"/>
          <w:lang w:val="en-US" w:eastAsia="zh-CN" w:bidi="ar-SA"/>
        </w:rPr>
        <w:t>此项权重分5分，得分5分。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5</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highlight w:val="none"/>
        </w:rPr>
        <w:t>预算编制科学性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市场监管综合执法业务费预算编制经过科学论证，提供充分的测算依据佐证资料，预算内容与项目内容相匹配。项目工作任务相匹配。</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val="0"/>
          <w:bCs w:val="0"/>
          <w:kern w:val="2"/>
          <w:sz w:val="32"/>
          <w:szCs w:val="32"/>
          <w:highlight w:val="none"/>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6</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highlight w:val="none"/>
        </w:rPr>
        <w:t>资金分配合理性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市场监管综合执法业务费资金分配额度与项目单位实际工作内容相适应，资金分配额度合理，资金分配依据充分。</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val="0"/>
          <w:bCs w:val="0"/>
          <w:kern w:val="2"/>
          <w:sz w:val="32"/>
          <w:szCs w:val="32"/>
          <w:highlight w:val="none"/>
          <w:lang w:val="en-US" w:eastAsia="zh-CN" w:bidi="ar-SA"/>
        </w:rPr>
        <w:t>此项权重分2分，得分2分。</w:t>
      </w:r>
      <w:bookmarkEnd w:id="22"/>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4" w:name="_Toc68703839"/>
      <w:r>
        <w:rPr>
          <w:rFonts w:hint="eastAsia" w:ascii="方正楷体_GBK" w:hAnsi="方正楷体_GBK" w:eastAsia="方正楷体_GBK" w:cs="方正楷体_GBK"/>
          <w:b w:val="0"/>
          <w:bCs w:val="0"/>
          <w:color w:val="auto"/>
          <w:sz w:val="32"/>
          <w:szCs w:val="32"/>
          <w:highlight w:val="none"/>
        </w:rPr>
        <w:t>（二）项目过程情况。</w:t>
      </w:r>
      <w:bookmarkEnd w:id="14"/>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highlight w:val="none"/>
        </w:rPr>
        <w:t>资金到位率：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rPr>
        <w:t>预算资金</w:t>
      </w:r>
      <w:r>
        <w:rPr>
          <w:rFonts w:hint="eastAsia" w:ascii="方正仿宋_GBK" w:hAnsi="方正仿宋_GBK" w:eastAsia="方正仿宋_GBK" w:cs="方正仿宋_GBK"/>
          <w:color w:val="auto"/>
          <w:sz w:val="32"/>
          <w:szCs w:val="32"/>
          <w:highlight w:val="none"/>
          <w:lang w:val="en-US" w:eastAsia="zh-CN"/>
        </w:rPr>
        <w:t>450</w:t>
      </w:r>
      <w:r>
        <w:rPr>
          <w:rFonts w:hint="eastAsia" w:ascii="方正仿宋_GBK" w:hAnsi="方正仿宋_GBK" w:eastAsia="方正仿宋_GBK" w:cs="方正仿宋_GBK"/>
          <w:color w:val="auto"/>
          <w:sz w:val="32"/>
          <w:szCs w:val="32"/>
          <w:highlight w:val="none"/>
        </w:rPr>
        <w:t>万元，实际到位资金</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rPr>
        <w:t>万元，资金到位率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预算执行率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年初预算数</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447.54</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99.45</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此项权重分4分，得分3.98分。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资金使用合规性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巴州市场监督管理局财务管理办法》和《巴州市场监督管理局预算绩效目标管理办法》等相关的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管理制度健全性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方正仿宋_GBK" w:hAnsi="方正仿宋_GBK" w:eastAsia="方正仿宋_GBK" w:cs="方正仿宋_GBK"/>
          <w:b w:val="0"/>
          <w:bCs w:val="0"/>
          <w:color w:val="0000FF"/>
          <w:sz w:val="32"/>
          <w:szCs w:val="32"/>
          <w:lang w:val="en-US" w:eastAsia="zh-CN"/>
        </w:rPr>
      </w:pPr>
      <w:r>
        <w:rPr>
          <w:rFonts w:hint="eastAsia" w:ascii="方正仿宋_GBK" w:hAnsi="方正仿宋_GBK" w:eastAsia="方正仿宋_GBK" w:cs="方正仿宋_GBK"/>
          <w:b w:val="0"/>
          <w:bCs w:val="0"/>
          <w:color w:val="auto"/>
          <w:sz w:val="32"/>
          <w:szCs w:val="32"/>
          <w:highlight w:val="none"/>
          <w:lang w:val="en-US" w:eastAsia="zh-CN"/>
        </w:rPr>
        <w:t>制定了</w:t>
      </w:r>
      <w:r>
        <w:rPr>
          <w:rFonts w:hint="eastAsia" w:ascii="方正仿宋_GBK" w:hAnsi="方正仿宋_GBK" w:eastAsia="方正仿宋_GBK" w:cs="方正仿宋_GBK"/>
          <w:b w:val="0"/>
          <w:bCs w:val="0"/>
          <w:color w:val="auto"/>
          <w:sz w:val="32"/>
          <w:szCs w:val="32"/>
          <w:highlight w:val="none"/>
        </w:rPr>
        <w:t>《巴州市场监督管理局财务管理</w:t>
      </w:r>
      <w:r>
        <w:rPr>
          <w:rFonts w:hint="eastAsia" w:ascii="方正仿宋_GBK" w:hAnsi="方正仿宋_GBK" w:eastAsia="方正仿宋_GBK" w:cs="方正仿宋_GBK"/>
          <w:b w:val="0"/>
          <w:bCs w:val="0"/>
          <w:color w:val="auto"/>
          <w:sz w:val="32"/>
          <w:szCs w:val="32"/>
          <w:highlight w:val="none"/>
          <w:lang w:eastAsia="zh-CN"/>
        </w:rPr>
        <w:t>办法</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和</w:t>
      </w:r>
      <w:r>
        <w:rPr>
          <w:rFonts w:hint="eastAsia" w:ascii="方正仿宋_GBK" w:hAnsi="方正仿宋_GBK" w:eastAsia="方正仿宋_GBK" w:cs="方正仿宋_GBK"/>
          <w:b w:val="0"/>
          <w:bCs w:val="0"/>
          <w:color w:val="auto"/>
          <w:sz w:val="32"/>
          <w:szCs w:val="32"/>
          <w:highlight w:val="none"/>
        </w:rPr>
        <w:t>《巴州市场监督管理局</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制度执行有效性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5" w:name="_Toc68703840"/>
      <w:r>
        <w:rPr>
          <w:rFonts w:hint="eastAsia" w:ascii="方正楷体_GBK" w:hAnsi="方正楷体_GBK" w:eastAsia="方正楷体_GBK" w:cs="方正楷体_GBK"/>
          <w:b w:val="0"/>
          <w:bCs w:val="0"/>
          <w:color w:val="auto"/>
          <w:sz w:val="32"/>
          <w:szCs w:val="32"/>
          <w:lang w:val="en-US" w:eastAsia="zh-CN"/>
        </w:rPr>
        <w:t>（三）</w:t>
      </w:r>
      <w:r>
        <w:rPr>
          <w:rFonts w:hint="eastAsia" w:ascii="方正楷体_GBK" w:hAnsi="方正楷体_GBK" w:eastAsia="方正楷体_GBK" w:cs="方正楷体_GBK"/>
          <w:b w:val="0"/>
          <w:bCs w:val="0"/>
          <w:color w:val="auto"/>
          <w:sz w:val="32"/>
          <w:szCs w:val="32"/>
        </w:rPr>
        <w:t>项目产出情况。</w:t>
      </w:r>
      <w:bookmarkEnd w:id="15"/>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default" w:ascii="方正仿宋_GBK" w:hAnsi="方正仿宋_GBK" w:eastAsia="方正仿宋_GBK" w:cs="方正仿宋_GBK"/>
          <w:color w:val="000000" w:themeColor="text1"/>
          <w:sz w:val="32"/>
          <w:szCs w:val="32"/>
          <w:lang w:val="en-US"/>
          <w14:textFill>
            <w14:solidFill>
              <w14:schemeClr w14:val="tx1"/>
            </w14:solidFill>
          </w14:textFill>
        </w:rPr>
        <w:t>1.</w:t>
      </w:r>
      <w:r>
        <w:rPr>
          <w:rFonts w:hint="eastAsia" w:ascii="方正仿宋_GBK" w:hAnsi="方正仿宋_GBK" w:eastAsia="方正仿宋_GBK" w:cs="方正仿宋_GBK"/>
          <w:color w:val="000000" w:themeColor="text1"/>
          <w:sz w:val="32"/>
          <w:szCs w:val="32"/>
          <w14:textFill>
            <w14:solidFill>
              <w14:schemeClr w14:val="tx1"/>
            </w14:solidFill>
          </w14:textFill>
        </w:rPr>
        <w:t>数量指标</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完成情况</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指标1：印刷资料批次，指标值：&gt;=23批，实际完成值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26批次</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113.04</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，偏差原因：年初预计印刷批次较少，本年完成较好，造成偏差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指标2：购置办公用品批次，指标值：&gt;=8批，实际完成值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9批</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112.50</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，偏差原因：年初预计购置办公用品批次较少，本年完成较好，造成偏差；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：举办联谊活动次数，指标值：&gt;=4次，实际完成值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4次</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：举办联谊活动天数，指标值：&gt;=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4天</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4天</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w:t>
      </w:r>
      <w:r>
        <w:rPr>
          <w:rFonts w:hint="eastAsia" w:ascii="方正仿宋_GBK" w:hAnsi="方正仿宋_GBK" w:eastAsia="方正仿宋_GBK" w:cs="方正仿宋_GBK"/>
          <w:color w:val="000000" w:themeColor="text1"/>
          <w:sz w:val="32"/>
          <w:szCs w:val="32"/>
          <w14:textFill>
            <w14:solidFill>
              <w14:schemeClr w14:val="tx1"/>
            </w14:solidFill>
          </w14:textFill>
        </w:rPr>
        <w:t>：举办联谊活动人数，指标值：&gt;=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450人</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620人</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137.78</w:t>
      </w:r>
      <w:r>
        <w:rPr>
          <w:rFonts w:hint="eastAsia" w:ascii="方正仿宋_GBK" w:hAnsi="方正仿宋_GBK" w:eastAsia="方正仿宋_GBK" w:cs="方正仿宋_GBK"/>
          <w:color w:val="000000" w:themeColor="text1"/>
          <w:sz w:val="32"/>
          <w:szCs w:val="32"/>
          <w14:textFill>
            <w14:solidFill>
              <w14:schemeClr w14:val="tx1"/>
            </w14:solidFill>
          </w14:textFill>
        </w:rPr>
        <w:t>%，偏差原因：</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年初计划参加活动的人过少，</w:t>
      </w:r>
      <w:r>
        <w:rPr>
          <w:rFonts w:hint="eastAsia" w:ascii="方正仿宋_GBK" w:hAnsi="方正仿宋_GBK" w:eastAsia="方正仿宋_GBK" w:cs="方正仿宋_GBK"/>
          <w:color w:val="000000" w:themeColor="text1"/>
          <w:sz w:val="32"/>
          <w:szCs w:val="32"/>
          <w14:textFill>
            <w14:solidFill>
              <w14:schemeClr w14:val="tx1"/>
            </w14:solidFill>
          </w14:textFill>
        </w:rPr>
        <w:t>初设置的指标值偏低，本年</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实际参加活动人数多</w:t>
      </w:r>
      <w:r>
        <w:rPr>
          <w:rFonts w:hint="eastAsia" w:ascii="方正仿宋_GBK" w:hAnsi="方正仿宋_GBK" w:eastAsia="方正仿宋_GBK" w:cs="方正仿宋_GBK"/>
          <w:color w:val="000000" w:themeColor="text1"/>
          <w:sz w:val="32"/>
          <w:szCs w:val="32"/>
          <w14:textFill>
            <w14:solidFill>
              <w14:schemeClr w14:val="tx1"/>
            </w14:solidFill>
          </w14:textFill>
        </w:rPr>
        <w:t>造成偏差</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w:t>
      </w:r>
      <w:r>
        <w:rPr>
          <w:rFonts w:hint="eastAsia" w:ascii="方正仿宋_GBK" w:hAnsi="方正仿宋_GBK" w:eastAsia="方正仿宋_GBK" w:cs="方正仿宋_GBK"/>
          <w:color w:val="000000" w:themeColor="text1"/>
          <w:sz w:val="32"/>
          <w:szCs w:val="32"/>
          <w14:textFill>
            <w14:solidFill>
              <w14:schemeClr w14:val="tx1"/>
            </w14:solidFill>
          </w14:textFill>
        </w:rPr>
        <w:t>：市场监管综合执法业务培训期数，指标值：&gt;=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22期</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10期</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45.45</w:t>
      </w:r>
      <w:r>
        <w:rPr>
          <w:rFonts w:hint="eastAsia" w:ascii="方正仿宋_GBK" w:hAnsi="方正仿宋_GBK" w:eastAsia="方正仿宋_GBK" w:cs="方正仿宋_GBK"/>
          <w:color w:val="000000" w:themeColor="text1"/>
          <w:sz w:val="32"/>
          <w:szCs w:val="32"/>
          <w14:textFill>
            <w14:solidFill>
              <w14:schemeClr w14:val="tx1"/>
            </w14:solidFill>
          </w14:textFill>
        </w:rPr>
        <w:t>%，偏差原因：</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为节约成本，部分培训合并举办，导致偏差；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：市场监管综合执法业务培训</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人</w:t>
      </w:r>
      <w:r>
        <w:rPr>
          <w:rFonts w:hint="eastAsia" w:ascii="方正仿宋_GBK" w:hAnsi="方正仿宋_GBK" w:eastAsia="方正仿宋_GBK" w:cs="方正仿宋_GBK"/>
          <w:color w:val="000000" w:themeColor="text1"/>
          <w:sz w:val="32"/>
          <w:szCs w:val="32"/>
          <w14:textFill>
            <w14:solidFill>
              <w14:schemeClr w14:val="tx1"/>
            </w14:solidFill>
          </w14:textFill>
        </w:rPr>
        <w:t>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995人</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804人</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80.80</w:t>
      </w:r>
      <w:r>
        <w:rPr>
          <w:rFonts w:hint="eastAsia" w:ascii="方正仿宋_GBK" w:hAnsi="方正仿宋_GBK" w:eastAsia="方正仿宋_GBK" w:cs="方正仿宋_GBK"/>
          <w:color w:val="000000" w:themeColor="text1"/>
          <w:sz w:val="32"/>
          <w:szCs w:val="32"/>
          <w14:textFill>
            <w14:solidFill>
              <w14:schemeClr w14:val="tx1"/>
            </w14:solidFill>
          </w14:textFill>
        </w:rPr>
        <w:t>%，偏差原因：</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为节约成本，部分培训合并举办，导致偏差；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w:t>
      </w:r>
      <w:r>
        <w:rPr>
          <w:rFonts w:hint="eastAsia" w:ascii="方正仿宋_GBK" w:hAnsi="方正仿宋_GBK" w:eastAsia="方正仿宋_GBK" w:cs="方正仿宋_GBK"/>
          <w:color w:val="000000" w:themeColor="text1"/>
          <w:sz w:val="32"/>
          <w:szCs w:val="32"/>
          <w14:textFill>
            <w14:solidFill>
              <w14:schemeClr w14:val="tx1"/>
            </w14:solidFill>
          </w14:textFill>
        </w:rPr>
        <w:t>：市场监管综合执法业务培训</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天</w:t>
      </w:r>
      <w:r>
        <w:rPr>
          <w:rFonts w:hint="eastAsia" w:ascii="方正仿宋_GBK" w:hAnsi="方正仿宋_GBK" w:eastAsia="方正仿宋_GBK" w:cs="方正仿宋_GBK"/>
          <w:color w:val="000000" w:themeColor="text1"/>
          <w:sz w:val="32"/>
          <w:szCs w:val="32"/>
          <w14:textFill>
            <w14:solidFill>
              <w14:schemeClr w14:val="tx1"/>
            </w14:solidFill>
          </w14:textFill>
        </w:rPr>
        <w:t>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22天</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16天</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72.73</w:t>
      </w:r>
      <w:r>
        <w:rPr>
          <w:rFonts w:hint="eastAsia" w:ascii="方正仿宋_GBK" w:hAnsi="方正仿宋_GBK" w:eastAsia="方正仿宋_GBK" w:cs="方正仿宋_GBK"/>
          <w:color w:val="000000" w:themeColor="text1"/>
          <w:sz w:val="32"/>
          <w:szCs w:val="32"/>
          <w14:textFill>
            <w14:solidFill>
              <w14:schemeClr w14:val="tx1"/>
            </w14:solidFill>
          </w14:textFill>
        </w:rPr>
        <w:t>%，偏差原因：</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为节约成本，部分培训合并举办，导致偏差；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：制作宣传视频次数，指标值：&gt;=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83.33</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%，偏差原因：两部宣传视频合并为一次制作，导致偏差；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：食品安全公众满意度调查有效样本量，指标值：&gt;=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3000样</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3711样</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123.70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偏差原因：</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为了使满意度调查结果更为准确，增加了样本数，导致偏差；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：食品安全有奖举报件数，指标值：=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偏差原因：</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2023年无符合使用有奖举报奖励资金的案件</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：驻村工作队支数，指标值：=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6支</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6支</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13</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：办公出差次数，指标值：&gt;=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30次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30次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14</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：购买快速检测试剂数，指标值：&gt;=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15</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：市场监管综合执法业务宣传次数，指标值：&gt;=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w:t>
      </w:r>
      <w:r>
        <w:rPr>
          <w:rFonts w:hint="eastAsia" w:ascii="方正仿宋_GBK" w:hAnsi="方正仿宋_GBK" w:eastAsia="方正仿宋_GBK" w:cs="方正仿宋_GBK"/>
          <w:color w:val="auto"/>
          <w:sz w:val="32"/>
          <w:szCs w:val="32"/>
          <w:lang w:eastAsia="zh-CN"/>
        </w:rPr>
        <w:t>率</w:t>
      </w:r>
      <w:r>
        <w:rPr>
          <w:rFonts w:hint="eastAsia" w:ascii="方正仿宋_GBK" w:hAnsi="方正仿宋_GBK" w:eastAsia="方正仿宋_GBK" w:cs="方正仿宋_GBK"/>
          <w:color w:val="auto"/>
          <w:sz w:val="32"/>
          <w:szCs w:val="32"/>
          <w:lang w:val="en-US" w:eastAsia="zh-CN"/>
        </w:rPr>
        <w:t>120.00</w:t>
      </w:r>
      <w:r>
        <w:rPr>
          <w:rFonts w:hint="eastAsia" w:ascii="方正仿宋_GBK" w:hAnsi="方正仿宋_GBK" w:eastAsia="方正仿宋_GBK" w:cs="方正仿宋_GBK"/>
          <w:color w:val="auto"/>
          <w:sz w:val="32"/>
          <w:szCs w:val="32"/>
          <w:lang w:eastAsia="zh-CN"/>
        </w:rPr>
        <w:t>%，偏差原因：本年加大了宣传力度，年初设置的指标值偏低，造成偏差；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16</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：慰问次数（离退休老干部及驻村工作队），指标值：&gt;=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17</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：市场监管机关后勤维修次数，指标值：&gt;=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40次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41次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102.50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auto"/>
          <w:sz w:val="32"/>
          <w:szCs w:val="32"/>
          <w:lang w:eastAsia="zh-CN"/>
        </w:rPr>
        <w:t>偏差原因：由于设备老化增加了维修次数，造成偏差</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18</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：租赁服务次数，指标值：&gt;=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19</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：食品安全抽检批次，指标值：&gt;=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15次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%，偏差原因：抽检合并，导致偏差；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：聘用人数，指标值：&gt;=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9人</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9人</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21</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：发放聘用人员工资次数，指标值：&gt;=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22</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：购置市场监管执法制服批次，指标值：=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23</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：市场监管执法法律顾问咨询次数，指标值：&gt;=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%，偏差原因：本年需要法律咨询次数少，年初设置绩效目标值偏高，造成偏差；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24</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：产品质量检查频次数，指标值：&gt;=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121家/次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121家/次</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25</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：完成检验报告数量，指标值：&gt;=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121个</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121个</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26</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：特种设备监管平台维护数，指标值：&gt;=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3个</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3个</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27</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：租赁特种设备业务网络数量，指标值：&gt;=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2个</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2个</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28</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：地方标准发布项目数，指标值：&gt;=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37项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37项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29</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：设备购置数量，指标值：&gt;=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120.00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%，偏差原因：年初设置的指标值偏低，</w:t>
      </w:r>
      <w:r>
        <w:rPr>
          <w:rFonts w:hint="eastAsia" w:ascii="方正仿宋_GBK" w:hAnsi="方正仿宋_GBK" w:eastAsia="方正仿宋_GBK" w:cs="方正仿宋_GBK"/>
          <w:color w:val="auto"/>
          <w:sz w:val="32"/>
          <w:szCs w:val="32"/>
          <w:lang w:eastAsia="zh-CN"/>
        </w:rPr>
        <w:t>本年完成较好造成偏差。</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b w:val="0"/>
          <w:bCs w:val="0"/>
          <w:color w:val="000000" w:themeColor="text1"/>
          <w:kern w:val="2"/>
          <w:sz w:val="32"/>
          <w:szCs w:val="32"/>
          <w:lang w:val="en-US" w:eastAsia="zh-CN" w:bidi="ar-SA"/>
          <w14:textFill>
            <w14:solidFill>
              <w14:schemeClr w14:val="tx1"/>
            </w14:solidFill>
          </w14:textFill>
        </w:rPr>
      </w:pPr>
      <w:r>
        <w:rPr>
          <w:rFonts w:hint="eastAsia" w:ascii="方正仿宋_GBK" w:hAnsi="方正仿宋_GBK" w:eastAsia="方正仿宋_GBK" w:cs="方正仿宋_GBK"/>
          <w:b w:val="0"/>
          <w:bCs w:val="0"/>
          <w:color w:val="000000" w:themeColor="text1"/>
          <w:kern w:val="2"/>
          <w:sz w:val="32"/>
          <w:szCs w:val="32"/>
          <w:lang w:val="en-US" w:eastAsia="zh-CN" w:bidi="ar-SA"/>
          <w14:textFill>
            <w14:solidFill>
              <w14:schemeClr w14:val="tx1"/>
            </w14:solidFill>
          </w14:textFill>
        </w:rPr>
        <w:t>此项权重分10分，得分8.29分。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default" w:ascii="方正仿宋_GBK" w:hAnsi="方正仿宋_GBK" w:eastAsia="方正仿宋_GBK" w:cs="方正仿宋_GBK"/>
          <w:color w:val="000000" w:themeColor="text1"/>
          <w:sz w:val="32"/>
          <w:szCs w:val="32"/>
          <w:lang w:val="en-US"/>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质量指标</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完成情况</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指标1：印刷资料合格率，指标值：&gt;=95%，实际完成值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105.26</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，偏差原因：年初设置质量指标较为保守，本年实际合格率高，造成偏差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指标2：市场监管综合执法业务培训出勤率，指标值：&gt;=9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%，偏差原因：年初设置质量指标较为保守，本年</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完成较好</w:t>
      </w:r>
      <w:r>
        <w:rPr>
          <w:rFonts w:hint="eastAsia" w:ascii="方正仿宋_GBK" w:hAnsi="方正仿宋_GBK" w:eastAsia="方正仿宋_GBK" w:cs="方正仿宋_GBK"/>
          <w:color w:val="000000" w:themeColor="text1"/>
          <w:sz w:val="32"/>
          <w:szCs w:val="32"/>
          <w14:textFill>
            <w14:solidFill>
              <w14:schemeClr w14:val="tx1"/>
            </w14:solidFill>
          </w14:textFill>
        </w:rPr>
        <w:t>，造成偏差；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：业务宣传覆盖率，指标值：&gt;=9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%，偏差原因：年初设置质量指标较为保守，本年</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完成较好</w:t>
      </w:r>
      <w:r>
        <w:rPr>
          <w:rFonts w:hint="eastAsia" w:ascii="方正仿宋_GBK" w:hAnsi="方正仿宋_GBK" w:eastAsia="方正仿宋_GBK" w:cs="方正仿宋_GBK"/>
          <w:color w:val="000000" w:themeColor="text1"/>
          <w:sz w:val="32"/>
          <w:szCs w:val="32"/>
          <w14:textFill>
            <w14:solidFill>
              <w14:schemeClr w14:val="tx1"/>
            </w14:solidFill>
          </w14:textFill>
        </w:rPr>
        <w:t>，造成偏差；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：主题联谊活动出勤率，指标值：&gt;=9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，偏差原因：年初设置质量指标较为保守，本年完成较好，造成偏差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w:t>
      </w:r>
      <w:r>
        <w:rPr>
          <w:rFonts w:hint="eastAsia" w:ascii="方正仿宋_GBK" w:hAnsi="方正仿宋_GBK" w:eastAsia="方正仿宋_GBK" w:cs="方正仿宋_GBK"/>
          <w:color w:val="000000" w:themeColor="text1"/>
          <w:sz w:val="32"/>
          <w:szCs w:val="32"/>
          <w14:textFill>
            <w14:solidFill>
              <w14:schemeClr w14:val="tx1"/>
            </w14:solidFill>
          </w14:textFill>
        </w:rPr>
        <w:t>：产品质量检查覆盖率，指标值：&gt;=9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，偏差原因：年初设置质量指标较为保守，本年完成较好，造成偏差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w:t>
      </w:r>
      <w:r>
        <w:rPr>
          <w:rFonts w:hint="eastAsia" w:ascii="方正仿宋_GBK" w:hAnsi="方正仿宋_GBK" w:eastAsia="方正仿宋_GBK" w:cs="方正仿宋_GBK"/>
          <w:color w:val="000000" w:themeColor="text1"/>
          <w:sz w:val="32"/>
          <w:szCs w:val="32"/>
          <w14:textFill>
            <w14:solidFill>
              <w14:schemeClr w14:val="tx1"/>
            </w14:solidFill>
          </w14:textFill>
        </w:rPr>
        <w:t>：特种设备系统故障率，指标值：&lt;=1%，实际完成值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：政府采购率，指标值：&gt;=95%，实际完成值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105.26</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，偏差原因：年初设置质量指标较为保守，本年完成较好，造成偏差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w:t>
      </w:r>
      <w:r>
        <w:rPr>
          <w:rFonts w:hint="eastAsia" w:ascii="方正仿宋_GBK" w:hAnsi="方正仿宋_GBK" w:eastAsia="方正仿宋_GBK" w:cs="方正仿宋_GBK"/>
          <w:color w:val="000000" w:themeColor="text1"/>
          <w:sz w:val="32"/>
          <w:szCs w:val="32"/>
          <w14:textFill>
            <w14:solidFill>
              <w14:schemeClr w14:val="tx1"/>
            </w14:solidFill>
          </w14:textFill>
        </w:rPr>
        <w:t>：设备质量合格率，指标值：&gt;=9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，偏差原因：年初设置质量指标较为保守，本年实际合格率高，造成偏差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w:t>
      </w:r>
      <w:r>
        <w:rPr>
          <w:rFonts w:hint="eastAsia" w:ascii="方正仿宋_GBK" w:hAnsi="方正仿宋_GBK" w:eastAsia="方正仿宋_GBK" w:cs="方正仿宋_GBK"/>
          <w:color w:val="000000" w:themeColor="text1"/>
          <w:sz w:val="32"/>
          <w:szCs w:val="32"/>
          <w14:textFill>
            <w14:solidFill>
              <w14:schemeClr w14:val="tx1"/>
            </w14:solidFill>
          </w14:textFill>
        </w:rPr>
        <w:t>：设备验收合格率，指标值：&gt;=9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，偏差原因：年初设置质量指标较为保守，本年实际合格率高，造成偏差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14:textFill>
            <w14:solidFill>
              <w14:schemeClr w14:val="tx1"/>
            </w14:solidFill>
          </w14:textFill>
        </w:rPr>
        <w:t>：机关后勤维修合格率，指标值：&gt;=9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，偏差原因：年初设置质量指标较为保守，本年实际合格率高，造成偏差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w:t>
      </w:r>
      <w:r>
        <w:rPr>
          <w:rFonts w:hint="eastAsia" w:ascii="方正仿宋_GBK" w:hAnsi="方正仿宋_GBK" w:eastAsia="方正仿宋_GBK" w:cs="方正仿宋_GBK"/>
          <w:color w:val="000000" w:themeColor="text1"/>
          <w:sz w:val="32"/>
          <w:szCs w:val="32"/>
          <w14:textFill>
            <w14:solidFill>
              <w14:schemeClr w14:val="tx1"/>
            </w14:solidFill>
          </w14:textFill>
        </w:rPr>
        <w:t>：购置市场监管执法制服合格率，指标值：&gt;=9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，偏差原因：年初设置质量指标较为保守，本年实际合格率高，造成偏差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b w:val="0"/>
          <w:bCs w:val="0"/>
          <w:color w:val="000000" w:themeColor="text1"/>
          <w:kern w:val="2"/>
          <w:sz w:val="32"/>
          <w:szCs w:val="32"/>
          <w:lang w:val="en-US" w:eastAsia="zh-CN" w:bidi="ar-SA"/>
          <w14:textFill>
            <w14:solidFill>
              <w14:schemeClr w14:val="tx1"/>
            </w14:solidFill>
          </w14:textFill>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default" w:ascii="方正仿宋_GBK" w:hAnsi="方正仿宋_GBK" w:eastAsia="方正仿宋_GBK" w:cs="方正仿宋_GBK"/>
          <w:color w:val="000000" w:themeColor="text1"/>
          <w:sz w:val="32"/>
          <w:szCs w:val="32"/>
          <w:lang w:val="en-US"/>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时效指标</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完成情况</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指标1：印刷资料按时完成率，指标值：&gt;=9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，偏差原因：年初设置时效指标较为保守，本年实际完成率高，造成偏差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指标2：举办联谊活动按期完成率，指标值：&gt;=9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，偏差原因：年初设置时效指标较为保守，本年实际完成率高，造成偏差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：市场监管综合执法业务培训按期完成率，指标值：&gt;=9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，偏差原因：年初设置时效指标较为保守，本年实际完成率高，造成偏差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：业务宣传按时完成率，指标值：&gt;=9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，偏差原因：年初设置时效指标较为保守，本年实际完成率高，造成偏差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w:t>
      </w:r>
      <w:r>
        <w:rPr>
          <w:rFonts w:hint="eastAsia" w:ascii="方正仿宋_GBK" w:hAnsi="方正仿宋_GBK" w:eastAsia="方正仿宋_GBK" w:cs="方正仿宋_GBK"/>
          <w:color w:val="000000" w:themeColor="text1"/>
          <w:sz w:val="32"/>
          <w:szCs w:val="32"/>
          <w14:textFill>
            <w14:solidFill>
              <w14:schemeClr w14:val="tx1"/>
            </w14:solidFill>
          </w14:textFill>
        </w:rPr>
        <w:t>：地方标准发布项目按时完成率，指标值：&gt;=9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，偏差原因：年初设置时效指标较为保守，本年实际完成率高，造成偏差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w:t>
      </w:r>
      <w:r>
        <w:rPr>
          <w:rFonts w:hint="eastAsia" w:ascii="方正仿宋_GBK" w:hAnsi="方正仿宋_GBK" w:eastAsia="方正仿宋_GBK" w:cs="方正仿宋_GBK"/>
          <w:color w:val="000000" w:themeColor="text1"/>
          <w:sz w:val="32"/>
          <w:szCs w:val="32"/>
          <w14:textFill>
            <w14:solidFill>
              <w14:schemeClr w14:val="tx1"/>
            </w14:solidFill>
          </w14:textFill>
        </w:rPr>
        <w:t>：市场监管劳务费发放及时率，指标值&gt;=95%，实际完成值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105.26</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，偏差原因：年初设置时效指标较为保守，本年实际完成率高，造成偏差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：产品质量检查按时完成率，指标值：&gt;=9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，偏差原因：年初设置时效指标较为保守，本年实际完成率高，造成偏差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w:t>
      </w:r>
      <w:r>
        <w:rPr>
          <w:rFonts w:hint="eastAsia" w:ascii="方正仿宋_GBK" w:hAnsi="方正仿宋_GBK" w:eastAsia="方正仿宋_GBK" w:cs="方正仿宋_GBK"/>
          <w:color w:val="000000" w:themeColor="text1"/>
          <w:sz w:val="32"/>
          <w:szCs w:val="32"/>
          <w14:textFill>
            <w14:solidFill>
              <w14:schemeClr w14:val="tx1"/>
            </w14:solidFill>
          </w14:textFill>
        </w:rPr>
        <w:t>：特种设备系统故障修复处理时间，指标值：&lt;=3天，实际完成值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0天</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w:t>
      </w:r>
      <w:r>
        <w:rPr>
          <w:rFonts w:hint="eastAsia" w:ascii="方正仿宋_GBK" w:hAnsi="方正仿宋_GBK" w:eastAsia="方正仿宋_GBK" w:cs="方正仿宋_GBK"/>
          <w:color w:val="000000" w:themeColor="text1"/>
          <w:sz w:val="32"/>
          <w:szCs w:val="32"/>
          <w14:textFill>
            <w14:solidFill>
              <w14:schemeClr w14:val="tx1"/>
            </w14:solidFill>
          </w14:textFill>
        </w:rPr>
        <w:t>：特种设备系统运行维护响应时间，指标值：&lt;=12小时，实际完成值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0小时</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14:textFill>
            <w14:solidFill>
              <w14:schemeClr w14:val="tx1"/>
            </w14:solidFill>
          </w14:textFill>
        </w:rPr>
        <w:t>：购置办公用品完成时间，指标值：2023年11月30日，实际完成值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2023年11月30日</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w:t>
      </w:r>
      <w:r>
        <w:rPr>
          <w:rFonts w:hint="eastAsia" w:ascii="方正仿宋_GBK" w:hAnsi="方正仿宋_GBK" w:eastAsia="方正仿宋_GBK" w:cs="方正仿宋_GBK"/>
          <w:color w:val="000000" w:themeColor="text1"/>
          <w:sz w:val="32"/>
          <w:szCs w:val="32"/>
          <w14:textFill>
            <w14:solidFill>
              <w14:schemeClr w14:val="tx1"/>
            </w14:solidFill>
          </w14:textFill>
        </w:rPr>
        <w:t>：机关后勤维修完成时间，指标值：2023年11月30日，实际完成值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2023年11月30日</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12</w:t>
      </w:r>
      <w:r>
        <w:rPr>
          <w:rFonts w:hint="eastAsia" w:ascii="方正仿宋_GBK" w:hAnsi="方正仿宋_GBK" w:eastAsia="方正仿宋_GBK" w:cs="方正仿宋_GBK"/>
          <w:color w:val="000000" w:themeColor="text1"/>
          <w:sz w:val="32"/>
          <w:szCs w:val="32"/>
          <w14:textFill>
            <w14:solidFill>
              <w14:schemeClr w14:val="tx1"/>
            </w14:solidFill>
          </w14:textFill>
        </w:rPr>
        <w:t>：食品安全公众满意度调查按时完成率，指标值：&gt;=9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，偏差原因：年初设置时效指标较为保守，本年实际完成率高，造成偏差。</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pPr>
      <w:r>
        <w:rPr>
          <w:rFonts w:hint="default"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经济成本指标完成情况</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指标1：市场监管综合执法业务培训经费，指标值：&lt;=24.65万元，实际完成值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24.65万元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：市场监管综合执法业务宣传费用，指标值：&lt;=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69.18</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69.02万元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99.77</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，偏差原因：节约成本，导致资金未使用完，造成偏差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：办公用品购置费用，指标值：&lt;=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17.5</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17.5万元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：租赁服务费，指标值：&lt;=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9.75</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7.5万元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76.92</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，偏差原因：节约成本，导致资金未使用完，造成偏差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w:t>
      </w:r>
      <w:r>
        <w:rPr>
          <w:rFonts w:hint="eastAsia" w:ascii="方正仿宋_GBK" w:hAnsi="方正仿宋_GBK" w:eastAsia="方正仿宋_GBK" w:cs="方正仿宋_GBK"/>
          <w:color w:val="000000" w:themeColor="text1"/>
          <w:sz w:val="32"/>
          <w:szCs w:val="32"/>
          <w14:textFill>
            <w14:solidFill>
              <w14:schemeClr w14:val="tx1"/>
            </w14:solidFill>
          </w14:textFill>
        </w:rPr>
        <w:t>：食品安全公众满意度调查费，指标值：&lt;=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w:t>
      </w:r>
      <w:r>
        <w:rPr>
          <w:rFonts w:hint="eastAsia" w:ascii="方正仿宋_GBK" w:hAnsi="方正仿宋_GBK" w:eastAsia="方正仿宋_GBK" w:cs="方正仿宋_GBK"/>
          <w:color w:val="000000" w:themeColor="text1"/>
          <w:sz w:val="32"/>
          <w:szCs w:val="32"/>
          <w14:textFill>
            <w14:solidFill>
              <w14:schemeClr w14:val="tx1"/>
            </w14:solidFill>
          </w14:textFill>
        </w:rPr>
        <w:t>：食品安全抽检检查费用，指标值：&lt;=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3.85</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4.35万元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0.00</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，偏差原因：由于</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14运的举办，对食品安全抽查业务量增加，</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食品安全抽检检查费用增加</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：食品安全有奖举报经费，指标值：&lt;=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0.5</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、0.00</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2023年无符合使用有奖举报奖励资金的案件，所以资金未使用，造成偏差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w:t>
      </w:r>
      <w:r>
        <w:rPr>
          <w:rFonts w:hint="eastAsia" w:ascii="方正仿宋_GBK" w:hAnsi="方正仿宋_GBK" w:eastAsia="方正仿宋_GBK" w:cs="方正仿宋_GBK"/>
          <w:color w:val="000000" w:themeColor="text1"/>
          <w:sz w:val="32"/>
          <w:szCs w:val="32"/>
          <w14:textFill>
            <w14:solidFill>
              <w14:schemeClr w14:val="tx1"/>
            </w14:solidFill>
          </w14:textFill>
        </w:rPr>
        <w:t>：办公出差费用，指标值：&lt;=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14</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14万元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w:t>
      </w:r>
      <w:r>
        <w:rPr>
          <w:rFonts w:hint="eastAsia" w:ascii="方正仿宋_GBK" w:hAnsi="方正仿宋_GBK" w:eastAsia="方正仿宋_GBK" w:cs="方正仿宋_GBK"/>
          <w:color w:val="000000" w:themeColor="text1"/>
          <w:sz w:val="32"/>
          <w:szCs w:val="32"/>
          <w14:textFill>
            <w14:solidFill>
              <w14:schemeClr w14:val="tx1"/>
            </w14:solidFill>
          </w14:textFill>
        </w:rPr>
        <w:t>：购买快速检测试剂费用，指标值：&lt;=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1.5</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1.5万元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14:textFill>
            <w14:solidFill>
              <w14:schemeClr w14:val="tx1"/>
            </w14:solidFill>
          </w14:textFill>
        </w:rPr>
        <w:t>：产品质量检查费用，指标值：&lt;=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52.9</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52.9万元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32"/>
          <w:szCs w:val="32"/>
          <w14:textFill>
            <w14:solidFill>
              <w14:schemeClr w14:val="tx1"/>
            </w14:solidFill>
          </w14:textFill>
        </w:rPr>
        <w:t>：地方标准发布项目费用，指标值：&lt;=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：市场监管综合业务经费，指标值：&lt;=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54.57</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54.57万元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：发放聘用人员资金数，指标值：&lt;=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40</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38.19万元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95.48</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，偏差原因：节约成本，导致资金未使用完，造成偏差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：市场监管执法制服配备资金数，指标值：&lt;=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4.5</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4.5万元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w:t>
      </w:r>
      <w:r>
        <w:rPr>
          <w:rFonts w:hint="eastAsia" w:ascii="方正仿宋_GBK" w:hAnsi="方正仿宋_GBK" w:eastAsia="方正仿宋_GBK" w:cs="方正仿宋_GBK"/>
          <w:color w:val="000000" w:themeColor="text1"/>
          <w:sz w:val="32"/>
          <w:szCs w:val="32"/>
          <w14:textFill>
            <w14:solidFill>
              <w14:schemeClr w14:val="tx1"/>
            </w14:solidFill>
          </w14:textFill>
        </w:rPr>
        <w:t>：市场监管执法签订法律顾问咨询费，指标值：&lt;=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4.8</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4.8万元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w:t>
      </w:r>
      <w:r>
        <w:rPr>
          <w:rFonts w:hint="eastAsia" w:ascii="方正仿宋_GBK" w:hAnsi="方正仿宋_GBK" w:eastAsia="方正仿宋_GBK" w:cs="方正仿宋_GBK"/>
          <w:color w:val="000000" w:themeColor="text1"/>
          <w:sz w:val="32"/>
          <w:szCs w:val="32"/>
          <w14:textFill>
            <w14:solidFill>
              <w14:schemeClr w14:val="tx1"/>
            </w14:solidFill>
          </w14:textFill>
        </w:rPr>
        <w:t>：举办联谊活动费用，指标值：&lt;=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4.8</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4.8万元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：慰问费用（离退休老干部及驻村工作队），指标值：&lt;=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10.5</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10.5万元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w:t>
      </w:r>
      <w:r>
        <w:rPr>
          <w:rFonts w:hint="eastAsia" w:ascii="方正仿宋_GBK" w:hAnsi="方正仿宋_GBK" w:eastAsia="方正仿宋_GBK" w:cs="方正仿宋_GBK"/>
          <w:color w:val="000000" w:themeColor="text1"/>
          <w:sz w:val="32"/>
          <w:szCs w:val="32"/>
          <w14:textFill>
            <w14:solidFill>
              <w14:schemeClr w14:val="tx1"/>
            </w14:solidFill>
          </w14:textFill>
        </w:rPr>
        <w:t>：工作队开支费用，指标值：&lt;=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3.3</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3.3万元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w:t>
      </w:r>
      <w:r>
        <w:rPr>
          <w:rFonts w:hint="eastAsia" w:ascii="方正仿宋_GBK" w:hAnsi="方正仿宋_GBK" w:eastAsia="方正仿宋_GBK" w:cs="方正仿宋_GBK"/>
          <w:color w:val="000000" w:themeColor="text1"/>
          <w:sz w:val="32"/>
          <w:szCs w:val="32"/>
          <w14:textFill>
            <w14:solidFill>
              <w14:schemeClr w14:val="tx1"/>
            </w14:solidFill>
          </w14:textFill>
        </w:rPr>
        <w:t>：特种设备年度维护成本增长率，指标值：&lt;=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w:t>
      </w:r>
      <w:r>
        <w:rPr>
          <w:rFonts w:hint="eastAsia" w:ascii="方正仿宋_GBK" w:hAnsi="方正仿宋_GBK" w:eastAsia="方正仿宋_GBK" w:cs="方正仿宋_GBK"/>
          <w:color w:val="000000" w:themeColor="text1"/>
          <w:sz w:val="32"/>
          <w:szCs w:val="32"/>
          <w14:textFill>
            <w14:solidFill>
              <w14:schemeClr w14:val="tx1"/>
            </w14:solidFill>
          </w14:textFill>
        </w:rPr>
        <w:t>：平台维护费用，指标值：&lt;=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81.4</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81.4万元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eastAsia="zh-CN"/>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21</w:t>
      </w:r>
      <w:r>
        <w:rPr>
          <w:rFonts w:hint="eastAsia" w:ascii="方正仿宋_GBK" w:hAnsi="方正仿宋_GBK" w:eastAsia="方正仿宋_GBK" w:cs="方正仿宋_GBK"/>
          <w:color w:val="000000" w:themeColor="text1"/>
          <w:sz w:val="32"/>
          <w:szCs w:val="32"/>
          <w14:textFill>
            <w14:solidFill>
              <w14:schemeClr w14:val="tx1"/>
            </w14:solidFill>
          </w14:textFill>
        </w:rPr>
        <w:t>：设备采购成本控制数，指标值：&lt;=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37.3</w:t>
      </w:r>
      <w:r>
        <w:rPr>
          <w:rFonts w:hint="eastAsia" w:ascii="方正仿宋_GBK" w:hAnsi="方正仿宋_GBK" w:eastAsia="方正仿宋_GBK" w:cs="方正仿宋_GBK"/>
          <w:color w:val="000000" w:themeColor="text1"/>
          <w:sz w:val="32"/>
          <w:szCs w:val="32"/>
          <w14:textFill>
            <w14:solidFill>
              <w14:schemeClr w14:val="tx1"/>
            </w14:solidFill>
          </w14:textFill>
        </w:rPr>
        <w:t>万元，实际完成值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39.06万元</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0.00</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，偏差原因：由于设备老化，无法满足业务需求，</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2023年购置设备成本增加，造成偏差。</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此项权重分1</w:t>
      </w:r>
      <w:r>
        <w:rPr>
          <w:rFonts w:hint="eastAsia" w:ascii="方正仿宋_GBK" w:hAnsi="方正仿宋_GBK" w:eastAsia="方正仿宋_GBK" w:cs="方正仿宋_GBK"/>
          <w:color w:val="auto"/>
          <w:sz w:val="32"/>
          <w:szCs w:val="32"/>
          <w:highlight w:val="none"/>
          <w:lang w:eastAsia="zh-CN"/>
        </w:rPr>
        <w:t>0分，得分</w:t>
      </w:r>
      <w:r>
        <w:rPr>
          <w:rFonts w:hint="eastAsia" w:ascii="方正仿宋_GBK" w:hAnsi="方正仿宋_GBK" w:eastAsia="方正仿宋_GBK" w:cs="方正仿宋_GBK"/>
          <w:color w:val="auto"/>
          <w:sz w:val="32"/>
          <w:szCs w:val="32"/>
          <w:highlight w:val="none"/>
          <w:lang w:val="en-US" w:eastAsia="zh-CN"/>
        </w:rPr>
        <w:t>7.31</w:t>
      </w:r>
      <w:r>
        <w:rPr>
          <w:rFonts w:hint="eastAsia" w:ascii="方正仿宋_GBK" w:hAnsi="方正仿宋_GBK" w:eastAsia="方正仿宋_GBK" w:cs="方正仿宋_GBK"/>
          <w:color w:val="auto"/>
          <w:sz w:val="32"/>
          <w:szCs w:val="32"/>
          <w:highlight w:val="none"/>
          <w:lang w:eastAsia="zh-CN"/>
        </w:rPr>
        <w:t>分。</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14:textFill>
            <w14:solidFill>
              <w14:schemeClr w14:val="tx1"/>
            </w14:solidFill>
          </w14:textFill>
        </w:rPr>
      </w:pPr>
      <w:bookmarkStart w:id="16" w:name="_Toc68703841"/>
      <w:r>
        <w:rPr>
          <w:rFonts w:hint="eastAsia" w:ascii="方正仿宋_GBK" w:hAnsi="方正仿宋_GBK" w:eastAsia="方正仿宋_GBK" w:cs="方正仿宋_GBK"/>
          <w:b w:val="0"/>
          <w:bCs w:val="0"/>
          <w:color w:val="000000" w:themeColor="text1"/>
          <w:sz w:val="32"/>
          <w:szCs w:val="32"/>
          <w:highlight w:val="none"/>
          <w14:textFill>
            <w14:solidFill>
              <w14:schemeClr w14:val="tx1"/>
            </w14:solidFill>
          </w14:textFill>
        </w:rPr>
        <w:t>（</w:t>
      </w:r>
      <w:r>
        <w:rPr>
          <w:rFonts w:hint="eastAsia" w:ascii="方正仿宋_GBK" w:hAnsi="方正仿宋_GBK" w:eastAsia="方正仿宋_GBK" w:cs="方正仿宋_GBK"/>
          <w:b w:val="0"/>
          <w:bCs w:val="0"/>
          <w:color w:val="000000" w:themeColor="text1"/>
          <w:sz w:val="32"/>
          <w:szCs w:val="32"/>
          <w:highlight w:val="none"/>
          <w:lang w:eastAsia="zh-CN"/>
          <w14:textFill>
            <w14:solidFill>
              <w14:schemeClr w14:val="tx1"/>
            </w14:solidFill>
          </w14:textFill>
        </w:rPr>
        <w:t>四</w:t>
      </w:r>
      <w:r>
        <w:rPr>
          <w:rFonts w:hint="eastAsia" w:ascii="方正仿宋_GBK" w:hAnsi="方正仿宋_GBK" w:eastAsia="方正仿宋_GBK" w:cs="方正仿宋_GBK"/>
          <w:b w:val="0"/>
          <w:bCs w:val="0"/>
          <w:color w:val="000000" w:themeColor="text1"/>
          <w:sz w:val="32"/>
          <w:szCs w:val="32"/>
          <w:highlight w:val="none"/>
          <w14:textFill>
            <w14:solidFill>
              <w14:schemeClr w14:val="tx1"/>
            </w14:solidFill>
          </w14:textFill>
        </w:rPr>
        <w:t>）项目效益情况。</w:t>
      </w:r>
      <w:bookmarkEnd w:id="16"/>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经济</w:t>
      </w:r>
      <w:r>
        <w:rPr>
          <w:rFonts w:hint="eastAsia" w:ascii="方正仿宋_GBK" w:hAnsi="方正仿宋_GBK" w:eastAsia="方正仿宋_GBK" w:cs="方正仿宋_GBK"/>
          <w:color w:val="000000" w:themeColor="text1"/>
          <w:sz w:val="32"/>
          <w:szCs w:val="32"/>
          <w:highlight w:val="none"/>
          <w14:textFill>
            <w14:solidFill>
              <w14:schemeClr w14:val="tx1"/>
            </w14:solidFill>
          </w14:textFill>
        </w:rPr>
        <w:t>效益指标</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完成情况：</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指标1：设备利用率，指标值：&gt;=9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经济</w:t>
      </w:r>
      <w:r>
        <w:rPr>
          <w:rFonts w:hint="eastAsia" w:ascii="方正仿宋_GBK" w:hAnsi="方正仿宋_GBK" w:eastAsia="方正仿宋_GBK" w:cs="方正仿宋_GBK"/>
          <w:color w:val="000000" w:themeColor="text1"/>
          <w:sz w:val="32"/>
          <w:szCs w:val="32"/>
          <w:highlight w:val="none"/>
          <w14:textFill>
            <w14:solidFill>
              <w14:schemeClr w14:val="tx1"/>
            </w14:solidFill>
          </w14:textFill>
        </w:rPr>
        <w:t>效益指标</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值偏低，本年完成较好，造成偏差</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highlight w:val="none"/>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highlight w:val="none"/>
          <w14:textFill>
            <w14:solidFill>
              <w14:schemeClr w14:val="tx1"/>
            </w14:solidFill>
          </w14:textFill>
        </w:rPr>
        <w:t>社会效益指标</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完成情况</w:t>
      </w:r>
      <w:r>
        <w:rPr>
          <w:rFonts w:hint="eastAsia" w:ascii="方正仿宋_GBK" w:hAnsi="方正仿宋_GBK" w:eastAsia="方正仿宋_GBK" w:cs="方正仿宋_GBK"/>
          <w:color w:val="000000" w:themeColor="text1"/>
          <w:sz w:val="32"/>
          <w:szCs w:val="32"/>
          <w:highlight w:val="none"/>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指标1：促进食品行业健康有序发展，指标值：显著提高，实际完成值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达成目标</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指标2：业务宣传知晓率，指标值：&gt;=9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社会</w:t>
      </w:r>
      <w:r>
        <w:rPr>
          <w:rFonts w:hint="eastAsia" w:ascii="方正仿宋_GBK" w:hAnsi="方正仿宋_GBK" w:eastAsia="方正仿宋_GBK" w:cs="方正仿宋_GBK"/>
          <w:color w:val="000000" w:themeColor="text1"/>
          <w:sz w:val="32"/>
          <w:szCs w:val="32"/>
          <w:highlight w:val="none"/>
          <w14:textFill>
            <w14:solidFill>
              <w14:schemeClr w14:val="tx1"/>
            </w14:solidFill>
          </w14:textFill>
        </w:rPr>
        <w:t>效益指标</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值偏低，本年完成较好，造成偏差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：产品质量检查结果公开率，指标值：&gt;=9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社会</w:t>
      </w:r>
      <w:r>
        <w:rPr>
          <w:rFonts w:hint="eastAsia" w:ascii="方正仿宋_GBK" w:hAnsi="方正仿宋_GBK" w:eastAsia="方正仿宋_GBK" w:cs="方正仿宋_GBK"/>
          <w:color w:val="000000" w:themeColor="text1"/>
          <w:sz w:val="32"/>
          <w:szCs w:val="32"/>
          <w:highlight w:val="none"/>
          <w14:textFill>
            <w14:solidFill>
              <w14:schemeClr w14:val="tx1"/>
            </w14:solidFill>
          </w14:textFill>
        </w:rPr>
        <w:t>效益指标</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值偏低，本年完成较好，造成偏差</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此项权重分</w:t>
      </w: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分，得分</w:t>
      </w: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highlight w:val="none"/>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highlight w:val="none"/>
          <w14:textFill>
            <w14:solidFill>
              <w14:schemeClr w14:val="tx1"/>
            </w14:solidFill>
          </w14:textFill>
        </w:rPr>
        <w:t>满意度指标</w:t>
      </w:r>
      <w:r>
        <w:rPr>
          <w:rFonts w:hint="eastAsia" w:ascii="方正仿宋_GBK" w:hAnsi="方正仿宋_GBK" w:eastAsia="方正仿宋_GBK" w:cs="方正仿宋_GBK"/>
          <w:color w:val="000000" w:themeColor="text1"/>
          <w:sz w:val="32"/>
          <w:szCs w:val="32"/>
          <w:highlight w:val="none"/>
          <w:lang w:eastAsia="zh-CN"/>
          <w14:textFill>
            <w14:solidFill>
              <w14:schemeClr w14:val="tx1"/>
            </w14:solidFill>
          </w14:textFill>
        </w:rPr>
        <w:t>完成情况分析</w:t>
      </w:r>
      <w:r>
        <w:rPr>
          <w:rFonts w:hint="eastAsia" w:ascii="方正仿宋_GBK" w:hAnsi="方正仿宋_GBK" w:eastAsia="方正仿宋_GBK" w:cs="方正仿宋_GBK"/>
          <w:color w:val="000000" w:themeColor="text1"/>
          <w:sz w:val="32"/>
          <w:szCs w:val="32"/>
          <w:highlight w:val="none"/>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指标1：业务参训人员满意度，指标值：&gt;=9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，偏差原因：年初设置满意度指标值偏低，本年完成较好，造成偏差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指标2：参加联谊活动人员满意度，指标值：&gt;=9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111.11</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，偏差原因：年初设置满意度指标值偏低，本年完成较好，造成偏差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：聘用人员满意度，指标值：&gt;=9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92.59%</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102.88</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，偏差原因：年初设置满意度指标值偏低，本年完成较好，造成偏差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：设备使用人员满意度，指标值：&gt;=9</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95.97%</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106.63</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，偏差原因：年初设置满意度指标值偏低，本年完成较好，造成偏差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指标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w:t>
      </w:r>
      <w:r>
        <w:rPr>
          <w:rFonts w:hint="eastAsia" w:ascii="方正仿宋_GBK" w:hAnsi="方正仿宋_GBK" w:eastAsia="方正仿宋_GBK" w:cs="方正仿宋_GBK"/>
          <w:color w:val="000000" w:themeColor="text1"/>
          <w:sz w:val="32"/>
          <w:szCs w:val="32"/>
          <w14:textFill>
            <w14:solidFill>
              <w14:schemeClr w14:val="tx1"/>
            </w14:solidFill>
          </w14:textFill>
        </w:rPr>
        <w:t>：检查人员被投诉次数，指标值：&lt;=1次，实际完成值</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0次</w:t>
      </w:r>
      <w:r>
        <w:rPr>
          <w:rFonts w:hint="eastAsia" w:ascii="方正仿宋_GBK" w:hAnsi="方正仿宋_GBK" w:eastAsia="方正仿宋_GBK" w:cs="方正仿宋_GBK"/>
          <w:color w:val="000000" w:themeColor="text1"/>
          <w:sz w:val="32"/>
          <w:szCs w:val="32"/>
          <w14:textFill>
            <w14:solidFill>
              <w14:schemeClr w14:val="tx1"/>
            </w14:solidFill>
          </w14:textFill>
        </w:rPr>
        <w:t>，指标完成率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100.00</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gree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此项权重分</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分，得分</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10</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分。</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lang w:eastAsia="zh-Hans"/>
        </w:rPr>
      </w:pPr>
      <w:bookmarkStart w:id="17" w:name="_Toc68703842"/>
      <w:r>
        <w:rPr>
          <w:rFonts w:hint="eastAsia" w:ascii="方正黑体_GBK" w:hAnsi="方正黑体_GBK" w:eastAsia="方正黑体_GBK" w:cs="方正黑体_GBK"/>
          <w:b w:val="0"/>
          <w:bCs w:val="0"/>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市场监管综合执法业务费</w:t>
      </w:r>
      <w:r>
        <w:rPr>
          <w:rFonts w:hint="eastAsia" w:ascii="方正仿宋_GBK" w:hAnsi="方正仿宋_GBK" w:eastAsia="方正仿宋_GBK" w:cs="方正仿宋_GBK"/>
          <w:color w:val="auto"/>
          <w:sz w:val="32"/>
          <w:szCs w:val="32"/>
          <w:lang w:eastAsia="zh-CN"/>
        </w:rPr>
        <w:t>项目年初预算</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lang w:eastAsia="zh-CN"/>
        </w:rPr>
        <w:t>万元，全年预算</w:t>
      </w:r>
      <w:r>
        <w:rPr>
          <w:rFonts w:hint="eastAsia" w:ascii="方正仿宋_GBK" w:hAnsi="方正仿宋_GBK" w:eastAsia="方正仿宋_GBK" w:cs="方正仿宋_GBK"/>
          <w:color w:val="auto"/>
          <w:sz w:val="32"/>
          <w:szCs w:val="32"/>
          <w:lang w:val="en-US" w:eastAsia="zh-CN"/>
        </w:rPr>
        <w:t>450</w:t>
      </w:r>
      <w:r>
        <w:rPr>
          <w:rFonts w:hint="eastAsia" w:ascii="方正仿宋_GBK" w:hAnsi="方正仿宋_GBK" w:eastAsia="方正仿宋_GBK" w:cs="方正仿宋_GBK"/>
          <w:color w:val="auto"/>
          <w:sz w:val="32"/>
          <w:szCs w:val="32"/>
          <w:lang w:eastAsia="zh-CN"/>
        </w:rPr>
        <w:t>万元，实际支出</w:t>
      </w:r>
      <w:r>
        <w:rPr>
          <w:rFonts w:hint="eastAsia" w:ascii="方正仿宋_GBK" w:hAnsi="方正仿宋_GBK" w:eastAsia="方正仿宋_GBK" w:cs="方正仿宋_GBK"/>
          <w:color w:val="auto"/>
          <w:sz w:val="32"/>
          <w:szCs w:val="32"/>
          <w:lang w:val="en-US" w:eastAsia="zh-CN"/>
        </w:rPr>
        <w:t>447.54</w:t>
      </w:r>
      <w:r>
        <w:rPr>
          <w:rFonts w:hint="eastAsia" w:ascii="方正仿宋_GBK" w:hAnsi="方正仿宋_GBK" w:eastAsia="方正仿宋_GBK" w:cs="方正仿宋_GBK"/>
          <w:color w:val="auto"/>
          <w:sz w:val="32"/>
          <w:szCs w:val="32"/>
          <w:lang w:eastAsia="zh-CN"/>
        </w:rPr>
        <w:t>万元，预算执行率为</w:t>
      </w:r>
      <w:r>
        <w:rPr>
          <w:rFonts w:hint="eastAsia" w:ascii="方正仿宋_GBK" w:hAnsi="方正仿宋_GBK" w:eastAsia="方正仿宋_GBK" w:cs="方正仿宋_GBK"/>
          <w:color w:val="auto"/>
          <w:sz w:val="32"/>
          <w:szCs w:val="32"/>
          <w:lang w:val="en-US" w:eastAsia="zh-CN"/>
        </w:rPr>
        <w:t>99.45</w:t>
      </w:r>
      <w:r>
        <w:rPr>
          <w:rFonts w:hint="eastAsia" w:ascii="方正仿宋_GBK" w:hAnsi="方正仿宋_GBK" w:eastAsia="方正仿宋_GBK" w:cs="方正仿宋_GBK"/>
          <w:color w:val="auto"/>
          <w:sz w:val="32"/>
          <w:szCs w:val="32"/>
          <w:lang w:eastAsia="zh-CN"/>
        </w:rPr>
        <w:t>%，项目绩</w:t>
      </w:r>
      <w:r>
        <w:rPr>
          <w:rFonts w:hint="eastAsia" w:ascii="方正仿宋_GBK" w:hAnsi="方正仿宋_GBK" w:eastAsia="方正仿宋_GBK" w:cs="方正仿宋_GBK"/>
          <w:color w:val="auto"/>
          <w:sz w:val="32"/>
          <w:szCs w:val="32"/>
          <w:highlight w:val="none"/>
          <w:lang w:eastAsia="zh-CN"/>
        </w:rPr>
        <w:t>效指标总体完成率为</w:t>
      </w:r>
      <w:r>
        <w:rPr>
          <w:rFonts w:hint="eastAsia" w:ascii="方正仿宋_GBK" w:hAnsi="方正仿宋_GBK" w:eastAsia="方正仿宋_GBK" w:cs="方正仿宋_GBK"/>
          <w:color w:val="auto"/>
          <w:sz w:val="32"/>
          <w:szCs w:val="32"/>
          <w:highlight w:val="none"/>
          <w:lang w:val="en-US" w:eastAsia="zh-CN"/>
        </w:rPr>
        <w:t>96.97</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eastAsia="zh-Hans"/>
        </w:rPr>
        <w:t>总体</w:t>
      </w:r>
      <w:r>
        <w:rPr>
          <w:rFonts w:hint="eastAsia" w:ascii="方正仿宋_GBK" w:hAnsi="方正仿宋_GBK" w:eastAsia="方正仿宋_GBK" w:cs="方正仿宋_GBK"/>
          <w:color w:val="auto"/>
          <w:sz w:val="32"/>
          <w:szCs w:val="32"/>
          <w:highlight w:val="none"/>
          <w:lang w:eastAsia="zh-CN"/>
        </w:rPr>
        <w:t>偏差率为</w:t>
      </w:r>
      <w:r>
        <w:rPr>
          <w:rFonts w:hint="eastAsia" w:ascii="方正仿宋_GBK" w:hAnsi="方正仿宋_GBK" w:eastAsia="方正仿宋_GBK" w:cs="方正仿宋_GBK"/>
          <w:color w:val="auto"/>
          <w:sz w:val="32"/>
          <w:szCs w:val="32"/>
          <w:highlight w:val="none"/>
          <w:lang w:val="en-US" w:eastAsia="zh-CN"/>
        </w:rPr>
        <w:t>2.48</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eastAsia="zh-Hans"/>
        </w:rPr>
        <w:t>偏差</w:t>
      </w:r>
      <w:r>
        <w:rPr>
          <w:rFonts w:hint="eastAsia" w:ascii="方正仿宋_GBK" w:hAnsi="方正仿宋_GBK" w:eastAsia="方正仿宋_GBK" w:cs="方正仿宋_GBK"/>
          <w:color w:val="auto"/>
          <w:sz w:val="32"/>
          <w:szCs w:val="32"/>
          <w:highlight w:val="none"/>
          <w:lang w:eastAsia="zh-CN"/>
        </w:rPr>
        <w:t>原因是</w:t>
      </w: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2023年无符合使用有奖举报奖励资金的案件，</w:t>
      </w:r>
      <w:r>
        <w:rPr>
          <w:rFonts w:hint="eastAsia" w:ascii="方正仿宋_GBK" w:hAnsi="方正仿宋_GBK" w:eastAsia="方正仿宋_GBK" w:cs="方正仿宋_GBK"/>
          <w:color w:val="auto"/>
          <w:sz w:val="32"/>
          <w:szCs w:val="32"/>
          <w:highlight w:val="none"/>
          <w:lang w:eastAsia="zh-CN"/>
        </w:rPr>
        <w:t>食品安全有奖举报经费未使用；食品安全抽检检查费用和设备采购成本控制数超预算，造</w:t>
      </w:r>
      <w:r>
        <w:rPr>
          <w:rFonts w:hint="eastAsia" w:ascii="方正仿宋_GBK" w:hAnsi="方正仿宋_GBK" w:eastAsia="方正仿宋_GBK" w:cs="方正仿宋_GBK"/>
          <w:color w:val="auto"/>
          <w:sz w:val="32"/>
          <w:szCs w:val="32"/>
          <w:lang w:eastAsia="zh-CN"/>
        </w:rPr>
        <w:t>成偏差</w:t>
      </w:r>
      <w:r>
        <w:rPr>
          <w:rFonts w:hint="eastAsia" w:ascii="方正仿宋_GBK" w:hAnsi="方正仿宋_GBK" w:eastAsia="方正仿宋_GBK" w:cs="方正仿宋_GBK"/>
          <w:color w:val="auto"/>
          <w:sz w:val="32"/>
          <w:szCs w:val="32"/>
          <w:lang w:val="en-US" w:eastAsia="zh-CN"/>
        </w:rPr>
        <w:t>；改进措施：严格按照年初设置的绩效目标指标值执行项目，如存在特殊情况，及时调整绩效目标指标值</w:t>
      </w:r>
      <w:r>
        <w:rPr>
          <w:rFonts w:hint="eastAsia" w:ascii="方正仿宋_GBK" w:hAnsi="方正仿宋_GBK" w:eastAsia="方正仿宋_GBK" w:cs="方正仿宋_GBK"/>
          <w:color w:val="auto"/>
          <w:sz w:val="32"/>
          <w:szCs w:val="32"/>
          <w:lang w:eastAsia="zh-CN"/>
        </w:rPr>
        <w:t>。</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val="en-US" w:eastAsia="zh-CN"/>
        </w:rPr>
        <w:t>六</w:t>
      </w:r>
      <w:r>
        <w:rPr>
          <w:rFonts w:hint="eastAsia" w:ascii="方正黑体_GBK" w:hAnsi="方正黑体_GBK" w:eastAsia="方正黑体_GBK" w:cs="方正黑体_GBK"/>
          <w:b w:val="0"/>
          <w:bCs w:val="0"/>
          <w:sz w:val="32"/>
          <w:szCs w:val="32"/>
        </w:rPr>
        <w:t>、主要经验及做法、存在的问题及原因分析</w:t>
      </w:r>
      <w:bookmarkEnd w:id="17"/>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8" w:name="_Toc68703843"/>
      <w:r>
        <w:rPr>
          <w:rFonts w:hint="eastAsia" w:ascii="方正楷体_GBK" w:hAnsi="方正楷体_GBK" w:eastAsia="方正楷体_GBK" w:cs="方正楷体_GBK"/>
          <w:b w:val="0"/>
          <w:bCs w:val="0"/>
          <w:color w:val="auto"/>
          <w:sz w:val="32"/>
          <w:szCs w:val="32"/>
        </w:rPr>
        <w:t>（一）主要经验及做法</w:t>
      </w:r>
      <w:bookmarkEnd w:id="18"/>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bookmarkStart w:id="19" w:name="_Toc68703844"/>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（二）存在的问题及原因分析</w:t>
      </w:r>
      <w:bookmarkEnd w:id="19"/>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2023年设置的绩效目标指标值过多，且不够精确，导致在项目实施过程中有些指标超出预期目标值过多，还有些指标无法达到预期目标值。</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20" w:name="_Toc68703845"/>
      <w:r>
        <w:rPr>
          <w:rFonts w:hint="eastAsia" w:ascii="方正黑体_GBK" w:hAnsi="方正黑体_GBK" w:eastAsia="方正黑体_GBK" w:cs="方正黑体_GBK"/>
          <w:b w:val="0"/>
          <w:bCs w:val="0"/>
          <w:sz w:val="32"/>
          <w:szCs w:val="32"/>
          <w:lang w:val="en-US" w:eastAsia="zh-CN"/>
        </w:rPr>
        <w:t>七</w:t>
      </w:r>
      <w:r>
        <w:rPr>
          <w:rFonts w:hint="eastAsia" w:ascii="方正黑体_GBK" w:hAnsi="方正黑体_GBK" w:eastAsia="方正黑体_GBK" w:cs="方正黑体_GBK"/>
          <w:b w:val="0"/>
          <w:bCs w:val="0"/>
          <w:sz w:val="32"/>
          <w:szCs w:val="32"/>
        </w:rPr>
        <w:t>、有关建议</w:t>
      </w:r>
      <w:bookmarkEnd w:id="20"/>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2.进一步完善项目评价过程中有关数据和资料的收集、整理、审核及分析。项目启动时同步做好档案的归纳与整理，及时整理、收集、汇总，健全档案资料。项目后续管理有待进一步加强和跟踪</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21" w:name="_Toc68703846"/>
      <w:r>
        <w:rPr>
          <w:rFonts w:hint="eastAsia" w:ascii="方正黑体_GBK" w:hAnsi="方正黑体_GBK" w:eastAsia="方正黑体_GBK" w:cs="方正黑体_GBK"/>
          <w:b w:val="0"/>
          <w:bCs w:val="0"/>
          <w:sz w:val="32"/>
          <w:szCs w:val="32"/>
          <w:lang w:val="en-US" w:eastAsia="zh-CN"/>
        </w:rPr>
        <w:t>八</w:t>
      </w:r>
      <w:r>
        <w:rPr>
          <w:rFonts w:hint="eastAsia" w:ascii="方正黑体_GBK" w:hAnsi="方正黑体_GBK" w:eastAsia="方正黑体_GBK" w:cs="方正黑体_GBK"/>
          <w:b w:val="0"/>
          <w:bCs w:val="0"/>
          <w:sz w:val="32"/>
          <w:szCs w:val="32"/>
        </w:rPr>
        <w:t>、其他需要说明的问题</w:t>
      </w:r>
      <w:bookmarkEnd w:id="21"/>
    </w:p>
    <w:p>
      <w:pPr>
        <w:pageBreakBefore w:val="0"/>
        <w:kinsoku/>
        <w:wordWrap/>
        <w:overflowPunct/>
        <w:topLinePunct w:val="0"/>
        <w:autoSpaceDE/>
        <w:autoSpaceDN/>
        <w:bidi w:val="0"/>
        <w:adjustRightInd/>
        <w:snapToGrid/>
        <w:spacing w:line="560" w:lineRule="exact"/>
        <w:ind w:leftChars="0" w:firstLine="640" w:firstLineChars="200"/>
        <w:textAlignment w:val="auto"/>
      </w:pPr>
      <w:r>
        <w:rPr>
          <w:rFonts w:hint="eastAsia" w:ascii="方正仿宋_GBK" w:hAnsi="方正仿宋_GBK" w:eastAsia="方正仿宋_GBK" w:cs="方正仿宋_GBK"/>
          <w:color w:val="auto"/>
          <w:sz w:val="32"/>
          <w:szCs w:val="32"/>
          <w:lang w:eastAsia="zh-CN"/>
        </w:rPr>
        <w:t>本项目无其他需说明的问题。</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jM2UwM2RiZmUxNTYxMmNiZjMyYTA2Mzg0ZTE4Mj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FE632E"/>
    <w:rsid w:val="05227DA5"/>
    <w:rsid w:val="0694678F"/>
    <w:rsid w:val="07D802E3"/>
    <w:rsid w:val="08D20D13"/>
    <w:rsid w:val="0C4D0F1B"/>
    <w:rsid w:val="0D4940E8"/>
    <w:rsid w:val="0E33262F"/>
    <w:rsid w:val="0F2A6BF7"/>
    <w:rsid w:val="130143BE"/>
    <w:rsid w:val="193445F1"/>
    <w:rsid w:val="1D723F37"/>
    <w:rsid w:val="1D785367"/>
    <w:rsid w:val="1EB3600A"/>
    <w:rsid w:val="1F4E4E8F"/>
    <w:rsid w:val="2C016606"/>
    <w:rsid w:val="2EBF7B3E"/>
    <w:rsid w:val="314463F4"/>
    <w:rsid w:val="3165254F"/>
    <w:rsid w:val="32044A98"/>
    <w:rsid w:val="32AE0DEC"/>
    <w:rsid w:val="36B72533"/>
    <w:rsid w:val="3EED0ADC"/>
    <w:rsid w:val="4057649F"/>
    <w:rsid w:val="43182414"/>
    <w:rsid w:val="4478531E"/>
    <w:rsid w:val="46507BB3"/>
    <w:rsid w:val="4A7C25BE"/>
    <w:rsid w:val="4C22332E"/>
    <w:rsid w:val="4E496B86"/>
    <w:rsid w:val="4F5D1109"/>
    <w:rsid w:val="50E30E4B"/>
    <w:rsid w:val="556E4832"/>
    <w:rsid w:val="56796849"/>
    <w:rsid w:val="572554C2"/>
    <w:rsid w:val="5DA95371"/>
    <w:rsid w:val="5E1713C8"/>
    <w:rsid w:val="68F11999"/>
    <w:rsid w:val="6DB66EFA"/>
    <w:rsid w:val="6F3D2D8B"/>
    <w:rsid w:val="70124A97"/>
    <w:rsid w:val="763A0251"/>
    <w:rsid w:val="7C482372"/>
    <w:rsid w:val="7C9235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napToGrid w:val="0"/>
      <w:spacing w:line="560" w:lineRule="exact"/>
      <w:jc w:val="center"/>
    </w:pPr>
    <w:rPr>
      <w:rFonts w:ascii="宋体" w:eastAsia="宋体"/>
      <w:b/>
      <w:sz w:val="44"/>
      <w:szCs w:val="24"/>
    </w:r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2"/>
    <w:link w:val="7"/>
    <w:semiHidden/>
    <w:qFormat/>
    <w:uiPriority w:val="99"/>
    <w:rPr>
      <w:rFonts w:ascii="Times New Roman" w:hAnsi="Times New Roman" w:eastAsia="仿宋_GB2312" w:cs="Times New Roman"/>
      <w:sz w:val="18"/>
      <w:szCs w:val="18"/>
    </w:rPr>
  </w:style>
  <w:style w:type="character" w:customStyle="1" w:styleId="19">
    <w:name w:val="页脚 Char"/>
    <w:basedOn w:val="12"/>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5042</Words>
  <Characters>5242</Characters>
  <Lines>37</Lines>
  <Paragraphs>10</Paragraphs>
  <TotalTime>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2024-05-09T02:07:00Z</cp:lastPrinted>
  <dcterms:modified xsi:type="dcterms:W3CDTF">2024-05-13T09:17:37Z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A3A283F52BA04599803974C8C975934A</vt:lpwstr>
  </property>
</Properties>
</file>