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项目支出绩效评价报告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（2</w:t>
      </w:r>
      <w:r>
        <w:rPr>
          <w:rFonts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02</w:t>
      </w: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  <w:lang w:val="en-US" w:eastAsia="zh-CN"/>
        </w:rPr>
        <w:t>3</w:t>
      </w: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年度）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2"/>
          <w:szCs w:val="32"/>
        </w:rPr>
        <w:t>项目名称：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2"/>
          <w:szCs w:val="32"/>
          <w:lang w:eastAsia="zh-CN"/>
        </w:rPr>
        <w:t>2023中央食品药品监管补助资金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2"/>
          <w:szCs w:val="32"/>
        </w:rPr>
        <w:t>实施单位（公章）：巴州市场监督管理局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2"/>
          <w:szCs w:val="32"/>
        </w:rPr>
        <w:t>主管部门（公章）：巴州市场监督管理局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2"/>
          <w:szCs w:val="32"/>
        </w:rPr>
        <w:t>项目负责人（签章）：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2"/>
          <w:szCs w:val="32"/>
          <w:lang w:eastAsia="zh-CN"/>
        </w:rPr>
        <w:t>张龙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2"/>
          <w:szCs w:val="32"/>
        </w:rPr>
        <w:t>填报时间：202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2"/>
          <w:szCs w:val="32"/>
        </w:rPr>
        <w:t>日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left"/>
        <w:textAlignment w:val="auto"/>
        <w:rPr>
          <w:rFonts w:ascii="宋体" w:hAnsi="宋体" w:eastAsia="宋体" w:cs="Arial"/>
          <w:b/>
          <w:bCs/>
          <w:sz w:val="36"/>
          <w:szCs w:val="36"/>
        </w:rPr>
      </w:pPr>
      <w:r>
        <w:rPr>
          <w:rFonts w:ascii="宋体" w:hAnsi="宋体" w:eastAsia="宋体" w:cs="Arial"/>
          <w:b/>
          <w:bCs/>
          <w:sz w:val="36"/>
          <w:szCs w:val="36"/>
        </w:rPr>
        <w:br w:type="page"/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</w:rPr>
        <w:t>项目支出绩效评价报告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bookmarkStart w:id="0" w:name="_Toc68703827"/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一、基本情况</w:t>
      </w:r>
      <w:bookmarkEnd w:id="0"/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bookmarkStart w:id="1" w:name="_Toc68703828"/>
      <w:bookmarkStart w:id="2" w:name="OLE_LINK1"/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（一）项目概况。</w:t>
      </w:r>
      <w:bookmarkEnd w:id="1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项目背景，主要内容及实施情况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（1）项目背景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认真贯彻自治区药品监督管理局药品监管重点工作安排，以提高药品（含医疗器械、化妆品）安全水平为核心，坚持问题导向、重点突出、监检结合和上下联动原则，进一步做好省级药品、中药饮片、化妆品、医疗器械抽样送检工作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（2）主要内容及实施情况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主要内容：完成2023年度药品、医疗器械和化妆品的国抽任务。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实施情况：</w:t>
      </w:r>
      <w:bookmarkEnd w:id="2"/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已完成药品抽样30批次，医疗器械抽样2批次，化妆品抽样36批次，不断完善和加强“两品一械”安全抽样检验工作,加强“两品一械”企业监管力度。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资金投入和使用情况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资金投入情况：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该项目年初预算数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万元，全年预算数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万元，实际总投入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万元，该项目资金已全部落实到位，资金来源为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上级专项转移支付资金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资金使用情况：该项目年初预算数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万元，全年预算数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万元，全年执行数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万元，预算执行率为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100.00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%，用于：药品、医疗器械、化妆品抽样。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</w:pPr>
      <w:bookmarkStart w:id="3" w:name="_Toc68703829"/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（二）项目绩效目标</w:t>
      </w:r>
      <w:bookmarkEnd w:id="3"/>
      <w:r>
        <w:rPr>
          <w:rFonts w:hint="eastAsia" w:ascii="方正楷体_GBK" w:hAnsi="方正楷体_GBK" w:eastAsia="方正楷体_GBK" w:cs="方正楷体_GBK"/>
          <w:b w:val="0"/>
          <w:bCs w:val="0"/>
          <w:color w:val="000000" w:themeColor="text1"/>
          <w:sz w:val="32"/>
          <w:szCs w:val="32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</w:rPr>
        <w:t>包括总体目标和阶段性目标。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总体目标：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通过对药品、医疗器械、化妆品抽样，不断完善和加强“两品一械”安全抽样检验工作,加强“两品一械”企业监管力度。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阶段性目标：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2023年上半年完成药品抽样30批次，医疗器械抽样1批次，化妆品抽样24批次，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下半年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完成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医疗器械抽样1批次，化妆品抽样12批次，不断完善和加强“两品一械”安全抽样检验工作,加强“两品一械”企业监管力度。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  <w:bookmarkStart w:id="4" w:name="_Toc68703830"/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二、绩效评价工作开展情况</w:t>
      </w:r>
      <w:bookmarkEnd w:id="4"/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bookmarkStart w:id="5" w:name="_Toc68703831"/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（一）绩效评价目的、对象和范围。</w:t>
      </w:r>
      <w:bookmarkEnd w:id="5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绩效评价目的：</w:t>
      </w:r>
    </w:p>
    <w:p>
      <w:pPr>
        <w:pStyle w:val="2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绩效评价对象：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2023中央食品药品监管补助资金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绩效评价范围：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本次评价从项目决策（包括绩效目标、决策过程）、项目管理（包括项目资金、项目实施）、项目产出（包括项目产出数量、产出质量、产出时效和产出成本）项目效益四个维度进行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2023中央食品药品监管补助资金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评价，评价核心为资金的支出完成情况和效果。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</w:rPr>
      </w:pPr>
      <w:bookmarkStart w:id="6" w:name="_Toc68703832"/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</w:rPr>
        <w:t>（二）绩效评价原则、评价指标体系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lang w:eastAsia="zh-CN"/>
        </w:rPr>
        <w:t>（附表说明）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</w:rPr>
        <w:t>、评价方法、评价标准等。</w:t>
      </w:r>
      <w:bookmarkEnd w:id="6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绩效评价原则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本次项目绩效评价遵循以下基本原则：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（1）科学公正。绩效评价运用科学合理的方法，按照规范的程序，对项目绩效进行客观、公正的反映。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（2）统筹兼顾。单位自评、部门评价和财政评价职责明确，各有侧重，相互衔接。单位自评应由项目单位自主实施，即“谁支出、谁自评”。部门评价和财政评价应在单位自评的基础上开展。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（3）激励约束。绩效评价结果与预算安排、政策调整、改进管理实质性挂钩，体现奖优罚劣和激励相容导向，有效要安排、低效要压减、无效要问责。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（4）公开透明。绩效评价结果在巴州人民政府网站依法依规公开，并自觉接受社会监督。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2、评价指标体系（附表说明）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eastAsia" w:ascii="方正仿宋_GBK" w:hAnsi="方正仿宋_GBK" w:eastAsia="方正仿宋_GBK" w:cs="方正仿宋_GBK"/>
          <w:color w:val="auto"/>
          <w:spacing w:val="17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pacing w:val="17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eastAsia" w:ascii="方正仿宋_GBK" w:hAnsi="方正仿宋_GBK" w:eastAsia="方正仿宋_GBK" w:cs="方正仿宋_GBK"/>
          <w:color w:val="auto"/>
          <w:spacing w:val="17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pacing w:val="17"/>
          <w:sz w:val="32"/>
          <w:szCs w:val="32"/>
        </w:rPr>
        <w:t>（1）确定评价指标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eastAsia" w:ascii="方正仿宋_GBK" w:hAnsi="方正仿宋_GBK" w:eastAsia="方正仿宋_GBK" w:cs="方正仿宋_GBK"/>
          <w:color w:val="auto"/>
          <w:spacing w:val="17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pacing w:val="17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eastAsia" w:ascii="方正仿宋_GBK" w:hAnsi="方正仿宋_GBK" w:eastAsia="方正仿宋_GBK" w:cs="方正仿宋_GBK"/>
          <w:color w:val="auto"/>
          <w:spacing w:val="17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pacing w:val="17"/>
          <w:sz w:val="32"/>
          <w:szCs w:val="32"/>
        </w:rPr>
        <w:t>（2）确定权重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eastAsia" w:ascii="方正仿宋_GBK" w:hAnsi="方正仿宋_GBK" w:eastAsia="方正仿宋_GBK" w:cs="方正仿宋_GBK"/>
          <w:color w:val="auto"/>
          <w:spacing w:val="17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pacing w:val="17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eastAsia" w:ascii="方正仿宋_GBK" w:hAnsi="方正仿宋_GBK" w:eastAsia="方正仿宋_GBK" w:cs="方正仿宋_GBK"/>
          <w:color w:val="auto"/>
          <w:spacing w:val="17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pacing w:val="17"/>
          <w:sz w:val="32"/>
          <w:szCs w:val="32"/>
        </w:rPr>
        <w:t>（3）确定指标标准值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eastAsia" w:ascii="方正仿宋_GBK" w:hAnsi="方正仿宋_GBK" w:eastAsia="方正仿宋_GBK" w:cs="方正仿宋_GBK"/>
          <w:color w:val="auto"/>
          <w:spacing w:val="17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pacing w:val="17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708" w:firstLineChars="2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/>
          <w:spacing w:val="17"/>
          <w:kern w:val="2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pacing w:val="17"/>
          <w:kern w:val="2"/>
          <w:sz w:val="32"/>
          <w:szCs w:val="32"/>
          <w:highlight w:val="none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3、评价方法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/>
          <w:spacing w:val="17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pacing w:val="17"/>
          <w:sz w:val="32"/>
          <w:szCs w:val="32"/>
        </w:rPr>
        <w:t>绩效评价从项目决策、项目过程、项目产出、项目效益四个维度进行评价。评价对象为项目目标实施情况， 评价核心为资金的支出完成情况和项目的产出效益。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708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/>
          <w:spacing w:val="17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pacing w:val="17"/>
          <w:sz w:val="32"/>
          <w:szCs w:val="32"/>
        </w:rPr>
        <w:t>本次评价指标中，既有定性指标又有定量指标，各类指标因考核内容不同和客观标准不同存在较大差异，因此核定具体指标时采用了</w:t>
      </w:r>
      <w:r>
        <w:rPr>
          <w:rFonts w:hint="eastAsia" w:ascii="方正仿宋_GBK" w:hAnsi="方正仿宋_GBK" w:eastAsia="方正仿宋_GBK" w:cs="方正仿宋_GBK"/>
          <w:color w:val="000000"/>
          <w:spacing w:val="17"/>
          <w:sz w:val="32"/>
          <w:szCs w:val="32"/>
          <w:lang w:eastAsia="zh-CN"/>
        </w:rPr>
        <w:t>比较</w:t>
      </w:r>
      <w:r>
        <w:rPr>
          <w:rFonts w:hint="eastAsia" w:ascii="方正仿宋_GBK" w:hAnsi="方正仿宋_GBK" w:eastAsia="方正仿宋_GBK" w:cs="方正仿宋_GBK"/>
          <w:color w:val="000000"/>
          <w:spacing w:val="17"/>
          <w:sz w:val="32"/>
          <w:szCs w:val="32"/>
        </w:rPr>
        <w:t>法，具体评价方法如下：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/>
          <w:spacing w:val="17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pacing w:val="17"/>
          <w:sz w:val="32"/>
          <w:szCs w:val="32"/>
        </w:rPr>
        <w:t>通过对绩效目标与实施情况、历史与当期完成情况，综合分析绩效目标实现程度，对项目最终验收情况与年度绩效目标对比、预算资金执行情况等相关因素进行比较。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评价标准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eastAsia" w:ascii="方正仿宋_GBK" w:hAnsi="方正仿宋_GBK" w:eastAsia="方正仿宋_GBK" w:cs="方正仿宋_GBK"/>
          <w:bCs/>
          <w:color w:val="000000"/>
          <w:spacing w:val="17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pacing w:val="17"/>
          <w:sz w:val="32"/>
          <w:szCs w:val="32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 w:ascii="方正仿宋_GBK" w:hAnsi="方正仿宋_GBK" w:eastAsia="方正仿宋_GBK" w:cs="方正仿宋_GBK"/>
          <w:color w:val="000000"/>
          <w:spacing w:val="17"/>
          <w:sz w:val="32"/>
          <w:szCs w:val="32"/>
          <w:lang w:val="en-US" w:eastAsia="zh-CN"/>
        </w:rPr>
        <w:t>计划</w:t>
      </w:r>
      <w:r>
        <w:rPr>
          <w:rFonts w:hint="eastAsia" w:ascii="方正仿宋_GBK" w:hAnsi="方正仿宋_GBK" w:eastAsia="方正仿宋_GBK" w:cs="方正仿宋_GBK"/>
          <w:color w:val="000000"/>
          <w:spacing w:val="17"/>
          <w:sz w:val="32"/>
          <w:szCs w:val="32"/>
        </w:rPr>
        <w:t>标准</w:t>
      </w:r>
      <w:r>
        <w:rPr>
          <w:rFonts w:hint="eastAsia" w:ascii="方正仿宋_GBK" w:hAnsi="方正仿宋_GBK" w:eastAsia="方正仿宋_GBK" w:cs="方正仿宋_GBK"/>
          <w:color w:val="000000"/>
          <w:spacing w:val="17"/>
          <w:sz w:val="32"/>
          <w:szCs w:val="32"/>
          <w:lang w:eastAsia="zh-CN"/>
        </w:rPr>
        <w:t>，原因是：以预先制定的目标、计划、预算、定额等作为评价标准，将实际完成值与预定值对比，找出两者的差异，可以更好的反应业务实际开展情况，更准确的开展绩效评价。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bookmarkStart w:id="7" w:name="_Toc68703833"/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（三）绩效评价工作过程。</w:t>
      </w:r>
      <w:bookmarkEnd w:id="7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bookmarkStart w:id="8" w:name="_Toc68703834"/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前期准备。首先财审科牵头成立评价工作组；其次明确项目绩效目标，设计绩效评价指标体系并确定绩效评价方法；接着确定现场和非现场评价范围；最后制定评价实施方案并进行论证。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组织实施。制定绩效评价工作方案，具体包括项目概况、评价思路、方法手段、组织实施、进度安排等。收集项目立项依据、相关会议纪要、实施方案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支付管理情况等相关评价资料并进行梳理。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三、综合评价情况及评价结论</w:t>
      </w:r>
      <w:bookmarkEnd w:id="8"/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</w:pPr>
      <w:bookmarkStart w:id="9" w:name="_Toc68703835"/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（一）综合评价情况</w:t>
      </w:r>
      <w:bookmarkEnd w:id="9"/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  <w:t>及评价结论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综合评价情况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kern w:val="28"/>
          <w:sz w:val="32"/>
          <w:szCs w:val="32"/>
          <w:lang w:val="en-US" w:eastAsia="zh-CN" w:bidi="ar-SA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2023中央食品药品监管补助资金项目严格按照</w:t>
      </w:r>
      <w:r>
        <w:rPr>
          <w:rFonts w:hint="eastAsia" w:ascii="方正仿宋_GBK" w:hAnsi="方正仿宋_GBK" w:eastAsia="方正仿宋_GBK" w:cs="方正仿宋_GBK"/>
          <w:bCs/>
          <w:color w:val="auto"/>
          <w:kern w:val="0"/>
          <w:sz w:val="32"/>
          <w:szCs w:val="32"/>
        </w:rPr>
        <w:t>科学公正、统筹兼顾、激励约束、公开透明的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绩效评价原则，采用</w:t>
      </w:r>
      <w:r>
        <w:rPr>
          <w:rFonts w:hint="eastAsia" w:ascii="方正仿宋_GBK" w:hAnsi="方正仿宋_GBK" w:eastAsia="方正仿宋_GBK" w:cs="方正仿宋_GBK"/>
          <w:color w:val="auto"/>
          <w:spacing w:val="17"/>
          <w:sz w:val="32"/>
          <w:szCs w:val="32"/>
        </w:rPr>
        <w:t>比较法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，坚持</w:t>
      </w:r>
      <w:r>
        <w:rPr>
          <w:rFonts w:hint="eastAsia" w:ascii="方正仿宋_GBK" w:hAnsi="方正仿宋_GBK" w:eastAsia="方正仿宋_GBK" w:cs="方正仿宋_GBK"/>
          <w:color w:val="auto"/>
          <w:spacing w:val="17"/>
          <w:sz w:val="32"/>
          <w:szCs w:val="32"/>
          <w:lang w:val="en-US" w:eastAsia="zh-CN"/>
        </w:rPr>
        <w:t>计划</w:t>
      </w:r>
      <w:r>
        <w:rPr>
          <w:rFonts w:hint="eastAsia" w:ascii="方正仿宋_GBK" w:hAnsi="方正仿宋_GBK" w:eastAsia="方正仿宋_GBK" w:cs="方正仿宋_GBK"/>
          <w:color w:val="auto"/>
          <w:spacing w:val="17"/>
          <w:sz w:val="32"/>
          <w:szCs w:val="32"/>
        </w:rPr>
        <w:t>标准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对本项目的立项、绩效目标、资金投入、资金管理、组织实施、产出数量、产出质量、产出时效、产出成本、项目效益进行了综合评价。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</w:rPr>
      </w:pPr>
      <w:bookmarkStart w:id="10" w:name="_Toc68703836"/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</w:rPr>
        <w:t>评价结论</w:t>
      </w:r>
      <w:bookmarkEnd w:id="10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</w:rPr>
        <w:t xml:space="preserve">总得分为 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</w:rPr>
        <w:t xml:space="preserve">分，属于“优”。其中，项目决策类指标权重为20分，得分为 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</w:rPr>
        <w:t xml:space="preserve">分，得分率为 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</w:rPr>
        <w:t>%。项目过程类指标权重为20分，得分为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</w:rPr>
        <w:t>分，得分率为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</w:rPr>
        <w:t>%。项目产出类指标权重为40分，得分为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  <w:lang w:val="en-US" w:eastAsia="zh-CN"/>
        </w:rPr>
        <w:t>40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</w:rPr>
        <w:t>分，得分率为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</w:rPr>
        <w:t>%。项目效益类指标权重为20分，得分为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</w:rPr>
        <w:t>分，得分率为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</w:rPr>
        <w:t>%。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highlight w:val="none"/>
        </w:rPr>
        <w:t>（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highlight w:val="none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highlight w:val="none"/>
        </w:rPr>
        <w:t>）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highlight w:val="none"/>
          <w:lang w:eastAsia="zh-CN"/>
        </w:rPr>
        <w:t>相关评分表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highlight w:val="none"/>
        </w:rPr>
        <w:t>具体打分情况详见：附件1综合评分表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color w:val="auto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2023中央食品药品监管补助资金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项目评价得分情况</w:t>
      </w:r>
    </w:p>
    <w:tbl>
      <w:tblPr>
        <w:tblStyle w:val="11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80" w:firstLineChars="20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80" w:firstLineChars="20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80" w:firstLineChars="20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80" w:firstLineChars="20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80" w:firstLineChars="20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80" w:firstLineChars="20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80" w:firstLineChars="20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80" w:firstLineChars="20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80" w:firstLineChars="20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80" w:firstLineChars="20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80" w:firstLineChars="20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80" w:firstLineChars="20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80" w:firstLineChars="20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80" w:firstLineChars="20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80" w:firstLineChars="20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80" w:firstLineChars="20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80" w:firstLineChars="20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80" w:firstLineChars="20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  <w:lang w:val="en-US" w:eastAsia="zh-CN"/>
              </w:rPr>
              <w:t>100</w:t>
            </w:r>
          </w:p>
        </w:tc>
      </w:tr>
    </w:tbl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</w:pP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bookmarkStart w:id="11" w:name="_Toc68703837"/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四、绩效评价指标分析</w:t>
      </w:r>
      <w:bookmarkEnd w:id="11"/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bookmarkStart w:id="12" w:name="_Toc68703838"/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（一）项目决策情况。</w:t>
      </w:r>
      <w:bookmarkEnd w:id="12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立项依据充分性</w:t>
      </w:r>
    </w:p>
    <w:p>
      <w:pPr>
        <w:shd w:val="clear"/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项目立项依据财政部市场监管总局药监局《关于下达 2023 年食品药品监管补助资金预算的通知》（财行 〔2023〕109 号）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该项目立项符合国家相关法律法规及发展政策，符合行业规划要求，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与部门职责范围相符，属于部门履职所需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属于公共财政支持范围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，符合中央、地方事权支出责任划分原则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本项目与部门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内部其他相关项目不重复。</w:t>
      </w:r>
    </w:p>
    <w:p>
      <w:pPr>
        <w:shd w:val="clear"/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2"/>
          <w:sz w:val="32"/>
          <w:szCs w:val="32"/>
          <w:lang w:val="en-US" w:eastAsia="zh-CN" w:bidi="ar-SA"/>
        </w:rPr>
        <w:t>此项权重分3分，得分3分。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立项程序规范性</w:t>
      </w:r>
    </w:p>
    <w:p>
      <w:pPr>
        <w:shd w:val="clear"/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2023中央食品药品监管补助资金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项目申请、设立过程符合相关要求，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Hans"/>
        </w:rPr>
        <w:t>严格按照审批流程准备符合要求的文件、材料；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根据决算依据编制工作计划和经费预算，经过与部门项目分管领导沟通、筛选确定经费预算计划，确定最终预算方案。项目的审批文件、材料符合相关要求，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项目事前经过必要的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绩效评估、集体决策，保障了程序的规范性。</w:t>
      </w:r>
    </w:p>
    <w:p>
      <w:pPr>
        <w:shd w:val="clear"/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2"/>
          <w:sz w:val="32"/>
          <w:szCs w:val="32"/>
          <w:lang w:val="en-US" w:eastAsia="zh-CN" w:bidi="ar-SA"/>
        </w:rPr>
        <w:t>此项权重分2分，得分2分。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绩效目标合理性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2023中央食品药品监管补助资金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项目设立了项目绩效目标，与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完成2023年度药品国抽任务30个批次；医疗器械国抽任务1个批次；化妆品国抽任务共计36个批次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具有相关性，项目的预期产出效益和效果也均能符合正常的业绩水平，并且与预算确定的项目投资额相匹配。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2"/>
          <w:sz w:val="32"/>
          <w:szCs w:val="32"/>
          <w:lang w:val="en-US" w:eastAsia="zh-CN" w:bidi="ar-SA"/>
        </w:rPr>
        <w:t>此项权重分5分，得分5分。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FF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绩效指标明确性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bookmarkStart w:id="13" w:name="_Hlk68699917"/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2023中央食品药品监管补助资金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项目将项目绩效目标细化分解为具体的绩效指标，一级指标共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条，二级指标共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条，三级指标共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14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条，其中量化指标条数共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条，所有绩效指标均通过清晰、可衡量的指标值予以体现，并且做到了与项目目标任务数相对应。</w:t>
      </w:r>
      <w:bookmarkEnd w:id="13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2"/>
          <w:sz w:val="32"/>
          <w:szCs w:val="32"/>
          <w:lang w:val="en-US" w:eastAsia="zh-CN" w:bidi="ar-SA"/>
        </w:rPr>
        <w:t>此项权重分5分，得分5分。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预算编制科学性</w:t>
      </w:r>
    </w:p>
    <w:p>
      <w:pPr>
        <w:shd w:val="clear"/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预算编制经过科学论证，提供充分的测算依据佐证资料，预算内容与项目内容相匹配。项目投资额与工作任务相匹配。</w:t>
      </w:r>
    </w:p>
    <w:p>
      <w:pPr>
        <w:shd w:val="clear"/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2"/>
          <w:sz w:val="32"/>
          <w:szCs w:val="32"/>
          <w:lang w:val="en-US" w:eastAsia="zh-CN" w:bidi="ar-SA"/>
        </w:rPr>
        <w:t>此项权重分3分，得分3分。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6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资金分配合理性</w:t>
      </w:r>
    </w:p>
    <w:p>
      <w:pPr>
        <w:shd w:val="clear"/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资金分配额度与项目单位实际工作内容相适应，资金分配额度合理，资金分配依据充分。</w:t>
      </w:r>
    </w:p>
    <w:p>
      <w:pPr>
        <w:shd w:val="clear"/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2"/>
          <w:sz w:val="32"/>
          <w:szCs w:val="32"/>
          <w:lang w:val="en-US" w:eastAsia="zh-CN" w:bidi="ar-SA"/>
        </w:rPr>
        <w:t>此项权重分2分，得分2分。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bookmarkStart w:id="14" w:name="_Toc68703839"/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（二）项目过程情况。</w:t>
      </w:r>
      <w:bookmarkEnd w:id="14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资金到位率：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预算资金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万元，实际到位资金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万元，资金到位率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%。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2"/>
          <w:sz w:val="32"/>
          <w:szCs w:val="32"/>
          <w:lang w:val="en-US" w:eastAsia="zh-CN" w:bidi="ar-SA"/>
        </w:rPr>
        <w:t>此项权重分3分，得分3分。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预算执行率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年初预算数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万元，全年预算数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万元，全年执行数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万元，预算执行率为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%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2"/>
          <w:sz w:val="32"/>
          <w:szCs w:val="32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资金使用合规性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lang w:val="en-US" w:eastAsia="zh-CN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2"/>
          <w:sz w:val="32"/>
          <w:szCs w:val="32"/>
          <w:lang w:val="en-US" w:eastAsia="zh-CN" w:bidi="ar-SA"/>
        </w:rPr>
        <w:t>此项权重分5分，得分5分。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管理制度健全性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  <w:lang w:val="en-US" w:eastAsia="zh-CN"/>
        </w:rPr>
        <w:t>制定了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</w:rPr>
        <w:t>《巴州市场监督管理局财务管理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  <w:lang w:eastAsia="zh-CN"/>
        </w:rPr>
        <w:t>办法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</w:rPr>
        <w:t>》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  <w:lang w:eastAsia="zh-CN"/>
        </w:rPr>
        <w:t>和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</w:rPr>
        <w:t>《巴州市场监督管理局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  <w:lang w:eastAsia="zh-CN"/>
        </w:rPr>
        <w:t>预算绩效目标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</w:rPr>
        <w:t>管理办法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  <w:lang w:eastAsia="zh-CN"/>
        </w:rPr>
        <w:t>》等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  <w:lang w:val="en-US" w:eastAsia="zh-CN"/>
        </w:rPr>
        <w:t>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2"/>
          <w:sz w:val="32"/>
          <w:szCs w:val="32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制度执行有效性</w:t>
      </w:r>
    </w:p>
    <w:p>
      <w:pPr>
        <w:shd w:val="clear"/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>
      <w:pPr>
        <w:shd w:val="clear"/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2"/>
          <w:sz w:val="32"/>
          <w:szCs w:val="32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</w:rPr>
      </w:pPr>
      <w:bookmarkStart w:id="15" w:name="_Toc68703840"/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  <w:lang w:val="en-US" w:eastAsia="zh-CN"/>
        </w:rPr>
        <w:t>（三）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</w:rPr>
        <w:t>项目产出情况。</w:t>
      </w:r>
      <w:bookmarkEnd w:id="15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数量指标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完成情况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：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指标1：药品抽样批次，指标值：&gt;=30批次，实际完成值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30批次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，指标完成率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100.00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%；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指标2：医疗器械抽样批次，指标值：&gt;=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批，实际完成值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2批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，指标完成率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100.00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%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；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：化妆品抽样批次，指标值：&gt;=3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批次，实际完成值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36批次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，指标完成率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100.00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%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此项权重分10分，得分10分。</w:t>
      </w:r>
    </w:p>
    <w:p>
      <w:pPr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质量指标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完成情况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指标1：不合格产品处置率，指标值：&gt;=9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%，实际完成值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，指标完成率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111.11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%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偏差原因：年初设置质量指标较为保守，本年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</w:rPr>
        <w:t>完成较好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，造成偏差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指标2：药品抽检在本地区覆盖率，指标值：&gt;=9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%，实际完成值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100%，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偏差原因：年初设置质量指标较为保守，本年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</w:rPr>
        <w:t>完成较好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，造成偏差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，指标完成率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111.11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%；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：药品生产企业检查覆盖率，指标值：&gt;=9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%，实际完成值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，指标完成率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111.11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%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偏差原因：年初设置质量指标较为保守，本年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</w:rPr>
        <w:t>完成较好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，造成偏差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此项权重分10分，得分10分。</w:t>
      </w:r>
    </w:p>
    <w:p>
      <w:pPr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时效指标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完成情况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指标1：抽样按时完成率（药品、医疗器械、化妆品），指标值：&gt;=9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%，实际完成值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，指标完成率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111.11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%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，偏差原因：年初设置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时效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指标较为保守，本年完成较好，造成偏差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指标2：任务完成时间，指标值：2023年11月30日，实际完成值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2023年11月30日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，指标完成率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100.00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%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此项权重分10分，得分10分。</w:t>
      </w:r>
    </w:p>
    <w:p>
      <w:pPr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经济成本指标完成情况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指标1：使用中央转移支付资金完成国抽任务，指标值：&lt;=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万元，实际完成值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7万元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，指标完成率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100.00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%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此项权重分10分，得分10分。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</w:pPr>
      <w:bookmarkStart w:id="16" w:name="_Toc68703841"/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</w:rPr>
        <w:t>（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  <w:lang w:eastAsia="zh-CN"/>
        </w:rPr>
        <w:t>四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</w:rPr>
        <w:t>）项目效益情况。</w:t>
      </w:r>
      <w:bookmarkEnd w:id="16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社会效益指标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完成情况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指标1：“两品一械”总体安全水平，指标值：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不断提高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，实际完成值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达成目标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，指标完成率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100.00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%；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指标2：假冒伪劣产品销售行为，指标值：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不断降低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，实际完成值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达成目标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，指标完成率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100.00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%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此项权重分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分，得分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分。</w:t>
      </w:r>
    </w:p>
    <w:p>
      <w:pPr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lang w:val="en-US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完成情况分析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指标1：公众对监管满意度，指标值：&gt;=9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%，实际完成值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98.9%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，指标完成率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109.89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%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，偏差原因：年初设置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满意度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指标较为保守，本年完成较好，造成偏差；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：公众对化妆品监管满意度，指标值：&gt;=9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%，实际完成值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97.6%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，指标完成率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108.44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%，偏差原因：年初设置满意度指标较为保守，本年完成较好，造成偏差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：公众对医疗器械监管满意度，指标值：&gt;=9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%，实际完成值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97.2%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，指标完成率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108.00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%，偏差原因：年初设置满意度指标较为保守，本年完成较好，造成偏差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gree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此项权重分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分，得分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eastAsia="zh-Hans"/>
        </w:rPr>
      </w:pPr>
      <w:bookmarkStart w:id="17" w:name="_Toc68703842"/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eastAsia="zh-Hans"/>
        </w:rPr>
        <w:t>五、预算执行进度与绩效指标总体完成率偏差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2023中央食品药品监管补助资金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项目年初预算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万元，全年预算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万元，实际支出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万元，预算执行率为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%，项目绩效指标总体完成率为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105.06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%，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Hans"/>
        </w:rPr>
        <w:t>总体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偏差率为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5.06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%,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Hans"/>
        </w:rPr>
        <w:t>偏差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原因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年初设置的质量指标，时效指标，社会效益指标和满意度指标绩效目标值偏低，项目实际完成较好，造成偏差；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改进措施：下年根据历史经验精准设置绩效目标值，减少偏差。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lang w:val="en-US" w:eastAsia="zh-CN"/>
        </w:rPr>
        <w:t>六</w:t>
      </w: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</w:rPr>
        <w:t>、主要经验及做法、存在的问题及原因分析</w:t>
      </w:r>
      <w:bookmarkEnd w:id="17"/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</w:rPr>
      </w:pPr>
      <w:bookmarkStart w:id="18" w:name="_Toc68703843"/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</w:rPr>
        <w:t>（一）主要经验及做法</w:t>
      </w:r>
      <w:bookmarkEnd w:id="18"/>
    </w:p>
    <w:p>
      <w:pPr>
        <w:pStyle w:val="2"/>
        <w:spacing w:before="0" w:after="0"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</w:rPr>
      </w:pPr>
      <w:bookmarkStart w:id="19" w:name="_Toc68703844"/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</w:rPr>
        <w:t>严格坚持先做事、后验收、再拨付的原则，基本杜绝了资金被挤占和挪用现象的发生，跟踪检查到位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</w:rPr>
        <w:t>（二）存在的问题及原因分析</w:t>
      </w:r>
      <w:bookmarkEnd w:id="19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bookmarkStart w:id="20" w:name="_Toc68703845"/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由于财政部门与预算部门之间的职能和分工不同，财政部门掌握信息与预算单位存在不对称，财政部门难以准确掌握各预算单位的职责，对单位自编项目不能提出很好的建议，而是采用一刀切，项目预算按上年的预算数进行逐年递减，造成项目申报单位压缩盲目或者预算不足，执行中显示不精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lang w:val="en-US" w:eastAsia="zh-CN"/>
        </w:rPr>
        <w:t>七</w:t>
      </w: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</w:rPr>
        <w:t>、有关建议</w:t>
      </w:r>
      <w:bookmarkEnd w:id="20"/>
    </w:p>
    <w:p>
      <w:pPr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1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>
      <w:pPr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2.进一步完善项目评价过程中有关数据和资料的收集、整理、审核及分析。项目启动时同步做好档案的归纳与整理，及时整理、收集、汇总，健全档案资料。项目后续管理有待进一步加强和跟踪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。</w:t>
      </w:r>
    </w:p>
    <w:p>
      <w:pPr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3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  <w:bookmarkStart w:id="21" w:name="_Toc68703846"/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八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、其他需要说明的问题</w:t>
      </w:r>
      <w:bookmarkEnd w:id="21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bookmarkStart w:id="22" w:name="_GoBack"/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本项目无其他需说明的问题。</w:t>
      </w:r>
    </w:p>
    <w:bookmarkEnd w:id="22"/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红豆小标宋简体">
    <w:altName w:val="宋体"/>
    <w:panose1 w:val="02000509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TVjM2UwM2RiZmUxNTYxMmNiZjMyYTA2Mzg0ZTE4MjUifQ=="/>
    <w:docVar w:name="KSO_WPS_MARK_KEY" w:val="b3fc2acd-51a9-45ce-8d80-18e6d2738da8"/>
  </w:docVars>
  <w:rsids>
    <w:rsidRoot w:val="007D49C5"/>
    <w:rsid w:val="000D63FA"/>
    <w:rsid w:val="005B64E8"/>
    <w:rsid w:val="00614288"/>
    <w:rsid w:val="00792CFE"/>
    <w:rsid w:val="007D49C5"/>
    <w:rsid w:val="008175E0"/>
    <w:rsid w:val="008C631D"/>
    <w:rsid w:val="00A114ED"/>
    <w:rsid w:val="00B24331"/>
    <w:rsid w:val="00EB3433"/>
    <w:rsid w:val="031A7868"/>
    <w:rsid w:val="04FE632E"/>
    <w:rsid w:val="05227DA5"/>
    <w:rsid w:val="08615732"/>
    <w:rsid w:val="08D20D13"/>
    <w:rsid w:val="0BFD19CE"/>
    <w:rsid w:val="0C4D0F1B"/>
    <w:rsid w:val="0F2A6BF7"/>
    <w:rsid w:val="193445F1"/>
    <w:rsid w:val="196F21C6"/>
    <w:rsid w:val="1BF62251"/>
    <w:rsid w:val="1D723F37"/>
    <w:rsid w:val="1D785367"/>
    <w:rsid w:val="1E4325EE"/>
    <w:rsid w:val="1F4E4E8F"/>
    <w:rsid w:val="234A7143"/>
    <w:rsid w:val="2B5F7B0A"/>
    <w:rsid w:val="3165254F"/>
    <w:rsid w:val="32AE0DEC"/>
    <w:rsid w:val="36B72533"/>
    <w:rsid w:val="3D6765FE"/>
    <w:rsid w:val="4057649F"/>
    <w:rsid w:val="43182414"/>
    <w:rsid w:val="46507BB3"/>
    <w:rsid w:val="4A7C25BE"/>
    <w:rsid w:val="4ADD1BD8"/>
    <w:rsid w:val="4C22332E"/>
    <w:rsid w:val="4F5D1109"/>
    <w:rsid w:val="50B7302E"/>
    <w:rsid w:val="56796849"/>
    <w:rsid w:val="56E177DB"/>
    <w:rsid w:val="5DA95371"/>
    <w:rsid w:val="68F11999"/>
    <w:rsid w:val="6F3D2D8B"/>
    <w:rsid w:val="763A0251"/>
    <w:rsid w:val="7B174DA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next w:val="1"/>
    <w:qFormat/>
    <w:uiPriority w:val="0"/>
    <w:pPr>
      <w:snapToGrid w:val="0"/>
      <w:spacing w:line="560" w:lineRule="exact"/>
      <w:jc w:val="center"/>
    </w:pPr>
    <w:rPr>
      <w:rFonts w:ascii="宋体" w:eastAsia="宋体"/>
      <w:b/>
      <w:sz w:val="44"/>
      <w:szCs w:val="24"/>
    </w:rPr>
  </w:style>
  <w:style w:type="paragraph" w:styleId="7">
    <w:name w:val="footer"/>
    <w:basedOn w:val="1"/>
    <w:link w:val="1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pPr>
      <w:widowControl/>
      <w:spacing w:after="100" w:line="259" w:lineRule="auto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0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character" w:styleId="13">
    <w:name w:val="Strong"/>
    <w:basedOn w:val="12"/>
    <w:qFormat/>
    <w:uiPriority w:val="0"/>
    <w:rPr>
      <w:b/>
      <w:bCs/>
    </w:rPr>
  </w:style>
  <w:style w:type="character" w:styleId="14">
    <w:name w:val="Hyperlink"/>
    <w:basedOn w:val="12"/>
    <w:unhideWhenUsed/>
    <w:qFormat/>
    <w:uiPriority w:val="99"/>
    <w:rPr>
      <w:color w:val="0563C1" w:themeColor="hyperlink"/>
      <w:u w:val="single"/>
    </w:rPr>
  </w:style>
  <w:style w:type="character" w:customStyle="1" w:styleId="15">
    <w:name w:val="标题 1 Char"/>
    <w:basedOn w:val="12"/>
    <w:link w:val="3"/>
    <w:qFormat/>
    <w:uiPriority w:val="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character" w:customStyle="1" w:styleId="16">
    <w:name w:val="标题 2 Char"/>
    <w:basedOn w:val="12"/>
    <w:link w:val="4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7">
    <w:name w:val="TOC Heading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18">
    <w:name w:val="页眉 Char"/>
    <w:basedOn w:val="12"/>
    <w:link w:val="8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9">
    <w:name w:val="页脚 Char"/>
    <w:basedOn w:val="12"/>
    <w:link w:val="7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paragraph" w:customStyle="1" w:styleId="20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5042</Words>
  <Characters>5242</Characters>
  <Lines>37</Lines>
  <Paragraphs>10</Paragraphs>
  <TotalTime>9</TotalTime>
  <ScaleCrop>false</ScaleCrop>
  <LinksUpToDate>false</LinksUpToDate>
  <CharactersWithSpaces>5253</CharactersWithSpaces>
  <Application>WPS Office_11.8.2.11500_F1E327BC-269C-435d-A152-05C5408002CA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2021-04-07T08:01:00Z</dcterms:created>
  <dc:creator>翘楚</dc:creator>
  <cp:lastModifiedBy>new</cp:lastModifiedBy>
  <dcterms:modified xsi:type="dcterms:W3CDTF">2024-05-13T09:36:15Z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2052-11.8.2.11500</vt:lpwstr>
  </property>
  <property fmtid="{D5CDD505-2E9C-101B-9397-08002B2CF9AE}" pid="3" name="ICV">
    <vt:lpwstr>DFF0787588C34603A74FA104BC3FC087</vt:lpwstr>
  </property>
</Properties>
</file>