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项目名称：</w:t>
      </w:r>
      <w:r>
        <w:rPr>
          <w:rFonts w:hint="eastAsia" w:ascii="宋体" w:hAnsi="宋体" w:eastAsia="宋体" w:cs="仿宋_GB2312"/>
          <w:b/>
          <w:bCs/>
          <w:color w:val="000000"/>
          <w:kern w:val="0"/>
          <w:sz w:val="32"/>
          <w:szCs w:val="32"/>
          <w:lang w:eastAsia="zh-CN"/>
        </w:rPr>
        <w:t>为民办实事经费</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eastAsia="zh-CN"/>
        </w:rPr>
        <w:t>巴州妇幼保健计划生育服务中心</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eastAsia="zh-CN"/>
        </w:rPr>
        <w:t>巴州卫健委</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eastAsia="zh-CN"/>
        </w:rPr>
        <w:t>邓英</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 xml:space="preserve">年   </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 xml:space="preserve">月  </w:t>
      </w:r>
      <w:r>
        <w:rPr>
          <w:rFonts w:hint="eastAsia" w:ascii="宋体" w:hAnsi="宋体" w:eastAsia="宋体" w:cs="仿宋_GB2312"/>
          <w:color w:val="000000"/>
          <w:kern w:val="0"/>
          <w:sz w:val="32"/>
          <w:szCs w:val="32"/>
          <w:lang w:val="en-US" w:eastAsia="zh-CN"/>
        </w:rPr>
        <w:t>6</w:t>
      </w:r>
      <w:r>
        <w:rPr>
          <w:rFonts w:hint="eastAsia" w:ascii="宋体" w:hAnsi="宋体" w:eastAsia="宋体" w:cs="仿宋_GB2312"/>
          <w:color w:val="000000"/>
          <w:kern w:val="0"/>
          <w:sz w:val="32"/>
          <w:szCs w:val="32"/>
        </w:rPr>
        <w:t xml:space="preserve"> 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320" w:firstLineChars="100"/>
        <w:textAlignment w:val="auto"/>
        <w:rPr>
          <w:rFonts w:hint="eastAsia" w:ascii="仿宋_GB2312"/>
          <w:sz w:val="32"/>
          <w:szCs w:val="32"/>
          <w:highlight w:val="none"/>
        </w:rPr>
      </w:pPr>
      <w:r>
        <w:rPr>
          <w:rFonts w:hint="eastAsia" w:ascii="仿宋_GB2312"/>
          <w:sz w:val="32"/>
          <w:szCs w:val="32"/>
          <w:highlight w:val="none"/>
        </w:rPr>
        <w:t>（1）项目背景</w:t>
      </w:r>
    </w:p>
    <w:p>
      <w:pPr>
        <w:pageBreakBefore w:val="0"/>
        <w:kinsoku/>
        <w:wordWrap/>
        <w:overflowPunct/>
        <w:topLinePunct w:val="0"/>
        <w:autoSpaceDE/>
        <w:autoSpaceDN/>
        <w:bidi w:val="0"/>
        <w:adjustRightInd/>
        <w:snapToGrid/>
        <w:spacing w:line="560" w:lineRule="exact"/>
        <w:ind w:firstLine="320" w:firstLineChars="100"/>
        <w:textAlignment w:val="auto"/>
        <w:rPr>
          <w:rFonts w:hint="default" w:eastAsia="仿宋_GB2312"/>
          <w:color w:val="FF0000"/>
          <w:lang w:val="en-US" w:eastAsia="zh-CN"/>
        </w:rPr>
      </w:pPr>
      <w:r>
        <w:rPr>
          <w:rFonts w:hint="eastAsia" w:ascii="仿宋_GB2312"/>
          <w:sz w:val="32"/>
          <w:szCs w:val="32"/>
          <w:highlight w:val="none"/>
          <w:lang w:val="en-US" w:eastAsia="zh-CN"/>
        </w:rPr>
        <w:t xml:space="preserve">  巴州妇幼保健计划生育服务中心2019年以来派驻库尔勒市楼兰街道辰兴社区工作队4人，书记1名、队长1名及2名队员组成，根据工作要求及社区重点工作，第一书记负责全盘工作，队长主抓党建，1名队员抓维稳，1名队员抓安全，统筹社区各力量，发挥社区帮带培养作用，进一步提高基层党组织的凝聚力和战斗力，推动社区融合共同发展。</w:t>
      </w:r>
    </w:p>
    <w:p>
      <w:pPr>
        <w:pageBreakBefore w:val="0"/>
        <w:kinsoku/>
        <w:wordWrap/>
        <w:overflowPunct/>
        <w:topLinePunct w:val="0"/>
        <w:autoSpaceDE/>
        <w:autoSpaceDN/>
        <w:bidi w:val="0"/>
        <w:adjustRightInd/>
        <w:snapToGrid/>
        <w:spacing w:line="560" w:lineRule="exact"/>
        <w:ind w:firstLine="300" w:firstLineChars="100"/>
        <w:textAlignment w:val="auto"/>
        <w:rPr>
          <w:rFonts w:hint="eastAsia" w:ascii="仿宋_GB2312"/>
          <w:sz w:val="32"/>
          <w:szCs w:val="32"/>
          <w:highlight w:val="none"/>
          <w:lang w:val="en-US" w:eastAsia="zh-CN"/>
        </w:rPr>
      </w:pPr>
      <w:r>
        <w:rPr>
          <w:rFonts w:hint="eastAsia" w:ascii="仿宋_GB2312"/>
          <w:highlight w:val="none"/>
        </w:rPr>
        <w:t>（</w:t>
      </w:r>
      <w:r>
        <w:rPr>
          <w:rFonts w:hint="eastAsia" w:ascii="仿宋_GB2312"/>
          <w:sz w:val="32"/>
          <w:szCs w:val="32"/>
          <w:highlight w:val="none"/>
          <w:lang w:val="en-US" w:eastAsia="zh-CN"/>
        </w:rPr>
        <w:t>2）主要内容及实施情况</w:t>
      </w:r>
    </w:p>
    <w:p>
      <w:pPr>
        <w:pageBreakBefore w:val="0"/>
        <w:kinsoku/>
        <w:wordWrap/>
        <w:overflowPunct/>
        <w:topLinePunct w:val="0"/>
        <w:autoSpaceDE/>
        <w:autoSpaceDN/>
        <w:bidi w:val="0"/>
        <w:adjustRightInd/>
        <w:snapToGrid/>
        <w:spacing w:line="560" w:lineRule="exact"/>
        <w:ind w:firstLine="320" w:firstLineChars="100"/>
        <w:textAlignment w:val="auto"/>
        <w:rPr>
          <w:rFonts w:hint="default" w:ascii="仿宋_GB2312"/>
          <w:sz w:val="32"/>
          <w:szCs w:val="32"/>
          <w:highlight w:val="none"/>
          <w:lang w:val="en-US" w:eastAsia="zh-CN"/>
        </w:rPr>
      </w:pPr>
      <w:r>
        <w:rPr>
          <w:rFonts w:hint="eastAsia" w:ascii="仿宋_GB2312"/>
          <w:sz w:val="32"/>
          <w:szCs w:val="32"/>
          <w:highlight w:val="none"/>
          <w:lang w:val="en-US" w:eastAsia="zh-CN"/>
        </w:rPr>
        <w:t>主要内容：为社区居民进行凉亭改造和文化墙建设；做好群众工作，访贫问苦、为群众送信息，送服务，送温暖及开展各类活动</w:t>
      </w:r>
    </w:p>
    <w:p>
      <w:pPr>
        <w:pageBreakBefore w:val="0"/>
        <w:kinsoku/>
        <w:wordWrap/>
        <w:overflowPunct/>
        <w:topLinePunct w:val="0"/>
        <w:autoSpaceDE/>
        <w:autoSpaceDN/>
        <w:bidi w:val="0"/>
        <w:adjustRightInd/>
        <w:snapToGrid/>
        <w:spacing w:line="560" w:lineRule="exact"/>
        <w:ind w:firstLine="320" w:firstLineChars="100"/>
        <w:textAlignment w:val="auto"/>
        <w:rPr>
          <w:rFonts w:hint="eastAsia" w:ascii="仿宋_GB2312"/>
          <w:sz w:val="32"/>
          <w:szCs w:val="32"/>
          <w:highlight w:val="none"/>
          <w:lang w:val="en-US" w:eastAsia="zh-CN"/>
        </w:rPr>
      </w:pPr>
      <w:r>
        <w:rPr>
          <w:rFonts w:hint="eastAsia" w:ascii="仿宋_GB2312"/>
          <w:sz w:val="32"/>
          <w:szCs w:val="32"/>
          <w:highlight w:val="none"/>
          <w:lang w:val="en-US" w:eastAsia="zh-CN"/>
        </w:rPr>
        <w:t>实施情况：严格按照目标设立的各阶段任务进行开展工作，完成社区凉亭改造和文化墙建设；慰问辖区困难职工100余人；积极开展各类活动10余次，使项目实施各阶段顺利进行。</w:t>
      </w:r>
    </w:p>
    <w:p>
      <w:pPr>
        <w:pageBreakBefore w:val="0"/>
        <w:kinsoku/>
        <w:wordWrap/>
        <w:overflowPunct/>
        <w:topLinePunct w:val="0"/>
        <w:autoSpaceDE/>
        <w:autoSpaceDN/>
        <w:bidi w:val="0"/>
        <w:adjustRightInd/>
        <w:snapToGrid/>
        <w:spacing w:line="560" w:lineRule="exact"/>
        <w:ind w:firstLine="320" w:firstLineChars="100"/>
        <w:textAlignment w:val="auto"/>
        <w:rPr>
          <w:rFonts w:hint="eastAsia" w:ascii="仿宋_GB2312"/>
          <w:sz w:val="32"/>
          <w:szCs w:val="32"/>
          <w:highlight w:val="none"/>
          <w:lang w:val="en-US" w:eastAsia="zh-CN"/>
        </w:rPr>
      </w:pPr>
      <w:r>
        <w:rPr>
          <w:rFonts w:hint="eastAsia" w:ascii="仿宋_GB2312"/>
          <w:sz w:val="32"/>
          <w:szCs w:val="32"/>
          <w:highlight w:val="none"/>
          <w:lang w:val="en-US" w:eastAsia="zh-CN"/>
        </w:rPr>
        <w:t>2.资金投入和使用情况</w:t>
      </w:r>
    </w:p>
    <w:p>
      <w:pPr>
        <w:pageBreakBefore w:val="0"/>
        <w:kinsoku/>
        <w:wordWrap/>
        <w:overflowPunct/>
        <w:topLinePunct w:val="0"/>
        <w:autoSpaceDE/>
        <w:autoSpaceDN/>
        <w:bidi w:val="0"/>
        <w:adjustRightInd/>
        <w:snapToGrid/>
        <w:spacing w:line="560" w:lineRule="exact"/>
        <w:ind w:firstLine="320" w:firstLineChars="100"/>
        <w:textAlignment w:val="auto"/>
        <w:rPr>
          <w:rFonts w:hint="eastAsia" w:ascii="仿宋_GB2312"/>
          <w:sz w:val="32"/>
          <w:szCs w:val="32"/>
          <w:highlight w:val="none"/>
          <w:lang w:val="en-US" w:eastAsia="zh-CN"/>
        </w:rPr>
      </w:pPr>
      <w:r>
        <w:rPr>
          <w:rFonts w:hint="eastAsia" w:ascii="仿宋_GB2312"/>
          <w:sz w:val="32"/>
          <w:szCs w:val="32"/>
          <w:highlight w:val="none"/>
          <w:lang w:val="en-US" w:eastAsia="zh-CN"/>
        </w:rPr>
        <w:t>（1）资金投入情况：该项目年初预算数20.58万元，全年预算数20.58万元，实际总投入20.58元，该项目资金已全部落实到位资金来源为自治区专项。</w:t>
      </w:r>
    </w:p>
    <w:p>
      <w:pPr>
        <w:pageBreakBefore w:val="0"/>
        <w:kinsoku/>
        <w:wordWrap/>
        <w:overflowPunct/>
        <w:topLinePunct w:val="0"/>
        <w:autoSpaceDE/>
        <w:autoSpaceDN/>
        <w:bidi w:val="0"/>
        <w:adjustRightInd/>
        <w:snapToGrid/>
        <w:spacing w:line="560" w:lineRule="exact"/>
        <w:ind w:firstLine="320" w:firstLineChars="100"/>
        <w:textAlignment w:val="auto"/>
        <w:rPr>
          <w:rFonts w:hint="default" w:ascii="仿宋_GB2312"/>
          <w:sz w:val="32"/>
          <w:szCs w:val="32"/>
          <w:highlight w:val="none"/>
          <w:lang w:val="en-US" w:eastAsia="zh-CN"/>
        </w:rPr>
      </w:pPr>
      <w:r>
        <w:rPr>
          <w:rFonts w:hint="eastAsia" w:ascii="仿宋_GB2312"/>
          <w:sz w:val="32"/>
          <w:szCs w:val="32"/>
          <w:highlight w:val="none"/>
          <w:lang w:val="en-US" w:eastAsia="zh-CN"/>
        </w:rPr>
        <w:t>（2）资金使用情况：该项目年初预算数20.58万元，全年预算数20.58万元，全年执行数17.46万元，预算执行率为84.84%，用于担任第一书记经费2万元；用于为民办实事经费15.46万元。</w:t>
      </w:r>
    </w:p>
    <w:p>
      <w:pPr>
        <w:pageBreakBefore w:val="0"/>
        <w:kinsoku/>
        <w:wordWrap/>
        <w:overflowPunct/>
        <w:topLinePunct w:val="0"/>
        <w:autoSpaceDE/>
        <w:autoSpaceDN/>
        <w:bidi w:val="0"/>
        <w:adjustRightInd/>
        <w:snapToGrid/>
        <w:spacing w:line="560" w:lineRule="exact"/>
        <w:ind w:firstLine="320" w:firstLineChars="100"/>
        <w:textAlignment w:val="auto"/>
        <w:rPr>
          <w:rFonts w:hint="default" w:ascii="仿宋_GB2312"/>
          <w:sz w:val="32"/>
          <w:szCs w:val="32"/>
          <w:highlight w:val="none"/>
          <w:lang w:val="en-US" w:eastAsia="zh-CN"/>
        </w:rPr>
      </w:pPr>
      <w:bookmarkStart w:id="2" w:name="_Toc68703829"/>
      <w:r>
        <w:rPr>
          <w:rFonts w:hint="eastAsia" w:ascii="仿宋_GB2312"/>
          <w:sz w:val="32"/>
          <w:szCs w:val="32"/>
          <w:highlight w:val="none"/>
          <w:lang w:val="en-US" w:eastAsia="zh-CN"/>
        </w:rPr>
        <w:t>（二）项目绩效目标</w:t>
      </w:r>
      <w:bookmarkEnd w:id="2"/>
      <w:r>
        <w:rPr>
          <w:rFonts w:hint="eastAsia" w:ascii="仿宋_GB2312"/>
          <w:sz w:val="32"/>
          <w:szCs w:val="32"/>
          <w:highlight w:val="none"/>
          <w:lang w:val="en-US" w:eastAsia="zh-CN"/>
        </w:rPr>
        <w:t>，包括总体目标和阶段性目标。</w:t>
      </w:r>
    </w:p>
    <w:p>
      <w:pPr>
        <w:pageBreakBefore w:val="0"/>
        <w:kinsoku/>
        <w:wordWrap/>
        <w:overflowPunct/>
        <w:topLinePunct w:val="0"/>
        <w:autoSpaceDE/>
        <w:autoSpaceDN/>
        <w:bidi w:val="0"/>
        <w:adjustRightInd/>
        <w:snapToGrid/>
        <w:spacing w:line="560" w:lineRule="exact"/>
        <w:ind w:firstLine="320" w:firstLineChars="100"/>
        <w:textAlignment w:val="auto"/>
        <w:rPr>
          <w:rFonts w:hint="eastAsia" w:ascii="仿宋_GB2312"/>
          <w:sz w:val="32"/>
          <w:szCs w:val="32"/>
          <w:highlight w:val="none"/>
          <w:lang w:val="en-US" w:eastAsia="zh-CN"/>
        </w:rPr>
      </w:pPr>
      <w:r>
        <w:rPr>
          <w:rFonts w:hint="eastAsia" w:ascii="仿宋_GB2312"/>
          <w:sz w:val="32"/>
          <w:szCs w:val="32"/>
          <w:highlight w:val="none"/>
          <w:lang w:val="en-US" w:eastAsia="zh-CN"/>
        </w:rPr>
        <w:t>1.总体目标：打造社区阵地，为辖区居民购买休闲凳、访贫问苦辖区困难群众，为群众送信息，送温暖，送服务，积极开展各类活动。</w:t>
      </w:r>
    </w:p>
    <w:p>
      <w:pPr>
        <w:pageBreakBefore w:val="0"/>
        <w:kinsoku/>
        <w:wordWrap/>
        <w:overflowPunct/>
        <w:topLinePunct w:val="0"/>
        <w:autoSpaceDE/>
        <w:autoSpaceDN/>
        <w:bidi w:val="0"/>
        <w:adjustRightInd/>
        <w:snapToGrid/>
        <w:spacing w:line="560" w:lineRule="exact"/>
        <w:ind w:firstLine="320" w:firstLineChars="100"/>
        <w:textAlignment w:val="auto"/>
        <w:rPr>
          <w:rFonts w:hint="eastAsia" w:ascii="仿宋_GB2312"/>
          <w:sz w:val="32"/>
          <w:szCs w:val="32"/>
          <w:highlight w:val="none"/>
          <w:lang w:val="en-US" w:eastAsia="zh-CN"/>
        </w:rPr>
      </w:pPr>
      <w:r>
        <w:rPr>
          <w:rFonts w:hint="eastAsia" w:ascii="仿宋_GB2312"/>
          <w:sz w:val="32"/>
          <w:szCs w:val="32"/>
          <w:highlight w:val="none"/>
          <w:lang w:val="en-US" w:eastAsia="zh-CN"/>
        </w:rPr>
        <w:t>2.阶段性目标：按照工作计划每季度开展民族团结一家亲及文艺活动；6月份开展社区凉亭改造及文化墙的建设；7月份对辖区老党员进行慰问；10-12份按计划慰问辖区居民四老人员及困难群众。</w:t>
      </w:r>
    </w:p>
    <w:p>
      <w:pPr>
        <w:pStyle w:val="3"/>
        <w:pageBreakBefore w:val="0"/>
        <w:kinsoku/>
        <w:wordWrap/>
        <w:overflowPunct/>
        <w:topLinePunct w:val="0"/>
        <w:autoSpaceDE/>
        <w:autoSpaceDN/>
        <w:bidi w:val="0"/>
        <w:adjustRightInd/>
        <w:snapToGrid/>
        <w:spacing w:before="0" w:after="0" w:line="560" w:lineRule="exact"/>
        <w:ind w:firstLine="321" w:firstLineChars="1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仿宋_GB2312" w:hAnsi="Times New Roman" w:eastAsia="仿宋_GB2312" w:cs="Times New Roman"/>
          <w:b w:val="0"/>
          <w:bCs w:val="0"/>
          <w:kern w:val="2"/>
          <w:sz w:val="32"/>
          <w:szCs w:val="32"/>
          <w:highlight w:val="none"/>
          <w:lang w:val="en-US" w:eastAsia="zh-CN" w:bidi="ar-SA"/>
        </w:rPr>
      </w:pPr>
      <w:bookmarkStart w:id="4" w:name="_Toc68703831"/>
      <w:r>
        <w:rPr>
          <w:rFonts w:hint="eastAsia" w:ascii="仿宋_GB2312" w:eastAsia="仿宋_GB2312"/>
          <w:b w:val="0"/>
          <w:bCs w:val="0"/>
        </w:rPr>
        <w:t>（</w:t>
      </w:r>
      <w:r>
        <w:rPr>
          <w:rFonts w:hint="eastAsia" w:ascii="仿宋_GB2312" w:hAnsi="Times New Roman" w:eastAsia="仿宋_GB2312" w:cs="Times New Roman"/>
          <w:b w:val="0"/>
          <w:bCs w:val="0"/>
          <w:kern w:val="2"/>
          <w:sz w:val="32"/>
          <w:szCs w:val="32"/>
          <w:highlight w:val="none"/>
          <w:lang w:val="en-US" w:eastAsia="zh-CN" w:bidi="ar-SA"/>
        </w:rPr>
        <w:t>一）绩效评价目的、对象和范围。</w:t>
      </w:r>
      <w:bookmarkEnd w:id="4"/>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1.绩效评价目的：</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通过绩效评价，客观地评判项目的管理绩效，了解和掌握为民办实事经费的具体情况，评价该项目资金安排的科学性、合理性、规范性和资金的使用成效，及时总结项目管理经验，完善项目管理办法，提高项目管理水平和资金使用效益。促使中心根据绩效评价中发现的问题，认真加以整改，及时调整和完善单位的工作计划并加强项目绩效管理，同时为项目后续资金投入、分配和管理提供决策依据。</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2.绩效评价对象：为民办实事经费</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3.绩效评价范围：</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本次评价从项目决策（包括绩效目标、决策过程）、项目管理（包括项目资金、项目实施）、项目产出（包括项目产出数量、产出质量、产出时效和产出成本）项目效益四个维度进行为民办实事经费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bookmarkStart w:id="5" w:name="_Toc68703832"/>
      <w:r>
        <w:rPr>
          <w:rFonts w:hint="eastAsia" w:ascii="仿宋_GB2312" w:hAnsi="Times New Roman" w:eastAsia="仿宋_GB2312" w:cs="Times New Roman"/>
          <w:b w:val="0"/>
          <w:bCs w:val="0"/>
          <w:kern w:val="2"/>
          <w:sz w:val="32"/>
          <w:szCs w:val="32"/>
          <w:highlight w:val="none"/>
          <w:lang w:val="en-US" w:eastAsia="zh-CN" w:bidi="ar-SA"/>
        </w:rPr>
        <w:t>（二）绩效评价原则、评价指标体系（附表说明）、评价方法、评价标准等。</w:t>
      </w:r>
      <w:bookmarkEnd w:id="5"/>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1.绩效评价原则</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本次项目绩效评价遵循以下基本原则</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（一）科学公正。本次项目绩效评价按照项目支出评价指标体系中评价要点，对项目预期设定的绩效目标与实际工作内容进行客观、公正的评价。</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（二）统筹兼顾。本次项目支出绩效评价由中心绩效评价工作组组织实施，严格执行“谁支出、谁负责”、“谁使用、谁评价”的原则。</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（三）激励约束。评价结果作为下一年度是否预算安排或压减预算，对项目负责人实施无效的项目进行问责。</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（四）公开透明。本次项目支出绩效评价结果已依法依规公开在巴州人民政府网站依法依规公开网站上，并自觉接受社会监督。</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2、评价指标体系（附表说明）</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（1）确定评价指标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（2）确定权重</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（3）确定指标标准值</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指标标准值是绩效评价指标的尺度，既要反映同类项目的先进水平，又要符合项目的实际绩效水平。具体采用计划标准等确定此次绩效评价指标标准值。</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评价指标体系表附后</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3、评价方法</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绩效评价从项目决策、项目过程、项目产出、项目效益四个维度进行评价。评价对象为项目目标实施情况，  评价核心为资金的支出完成情况和项目的产出效益。</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本次评价指标中，既有定性指标又有定量指标，各类指标因考核内容不同和客观标准不同存在较大差异，因此核定具体指标时采用了不同方法，具体评价采用比较法，原因是通过绩效目标和实施情况、历史与当前情况，综合分析绩效目标实施的程度，对项目绩效最终实施情况与年初制定绩效目标进行比较，项目执行情况与年初预算进行比较。</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4.评价标准</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绩效评价标准通常包括计划标准、行业标准、历史标准等，用于对绩效指标完成情况进行比较、分析、评价。本次评价主要采用了</w:t>
      </w:r>
      <w:bookmarkStart w:id="21" w:name="_GoBack"/>
      <w:r>
        <w:rPr>
          <w:rFonts w:hint="eastAsia" w:ascii="仿宋_GB2312" w:hAnsi="Times New Roman" w:eastAsia="仿宋_GB2312" w:cs="Times New Roman"/>
          <w:b w:val="0"/>
          <w:bCs w:val="0"/>
          <w:kern w:val="2"/>
          <w:sz w:val="32"/>
          <w:szCs w:val="32"/>
          <w:highlight w:val="none"/>
          <w:lang w:val="en-US" w:eastAsia="zh-CN" w:bidi="ar-SA"/>
        </w:rPr>
        <w:t>计</w:t>
      </w:r>
      <w:r>
        <w:rPr>
          <w:rFonts w:hint="eastAsia" w:ascii="仿宋_GB2312" w:hAnsi="Times New Roman" w:eastAsia="仿宋_GB2312" w:cs="Times New Roman"/>
          <w:b w:val="0"/>
          <w:bCs w:val="0"/>
          <w:kern w:val="2"/>
          <w:sz w:val="32"/>
          <w:szCs w:val="32"/>
          <w:highlight w:val="none"/>
          <w:lang w:val="en-US" w:eastAsia="zh-CN" w:bidi="ar-SA"/>
        </w:rPr>
        <w:t>划</w:t>
      </w:r>
      <w:bookmarkEnd w:id="21"/>
      <w:r>
        <w:rPr>
          <w:rFonts w:hint="eastAsia" w:ascii="仿宋_GB2312" w:hAnsi="Times New Roman" w:eastAsia="仿宋_GB2312" w:cs="Times New Roman"/>
          <w:b w:val="0"/>
          <w:bCs w:val="0"/>
          <w:kern w:val="2"/>
          <w:sz w:val="32"/>
          <w:szCs w:val="32"/>
          <w:highlight w:val="none"/>
          <w:lang w:val="en-US" w:eastAsia="zh-CN" w:bidi="ar-SA"/>
        </w:rPr>
        <w:t>标准，原因是根据工作计划预先制定的目标、计划、预算、定额标准作为项目实施完成情况的评价标准。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bookmarkStart w:id="6" w:name="_Toc68703833"/>
      <w:r>
        <w:rPr>
          <w:rFonts w:hint="eastAsia" w:ascii="仿宋_GB2312" w:hAnsi="Times New Roman" w:eastAsia="仿宋_GB2312" w:cs="Times New Roman"/>
          <w:b w:val="0"/>
          <w:bCs w:val="0"/>
          <w:kern w:val="2"/>
          <w:sz w:val="32"/>
          <w:szCs w:val="32"/>
          <w:highlight w:val="none"/>
          <w:lang w:val="en-US" w:eastAsia="zh-CN" w:bidi="ar-SA"/>
        </w:rPr>
        <w:t>绩效评价工作过程。</w:t>
      </w:r>
      <w:bookmarkEnd w:id="6"/>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default" w:ascii="仿宋_GB2312" w:hAnsi="Times New Roman" w:eastAsia="仿宋_GB2312" w:cs="Times New Roman"/>
          <w:b w:val="0"/>
          <w:bCs w:val="0"/>
          <w:kern w:val="2"/>
          <w:sz w:val="32"/>
          <w:szCs w:val="32"/>
          <w:highlight w:val="none"/>
          <w:lang w:val="en-US" w:eastAsia="zh-CN" w:bidi="ar-SA"/>
        </w:rPr>
        <w:t>1.</w:t>
      </w:r>
      <w:r>
        <w:rPr>
          <w:rFonts w:hint="eastAsia" w:ascii="仿宋_GB2312" w:hAnsi="Times New Roman" w:eastAsia="仿宋_GB2312" w:cs="Times New Roman"/>
          <w:b w:val="0"/>
          <w:bCs w:val="0"/>
          <w:kern w:val="2"/>
          <w:sz w:val="32"/>
          <w:szCs w:val="32"/>
          <w:highlight w:val="none"/>
          <w:lang w:val="en-US" w:eastAsia="zh-CN" w:bidi="ar-SA"/>
        </w:rPr>
        <w:t>前期准备。中心成立了预算绩效管理领导小组，按照《巴州妇幼保健计划生育服务中心预算绩效管理制度》，开展了项目绩效自评工作的前期调研；明确评价对象，评价工作目标及评价要求，了解项目总体情况、绩效评价政策、评价标准，收集相关资料；确定现场和非现场评价范围，设计了项目评价所需资料清单，制定评价工作方案。</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default" w:ascii="仿宋_GB2312" w:hAnsi="Times New Roman" w:eastAsia="仿宋_GB2312" w:cs="Times New Roman"/>
          <w:b w:val="0"/>
          <w:bCs w:val="0"/>
          <w:kern w:val="2"/>
          <w:sz w:val="32"/>
          <w:szCs w:val="32"/>
          <w:highlight w:val="none"/>
          <w:lang w:val="en-US" w:eastAsia="zh-CN" w:bidi="ar-SA"/>
        </w:rPr>
        <w:t>2.</w:t>
      </w:r>
      <w:r>
        <w:rPr>
          <w:rFonts w:hint="eastAsia" w:ascii="仿宋_GB2312" w:hAnsi="Times New Roman" w:eastAsia="仿宋_GB2312" w:cs="Times New Roman"/>
          <w:b w:val="0"/>
          <w:bCs w:val="0"/>
          <w:kern w:val="2"/>
          <w:sz w:val="32"/>
          <w:szCs w:val="32"/>
          <w:highlight w:val="none"/>
          <w:lang w:val="en-US" w:eastAsia="zh-CN" w:bidi="ar-SA"/>
        </w:rPr>
        <w:t>组织实施。评价工作组根据绩效评价工作方案，到项目实施科室了解项目的完成情况，查阅相关文件、规章制度、工作台账等资料；查看与项目相关的财务会计报表、账簿、会计凭证、了解项目的收支情况、审核专款专用情况、财政资金到位情况、实际支出情况、预算执行情况、项目立项的依据、对于重大资金的支付是否提交党委会审议通过、制作调查问卷等资料进行收集整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default" w:ascii="仿宋_GB2312" w:hAnsi="Times New Roman" w:eastAsia="仿宋_GB2312" w:cs="Times New Roman"/>
          <w:b w:val="0"/>
          <w:bCs w:val="0"/>
          <w:kern w:val="2"/>
          <w:sz w:val="32"/>
          <w:szCs w:val="32"/>
          <w:highlight w:val="none"/>
          <w:lang w:val="en-US" w:eastAsia="zh-CN" w:bidi="ar-SA"/>
        </w:rPr>
        <w:t>3.</w:t>
      </w:r>
      <w:r>
        <w:rPr>
          <w:rFonts w:hint="eastAsia" w:ascii="仿宋_GB2312" w:hAnsi="Times New Roman" w:eastAsia="仿宋_GB2312" w:cs="Times New Roman"/>
          <w:b w:val="0"/>
          <w:bCs w:val="0"/>
          <w:kern w:val="2"/>
          <w:sz w:val="32"/>
          <w:szCs w:val="32"/>
          <w:highlight w:val="none"/>
          <w:lang w:val="en-US" w:eastAsia="zh-CN" w:bidi="ar-SA"/>
        </w:rPr>
        <w:t>分析评价。评价工作组根据项目收集梳理的资料，</w:t>
      </w:r>
      <w:r>
        <w:rPr>
          <w:rFonts w:hint="eastAsia" w:ascii="仿宋_GB2312" w:cs="Times New Roman"/>
          <w:b w:val="0"/>
          <w:bCs w:val="0"/>
          <w:kern w:val="2"/>
          <w:sz w:val="32"/>
          <w:szCs w:val="32"/>
          <w:highlight w:val="none"/>
          <w:lang w:val="en-US" w:eastAsia="zh-CN" w:bidi="ar-SA"/>
        </w:rPr>
        <w:t>项目的立项符合法律法规</w:t>
      </w:r>
      <w:r>
        <w:rPr>
          <w:rFonts w:hint="eastAsia" w:ascii="仿宋_GB2312" w:hAnsi="Times New Roman" w:eastAsia="仿宋_GB2312" w:cs="Times New Roman"/>
          <w:b w:val="0"/>
          <w:bCs w:val="0"/>
          <w:kern w:val="2"/>
          <w:sz w:val="32"/>
          <w:szCs w:val="32"/>
          <w:highlight w:val="none"/>
          <w:lang w:val="en-US" w:eastAsia="zh-CN" w:bidi="ar-SA"/>
        </w:rPr>
        <w:t>，</w:t>
      </w:r>
      <w:r>
        <w:rPr>
          <w:rFonts w:hint="eastAsia" w:ascii="仿宋_GB2312" w:cs="Times New Roman"/>
          <w:b w:val="0"/>
          <w:bCs w:val="0"/>
          <w:kern w:val="2"/>
          <w:sz w:val="32"/>
          <w:szCs w:val="32"/>
          <w:highlight w:val="none"/>
          <w:lang w:val="en-US" w:eastAsia="zh-CN" w:bidi="ar-SA"/>
        </w:rPr>
        <w:t>资金全额到位，</w:t>
      </w:r>
      <w:r>
        <w:rPr>
          <w:rFonts w:hint="eastAsia" w:ascii="仿宋_GB2312" w:hAnsi="Times New Roman" w:eastAsia="仿宋_GB2312" w:cs="Times New Roman"/>
          <w:b w:val="0"/>
          <w:bCs w:val="0"/>
          <w:kern w:val="2"/>
          <w:sz w:val="32"/>
          <w:szCs w:val="32"/>
          <w:highlight w:val="none"/>
          <w:lang w:val="en-US" w:eastAsia="zh-CN" w:bidi="ar-SA"/>
        </w:rPr>
        <w:t>对于项目资金的支付，严格按照巴州妇幼保健计划生育服务中心财务管理制度执行，在资金使用上有完整的报账程序和手续，在财务核算上做到了专项核算、专款专用、不存在截留、挤占、挪用、虚列支出等情况。对项目数量指标、质量指标、时效指标、成本指标、社会效益指标、满意度指标对照进行详细全面的分析评价，逐项打分并形成绩效评价最终结果。</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bookmarkStart w:id="7" w:name="_Toc68703834"/>
      <w:r>
        <w:rPr>
          <w:rFonts w:hint="eastAsia" w:ascii="仿宋_GB2312" w:hAnsi="Times New Roman" w:eastAsia="仿宋_GB2312" w:cs="Times New Roman"/>
          <w:b w:val="0"/>
          <w:bCs w:val="0"/>
          <w:kern w:val="2"/>
          <w:sz w:val="32"/>
          <w:szCs w:val="32"/>
          <w:highlight w:val="none"/>
          <w:lang w:val="en-US" w:eastAsia="zh-CN" w:bidi="ar-SA"/>
        </w:rPr>
        <w:t>三、综合评价情况及评价结论</w:t>
      </w:r>
      <w:bookmarkEnd w:id="7"/>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bookmarkStart w:id="8" w:name="_Toc68703835"/>
      <w:r>
        <w:rPr>
          <w:rFonts w:hint="eastAsia" w:ascii="仿宋_GB2312" w:hAnsi="Times New Roman" w:eastAsia="仿宋_GB2312" w:cs="Times New Roman"/>
          <w:b w:val="0"/>
          <w:bCs w:val="0"/>
          <w:kern w:val="2"/>
          <w:sz w:val="32"/>
          <w:szCs w:val="32"/>
          <w:highlight w:val="none"/>
          <w:lang w:val="en-US" w:eastAsia="zh-CN" w:bidi="ar-SA"/>
        </w:rPr>
        <w:t>（一）综合评价情况</w:t>
      </w:r>
      <w:bookmarkEnd w:id="8"/>
      <w:r>
        <w:rPr>
          <w:rFonts w:hint="eastAsia" w:ascii="仿宋_GB2312" w:hAnsi="Times New Roman" w:eastAsia="仿宋_GB2312" w:cs="Times New Roman"/>
          <w:b w:val="0"/>
          <w:bCs w:val="0"/>
          <w:kern w:val="2"/>
          <w:sz w:val="32"/>
          <w:szCs w:val="32"/>
          <w:highlight w:val="none"/>
          <w:lang w:val="en-US" w:eastAsia="zh-CN" w:bidi="ar-SA"/>
        </w:rPr>
        <w:t>及评价结论</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本项目严格按照科学公正、统筹兼顾、激励约束、公开透明的绩效评价原则，采用比较法，坚持计划标准对本项目的立项、绩效目标、资金投入、资金管理、组织实施、产出数量、产出质量、产出时效、产出成本、项目效益进行了综合评价。</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bookmarkStart w:id="9" w:name="_Toc68703836"/>
      <w:r>
        <w:rPr>
          <w:rFonts w:hint="eastAsia" w:ascii="仿宋_GB2312" w:hAnsi="Times New Roman" w:eastAsia="仿宋_GB2312" w:cs="Times New Roman"/>
          <w:b w:val="0"/>
          <w:bCs w:val="0"/>
          <w:kern w:val="2"/>
          <w:sz w:val="32"/>
          <w:szCs w:val="32"/>
          <w:highlight w:val="none"/>
          <w:lang w:val="en-US" w:eastAsia="zh-CN" w:bidi="ar-SA"/>
        </w:rPr>
        <w:t>2.评价结论</w:t>
      </w:r>
      <w:bookmarkEnd w:id="9"/>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运用绩效评价组制定的评价指标体系以及财政部《项目支出绩效评价管理办法》（财预〔2020〕10号）文件的评分标准，通过数据采集、问卷调查及访谈等方式，对本项目进行客观评价，最终评分结果：总得分为 99.39分，属于“优”。其中，项目决策类指标权重为20分，得分为 20分，得分率为 100%。项目过程类指标权重为20分，得分为19.39分，得分率为 96.95%。项目产出类指标权重为40分，得分为40分，得分率为 100%。项目效益类指标权重为20分，得分为20分，得分率为100%。</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（二）相关评分表</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具体打分情况详见：附件1综合评分表。</w:t>
      </w:r>
    </w:p>
    <w:p>
      <w:pPr>
        <w:pageBreakBefore w:val="0"/>
        <w:kinsoku/>
        <w:wordWrap/>
        <w:overflowPunct/>
        <w:topLinePunct w:val="0"/>
        <w:autoSpaceDE/>
        <w:autoSpaceDN/>
        <w:bidi w:val="0"/>
        <w:adjustRightInd/>
        <w:snapToGrid/>
        <w:spacing w:line="560" w:lineRule="exact"/>
        <w:ind w:firstLine="2560" w:firstLineChars="800"/>
        <w:textAlignment w:val="auto"/>
        <w:rPr>
          <w:rFonts w:hint="eastAsia" w:ascii="Times New Roman" w:hAnsi="Times New Roman" w:eastAsia="仿宋_GB2312"/>
          <w:b w:val="0"/>
          <w:bCs w:val="0"/>
        </w:rPr>
      </w:pPr>
      <w:r>
        <w:rPr>
          <w:rFonts w:hint="eastAsia" w:ascii="仿宋_GB2312" w:hAnsi="Times New Roman" w:eastAsia="仿宋_GB2312" w:cs="Times New Roman"/>
          <w:b w:val="0"/>
          <w:bCs w:val="0"/>
          <w:kern w:val="2"/>
          <w:sz w:val="32"/>
          <w:szCs w:val="32"/>
          <w:highlight w:val="none"/>
          <w:lang w:val="en-US" w:eastAsia="zh-CN" w:bidi="ar-SA"/>
        </w:rPr>
        <w:t>为民办实事项目评价得分情况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19.39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99.39</w:t>
            </w:r>
          </w:p>
        </w:tc>
      </w:tr>
    </w:tbl>
    <w:p>
      <w:pPr>
        <w:pStyle w:val="11"/>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highlight w:val="none"/>
        </w:rPr>
      </w:pPr>
      <w:bookmarkStart w:id="10" w:name="_Toc68703837"/>
      <w:r>
        <w:rPr>
          <w:rFonts w:hint="eastAsia" w:ascii="宋体" w:hAnsi="宋体" w:eastAsia="宋体"/>
          <w:sz w:val="32"/>
          <w:szCs w:val="32"/>
          <w:highlight w:val="none"/>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rPr>
        <w:t>1</w:t>
      </w:r>
      <w:r>
        <w:rPr>
          <w:rFonts w:hint="eastAsia" w:ascii="仿宋_GB2312" w:hAnsi="Times New Roman" w:eastAsia="仿宋_GB2312" w:cs="Times New Roman"/>
          <w:b w:val="0"/>
          <w:bCs w:val="0"/>
          <w:kern w:val="2"/>
          <w:sz w:val="32"/>
          <w:szCs w:val="32"/>
          <w:highlight w:val="none"/>
          <w:lang w:val="en-US" w:eastAsia="zh-CN" w:bidi="ar-SA"/>
        </w:rPr>
        <w:t>.立项依据充分性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该项目依据《自治区为民办实事工作经费使用管理办法（试行）》属于公共财政支持范围，符合中央、地方事权支出责任划分原则；该项目符合驻村和驻社区规划和政策要求，属于部门履行所需，与相关部门同类项目或部门内部相关项目不存在重复</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 xml:space="preserve"> 此项权重分4分，得分4分。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2.立项程序规范性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为民办实事项目申请、设立过程符合相关要求，</w:t>
      </w:r>
      <w:r>
        <w:rPr>
          <w:rFonts w:hint="eastAsia" w:ascii="仿宋_GB2312" w:hAnsi="Times New Roman" w:eastAsia="仿宋_GB2312" w:cs="Times New Roman"/>
          <w:b w:val="0"/>
          <w:bCs w:val="0"/>
          <w:kern w:val="2"/>
          <w:sz w:val="32"/>
          <w:szCs w:val="32"/>
          <w:highlight w:val="none"/>
          <w:lang w:val="en-US" w:eastAsia="zh-Hans" w:bidi="ar-SA"/>
        </w:rPr>
        <w:t>严格按照审批流程准备符合要求的文件、材料；</w:t>
      </w:r>
      <w:r>
        <w:rPr>
          <w:rFonts w:hint="eastAsia" w:ascii="仿宋_GB2312" w:hAnsi="Times New Roman" w:eastAsia="仿宋_GB2312" w:cs="Times New Roman"/>
          <w:b w:val="0"/>
          <w:bCs w:val="0"/>
          <w:kern w:val="2"/>
          <w:sz w:val="32"/>
          <w:szCs w:val="32"/>
          <w:highlight w:val="none"/>
          <w:lang w:val="en-US" w:eastAsia="zh-CN" w:bidi="ar-SA"/>
        </w:rPr>
        <w:t>根据决算依据编制工作计划肯经费预算，经过与部门项目分管领导沟通、筛选确定经费预算计划，确定最终预算方案。项目的审批文件、材料符合相关要求，项目事前经过必要的研究、风险评估、绩效评估、集体决策，保障了程序的规范性。</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3.绩效目标合理性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为民办实事项目设立了年初绩效目标，与实际工作内容相符合，具有相关性，项目的预期产出效益与效果均符合实际工作中的工作量，达到正常的业绩水平。项目绩效目标与项目投资相匹配。</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4.绩效指标明确性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bookmarkStart w:id="12" w:name="_Hlk68699917"/>
      <w:r>
        <w:rPr>
          <w:rFonts w:hint="eastAsia" w:ascii="仿宋_GB2312" w:hAnsi="Times New Roman" w:eastAsia="仿宋_GB2312" w:cs="Times New Roman"/>
          <w:b w:val="0"/>
          <w:bCs w:val="0"/>
          <w:kern w:val="2"/>
          <w:sz w:val="32"/>
          <w:szCs w:val="32"/>
          <w:highlight w:val="none"/>
          <w:lang w:val="en-US" w:eastAsia="zh-CN" w:bidi="ar-SA"/>
        </w:rPr>
        <w:t>为民办实事项目将项目绩效目标细化分解为具体的绩效指标，一级指标共4条，二级指标共6条，三级指标共8条，其中量化指标条数共7条，所有绩效指标均通过清晰、可衡量的指标值予以体现，并且做到了与项目目标任务数或计划数相对应。</w:t>
      </w:r>
      <w:bookmarkEnd w:id="12"/>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5.预算编制科学性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为民办实事项目预算编制经过与项目负责人多次沟通，根据工作任务及职责制定工作计划，对项目进行充分测算，设定项目支出绩效目标，严格按照预算绩效支出管理规定进行预算编制，预算确定的项目资金量与实际工作任务相符合，预算编制符合科学性、合理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6.资金分配合理性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为民办实事经费项目预算资金分配按照下达的指标额度和《中华人民共和国预算法》进行编制，分配依据充分。资金金分配额度合理，与项目实际发生工作内容相符合。</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bookmarkStart w:id="13" w:name="_Toc68703839"/>
      <w:r>
        <w:rPr>
          <w:rFonts w:hint="eastAsia" w:ascii="仿宋_GB2312" w:hAnsi="Times New Roman" w:eastAsia="仿宋_GB2312" w:cs="Times New Roman"/>
          <w:b w:val="0"/>
          <w:bCs w:val="0"/>
          <w:kern w:val="2"/>
          <w:sz w:val="32"/>
          <w:szCs w:val="32"/>
          <w:highlight w:val="none"/>
          <w:lang w:val="en-US" w:eastAsia="zh-CN" w:bidi="ar-SA"/>
        </w:rPr>
        <w:t>（二）项目过程情况。</w:t>
      </w:r>
      <w:bookmarkEnd w:id="13"/>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1.资金到位率：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预算资金20.58万元，实际到位资金20.58万元，资金到位率100%。</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2.预算执行率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年初预算数20.58万元，全年预算数20.58万元，全年执行数17.46万元，预算执行率为84.84%。</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此项权重分4分，得分3.39分。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3.资金使用合规性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资金使用流程严格按照资金审批制度进行，由单位召开“三重一大”会议研究决定，经会议通过后，由负责财务的领导进行审批方可支付。资金使用符合该项目的立项批复。资金不存在截留、挤占、挪用、虚列支出等情况。</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4.管理制度健全性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中心制定了《巴州妇幼保健计划生育服务中心财务管理制度》、《巴州妇幼保健计划生育服务中心内部控制管理制度》，严格按照《会计法》、《预算法》等法律法规制度执行。对财政资金进行严格管理，做到专款专用，项目资金使用符合相关的财务管理制度规定，能够反映和考核项目资金的规范运行情况。财务和业务管理制度健全，能够反映和考核财务和业务管理制度对项目顺利实施的保障情况。</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5.制度执行有效性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巴州妇幼保健计划生育服务中心严格履行项目监管职责，对资金使用的合法合规性进行监督，年末对资金使用效果进行评价。项目落实到人，项目严格按照相关法律法规、相关管理规定和实施方案实施，无调整或支出调整，项目合同书、验收报告、项目总结等资料齐全并及时归档</w:t>
      </w:r>
      <w:r>
        <w:rPr>
          <w:rFonts w:hint="eastAsia" w:ascii="仿宋_GB2312" w:cs="Times New Roman"/>
          <w:b w:val="0"/>
          <w:bCs w:val="0"/>
          <w:kern w:val="2"/>
          <w:sz w:val="32"/>
          <w:szCs w:val="32"/>
          <w:highlight w:val="none"/>
          <w:lang w:val="en-US" w:eastAsia="zh-CN" w:bidi="ar-SA"/>
        </w:rPr>
        <w:t>；在项目实施过程中的人员条件、场地设施落实到位</w:t>
      </w:r>
      <w:r>
        <w:rPr>
          <w:rFonts w:hint="eastAsia" w:ascii="仿宋_GB2312" w:hAnsi="Times New Roman" w:eastAsia="仿宋_GB2312" w:cs="Times New Roman"/>
          <w:b w:val="0"/>
          <w:bCs w:val="0"/>
          <w:kern w:val="2"/>
          <w:sz w:val="32"/>
          <w:szCs w:val="32"/>
          <w:highlight w:val="none"/>
          <w:lang w:val="en-US" w:eastAsia="zh-CN" w:bidi="ar-SA"/>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bookmarkStart w:id="14" w:name="_Toc68703840"/>
      <w:r>
        <w:rPr>
          <w:rFonts w:hint="eastAsia" w:ascii="仿宋_GB2312" w:hAnsi="Times New Roman" w:eastAsia="仿宋_GB2312" w:cs="Times New Roman"/>
          <w:b w:val="0"/>
          <w:bCs w:val="0"/>
          <w:kern w:val="2"/>
          <w:sz w:val="32"/>
          <w:szCs w:val="32"/>
          <w:highlight w:val="none"/>
          <w:lang w:val="en-US" w:eastAsia="zh-CN" w:bidi="ar-SA"/>
        </w:rPr>
        <w:t>（三）项目产出情况。</w:t>
      </w:r>
      <w:bookmarkEnd w:id="14"/>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数量指标完成情况：指标1：工作队数量，指标值=1个，实际完成值1个，指标完成率100%；指标2：担任第一书记，指标值：=1人，实际完成值1人，指标完成率100%。</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质量指标完成情况：指标1：资金到位及时率，指标值：=100%，实际完成值=100%，指标完成率100%。</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时效指标完成情况：指标1：资金支付及时率，指标值：=100%，实际完成值=100%，指标完成率100%。</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经济成本指标完成情况：指标1：担任第一书记经费，指标值：≤2万元，实际完成值2万元，指标完成率100%；指标2：为民办实事经费，指标值：≤18.58万元，实际完成值15.46万元，指标完成率83.21%。偏差原因：为民办实事经费凉亭改造年初预算金额较大，在实施过程中经过在此询价，选择报价低的供应商进行实施，使资金节约。</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此项权重分10分，得分10分。</w:t>
      </w:r>
      <w:bookmarkStart w:id="15" w:name="_Toc68703841"/>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（四）项目效益情况。</w:t>
      </w:r>
      <w:bookmarkEnd w:id="15"/>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1.经济效益指标完成情况：指标1：居民幸福感，指标值：明显提高，实际完成值，达成目标，指标完成率100%。</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满意度指标完成情况分析：指标1：辖区居民满意度，指标值：≥95%，实际完成值97.22%，指标完成率102.34%。偏差原因：年初设定指标值偏低，经过问卷调查实际发生97.22%，故出现偏差。</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此项权重分10分，得分10分。</w:t>
      </w:r>
    </w:p>
    <w:p>
      <w:pPr>
        <w:spacing w:line="560" w:lineRule="exact"/>
        <w:ind w:firstLine="643" w:firstLineChars="200"/>
        <w:rPr>
          <w:rFonts w:hint="eastAsia" w:ascii="宋体" w:hAnsi="宋体" w:eastAsia="宋体" w:cs="Times New Roman"/>
          <w:b/>
          <w:bCs/>
          <w:kern w:val="44"/>
          <w:sz w:val="32"/>
          <w:szCs w:val="32"/>
          <w:lang w:val="en-US" w:eastAsia="zh-Hans" w:bidi="ar-SA"/>
        </w:rPr>
      </w:pPr>
      <w:bookmarkStart w:id="16" w:name="_Toc68703842"/>
      <w:r>
        <w:rPr>
          <w:rFonts w:hint="eastAsia" w:ascii="宋体" w:hAnsi="宋体" w:eastAsia="宋体" w:cs="Times New Roman"/>
          <w:b/>
          <w:bCs/>
          <w:kern w:val="44"/>
          <w:sz w:val="32"/>
          <w:szCs w:val="32"/>
          <w:lang w:val="en-US" w:eastAsia="zh-Hans" w:bidi="ar-SA"/>
        </w:rPr>
        <w:t>五、预算执行进度与绩效指标总体完成率偏差</w:t>
      </w:r>
    </w:p>
    <w:p>
      <w:pPr>
        <w:spacing w:line="560" w:lineRule="exact"/>
        <w:ind w:firstLine="640" w:firstLineChars="200"/>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为</w:t>
      </w:r>
      <w:r>
        <w:rPr>
          <w:rFonts w:hint="eastAsia" w:ascii="仿宋_GB2312" w:hAnsi="Times New Roman" w:eastAsia="仿宋_GB2312" w:cs="Times New Roman"/>
          <w:b w:val="0"/>
          <w:bCs w:val="0"/>
          <w:kern w:val="2"/>
          <w:sz w:val="32"/>
          <w:szCs w:val="32"/>
          <w:highlight w:val="none"/>
          <w:lang w:val="en-US" w:eastAsia="zh-CN" w:bidi="ar-SA"/>
        </w:rPr>
        <w:t>民办实事经费项目年初预算20.58万元，全年预算20.58万元，实际支出17.46万元，预算执行率为84.84%，项目绩效指标总体完成率为98.19%，</w:t>
      </w:r>
      <w:r>
        <w:rPr>
          <w:rFonts w:hint="eastAsia" w:ascii="仿宋_GB2312" w:hAnsi="Times New Roman" w:eastAsia="仿宋_GB2312" w:cs="Times New Roman"/>
          <w:b w:val="0"/>
          <w:bCs w:val="0"/>
          <w:kern w:val="2"/>
          <w:sz w:val="32"/>
          <w:szCs w:val="32"/>
          <w:highlight w:val="none"/>
          <w:lang w:val="en-US" w:eastAsia="zh-Hans" w:bidi="ar-SA"/>
        </w:rPr>
        <w:t>总体</w:t>
      </w:r>
      <w:r>
        <w:rPr>
          <w:rFonts w:hint="eastAsia" w:ascii="仿宋_GB2312" w:hAnsi="Times New Roman" w:eastAsia="仿宋_GB2312" w:cs="Times New Roman"/>
          <w:b w:val="0"/>
          <w:bCs w:val="0"/>
          <w:kern w:val="2"/>
          <w:sz w:val="32"/>
          <w:szCs w:val="32"/>
          <w:highlight w:val="none"/>
          <w:lang w:val="en-US" w:eastAsia="zh-CN" w:bidi="ar-SA"/>
        </w:rPr>
        <w:t>偏差率为13.35%,</w:t>
      </w:r>
      <w:r>
        <w:rPr>
          <w:rFonts w:hint="eastAsia" w:ascii="仿宋_GB2312" w:hAnsi="Times New Roman" w:eastAsia="仿宋_GB2312" w:cs="Times New Roman"/>
          <w:b w:val="0"/>
          <w:bCs w:val="0"/>
          <w:kern w:val="2"/>
          <w:sz w:val="32"/>
          <w:szCs w:val="32"/>
          <w:highlight w:val="none"/>
          <w:lang w:val="en-US" w:eastAsia="zh-Hans" w:bidi="ar-SA"/>
        </w:rPr>
        <w:t>偏差</w:t>
      </w:r>
      <w:r>
        <w:rPr>
          <w:rFonts w:hint="eastAsia" w:ascii="仿宋_GB2312" w:hAnsi="Times New Roman" w:eastAsia="仿宋_GB2312" w:cs="Times New Roman"/>
          <w:b w:val="0"/>
          <w:bCs w:val="0"/>
          <w:kern w:val="2"/>
          <w:sz w:val="32"/>
          <w:szCs w:val="32"/>
          <w:highlight w:val="none"/>
          <w:lang w:val="en-US" w:eastAsia="zh-CN" w:bidi="ar-SA"/>
        </w:rPr>
        <w:t>原因：为民办实事经费指标年初预算金额较大，在实施过程中经过在此询价，选择报价低的供应商进行实施，是资金节约。</w:t>
      </w:r>
      <w:r>
        <w:rPr>
          <w:rFonts w:hint="eastAsia" w:ascii="仿宋_GB2312" w:hAnsi="Times New Roman" w:eastAsia="仿宋_GB2312" w:cs="Times New Roman"/>
          <w:b w:val="0"/>
          <w:bCs w:val="0"/>
          <w:kern w:val="2"/>
          <w:sz w:val="32"/>
          <w:szCs w:val="32"/>
          <w:highlight w:val="none"/>
          <w:lang w:val="en-US" w:eastAsia="zh-Hans" w:bidi="ar-SA"/>
        </w:rPr>
        <w:t>改进</w:t>
      </w:r>
      <w:r>
        <w:rPr>
          <w:rFonts w:hint="eastAsia" w:ascii="仿宋_GB2312" w:hAnsi="Times New Roman" w:eastAsia="仿宋_GB2312" w:cs="Times New Roman"/>
          <w:b w:val="0"/>
          <w:bCs w:val="0"/>
          <w:kern w:val="2"/>
          <w:sz w:val="32"/>
          <w:szCs w:val="32"/>
          <w:highlight w:val="none"/>
          <w:lang w:val="en-US" w:eastAsia="zh-CN" w:bidi="ar-SA"/>
        </w:rPr>
        <w:t>措施：今后预算做到精细化指标设置。</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bookmarkStart w:id="17" w:name="_Toc68703843"/>
      <w:r>
        <w:rPr>
          <w:rFonts w:hint="eastAsia" w:ascii="仿宋_GB2312" w:hAnsi="Times New Roman" w:eastAsia="仿宋_GB2312" w:cs="Times New Roman"/>
          <w:b w:val="0"/>
          <w:bCs w:val="0"/>
          <w:kern w:val="2"/>
          <w:sz w:val="32"/>
          <w:szCs w:val="32"/>
          <w:highlight w:val="none"/>
          <w:lang w:val="en-US" w:eastAsia="zh-CN" w:bidi="ar-SA"/>
        </w:rPr>
        <w:t>（一）主要经验及做法</w:t>
      </w:r>
      <w:bookmarkEnd w:id="17"/>
    </w:p>
    <w:p>
      <w:pPr>
        <w:spacing w:line="560" w:lineRule="exact"/>
        <w:ind w:firstLine="640" w:firstLineChars="200"/>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bookmarkStart w:id="18" w:name="_Toc68703844"/>
      <w:r>
        <w:rPr>
          <w:rFonts w:hint="eastAsia" w:ascii="仿宋_GB2312" w:hAnsi="Times New Roman" w:eastAsia="仿宋_GB2312" w:cs="Times New Roman"/>
          <w:b w:val="0"/>
          <w:bCs w:val="0"/>
          <w:kern w:val="2"/>
          <w:sz w:val="32"/>
          <w:szCs w:val="32"/>
          <w:highlight w:val="none"/>
          <w:lang w:val="en-US" w:eastAsia="zh-CN" w:bidi="ar-SA"/>
        </w:rPr>
        <w:t>（二）存在的问题及原因分析</w:t>
      </w:r>
      <w:bookmarkEnd w:id="18"/>
    </w:p>
    <w:p>
      <w:pPr>
        <w:shd w:val="clear"/>
        <w:spacing w:line="600" w:lineRule="exact"/>
        <w:ind w:firstLine="640" w:firstLineChars="200"/>
        <w:outlineLvl w:val="0"/>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bookmarkStart w:id="19" w:name="_Toc68703845"/>
      <w:r>
        <w:rPr>
          <w:rFonts w:hint="eastAsia" w:ascii="仿宋_GB2312" w:hAnsi="Times New Roman" w:eastAsia="仿宋_GB2312" w:cs="Times New Roman"/>
          <w:b w:val="0"/>
          <w:bCs w:val="0"/>
          <w:kern w:val="2"/>
          <w:sz w:val="32"/>
          <w:szCs w:val="32"/>
          <w:highlight w:val="none"/>
          <w:lang w:val="en-US" w:eastAsia="zh-CN" w:bidi="ar-SA"/>
        </w:rPr>
        <w:t>七、有关建议</w:t>
      </w:r>
      <w:bookmarkEnd w:id="19"/>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Times New Roman" w:eastAsia="仿宋_GB2312" w:cs="Times New Roman"/>
          <w:b w:val="0"/>
          <w:bCs w:val="0"/>
          <w:kern w:val="2"/>
          <w:sz w:val="32"/>
          <w:szCs w:val="32"/>
          <w:highlight w:val="none"/>
          <w:lang w:val="en-US" w:eastAsia="zh-CN" w:bidi="ar-SA"/>
        </w:rPr>
        <w:t>针对存在的问题中心应积极开展绩效管理方面知识的工培训，进一步提升我单位绩效管理工作业务水平，扎实做好绩效管理工作。进一步加强对绩效管理工作的组织领导，提高对预算绩效管理工作的认识，总结经验查找问题，制定更完善的绩效评价管理办法。加大全中心对绩效管理工作的学习力度，让“花钱必问效，无效必问责”的理念深入工作每个环节。</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pPr>
        <w:pStyle w:val="12"/>
        <w:spacing w:after="0" w:line="560" w:lineRule="exact"/>
        <w:ind w:left="0" w:leftChars="0" w:firstLine="640" w:firstLineChars="200"/>
        <w:rPr>
          <w:rFonts w:ascii="仿宋_GB2312" w:hAnsi="仿宋_GB2312" w:eastAsia="仿宋_GB2312" w:cs="仿宋_GB2312"/>
          <w:sz w:val="32"/>
          <w:szCs w:val="32"/>
        </w:rPr>
      </w:pPr>
      <w:r>
        <w:rPr>
          <w:rFonts w:hint="eastAsia" w:ascii="仿宋_GB2312" w:hAnsi="Times New Roman" w:eastAsia="仿宋_GB2312" w:cs="Times New Roman"/>
          <w:b w:val="0"/>
          <w:bCs w:val="0"/>
          <w:kern w:val="2"/>
          <w:sz w:val="32"/>
          <w:szCs w:val="32"/>
          <w:highlight w:val="none"/>
          <w:lang w:val="en-US" w:eastAsia="zh-Hans" w:bidi="ar-SA"/>
        </w:rPr>
        <w:t>本项目无其他需说明的问题</w:t>
      </w:r>
      <w:r>
        <w:rPr>
          <w:rFonts w:hint="eastAsia" w:ascii="仿宋_GB2312" w:hAnsi="仿宋_GB2312" w:eastAsia="仿宋_GB2312" w:cs="仿宋_GB2312"/>
          <w:sz w:val="32"/>
          <w:szCs w:val="32"/>
          <w:lang w:eastAsia="zh-Hans"/>
        </w:rPr>
        <w:t>。</w:t>
      </w:r>
    </w:p>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U1MTUwMDgxZTFhY2E2ZTMyNDYxZjJhN2U3ZGVlYjM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C612D3"/>
    <w:rsid w:val="021A5A59"/>
    <w:rsid w:val="02563DD8"/>
    <w:rsid w:val="031A7868"/>
    <w:rsid w:val="0381212E"/>
    <w:rsid w:val="038A1BDD"/>
    <w:rsid w:val="04995C89"/>
    <w:rsid w:val="05227DA5"/>
    <w:rsid w:val="05BA1E72"/>
    <w:rsid w:val="07AF7287"/>
    <w:rsid w:val="08067C59"/>
    <w:rsid w:val="08B57616"/>
    <w:rsid w:val="08D20D13"/>
    <w:rsid w:val="08EB2BBB"/>
    <w:rsid w:val="08F46CBF"/>
    <w:rsid w:val="09C56195"/>
    <w:rsid w:val="0B662B0C"/>
    <w:rsid w:val="0B911F88"/>
    <w:rsid w:val="0C022197"/>
    <w:rsid w:val="0C4D0F1B"/>
    <w:rsid w:val="0CB033E0"/>
    <w:rsid w:val="0D25204F"/>
    <w:rsid w:val="0D6F28BC"/>
    <w:rsid w:val="0D8A2DF8"/>
    <w:rsid w:val="0F2A6BF7"/>
    <w:rsid w:val="0F5848BD"/>
    <w:rsid w:val="0FD91476"/>
    <w:rsid w:val="0FE1351C"/>
    <w:rsid w:val="10081D84"/>
    <w:rsid w:val="10731F05"/>
    <w:rsid w:val="107C63BF"/>
    <w:rsid w:val="1140695B"/>
    <w:rsid w:val="123A2E8F"/>
    <w:rsid w:val="124D0A20"/>
    <w:rsid w:val="135E3453"/>
    <w:rsid w:val="138C2C9D"/>
    <w:rsid w:val="13C91AB4"/>
    <w:rsid w:val="15B44C2C"/>
    <w:rsid w:val="165F3F8F"/>
    <w:rsid w:val="16BE50DE"/>
    <w:rsid w:val="18485CF6"/>
    <w:rsid w:val="18641D26"/>
    <w:rsid w:val="1B4C021F"/>
    <w:rsid w:val="1B5E008E"/>
    <w:rsid w:val="1C037E84"/>
    <w:rsid w:val="1CED019C"/>
    <w:rsid w:val="1D723F37"/>
    <w:rsid w:val="1D785367"/>
    <w:rsid w:val="1DBB4506"/>
    <w:rsid w:val="1E225C80"/>
    <w:rsid w:val="1E3840ED"/>
    <w:rsid w:val="1EA06DEB"/>
    <w:rsid w:val="1FEE01FE"/>
    <w:rsid w:val="20876981"/>
    <w:rsid w:val="20A5738B"/>
    <w:rsid w:val="228F396E"/>
    <w:rsid w:val="22C44AF2"/>
    <w:rsid w:val="22E17047"/>
    <w:rsid w:val="22F965F8"/>
    <w:rsid w:val="24677011"/>
    <w:rsid w:val="24994BE3"/>
    <w:rsid w:val="26435EE1"/>
    <w:rsid w:val="27B25550"/>
    <w:rsid w:val="28CC3115"/>
    <w:rsid w:val="2B382359"/>
    <w:rsid w:val="2D2D0731"/>
    <w:rsid w:val="2E6A2F0C"/>
    <w:rsid w:val="2E7A611D"/>
    <w:rsid w:val="2F386F3F"/>
    <w:rsid w:val="2F681955"/>
    <w:rsid w:val="2FED0C50"/>
    <w:rsid w:val="32156399"/>
    <w:rsid w:val="322A389E"/>
    <w:rsid w:val="327F1EE7"/>
    <w:rsid w:val="32AE0DEC"/>
    <w:rsid w:val="32C539AB"/>
    <w:rsid w:val="34F96B2D"/>
    <w:rsid w:val="35147855"/>
    <w:rsid w:val="352E609B"/>
    <w:rsid w:val="36B72533"/>
    <w:rsid w:val="371D1967"/>
    <w:rsid w:val="37227431"/>
    <w:rsid w:val="38697F39"/>
    <w:rsid w:val="38E07AFA"/>
    <w:rsid w:val="392C0D5C"/>
    <w:rsid w:val="3C7B2567"/>
    <w:rsid w:val="3CD817E2"/>
    <w:rsid w:val="3DF71C39"/>
    <w:rsid w:val="4057649F"/>
    <w:rsid w:val="410F5B71"/>
    <w:rsid w:val="41195996"/>
    <w:rsid w:val="41F42EF0"/>
    <w:rsid w:val="42206C63"/>
    <w:rsid w:val="43182414"/>
    <w:rsid w:val="432D4D48"/>
    <w:rsid w:val="434C71F8"/>
    <w:rsid w:val="46507BB3"/>
    <w:rsid w:val="47AC7A06"/>
    <w:rsid w:val="48C95886"/>
    <w:rsid w:val="4A7C25BE"/>
    <w:rsid w:val="4AA52236"/>
    <w:rsid w:val="4B5D29D7"/>
    <w:rsid w:val="4BD71D7A"/>
    <w:rsid w:val="4BEF2CA4"/>
    <w:rsid w:val="4C22332E"/>
    <w:rsid w:val="4C7F587A"/>
    <w:rsid w:val="4C8359CF"/>
    <w:rsid w:val="4CE47801"/>
    <w:rsid w:val="4CF37A16"/>
    <w:rsid w:val="4D7143B0"/>
    <w:rsid w:val="4E280DDD"/>
    <w:rsid w:val="4F5714F6"/>
    <w:rsid w:val="4F7C2192"/>
    <w:rsid w:val="50584CED"/>
    <w:rsid w:val="53671EA4"/>
    <w:rsid w:val="53BA08CF"/>
    <w:rsid w:val="56796849"/>
    <w:rsid w:val="573C7187"/>
    <w:rsid w:val="578D5FFC"/>
    <w:rsid w:val="595C4E02"/>
    <w:rsid w:val="5A057033"/>
    <w:rsid w:val="5A0667C2"/>
    <w:rsid w:val="5A595FFC"/>
    <w:rsid w:val="5A6B64E6"/>
    <w:rsid w:val="5B59032B"/>
    <w:rsid w:val="5BA5315B"/>
    <w:rsid w:val="5BDE63C8"/>
    <w:rsid w:val="5C310696"/>
    <w:rsid w:val="5DA95371"/>
    <w:rsid w:val="5E982635"/>
    <w:rsid w:val="5EB400EF"/>
    <w:rsid w:val="5ED45F93"/>
    <w:rsid w:val="5F351942"/>
    <w:rsid w:val="606D4EC2"/>
    <w:rsid w:val="61E359FA"/>
    <w:rsid w:val="623600B0"/>
    <w:rsid w:val="6293054C"/>
    <w:rsid w:val="641636FC"/>
    <w:rsid w:val="642F5EF5"/>
    <w:rsid w:val="644F0FB6"/>
    <w:rsid w:val="65694370"/>
    <w:rsid w:val="689E1934"/>
    <w:rsid w:val="68E80122"/>
    <w:rsid w:val="68F11999"/>
    <w:rsid w:val="6B9353C6"/>
    <w:rsid w:val="6E6F506F"/>
    <w:rsid w:val="6FE63087"/>
    <w:rsid w:val="7034013A"/>
    <w:rsid w:val="70840486"/>
    <w:rsid w:val="708B58B2"/>
    <w:rsid w:val="70A976F7"/>
    <w:rsid w:val="71450A3C"/>
    <w:rsid w:val="72232C43"/>
    <w:rsid w:val="750D18B7"/>
    <w:rsid w:val="75DC0C7A"/>
    <w:rsid w:val="763A0251"/>
    <w:rsid w:val="77E056E5"/>
    <w:rsid w:val="784E544B"/>
    <w:rsid w:val="7985317C"/>
    <w:rsid w:val="79E05D70"/>
    <w:rsid w:val="7ADC79C1"/>
    <w:rsid w:val="7B1C1B7F"/>
    <w:rsid w:val="7B622910"/>
    <w:rsid w:val="7D130CC2"/>
    <w:rsid w:val="7D56262E"/>
    <w:rsid w:val="7EBA20F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5">
    <w:name w:val="annotation text"/>
    <w:basedOn w:val="1"/>
    <w:qFormat/>
    <w:uiPriority w:val="0"/>
    <w:pPr>
      <w:jc w:val="left"/>
    </w:pPr>
  </w:style>
  <w:style w:type="paragraph" w:styleId="6">
    <w:name w:val="Body Text Indent"/>
    <w:basedOn w:val="1"/>
    <w:qFormat/>
    <w:uiPriority w:val="0"/>
    <w:pPr>
      <w:spacing w:after="120"/>
      <w:ind w:left="420" w:leftChars="200"/>
    </w:pPr>
    <w:rPr>
      <w:rFonts w:ascii="Calibri" w:hAnsi="Calibri"/>
    </w:rPr>
  </w:style>
  <w:style w:type="paragraph" w:styleId="7">
    <w:name w:val="footer"/>
    <w:basedOn w:val="1"/>
    <w:link w:val="20"/>
    <w:semiHidden/>
    <w:unhideWhenUsed/>
    <w:qFormat/>
    <w:uiPriority w:val="99"/>
    <w:pPr>
      <w:tabs>
        <w:tab w:val="center" w:pos="4153"/>
        <w:tab w:val="right" w:pos="8306"/>
      </w:tabs>
      <w:snapToGrid w:val="0"/>
      <w:jc w:val="left"/>
    </w:pPr>
    <w:rPr>
      <w:sz w:val="18"/>
      <w:szCs w:val="18"/>
    </w:rPr>
  </w:style>
  <w:style w:type="paragraph" w:styleId="8">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ody Text First Indent 2"/>
    <w:basedOn w:val="6"/>
    <w:qFormat/>
    <w:uiPriority w:val="0"/>
    <w:pPr>
      <w:ind w:firstLine="420" w:firstLineChars="200"/>
    </w:pPr>
  </w:style>
  <w:style w:type="character" w:styleId="15">
    <w:name w:val="Hyperlink"/>
    <w:basedOn w:val="14"/>
    <w:unhideWhenUsed/>
    <w:qFormat/>
    <w:uiPriority w:val="99"/>
    <w:rPr>
      <w:color w:val="0563C1" w:themeColor="hyperlink"/>
      <w:u w:val="single"/>
    </w:rPr>
  </w:style>
  <w:style w:type="character" w:customStyle="1" w:styleId="16">
    <w:name w:val="标题 1 Char"/>
    <w:basedOn w:val="14"/>
    <w:link w:val="3"/>
    <w:qFormat/>
    <w:uiPriority w:val="9"/>
    <w:rPr>
      <w:rFonts w:ascii="Times New Roman" w:hAnsi="Times New Roman" w:eastAsia="仿宋_GB2312" w:cs="Times New Roman"/>
      <w:b/>
      <w:bCs/>
      <w:kern w:val="44"/>
      <w:sz w:val="44"/>
      <w:szCs w:val="44"/>
    </w:rPr>
  </w:style>
  <w:style w:type="character" w:customStyle="1" w:styleId="17">
    <w:name w:val="标题 2 Char"/>
    <w:basedOn w:val="14"/>
    <w:link w:val="4"/>
    <w:qFormat/>
    <w:uiPriority w:val="9"/>
    <w:rPr>
      <w:rFonts w:asciiTheme="majorHAnsi" w:hAnsiTheme="majorHAnsi" w:eastAsiaTheme="majorEastAsia" w:cstheme="majorBidi"/>
      <w:b/>
      <w:bCs/>
      <w:sz w:val="32"/>
      <w:szCs w:val="32"/>
    </w:rPr>
  </w:style>
  <w:style w:type="paragraph" w:customStyle="1" w:styleId="18">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9">
    <w:name w:val="页眉 Char"/>
    <w:basedOn w:val="14"/>
    <w:link w:val="8"/>
    <w:semiHidden/>
    <w:qFormat/>
    <w:uiPriority w:val="99"/>
    <w:rPr>
      <w:rFonts w:ascii="Times New Roman" w:hAnsi="Times New Roman" w:eastAsia="仿宋_GB2312" w:cs="Times New Roman"/>
      <w:sz w:val="18"/>
      <w:szCs w:val="18"/>
    </w:rPr>
  </w:style>
  <w:style w:type="character" w:customStyle="1" w:styleId="20">
    <w:name w:val="页脚 Char"/>
    <w:basedOn w:val="14"/>
    <w:link w:val="7"/>
    <w:semiHidden/>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5042</Words>
  <Characters>5242</Characters>
  <Lines>37</Lines>
  <Paragraphs>10</Paragraphs>
  <TotalTime>96</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cp:lastPrinted>2024-05-09T09:45:00Z</cp:lastPrinted>
  <dcterms:modified xsi:type="dcterms:W3CDTF">2024-05-11T09:19:28Z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