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项目名称：</w:t>
      </w:r>
      <w:r>
        <w:rPr>
          <w:rFonts w:hint="eastAsia" w:ascii="宋体" w:hAnsi="宋体" w:eastAsia="宋体" w:cs="仿宋_GB2312"/>
          <w:b/>
          <w:bCs/>
          <w:color w:val="000000"/>
          <w:kern w:val="0"/>
          <w:sz w:val="32"/>
          <w:szCs w:val="32"/>
          <w:lang w:val="en-US" w:eastAsia="zh-CN"/>
        </w:rPr>
        <w:t>2023年城乡居民基本医疗保险财政补助资金（中央、自治区、自治州）</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val="en-US" w:eastAsia="zh-CN"/>
        </w:rPr>
        <w:t>巴音郭楞蒙古自治州医疗保障局</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val="en-US" w:eastAsia="zh-CN"/>
        </w:rPr>
        <w:t>巴音郭楞蒙古自治州医疗保障局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牛曼玲</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填报时间：202</w:t>
      </w:r>
      <w:r>
        <w:rPr>
          <w:rFonts w:hint="eastAsia" w:ascii="宋体" w:hAnsi="宋体" w:eastAsia="宋体" w:cs="仿宋_GB2312"/>
          <w:b/>
          <w:bCs/>
          <w:color w:val="000000"/>
          <w:kern w:val="0"/>
          <w:sz w:val="32"/>
          <w:szCs w:val="32"/>
          <w:lang w:val="en-US" w:eastAsia="zh-CN"/>
        </w:rPr>
        <w:t>4</w:t>
      </w:r>
      <w:r>
        <w:rPr>
          <w:rFonts w:hint="eastAsia" w:ascii="宋体" w:hAnsi="宋体" w:eastAsia="宋体" w:cs="仿宋_GB2312"/>
          <w:b/>
          <w:bCs/>
          <w:color w:val="000000"/>
          <w:kern w:val="0"/>
          <w:sz w:val="32"/>
          <w:szCs w:val="32"/>
        </w:rPr>
        <w:t>年</w:t>
      </w:r>
      <w:r>
        <w:rPr>
          <w:rFonts w:hint="eastAsia" w:ascii="宋体" w:hAnsi="宋体" w:eastAsia="宋体" w:cs="仿宋_GB2312"/>
          <w:b/>
          <w:bCs/>
          <w:color w:val="000000"/>
          <w:kern w:val="0"/>
          <w:sz w:val="32"/>
          <w:szCs w:val="32"/>
          <w:lang w:val="en-US" w:eastAsia="zh-CN"/>
        </w:rPr>
        <w:t>4</w:t>
      </w:r>
      <w:r>
        <w:rPr>
          <w:rFonts w:hint="eastAsia" w:ascii="宋体" w:hAnsi="宋体" w:eastAsia="宋体" w:cs="仿宋_GB2312"/>
          <w:b/>
          <w:bCs/>
          <w:color w:val="000000"/>
          <w:kern w:val="0"/>
          <w:sz w:val="32"/>
          <w:szCs w:val="32"/>
        </w:rPr>
        <w:t>月</w:t>
      </w:r>
      <w:r>
        <w:rPr>
          <w:rFonts w:hint="eastAsia" w:ascii="宋体" w:hAnsi="宋体" w:eastAsia="宋体" w:cs="仿宋_GB2312"/>
          <w:b/>
          <w:bCs/>
          <w:color w:val="000000"/>
          <w:kern w:val="0"/>
          <w:sz w:val="32"/>
          <w:szCs w:val="32"/>
          <w:lang w:val="en-US" w:eastAsia="zh-CN"/>
        </w:rPr>
        <w:t>29</w:t>
      </w:r>
      <w:r>
        <w:rPr>
          <w:rFonts w:hint="eastAsia" w:ascii="宋体" w:hAnsi="宋体" w:eastAsia="宋体" w:cs="仿宋_GB2312"/>
          <w:b/>
          <w:bCs/>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lang w:val="en-US" w:eastAsia="zh-CN"/>
        </w:rPr>
        <w:t>2023年城乡居民基本医疗保险财政补助资金（中央、自治区、自治州）</w:t>
      </w: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color w:val="000000" w:themeColor="text1"/>
          <w:highlight w:val="none"/>
          <w:lang w:val="en-US" w:eastAsia="zh-CN"/>
          <w14:textFill>
            <w14:solidFill>
              <w14:schemeClr w14:val="tx1"/>
            </w14:solidFill>
          </w14:textFill>
        </w:rPr>
      </w:pPr>
      <w:bookmarkStart w:id="1" w:name="_Toc68703828"/>
      <w:r>
        <w:rPr>
          <w:rFonts w:hint="eastAsia" w:ascii="仿宋_GB2312" w:eastAsia="仿宋_GB2312"/>
          <w:b w:val="0"/>
          <w:bCs w:val="0"/>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highlight w:val="none"/>
          <w:lang w:val="en-US" w:eastAsia="zh-CN"/>
        </w:rPr>
      </w:pPr>
      <w:r>
        <w:rPr>
          <w:rFonts w:hint="eastAsia" w:ascii="仿宋_GB2312"/>
          <w:highlight w:val="none"/>
          <w:lang w:val="en-US" w:eastAsia="zh-CN"/>
        </w:rPr>
        <w:t xml:space="preserve">   </w:t>
      </w:r>
      <w:r>
        <w:rPr>
          <w:rFonts w:hint="eastAsia"/>
          <w:color w:val="000000" w:themeColor="text1"/>
          <w:highlight w:val="none"/>
          <w:lang w:val="en-US" w:eastAsia="zh-CN"/>
          <w14:textFill>
            <w14:solidFill>
              <w14:schemeClr w14:val="tx1"/>
            </w14:solidFill>
          </w14:textFill>
        </w:rPr>
        <w:t>城乡居民医保市我国建立的一项覆盖城乡居民的医疗保障制度，旨在为城乡居民提供基本的医疗保障，而医保财政补助则是支撑城乡居民医保制度运行的重要保障之一。城乡居民基本医疗保险费用筹集实行个人缴费和政府补贴相结合，建立政府和个人合理分担，可持续的筹资动态调整机制。城乡居民基本医疗保险个人缴费和财政缴费统一标准。根据</w:t>
      </w:r>
      <w:r>
        <w:rPr>
          <w:rFonts w:hint="eastAsia" w:ascii="仿宋_GB2312"/>
          <w:highlight w:val="none"/>
          <w:lang w:val="en-US" w:eastAsia="zh-CN"/>
        </w:rPr>
        <w:t>巴财社</w:t>
      </w:r>
      <w:r>
        <w:rPr>
          <w:rFonts w:hint="eastAsia" w:ascii="方正仿宋_GBK" w:hAnsi="方正仿宋_GBK" w:eastAsia="方正仿宋_GBK" w:cs="方正仿宋_GBK"/>
          <w:highlight w:val="none"/>
          <w:lang w:val="en-US" w:eastAsia="zh-CN"/>
        </w:rPr>
        <w:t>〔</w:t>
      </w:r>
      <w:r>
        <w:rPr>
          <w:rFonts w:hint="eastAsia" w:ascii="仿宋_GB2312"/>
          <w:highlight w:val="none"/>
          <w:lang w:val="en-US" w:eastAsia="zh-CN"/>
        </w:rPr>
        <w:t>2022</w:t>
      </w:r>
      <w:r>
        <w:rPr>
          <w:rFonts w:hint="eastAsia" w:ascii="方正仿宋_GBK" w:hAnsi="方正仿宋_GBK" w:eastAsia="方正仿宋_GBK" w:cs="方正仿宋_GBK"/>
          <w:highlight w:val="none"/>
          <w:lang w:val="en-US" w:eastAsia="zh-CN"/>
        </w:rPr>
        <w:t>〕82号关于提前下达2023年城乡居民基本医疗保险中央财政补助资金预算的通知；巴财社〔</w:t>
      </w:r>
      <w:r>
        <w:rPr>
          <w:rFonts w:hint="eastAsia" w:ascii="仿宋_GB2312"/>
          <w:highlight w:val="none"/>
          <w:lang w:val="en-US" w:eastAsia="zh-CN"/>
        </w:rPr>
        <w:t>2022</w:t>
      </w:r>
      <w:r>
        <w:rPr>
          <w:rFonts w:hint="eastAsia" w:ascii="方正仿宋_GBK" w:hAnsi="方正仿宋_GBK" w:eastAsia="方正仿宋_GBK" w:cs="方正仿宋_GBK"/>
          <w:highlight w:val="none"/>
          <w:lang w:val="en-US" w:eastAsia="zh-CN"/>
        </w:rPr>
        <w:t>〕84号关于提前下达2023年自治区财政城乡居民基本医疗保险补助资金预算的通知；</w:t>
      </w:r>
      <w:r>
        <w:rPr>
          <w:rFonts w:hint="eastAsia" w:ascii="仿宋_GB2312"/>
          <w:highlight w:val="none"/>
          <w:lang w:val="en-US" w:eastAsia="zh-CN"/>
        </w:rPr>
        <w:t xml:space="preserve"> 巴财社</w:t>
      </w:r>
      <w:r>
        <w:rPr>
          <w:rFonts w:hint="eastAsia" w:ascii="方正仿宋_GBK" w:hAnsi="方正仿宋_GBK" w:eastAsia="方正仿宋_GBK" w:cs="方正仿宋_GBK"/>
          <w:highlight w:val="none"/>
          <w:lang w:val="en-US" w:eastAsia="zh-CN"/>
        </w:rPr>
        <w:t>〔</w:t>
      </w:r>
      <w:r>
        <w:rPr>
          <w:rFonts w:hint="eastAsia" w:ascii="仿宋_GB2312"/>
          <w:highlight w:val="none"/>
          <w:lang w:val="en-US" w:eastAsia="zh-CN"/>
        </w:rPr>
        <w:t>2023</w:t>
      </w:r>
      <w:r>
        <w:rPr>
          <w:rFonts w:hint="eastAsia" w:ascii="方正仿宋_GBK" w:hAnsi="方正仿宋_GBK" w:eastAsia="方正仿宋_GBK" w:cs="方正仿宋_GBK"/>
          <w:highlight w:val="none"/>
          <w:lang w:val="en-US" w:eastAsia="zh-CN"/>
        </w:rPr>
        <w:t>〕5号关于下达2023年城乡居民基本医疗保险自治州财政补助资金的通知。</w:t>
      </w:r>
      <w:r>
        <w:rPr>
          <w:rFonts w:hint="eastAsia"/>
          <w:color w:val="000000" w:themeColor="text1"/>
          <w:highlight w:val="none"/>
          <w:lang w:val="en-US" w:eastAsia="zh-CN"/>
          <w14:textFill>
            <w14:solidFill>
              <w14:schemeClr w14:val="tx1"/>
            </w14:solidFill>
          </w14:textFill>
        </w:rPr>
        <w:t>2023年度城乡居民基本医疗保险财政补助共计51577万元，目前已全部执行完毕。</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color w:val="000000" w:themeColor="text1"/>
          <w:highlight w:val="none"/>
          <w:lang w:val="en-US" w:eastAsia="zh-CN"/>
          <w14:textFill>
            <w14:solidFill>
              <w14:schemeClr w14:val="tx1"/>
            </w14:solidFill>
          </w14:textFill>
        </w:rPr>
      </w:pPr>
      <w:r>
        <w:rPr>
          <w:rFonts w:hint="eastAsia" w:ascii="仿宋_GB2312"/>
          <w:highlight w:val="none"/>
        </w:rPr>
        <w:t>主要内容：</w:t>
      </w:r>
      <w:r>
        <w:rPr>
          <w:rFonts w:hint="eastAsia" w:ascii="仿宋_GB2312"/>
          <w:highlight w:val="none"/>
          <w:lang w:val="en-US" w:eastAsia="zh-CN"/>
        </w:rPr>
        <w:t>该项目主要用于城乡居民基本医疗保险参保人群，旨在</w:t>
      </w:r>
      <w:r>
        <w:rPr>
          <w:rFonts w:hint="eastAsia"/>
          <w:color w:val="000000" w:themeColor="text1"/>
          <w:highlight w:val="none"/>
          <w:lang w:val="en-US" w:eastAsia="zh-CN"/>
          <w14:textFill>
            <w14:solidFill>
              <w14:schemeClr w14:val="tx1"/>
            </w14:solidFill>
          </w14:textFill>
        </w:rPr>
        <w:t>为城乡居民参保提供基本的医疗保障，保障他们的基本医疗需求，减轻就医经济负担。城乡居民基本医疗保险财政补助是支撑城乡居民医保制度运行的重要保障之一。</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color w:val="FF0000"/>
          <w:highlight w:val="none"/>
        </w:rPr>
      </w:pPr>
      <w:r>
        <w:rPr>
          <w:rFonts w:hint="eastAsia" w:ascii="仿宋_GB2312"/>
          <w:highlight w:val="none"/>
        </w:rPr>
        <w:t>实施情况：</w:t>
      </w:r>
      <w:r>
        <w:rPr>
          <w:rFonts w:hint="eastAsia" w:ascii="仿宋_GB2312"/>
          <w:highlight w:val="none"/>
          <w:lang w:val="en-US" w:eastAsia="zh-CN"/>
        </w:rPr>
        <w:t>该项目主要用于城乡居民基本医疗保险参保人群，旨在</w:t>
      </w:r>
      <w:r>
        <w:rPr>
          <w:rFonts w:hint="eastAsia"/>
          <w:color w:val="000000" w:themeColor="text1"/>
          <w:highlight w:val="none"/>
          <w:lang w:val="en-US" w:eastAsia="zh-CN"/>
          <w14:textFill>
            <w14:solidFill>
              <w14:schemeClr w14:val="tx1"/>
            </w14:solidFill>
          </w14:textFill>
        </w:rPr>
        <w:t>为城乡居民参保提供基本的医疗保障，保障他们的基本医疗需求，减轻就医经济负担。</w:t>
      </w:r>
      <w:r>
        <w:rPr>
          <w:rFonts w:hint="eastAsia" w:ascii="仿宋" w:hAnsi="仿宋" w:eastAsia="仿宋" w:cs="仿宋"/>
          <w:color w:val="auto"/>
          <w:kern w:val="2"/>
          <w:sz w:val="32"/>
          <w:szCs w:val="32"/>
          <w:lang w:val="en-US" w:eastAsia="zh-CN" w:bidi="ar-SA"/>
        </w:rPr>
        <w:t>截止2023</w:t>
      </w:r>
      <w:r>
        <w:rPr>
          <w:rFonts w:hint="eastAsia" w:ascii="仿宋" w:hAnsi="仿宋" w:eastAsia="仿宋" w:cs="仿宋"/>
          <w:color w:val="auto"/>
          <w:kern w:val="2"/>
          <w:sz w:val="32"/>
          <w:szCs w:val="32"/>
          <w:lang w:val="en" w:eastAsia="zh-CN" w:bidi="ar-SA"/>
        </w:rPr>
        <w:t>年</w:t>
      </w:r>
      <w:r>
        <w:rPr>
          <w:rFonts w:hint="eastAsia" w:ascii="仿宋" w:hAnsi="仿宋" w:eastAsia="仿宋" w:cs="仿宋"/>
          <w:color w:val="auto"/>
          <w:kern w:val="2"/>
          <w:sz w:val="32"/>
          <w:szCs w:val="32"/>
          <w:lang w:val="en-US" w:eastAsia="zh-CN" w:bidi="ar-SA"/>
        </w:rPr>
        <w:t>12月31日，2023年度用于我州城乡居民基本医疗保险基金共计执</w:t>
      </w:r>
      <w:r>
        <w:rPr>
          <w:rFonts w:hint="eastAsia" w:ascii="仿宋" w:hAnsi="仿宋" w:eastAsia="仿宋" w:cs="仿宋"/>
          <w:color w:val="auto"/>
          <w:kern w:val="2"/>
          <w:sz w:val="32"/>
          <w:szCs w:val="32"/>
          <w:highlight w:val="none"/>
          <w:lang w:val="en-US" w:eastAsia="zh-CN" w:bidi="ar-SA"/>
        </w:rPr>
        <w:t>行51577万元，执行率为100%。</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pPr>
        <w:pageBreakBefore w:val="0"/>
        <w:kinsoku/>
        <w:wordWrap/>
        <w:overflowPunct/>
        <w:topLinePunct w:val="0"/>
        <w:autoSpaceDE/>
        <w:autoSpaceDN/>
        <w:bidi w:val="0"/>
        <w:adjustRightInd/>
        <w:snapToGrid/>
        <w:spacing w:line="560" w:lineRule="exact"/>
        <w:ind w:firstLine="600" w:firstLineChars="200"/>
        <w:textAlignment w:val="auto"/>
        <w:rPr>
          <w:color w:val="FF0000"/>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color w:val="000000" w:themeColor="text1"/>
          <w14:textFill>
            <w14:solidFill>
              <w14:schemeClr w14:val="tx1"/>
            </w14:solidFill>
          </w14:textFill>
        </w:rPr>
        <w:t>该项目年初预算数</w:t>
      </w:r>
      <w:r>
        <w:rPr>
          <w:rFonts w:hint="eastAsia"/>
          <w:color w:val="000000" w:themeColor="text1"/>
          <w:lang w:val="en-US" w:eastAsia="zh-CN"/>
          <w14:textFill>
            <w14:solidFill>
              <w14:schemeClr w14:val="tx1"/>
            </w14:solidFill>
          </w14:textFill>
        </w:rPr>
        <w:t>46648</w:t>
      </w:r>
      <w:r>
        <w:rPr>
          <w:rFonts w:hint="eastAsia"/>
          <w:color w:val="000000" w:themeColor="text1"/>
          <w14:textFill>
            <w14:solidFill>
              <w14:schemeClr w14:val="tx1"/>
            </w14:solidFill>
          </w14:textFill>
        </w:rPr>
        <w:t>万元，全年预算数</w:t>
      </w:r>
      <w:r>
        <w:rPr>
          <w:rFonts w:hint="eastAsia"/>
          <w:color w:val="000000" w:themeColor="text1"/>
          <w:lang w:val="en-US" w:eastAsia="zh-CN"/>
          <w14:textFill>
            <w14:solidFill>
              <w14:schemeClr w14:val="tx1"/>
            </w14:solidFill>
          </w14:textFill>
        </w:rPr>
        <w:t>51577</w:t>
      </w:r>
      <w:r>
        <w:rPr>
          <w:rFonts w:hint="eastAsia"/>
          <w:color w:val="000000" w:themeColor="text1"/>
          <w14:textFill>
            <w14:solidFill>
              <w14:schemeClr w14:val="tx1"/>
            </w14:solidFill>
          </w14:textFill>
        </w:rPr>
        <w:t>万元，实际总投入</w:t>
      </w:r>
      <w:r>
        <w:rPr>
          <w:rFonts w:hint="eastAsia"/>
          <w:color w:val="000000" w:themeColor="text1"/>
          <w:lang w:val="en-US" w:eastAsia="zh-CN"/>
          <w14:textFill>
            <w14:solidFill>
              <w14:schemeClr w14:val="tx1"/>
            </w14:solidFill>
          </w14:textFill>
        </w:rPr>
        <w:t>51577</w:t>
      </w:r>
      <w:r>
        <w:rPr>
          <w:rFonts w:hint="eastAsia"/>
          <w:color w:val="000000" w:themeColor="text1"/>
          <w14:textFill>
            <w14:solidFill>
              <w14:schemeClr w14:val="tx1"/>
            </w14:solidFill>
          </w14:textFill>
        </w:rPr>
        <w:t>万元，该项目资金已全部落实到位，资金来源为</w:t>
      </w:r>
      <w:r>
        <w:rPr>
          <w:rFonts w:hint="eastAsia"/>
          <w:color w:val="000000" w:themeColor="text1"/>
          <w:lang w:val="en-US" w:eastAsia="zh-CN"/>
          <w14:textFill>
            <w14:solidFill>
              <w14:schemeClr w14:val="tx1"/>
            </w14:solidFill>
          </w14:textFill>
        </w:rPr>
        <w:t>财政拨款</w:t>
      </w:r>
      <w:r>
        <w:rPr>
          <w:rFonts w:hint="eastAsia"/>
          <w:color w:val="000000" w:themeColor="text1"/>
          <w14:textFill>
            <w14:solidFill>
              <w14:schemeClr w14:val="tx1"/>
            </w14:solidFill>
          </w14:textFill>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14:textFill>
            <w14:solidFill>
              <w14:schemeClr w14:val="tx1"/>
            </w14:solidFill>
          </w14:textFill>
        </w:rPr>
      </w:pPr>
      <w:r>
        <w:rPr>
          <w:rFonts w:hint="eastAsia"/>
          <w:lang w:eastAsia="zh-CN"/>
        </w:rPr>
        <w:t>（</w:t>
      </w:r>
      <w:r>
        <w:rPr>
          <w:rFonts w:hint="eastAsia"/>
          <w:lang w:val="en-US" w:eastAsia="zh-CN"/>
        </w:rPr>
        <w:t>2</w:t>
      </w:r>
      <w:r>
        <w:rPr>
          <w:rFonts w:hint="eastAsia"/>
          <w:lang w:eastAsia="zh-CN"/>
        </w:rPr>
        <w:t>）</w:t>
      </w:r>
      <w:r>
        <w:rPr>
          <w:rFonts w:hint="eastAsia"/>
        </w:rPr>
        <w:t>资金使用情况：</w:t>
      </w:r>
      <w:r>
        <w:rPr>
          <w:rFonts w:hint="eastAsia"/>
          <w:color w:val="auto"/>
        </w:rPr>
        <w:t>该项目年初预算数</w:t>
      </w:r>
      <w:r>
        <w:rPr>
          <w:rFonts w:hint="eastAsia"/>
          <w:color w:val="auto"/>
          <w:lang w:val="en-US" w:eastAsia="zh-CN"/>
        </w:rPr>
        <w:t>46648</w:t>
      </w:r>
      <w:r>
        <w:rPr>
          <w:rFonts w:hint="eastAsia"/>
          <w:color w:val="auto"/>
        </w:rPr>
        <w:t>万元</w:t>
      </w:r>
      <w:r>
        <w:rPr>
          <w:rFonts w:hint="eastAsia"/>
          <w:color w:val="000000" w:themeColor="text1"/>
          <w14:textFill>
            <w14:solidFill>
              <w14:schemeClr w14:val="tx1"/>
            </w14:solidFill>
          </w14:textFill>
        </w:rPr>
        <w:t>，全年预算数</w:t>
      </w:r>
      <w:r>
        <w:rPr>
          <w:rFonts w:hint="eastAsia"/>
          <w:color w:val="000000" w:themeColor="text1"/>
          <w:lang w:val="en-US" w:eastAsia="zh-CN"/>
          <w14:textFill>
            <w14:solidFill>
              <w14:schemeClr w14:val="tx1"/>
            </w14:solidFill>
          </w14:textFill>
        </w:rPr>
        <w:t>51577</w:t>
      </w:r>
      <w:r>
        <w:rPr>
          <w:rFonts w:hint="eastAsia"/>
          <w:color w:val="000000" w:themeColor="text1"/>
          <w14:textFill>
            <w14:solidFill>
              <w14:schemeClr w14:val="tx1"/>
            </w14:solidFill>
          </w14:textFill>
        </w:rPr>
        <w:t>万元，全年执行数</w:t>
      </w:r>
      <w:r>
        <w:rPr>
          <w:rFonts w:hint="eastAsia"/>
          <w:color w:val="000000" w:themeColor="text1"/>
          <w:lang w:val="en-US" w:eastAsia="zh-CN"/>
          <w14:textFill>
            <w14:solidFill>
              <w14:schemeClr w14:val="tx1"/>
            </w14:solidFill>
          </w14:textFill>
        </w:rPr>
        <w:t>51577</w:t>
      </w:r>
      <w:r>
        <w:rPr>
          <w:rFonts w:hint="eastAsia"/>
          <w:color w:val="000000" w:themeColor="text1"/>
          <w14:textFill>
            <w14:solidFill>
              <w14:schemeClr w14:val="tx1"/>
            </w14:solidFill>
          </w14:textFill>
        </w:rPr>
        <w:t>万元，预算执行率为</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主要</w:t>
      </w:r>
      <w:r>
        <w:rPr>
          <w:rFonts w:hint="eastAsia"/>
          <w:color w:val="000000" w:themeColor="text1"/>
          <w14:textFill>
            <w14:solidFill>
              <w14:schemeClr w14:val="tx1"/>
            </w14:solidFill>
          </w14:textFill>
        </w:rPr>
        <w:t>用于</w:t>
      </w:r>
      <w:r>
        <w:rPr>
          <w:rFonts w:hint="eastAsia"/>
          <w:color w:val="000000" w:themeColor="text1"/>
          <w:lang w:val="en-US" w:eastAsia="zh-CN"/>
          <w14:textFill>
            <w14:solidFill>
              <w14:schemeClr w14:val="tx1"/>
            </w14:solidFill>
          </w14:textFill>
        </w:rPr>
        <w:t>为城乡居民参保人员提供基本的医疗保障。</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包括总体目标和阶段性目标。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rPr>
        <w:t>1</w:t>
      </w:r>
      <w:r>
        <w:rPr>
          <w:rFonts w:hint="eastAsia"/>
          <w:lang w:val="en-US" w:eastAsia="zh-CN"/>
        </w:rPr>
        <w:t>.</w:t>
      </w:r>
      <w:r>
        <w:rPr>
          <w:rFonts w:hint="eastAsia"/>
        </w:rPr>
        <w:t>总体目标：</w:t>
      </w:r>
      <w:r>
        <w:rPr>
          <w:rFonts w:hint="eastAsia"/>
          <w:lang w:val="en-US" w:eastAsia="zh-CN"/>
        </w:rPr>
        <w:t>巩固参保率，稳步提高保障水平，减轻参保人员就医经济负担，缓解社会矛盾，实现基金收支平衡，基金滚存结余可支配月数保持在合理范围。</w:t>
      </w:r>
    </w:p>
    <w:p>
      <w:pPr>
        <w:pageBreakBefore w:val="0"/>
        <w:kinsoku/>
        <w:wordWrap/>
        <w:overflowPunct/>
        <w:topLinePunct w:val="0"/>
        <w:autoSpaceDE/>
        <w:autoSpaceDN/>
        <w:bidi w:val="0"/>
        <w:adjustRightInd/>
        <w:snapToGrid/>
        <w:spacing w:line="560" w:lineRule="exact"/>
        <w:ind w:firstLine="600" w:firstLineChars="200"/>
        <w:textAlignment w:val="auto"/>
      </w:pPr>
      <w:r>
        <w:t>2</w:t>
      </w:r>
      <w:r>
        <w:rPr>
          <w:rFonts w:hint="eastAsia"/>
          <w:lang w:val="en-US" w:eastAsia="zh-CN"/>
        </w:rPr>
        <w:t>.</w:t>
      </w:r>
      <w:r>
        <w:rPr>
          <w:rFonts w:hint="eastAsia"/>
        </w:rPr>
        <w:t>阶段性目标</w:t>
      </w:r>
      <w:r>
        <w:rPr>
          <w:rFonts w:hint="eastAsia"/>
          <w:color w:val="auto"/>
        </w:rPr>
        <w:t>：</w:t>
      </w:r>
      <w:r>
        <w:rPr>
          <w:rFonts w:hint="eastAsia"/>
          <w:color w:val="auto"/>
          <w:lang w:val="en-US" w:eastAsia="zh-CN"/>
        </w:rPr>
        <w:t>2023年度城乡居民基本医疗保险参保人数规模达到83.29万人以上，2023年度城乡居民基本医疗保险个人缴费达到400元/人，2023年度城乡居民基本医疗保险财政补助资金（中央、自治区、自治州）足额及时到位，能够进一步巩固参保率，稳步提高医疗保障水平，减轻城乡居民基本医疗保险参保人员就医经济负担，一定程度上缓解社会矛盾。</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pPr>
        <w:pStyle w:val="20"/>
        <w:pageBreakBefore w:val="0"/>
        <w:kinsoku/>
        <w:wordWrap/>
        <w:overflowPunct/>
        <w:topLinePunct w:val="0"/>
        <w:autoSpaceDE/>
        <w:autoSpaceDN/>
        <w:bidi w:val="0"/>
        <w:adjustRightInd/>
        <w:snapToGrid/>
        <w:spacing w:line="560" w:lineRule="exact"/>
        <w:ind w:firstLine="640" w:firstLineChars="200"/>
        <w:textAlignment w:val="auto"/>
        <w:rPr>
          <w:rFonts w:eastAsia="方正仿宋_GBK" w:cs="方正仿宋_GBK"/>
          <w:color w:val="auto"/>
          <w:sz w:val="32"/>
          <w:szCs w:val="32"/>
        </w:rPr>
      </w:pPr>
      <w:r>
        <w:rPr>
          <w:rFonts w:eastAsia="仿宋_GB2312"/>
          <w:color w:val="auto"/>
          <w:sz w:val="32"/>
          <w:szCs w:val="32"/>
        </w:rPr>
        <w:t>通过开展有效的财政支出绩效评价管理，</w:t>
      </w:r>
      <w:r>
        <w:rPr>
          <w:rFonts w:hint="eastAsia" w:eastAsia="仿宋_GB2312"/>
          <w:color w:val="auto"/>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2023年城乡居民基本医疗保险财政补助资金（中央、自治区、自治州）</w:t>
      </w:r>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pPr>
        <w:pageBreakBefore w:val="0"/>
        <w:kinsoku/>
        <w:wordWrap/>
        <w:overflowPunct/>
        <w:topLinePunct w:val="0"/>
        <w:autoSpaceDE/>
        <w:autoSpaceDN/>
        <w:bidi w:val="0"/>
        <w:adjustRightInd/>
        <w:snapToGrid/>
        <w:spacing w:line="560" w:lineRule="exact"/>
        <w:ind w:firstLine="640" w:firstLineChars="200"/>
        <w:textAlignment w:val="auto"/>
        <w:rPr>
          <w:color w:val="auto"/>
        </w:rPr>
      </w:pPr>
      <w:r>
        <w:rPr>
          <w:rFonts w:hint="eastAsia" w:ascii="Times New Roman" w:hAnsi="Times New Roman" w:eastAsia="仿宋_GB2312" w:cs="Times New Roman"/>
          <w:color w:val="auto"/>
          <w:kern w:val="0"/>
          <w:sz w:val="32"/>
          <w:szCs w:val="32"/>
          <w:lang w:val="en-US" w:eastAsia="zh-CN" w:bidi="ar-SA"/>
        </w:rPr>
        <w:t>本次评价从项目决策（包括绩效目标、决策过程）、项目管理（包括项目资金、项目实施）、项目产出（包括项目产出数量、产出质量、产出时效和产出成本）项目效益四个维度进行2023年城乡居民基本医疗保险财政补助资金（中央、自治区、自治州）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（一）科学公正。本次项目支出绩效评价运用科学合理的方法，按照规范的程序，对项目绩效进行客观、公正的反映。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（二）统筹兼顾。本次项目支出绩效评价由本单位自主实施，即“谁支出、谁自评”。</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（三）激励约束。本次项目支出绩效评价结果与预算安排、政策调整、改进管理实质性挂钩，体现奖优罚劣和激励相容导向，有效要安排、低效要压减、无效要问责。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640" w:firstLineChars="200"/>
        <w:textAlignment w:val="auto"/>
        <w:rPr>
          <w:color w:val="auto"/>
        </w:rPr>
      </w:pPr>
      <w:r>
        <w:rPr>
          <w:rFonts w:hint="eastAsia" w:ascii="仿宋_GB2312"/>
          <w:bCs/>
          <w:color w:val="auto"/>
          <w:sz w:val="32"/>
          <w:szCs w:val="32"/>
        </w:rPr>
        <w:t>（四）公开透明。本次项目支出绩效评价结果已依法依规公开在</w:t>
      </w:r>
      <w:r>
        <w:rPr>
          <w:rFonts w:hint="eastAsia" w:ascii="仿宋_GB2312"/>
          <w:bCs/>
          <w:color w:val="auto"/>
          <w:sz w:val="32"/>
          <w:szCs w:val="32"/>
          <w:lang w:val="en-US" w:eastAsia="zh-CN"/>
        </w:rPr>
        <w:t>政府</w:t>
      </w:r>
      <w:r>
        <w:rPr>
          <w:rFonts w:hint="eastAsia" w:ascii="仿宋_GB2312"/>
          <w:bCs/>
          <w:color w:val="auto"/>
          <w:sz w:val="32"/>
          <w:szCs w:val="32"/>
        </w:rPr>
        <w:t>网站上，并自觉接受社会监督。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eastAsia="zh-CN"/>
        </w:rPr>
      </w:pPr>
      <w:r>
        <w:rPr>
          <w:rFonts w:eastAsia="仿宋_GB2312"/>
          <w:color w:val="000000"/>
          <w:spacing w:val="17"/>
          <w:sz w:val="32"/>
          <w:szCs w:val="32"/>
        </w:rPr>
        <w:t>确定各个指标相对于项目总体绩效的权重分值。在绩效评价指标体系中，</w:t>
      </w:r>
      <w:r>
        <w:rPr>
          <w:rFonts w:eastAsia="仿宋_GB2312"/>
          <w:color w:val="auto"/>
          <w:spacing w:val="17"/>
          <w:sz w:val="32"/>
          <w:szCs w:val="32"/>
        </w:rPr>
        <w:t>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1"/>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hint="default"/>
          <w:b w:val="0"/>
          <w:bCs w:val="0"/>
          <w:color w:val="FF0000"/>
          <w:spacing w:val="17"/>
          <w:lang w:val="en-US" w:eastAsia="zh-CN"/>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lang w:val="en-US" w:eastAsia="zh-CN"/>
        </w:rPr>
      </w:pPr>
      <w:r>
        <w:rPr>
          <w:rFonts w:eastAsia="仿宋_GB2312"/>
          <w:color w:val="000000"/>
          <w:spacing w:val="17"/>
          <w:sz w:val="32"/>
          <w:szCs w:val="32"/>
        </w:rPr>
        <w:t>本次评价指标中，既有定性指标又有定量指标，各类指标因考核内容不同和客观标准不同存在较大差异，因此核定具体指标时采</w:t>
      </w:r>
      <w:r>
        <w:rPr>
          <w:rFonts w:eastAsia="仿宋_GB2312"/>
          <w:color w:val="auto"/>
          <w:spacing w:val="17"/>
          <w:sz w:val="32"/>
          <w:szCs w:val="32"/>
        </w:rPr>
        <w:t>用了</w:t>
      </w:r>
      <w:r>
        <w:rPr>
          <w:rFonts w:hint="eastAsia"/>
          <w:bCs/>
          <w:color w:val="auto"/>
          <w:sz w:val="32"/>
          <w:szCs w:val="32"/>
        </w:rPr>
        <w:t>因素分析法</w:t>
      </w:r>
      <w:r>
        <w:rPr>
          <w:rFonts w:hint="eastAsia"/>
          <w:bCs/>
          <w:color w:val="auto"/>
          <w:sz w:val="32"/>
          <w:szCs w:val="32"/>
          <w:lang w:eastAsia="zh-CN"/>
        </w:rPr>
        <w:t>，</w:t>
      </w:r>
      <w:r>
        <w:rPr>
          <w:rFonts w:hint="eastAsia"/>
          <w:bCs/>
          <w:color w:val="auto"/>
          <w:sz w:val="32"/>
          <w:szCs w:val="32"/>
          <w:lang w:val="en-US" w:eastAsia="zh-CN"/>
        </w:rPr>
        <w:t>原因是：通过综合分析影响绩效目标实现、实施效果的内外因素，评价绩效目标实现程度</w:t>
      </w:r>
      <w:r>
        <w:rPr>
          <w:rFonts w:hint="eastAsia"/>
          <w:bCs/>
          <w:color w:val="auto"/>
          <w:sz w:val="32"/>
          <w:szCs w:val="32"/>
        </w:rPr>
        <w:t>。</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pPr>
        <w:pageBreakBefore w:val="0"/>
        <w:kinsoku/>
        <w:wordWrap/>
        <w:overflowPunct/>
        <w:topLinePunct w:val="0"/>
        <w:autoSpaceDE/>
        <w:autoSpaceDN/>
        <w:bidi w:val="0"/>
        <w:adjustRightInd/>
        <w:snapToGrid/>
        <w:spacing w:line="560" w:lineRule="exact"/>
        <w:ind w:firstLine="708" w:firstLineChars="200"/>
        <w:textAlignment w:val="auto"/>
        <w:rPr>
          <w:rFonts w:hint="default" w:eastAsia="仿宋_GB2312"/>
          <w:bCs/>
          <w:sz w:val="32"/>
          <w:szCs w:val="32"/>
          <w:lang w:val="en-US" w:eastAsia="zh-CN"/>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绩效评价标准通常包括计划标准、行业标准、历史标准等，用于对绩效指标完成情况进行比较、分析、评价。本次评价主要采用了计划标准。</w:t>
      </w:r>
      <w:r>
        <w:rPr>
          <w:rFonts w:hint="eastAsia"/>
          <w:color w:val="000000"/>
          <w:spacing w:val="17"/>
          <w:sz w:val="32"/>
          <w:szCs w:val="32"/>
          <w:lang w:val="en-US" w:eastAsia="zh-CN"/>
        </w:rPr>
        <w:t>原因是：能够以预先制定目标、计划、预算、定额等评价标准按照规范的程序、部门职责与城乡居民基本医疗保险相关政策，分析项目产出、效益的完成情况、对项目绩效进行客观、公正的评价。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bookmarkStart w:id="7" w:name="_Toc68703834"/>
      <w:r>
        <w:rPr>
          <w:rFonts w:hint="eastAsia" w:eastAsia="仿宋_GB2312"/>
          <w:bCs/>
          <w:color w:val="auto"/>
          <w:sz w:val="32"/>
          <w:szCs w:val="32"/>
          <w:lang w:val="en-US" w:eastAsia="zh-CN"/>
        </w:rPr>
        <w:t>1.</w:t>
      </w:r>
      <w:r>
        <w:rPr>
          <w:rFonts w:hint="eastAsia" w:eastAsia="仿宋_GB2312"/>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本项目严格按照</w:t>
      </w:r>
      <w:r>
        <w:rPr>
          <w:rFonts w:hint="eastAsia" w:ascii="仿宋_GB2312"/>
          <w:bCs/>
          <w:color w:val="auto"/>
          <w:kern w:val="0"/>
          <w:sz w:val="32"/>
          <w:szCs w:val="32"/>
        </w:rPr>
        <w:t>科学公正、统筹兼顾、激励约束、公开透明的</w:t>
      </w:r>
      <w:r>
        <w:rPr>
          <w:rFonts w:hint="eastAsia"/>
          <w:color w:val="auto"/>
        </w:rPr>
        <w:t>绩效评价原则，采用</w:t>
      </w:r>
      <w:r>
        <w:rPr>
          <w:rFonts w:hint="eastAsia"/>
          <w:bCs/>
          <w:color w:val="auto"/>
          <w:sz w:val="32"/>
          <w:szCs w:val="32"/>
        </w:rPr>
        <w:t>因素分析法</w:t>
      </w:r>
      <w:r>
        <w:rPr>
          <w:rFonts w:hint="eastAsia"/>
          <w:color w:val="auto"/>
        </w:rPr>
        <w:t>，坚持</w:t>
      </w:r>
      <w:r>
        <w:rPr>
          <w:rFonts w:hint="eastAsia"/>
          <w:color w:val="auto"/>
          <w:lang w:val="en-US" w:eastAsia="zh-CN"/>
        </w:rPr>
        <w:t>计划</w:t>
      </w:r>
      <w:r>
        <w:rPr>
          <w:rFonts w:hint="eastAsia"/>
          <w:color w:val="auto"/>
        </w:rPr>
        <w:t>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9"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0000FF"/>
          <w:highlight w:val="none"/>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w:t>
      </w:r>
      <w:r>
        <w:rPr>
          <w:rFonts w:hint="eastAsia" w:ascii="Times New Roman" w:hAnsi="Times New Roman" w:eastAsia="仿宋_GB2312"/>
          <w:b w:val="0"/>
          <w:bCs w:val="0"/>
          <w:color w:val="auto"/>
        </w:rPr>
        <w:t>果：</w:t>
      </w:r>
      <w:r>
        <w:rPr>
          <w:rFonts w:hint="eastAsia" w:ascii="Times New Roman" w:hAnsi="Times New Roman" w:eastAsia="仿宋_GB2312"/>
          <w:b w:val="0"/>
          <w:bCs w:val="0"/>
          <w:color w:val="auto"/>
          <w:highlight w:val="none"/>
        </w:rPr>
        <w:t>总得分为</w:t>
      </w:r>
      <w:r>
        <w:rPr>
          <w:rFonts w:hint="eastAsia"/>
          <w:b w:val="0"/>
          <w:bCs w:val="0"/>
          <w:color w:val="auto"/>
          <w:highlight w:val="none"/>
          <w:lang w:val="en-US" w:eastAsia="zh-CN"/>
        </w:rPr>
        <w:t>98.5</w:t>
      </w:r>
      <w:r>
        <w:rPr>
          <w:rFonts w:hint="eastAsia" w:ascii="Times New Roman" w:hAnsi="Times New Roman" w:eastAsia="仿宋_GB2312"/>
          <w:b w:val="0"/>
          <w:bCs w:val="0"/>
          <w:color w:val="auto"/>
          <w:highlight w:val="none"/>
        </w:rPr>
        <w:t>分，属于“优”。其中，项目决策类指标权重为20分，得分为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%。项目过程类指标权重为20分，得分为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%。项目产出类指标权重为40分，得分为</w:t>
      </w:r>
      <w:r>
        <w:rPr>
          <w:rFonts w:hint="eastAsia"/>
          <w:b w:val="0"/>
          <w:bCs w:val="0"/>
          <w:color w:val="auto"/>
          <w:highlight w:val="none"/>
          <w:lang w:val="en-US" w:eastAsia="zh-CN"/>
        </w:rPr>
        <w:t>38.5</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96.25</w:t>
      </w:r>
      <w:r>
        <w:rPr>
          <w:rFonts w:hint="eastAsia" w:ascii="Times New Roman" w:hAnsi="Times New Roman" w:eastAsia="仿宋_GB2312"/>
          <w:b w:val="0"/>
          <w:bCs w:val="0"/>
          <w:color w:val="auto"/>
          <w:highlight w:val="none"/>
        </w:rPr>
        <w:t>%。项目效益类指标权重为20分，得分为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color w:val="auto"/>
        </w:rPr>
      </w:pPr>
      <w:r>
        <w:rPr>
          <w:rFonts w:hint="eastAsia"/>
          <w:color w:val="auto"/>
        </w:rPr>
        <w:t>项目评价得分情况</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38.5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98.5</w:t>
            </w:r>
          </w:p>
        </w:tc>
      </w:tr>
    </w:tbl>
    <w:p>
      <w:pPr>
        <w:pStyle w:val="11"/>
        <w:pageBreakBefore w:val="0"/>
        <w:kinsoku/>
        <w:wordWrap/>
        <w:overflowPunct/>
        <w:topLinePunct w:val="0"/>
        <w:autoSpaceDE/>
        <w:autoSpaceDN/>
        <w:bidi w:val="0"/>
        <w:adjustRightInd/>
        <w:snapToGrid/>
        <w:spacing w:before="0" w:after="0" w:line="560" w:lineRule="exact"/>
        <w:jc w:val="both"/>
        <w:textAlignment w:val="auto"/>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ageBreakBefore w:val="0"/>
        <w:kinsoku/>
        <w:wordWrap/>
        <w:overflowPunct/>
        <w:topLinePunct w:val="0"/>
        <w:autoSpaceDE/>
        <w:autoSpaceDN/>
        <w:bidi w:val="0"/>
        <w:adjustRightInd/>
        <w:snapToGrid/>
        <w:spacing w:line="560" w:lineRule="exact"/>
        <w:ind w:firstLine="602" w:firstLineChars="200"/>
        <w:textAlignment w:val="auto"/>
        <w:rPr>
          <w:rFonts w:hint="eastAsia"/>
          <w:b/>
          <w:bCs/>
          <w:color w:val="auto"/>
          <w:highlight w:val="none"/>
          <w:lang w:val="en-US" w:eastAsia="zh-CN"/>
        </w:rPr>
      </w:pPr>
      <w:bookmarkStart w:id="11" w:name="_Toc68703838"/>
      <w:r>
        <w:rPr>
          <w:rFonts w:hint="eastAsia"/>
          <w:b/>
          <w:bCs/>
          <w:color w:val="auto"/>
          <w:highlight w:val="none"/>
          <w:lang w:val="en-US" w:eastAsia="zh-CN"/>
        </w:rPr>
        <w:t>（一）项目决策情况。</w:t>
      </w:r>
      <w:bookmarkEnd w:id="11"/>
    </w:p>
    <w:p>
      <w:pPr>
        <w:pageBreakBefore w:val="0"/>
        <w:kinsoku/>
        <w:wordWrap/>
        <w:overflowPunct/>
        <w:topLinePunct w:val="0"/>
        <w:autoSpaceDE/>
        <w:autoSpaceDN/>
        <w:bidi w:val="0"/>
        <w:adjustRightInd/>
        <w:snapToGrid/>
        <w:spacing w:line="560" w:lineRule="exact"/>
        <w:ind w:firstLine="600" w:firstLineChars="200"/>
        <w:jc w:val="left"/>
        <w:textAlignment w:val="auto"/>
        <w:rPr>
          <w:color w:val="auto"/>
        </w:rPr>
      </w:pPr>
      <w:r>
        <w:rPr>
          <w:rFonts w:hint="eastAsia"/>
        </w:rPr>
        <w:t>1</w:t>
      </w:r>
      <w:r>
        <w:rPr>
          <w:rFonts w:hint="eastAsia"/>
          <w:lang w:val="en-US" w:eastAsia="zh-CN"/>
        </w:rPr>
        <w:t>.</w:t>
      </w:r>
      <w:r>
        <w:rPr>
          <w:rFonts w:hint="eastAsia"/>
        </w:rPr>
        <w:t>立项依据充分性</w:t>
      </w:r>
    </w:p>
    <w:p>
      <w:pPr>
        <w:keepNext w:val="0"/>
        <w:keepLines w:val="0"/>
        <w:pageBreakBefore w:val="0"/>
        <w:widowControl w:val="0"/>
        <w:kinsoku/>
        <w:wordWrap/>
        <w:overflowPunct/>
        <w:topLinePunct w:val="0"/>
        <w:autoSpaceDE/>
        <w:autoSpaceDN/>
        <w:bidi w:val="0"/>
        <w:adjustRightInd/>
        <w:snapToGrid/>
        <w:spacing w:line="560" w:lineRule="exact"/>
        <w:ind w:firstLine="641" w:firstLineChars="0"/>
        <w:textAlignment w:val="auto"/>
        <w:rPr>
          <w:rFonts w:hint="eastAsia" w:cs="Times New Roman"/>
          <w:snapToGrid w:val="0"/>
          <w:kern w:val="0"/>
          <w:sz w:val="32"/>
          <w:szCs w:val="32"/>
          <w:highlight w:val="none"/>
          <w:lang w:val="en-US" w:eastAsia="zh-CN"/>
        </w:rPr>
      </w:pPr>
      <w:r>
        <w:rPr>
          <w:rFonts w:hint="eastAsia"/>
          <w:color w:val="auto"/>
          <w:lang w:val="en-US" w:eastAsia="zh-CN"/>
        </w:rPr>
        <w:t>该</w:t>
      </w:r>
      <w:r>
        <w:rPr>
          <w:rFonts w:hint="eastAsia"/>
          <w:color w:val="auto"/>
        </w:rPr>
        <w:t>项目立项</w:t>
      </w:r>
      <w:r>
        <w:rPr>
          <w:rFonts w:hint="eastAsia"/>
          <w:color w:val="auto"/>
          <w:lang w:val="en-US" w:eastAsia="zh-CN"/>
        </w:rPr>
        <w:t>符合我州城乡居民基本医疗保险相关政策规定，根据</w:t>
      </w:r>
      <w:r>
        <w:rPr>
          <w:rFonts w:hint="default" w:ascii="Times New Roman" w:hAnsi="Times New Roman" w:eastAsia="仿宋_GB2312" w:cs="Times New Roman"/>
          <w:snapToGrid w:val="0"/>
          <w:color w:val="auto"/>
          <w:kern w:val="0"/>
          <w:sz w:val="32"/>
          <w:szCs w:val="32"/>
          <w:highlight w:val="none"/>
          <w:lang w:val="en-US" w:eastAsia="zh-CN"/>
        </w:rPr>
        <w:t>2023年</w:t>
      </w:r>
      <w:r>
        <w:rPr>
          <w:rFonts w:hint="eastAsia" w:ascii="Times New Roman" w:hAnsi="Times New Roman" w:eastAsia="仿宋_GB2312" w:cs="Times New Roman"/>
          <w:snapToGrid w:val="0"/>
          <w:color w:val="auto"/>
          <w:kern w:val="0"/>
          <w:sz w:val="32"/>
          <w:szCs w:val="32"/>
          <w:highlight w:val="none"/>
          <w:lang w:val="en-US" w:eastAsia="zh-CN"/>
        </w:rPr>
        <w:t>度</w:t>
      </w:r>
      <w:r>
        <w:rPr>
          <w:rFonts w:hint="default" w:ascii="Times New Roman" w:hAnsi="Times New Roman" w:eastAsia="仿宋_GB2312" w:cs="Times New Roman"/>
          <w:snapToGrid w:val="0"/>
          <w:color w:val="auto"/>
          <w:kern w:val="0"/>
          <w:sz w:val="32"/>
          <w:szCs w:val="32"/>
          <w:highlight w:val="none"/>
          <w:lang w:val="en-US" w:eastAsia="zh-CN"/>
        </w:rPr>
        <w:t>《关于提前下达2022年</w:t>
      </w:r>
      <w:r>
        <w:rPr>
          <w:rFonts w:hint="eastAsia" w:ascii="Times New Roman" w:hAnsi="Times New Roman" w:eastAsia="仿宋_GB2312" w:cs="Times New Roman"/>
          <w:snapToGrid w:val="0"/>
          <w:color w:val="auto"/>
          <w:kern w:val="0"/>
          <w:sz w:val="32"/>
          <w:szCs w:val="32"/>
          <w:highlight w:val="none"/>
          <w:lang w:val="en-US" w:eastAsia="zh-CN"/>
        </w:rPr>
        <w:t>城乡居民基本医疗保险中央财政补</w:t>
      </w:r>
      <w:r>
        <w:rPr>
          <w:rFonts w:hint="eastAsia" w:ascii="Times New Roman" w:hAnsi="Times New Roman" w:eastAsia="仿宋_GB2312" w:cs="Times New Roman"/>
          <w:snapToGrid w:val="0"/>
          <w:kern w:val="0"/>
          <w:sz w:val="32"/>
          <w:szCs w:val="32"/>
          <w:highlight w:val="none"/>
          <w:lang w:val="en-US" w:eastAsia="zh-CN"/>
        </w:rPr>
        <w:t>助资金预算的通知</w:t>
      </w:r>
      <w:r>
        <w:rPr>
          <w:rFonts w:hint="default" w:ascii="Times New Roman" w:hAnsi="Times New Roman" w:eastAsia="仿宋_GB2312" w:cs="Times New Roman"/>
          <w:snapToGrid w:val="0"/>
          <w:kern w:val="0"/>
          <w:sz w:val="32"/>
          <w:szCs w:val="32"/>
          <w:highlight w:val="none"/>
          <w:lang w:val="en-US" w:eastAsia="zh-CN"/>
        </w:rPr>
        <w:t>》（</w:t>
      </w:r>
      <w:r>
        <w:rPr>
          <w:rFonts w:hint="eastAsia" w:ascii="Times New Roman" w:hAnsi="Times New Roman" w:eastAsia="仿宋_GB2312" w:cs="Times New Roman"/>
          <w:snapToGrid w:val="0"/>
          <w:kern w:val="0"/>
          <w:sz w:val="32"/>
          <w:szCs w:val="32"/>
          <w:highlight w:val="none"/>
          <w:lang w:val="en-US" w:eastAsia="zh-CN"/>
        </w:rPr>
        <w:t>巴</w:t>
      </w:r>
      <w:r>
        <w:rPr>
          <w:rFonts w:hint="default" w:ascii="Times New Roman" w:hAnsi="Times New Roman" w:eastAsia="仿宋_GB2312" w:cs="Times New Roman"/>
          <w:snapToGrid w:val="0"/>
          <w:kern w:val="0"/>
          <w:sz w:val="32"/>
          <w:szCs w:val="32"/>
          <w:highlight w:val="none"/>
          <w:lang w:val="en-US" w:eastAsia="zh-CN"/>
        </w:rPr>
        <w:t>财社〔2022〕</w:t>
      </w:r>
      <w:r>
        <w:rPr>
          <w:rFonts w:hint="eastAsia" w:ascii="Times New Roman" w:hAnsi="Times New Roman" w:eastAsia="仿宋_GB2312" w:cs="Times New Roman"/>
          <w:snapToGrid w:val="0"/>
          <w:kern w:val="0"/>
          <w:sz w:val="32"/>
          <w:szCs w:val="32"/>
          <w:highlight w:val="none"/>
          <w:lang w:val="en-US" w:eastAsia="zh-CN"/>
        </w:rPr>
        <w:t>82</w:t>
      </w:r>
      <w:r>
        <w:rPr>
          <w:rFonts w:hint="default" w:ascii="Times New Roman" w:hAnsi="Times New Roman" w:eastAsia="仿宋_GB2312" w:cs="Times New Roman"/>
          <w:snapToGrid w:val="0"/>
          <w:kern w:val="0"/>
          <w:sz w:val="32"/>
          <w:szCs w:val="32"/>
          <w:highlight w:val="none"/>
          <w:lang w:val="en-US" w:eastAsia="zh-CN"/>
        </w:rPr>
        <w:t>号）、《关于提前下达2022年</w:t>
      </w:r>
      <w:r>
        <w:rPr>
          <w:rFonts w:hint="eastAsia" w:ascii="Times New Roman" w:hAnsi="Times New Roman" w:eastAsia="仿宋_GB2312" w:cs="Times New Roman"/>
          <w:snapToGrid w:val="0"/>
          <w:kern w:val="0"/>
          <w:sz w:val="32"/>
          <w:szCs w:val="32"/>
          <w:highlight w:val="none"/>
          <w:lang w:val="en-US" w:eastAsia="zh-CN"/>
        </w:rPr>
        <w:t>城乡居民基本医疗保险自治区财政补助资金预算的通知</w:t>
      </w:r>
      <w:r>
        <w:rPr>
          <w:rFonts w:hint="default" w:ascii="Times New Roman" w:hAnsi="Times New Roman" w:eastAsia="仿宋_GB2312" w:cs="Times New Roman"/>
          <w:snapToGrid w:val="0"/>
          <w:kern w:val="0"/>
          <w:sz w:val="32"/>
          <w:szCs w:val="32"/>
          <w:highlight w:val="none"/>
          <w:lang w:val="en-US" w:eastAsia="zh-CN"/>
        </w:rPr>
        <w:t>》（</w:t>
      </w:r>
      <w:r>
        <w:rPr>
          <w:rFonts w:hint="eastAsia" w:ascii="Times New Roman" w:hAnsi="Times New Roman" w:eastAsia="仿宋_GB2312" w:cs="Times New Roman"/>
          <w:snapToGrid w:val="0"/>
          <w:kern w:val="0"/>
          <w:sz w:val="32"/>
          <w:szCs w:val="32"/>
          <w:highlight w:val="none"/>
          <w:lang w:val="en-US" w:eastAsia="zh-CN"/>
        </w:rPr>
        <w:t>巴</w:t>
      </w:r>
      <w:r>
        <w:rPr>
          <w:rFonts w:hint="default" w:ascii="Times New Roman" w:hAnsi="Times New Roman" w:eastAsia="仿宋_GB2312" w:cs="Times New Roman"/>
          <w:snapToGrid w:val="0"/>
          <w:kern w:val="0"/>
          <w:sz w:val="32"/>
          <w:szCs w:val="32"/>
          <w:highlight w:val="none"/>
          <w:lang w:val="en-US" w:eastAsia="zh-CN"/>
        </w:rPr>
        <w:t>财社〔202</w:t>
      </w:r>
      <w:r>
        <w:rPr>
          <w:rFonts w:hint="eastAsia" w:ascii="Times New Roman" w:hAnsi="Times New Roman" w:eastAsia="仿宋_GB2312" w:cs="Times New Roman"/>
          <w:snapToGrid w:val="0"/>
          <w:kern w:val="0"/>
          <w:sz w:val="32"/>
          <w:szCs w:val="32"/>
          <w:highlight w:val="none"/>
          <w:lang w:val="en-US" w:eastAsia="zh-CN"/>
        </w:rPr>
        <w:t>2</w:t>
      </w:r>
      <w:r>
        <w:rPr>
          <w:rFonts w:hint="default" w:ascii="Times New Roman" w:hAnsi="Times New Roman" w:eastAsia="仿宋_GB2312" w:cs="Times New Roman"/>
          <w:snapToGrid w:val="0"/>
          <w:kern w:val="0"/>
          <w:sz w:val="32"/>
          <w:szCs w:val="32"/>
          <w:highlight w:val="none"/>
          <w:lang w:val="en-US" w:eastAsia="zh-CN"/>
        </w:rPr>
        <w:t>〕</w:t>
      </w:r>
      <w:r>
        <w:rPr>
          <w:rFonts w:hint="eastAsia" w:ascii="Times New Roman" w:hAnsi="Times New Roman" w:eastAsia="仿宋_GB2312" w:cs="Times New Roman"/>
          <w:snapToGrid w:val="0"/>
          <w:kern w:val="0"/>
          <w:sz w:val="32"/>
          <w:szCs w:val="32"/>
          <w:highlight w:val="none"/>
          <w:lang w:val="en-US" w:eastAsia="zh-CN"/>
        </w:rPr>
        <w:t>84</w:t>
      </w:r>
      <w:r>
        <w:rPr>
          <w:rFonts w:hint="default" w:ascii="Times New Roman" w:hAnsi="Times New Roman" w:eastAsia="仿宋_GB2312" w:cs="Times New Roman"/>
          <w:snapToGrid w:val="0"/>
          <w:kern w:val="0"/>
          <w:sz w:val="32"/>
          <w:szCs w:val="32"/>
          <w:highlight w:val="none"/>
          <w:lang w:val="en-US" w:eastAsia="zh-CN"/>
        </w:rPr>
        <w:t>号</w:t>
      </w:r>
      <w:r>
        <w:rPr>
          <w:rFonts w:hint="eastAsia" w:ascii="Times New Roman" w:hAnsi="Times New Roman" w:eastAsia="仿宋_GB2312" w:cs="Times New Roman"/>
          <w:snapToGrid w:val="0"/>
          <w:kern w:val="0"/>
          <w:sz w:val="32"/>
          <w:szCs w:val="32"/>
          <w:highlight w:val="none"/>
          <w:lang w:val="en-US" w:eastAsia="zh-CN"/>
        </w:rPr>
        <w:t>）</w:t>
      </w:r>
      <w:r>
        <w:rPr>
          <w:rFonts w:hint="default" w:ascii="Times New Roman" w:hAnsi="Times New Roman" w:eastAsia="仿宋_GB2312" w:cs="Times New Roman"/>
          <w:snapToGrid w:val="0"/>
          <w:kern w:val="0"/>
          <w:sz w:val="32"/>
          <w:szCs w:val="32"/>
          <w:highlight w:val="none"/>
          <w:lang w:val="en-US" w:eastAsia="zh-CN"/>
        </w:rPr>
        <w:t>》</w:t>
      </w:r>
      <w:r>
        <w:rPr>
          <w:rFonts w:hint="eastAsia" w:ascii="Times New Roman" w:hAnsi="Times New Roman" w:eastAsia="仿宋_GB2312" w:cs="Times New Roman"/>
          <w:snapToGrid w:val="0"/>
          <w:kern w:val="0"/>
          <w:sz w:val="32"/>
          <w:szCs w:val="32"/>
          <w:highlight w:val="none"/>
          <w:lang w:val="en-US" w:eastAsia="zh-CN"/>
        </w:rPr>
        <w:t>、《关于下达2023年城乡居民基本医疗保险自治州财政补助资金的通知》</w:t>
      </w:r>
      <w:r>
        <w:rPr>
          <w:rFonts w:hint="default" w:ascii="Times New Roman" w:hAnsi="Times New Roman" w:eastAsia="仿宋_GB2312" w:cs="Times New Roman"/>
          <w:snapToGrid w:val="0"/>
          <w:kern w:val="0"/>
          <w:sz w:val="32"/>
          <w:szCs w:val="32"/>
          <w:highlight w:val="none"/>
          <w:lang w:val="en-US" w:eastAsia="zh-CN"/>
        </w:rPr>
        <w:t>（</w:t>
      </w:r>
      <w:r>
        <w:rPr>
          <w:rFonts w:hint="eastAsia" w:ascii="Times New Roman" w:hAnsi="Times New Roman" w:eastAsia="仿宋_GB2312" w:cs="Times New Roman"/>
          <w:snapToGrid w:val="0"/>
          <w:kern w:val="0"/>
          <w:sz w:val="32"/>
          <w:szCs w:val="32"/>
          <w:highlight w:val="none"/>
          <w:lang w:val="en-US" w:eastAsia="zh-CN"/>
        </w:rPr>
        <w:t>巴</w:t>
      </w:r>
      <w:r>
        <w:rPr>
          <w:rFonts w:hint="default" w:ascii="Times New Roman" w:hAnsi="Times New Roman" w:eastAsia="仿宋_GB2312" w:cs="Times New Roman"/>
          <w:snapToGrid w:val="0"/>
          <w:kern w:val="0"/>
          <w:sz w:val="32"/>
          <w:szCs w:val="32"/>
          <w:highlight w:val="none"/>
          <w:lang w:val="en-US" w:eastAsia="zh-CN"/>
        </w:rPr>
        <w:t>财社〔2023〕</w:t>
      </w:r>
      <w:r>
        <w:rPr>
          <w:rFonts w:hint="eastAsia" w:ascii="Times New Roman" w:hAnsi="Times New Roman" w:eastAsia="仿宋_GB2312" w:cs="Times New Roman"/>
          <w:snapToGrid w:val="0"/>
          <w:kern w:val="0"/>
          <w:sz w:val="32"/>
          <w:szCs w:val="32"/>
          <w:highlight w:val="none"/>
          <w:lang w:val="en-US" w:eastAsia="zh-CN"/>
        </w:rPr>
        <w:t>5</w:t>
      </w:r>
      <w:r>
        <w:rPr>
          <w:rFonts w:hint="default" w:ascii="Times New Roman" w:hAnsi="Times New Roman" w:eastAsia="仿宋_GB2312" w:cs="Times New Roman"/>
          <w:snapToGrid w:val="0"/>
          <w:kern w:val="0"/>
          <w:sz w:val="32"/>
          <w:szCs w:val="32"/>
          <w:highlight w:val="none"/>
          <w:lang w:val="en-US" w:eastAsia="zh-CN"/>
        </w:rPr>
        <w:t>号</w:t>
      </w:r>
      <w:r>
        <w:rPr>
          <w:rFonts w:hint="eastAsia" w:ascii="Times New Roman" w:hAnsi="Times New Roman" w:eastAsia="仿宋_GB2312" w:cs="Times New Roman"/>
          <w:snapToGrid w:val="0"/>
          <w:kern w:val="0"/>
          <w:sz w:val="32"/>
          <w:szCs w:val="32"/>
          <w:highlight w:val="none"/>
          <w:lang w:val="en-US" w:eastAsia="zh-CN"/>
        </w:rPr>
        <w:t>）</w:t>
      </w:r>
      <w:r>
        <w:rPr>
          <w:rFonts w:hint="default" w:ascii="Times New Roman" w:hAnsi="Times New Roman" w:eastAsia="仿宋_GB2312" w:cs="Times New Roman"/>
          <w:snapToGrid w:val="0"/>
          <w:kern w:val="0"/>
          <w:sz w:val="32"/>
          <w:szCs w:val="32"/>
          <w:highlight w:val="none"/>
          <w:lang w:val="en-US" w:eastAsia="zh-CN"/>
        </w:rPr>
        <w:t>分批下达城乡居民基本医疗保险资金项目，资金共计</w:t>
      </w:r>
      <w:r>
        <w:rPr>
          <w:rFonts w:hint="eastAsia" w:cs="Times New Roman"/>
          <w:snapToGrid w:val="0"/>
          <w:kern w:val="0"/>
          <w:sz w:val="32"/>
          <w:szCs w:val="32"/>
          <w:highlight w:val="none"/>
          <w:lang w:val="en-US" w:eastAsia="zh-CN"/>
        </w:rPr>
        <w:t>51577</w:t>
      </w:r>
      <w:r>
        <w:rPr>
          <w:rFonts w:hint="default" w:ascii="Times New Roman" w:hAnsi="Times New Roman" w:eastAsia="仿宋_GB2312" w:cs="Times New Roman"/>
          <w:snapToGrid w:val="0"/>
          <w:kern w:val="0"/>
          <w:sz w:val="32"/>
          <w:szCs w:val="32"/>
          <w:highlight w:val="none"/>
          <w:lang w:val="en-US" w:eastAsia="zh-CN"/>
        </w:rPr>
        <w:t>万元</w:t>
      </w:r>
      <w:r>
        <w:rPr>
          <w:rFonts w:hint="eastAsia" w:cs="Times New Roman"/>
          <w:snapToGrid w:val="0"/>
          <w:kern w:val="0"/>
          <w:sz w:val="32"/>
          <w:szCs w:val="32"/>
          <w:highlight w:val="none"/>
          <w:lang w:val="en-US" w:eastAsia="zh-CN"/>
        </w:rPr>
        <w:t xml:space="preserve">。围绕本年度城乡居民基本医疗保险工作重点和工作计划执行预算，属于公共财政支持范围，本项目与部门内部其他相关项目不重复。      </w:t>
      </w:r>
    </w:p>
    <w:p>
      <w:pPr>
        <w:keepNext w:val="0"/>
        <w:keepLines w:val="0"/>
        <w:pageBreakBefore w:val="0"/>
        <w:widowControl w:val="0"/>
        <w:kinsoku/>
        <w:wordWrap/>
        <w:overflowPunct/>
        <w:topLinePunct w:val="0"/>
        <w:autoSpaceDE/>
        <w:autoSpaceDN/>
        <w:bidi w:val="0"/>
        <w:adjustRightInd/>
        <w:snapToGrid/>
        <w:spacing w:line="560" w:lineRule="exact"/>
        <w:ind w:firstLine="641" w:firstLineChars="0"/>
        <w:textAlignment w:val="auto"/>
        <w:rPr>
          <w:rFonts w:hint="default" w:ascii="Times New Roman" w:hAnsi="Times New Roman" w:eastAsia="仿宋_GB2312" w:cs="Times New Roman"/>
          <w:b w:val="0"/>
          <w:bCs w:val="0"/>
          <w:kern w:val="2"/>
          <w:sz w:val="30"/>
          <w:szCs w:val="24"/>
          <w:lang w:val="en-US" w:eastAsia="zh-CN" w:bidi="ar-SA"/>
        </w:rPr>
      </w:pPr>
      <w:r>
        <w:rPr>
          <w:rFonts w:hint="eastAsia" w:cs="Times New Roman"/>
          <w:snapToGrid w:val="0"/>
          <w:kern w:val="0"/>
          <w:sz w:val="32"/>
          <w:szCs w:val="32"/>
          <w:highlight w:val="none"/>
          <w:lang w:val="en-US" w:eastAsia="zh-CN"/>
        </w:rPr>
        <w:t xml:space="preserve"> </w:t>
      </w: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color w:val="auto"/>
          <w:lang w:val="en-US" w:eastAsia="zh-CN"/>
        </w:rPr>
      </w:pPr>
      <w:r>
        <w:rPr>
          <w:rFonts w:hint="eastAsia" w:ascii="仿宋_GB2312" w:hAnsi="仿宋_GB2312" w:eastAsia="仿宋_GB2312" w:cs="仿宋_GB2312"/>
          <w:b w:val="0"/>
          <w:bCs w:val="0"/>
          <w:color w:val="auto"/>
          <w:sz w:val="32"/>
          <w:szCs w:val="32"/>
          <w:lang w:val="en-US" w:eastAsia="zh-CN"/>
        </w:rPr>
        <w:t>项目申请、设立过程符合相关要求，</w:t>
      </w:r>
      <w:r>
        <w:rPr>
          <w:rFonts w:hint="eastAsia" w:ascii="仿宋_GB2312" w:hAnsi="仿宋_GB2312" w:eastAsia="仿宋_GB2312" w:cs="仿宋_GB2312"/>
          <w:b w:val="0"/>
          <w:bCs w:val="0"/>
          <w:color w:val="auto"/>
          <w:sz w:val="32"/>
          <w:szCs w:val="32"/>
          <w:lang w:val="en-US" w:eastAsia="zh-Hans"/>
        </w:rPr>
        <w:t>严格按照审批流程准备符合要求的文件、材料；</w:t>
      </w:r>
      <w:r>
        <w:rPr>
          <w:rFonts w:hint="eastAsia" w:ascii="仿宋_GB2312" w:hAnsi="仿宋_GB2312" w:eastAsia="仿宋_GB2312" w:cs="仿宋_GB2312"/>
          <w:b w:val="0"/>
          <w:bCs w:val="0"/>
          <w:color w:val="auto"/>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w:t>
      </w:r>
      <w:r>
        <w:rPr>
          <w:rFonts w:hint="eastAsia"/>
          <w:color w:val="auto"/>
          <w:lang w:val="en-US" w:eastAsia="zh-CN"/>
        </w:rPr>
        <w:t>序的规范性。</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lang w:val="en-US" w:eastAsia="zh-CN"/>
        </w:rPr>
        <w:t>此项权重分2分，得分2分。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lang w:val="en-US" w:eastAsia="zh-CN"/>
        </w:rPr>
        <w:t>2023年城乡居民基本医疗保险财政补助</w:t>
      </w:r>
      <w:r>
        <w:rPr>
          <w:rFonts w:hint="eastAsia"/>
          <w:color w:val="auto"/>
        </w:rPr>
        <w:t>项目设立了项目绩效目标，与</w:t>
      </w:r>
      <w:r>
        <w:rPr>
          <w:rFonts w:hint="eastAsia"/>
          <w:color w:val="auto"/>
          <w:lang w:val="en-US" w:eastAsia="zh-CN"/>
        </w:rPr>
        <w:t>城乡居民基本医疗保障工作</w:t>
      </w:r>
      <w:r>
        <w:rPr>
          <w:rFonts w:hint="eastAsia"/>
          <w:color w:val="auto"/>
        </w:rPr>
        <w:t>具有相关性，项目的预期产出效益和效果也均能符合正常的业绩水平，并且与预算确定的项目投资额或资金量相</w:t>
      </w:r>
      <w:r>
        <w:rPr>
          <w:rFonts w:hint="eastAsia"/>
          <w:color w:val="auto"/>
          <w:lang w:val="en-US" w:eastAsia="zh-CN"/>
        </w:rPr>
        <w:t>匹配。</w:t>
      </w:r>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color w:val="auto"/>
          <w:lang w:val="en-US" w:eastAsia="zh-CN"/>
        </w:rPr>
        <w:t>此项权重分5分，得分5分。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bookmarkStart w:id="12" w:name="_Hlk68699917"/>
      <w:r>
        <w:rPr>
          <w:rFonts w:hint="eastAsia"/>
          <w:lang w:val="en-US" w:eastAsia="zh-CN"/>
        </w:rPr>
        <w:t>2023年城乡居民基本医疗保险财政补助资金（中央、自治区、自治州）</w:t>
      </w:r>
      <w:r>
        <w:rPr>
          <w:rFonts w:hint="eastAsia"/>
        </w:rPr>
        <w:t>项目将项目绩效目标细化分解为具体的绩效指标，一级指标共</w:t>
      </w:r>
      <w:r>
        <w:rPr>
          <w:rFonts w:hint="eastAsia"/>
          <w:lang w:val="en-US" w:eastAsia="zh-CN"/>
        </w:rPr>
        <w:t>4</w:t>
      </w:r>
      <w:r>
        <w:rPr>
          <w:rFonts w:hint="eastAsia"/>
        </w:rPr>
        <w:t>条，</w:t>
      </w:r>
      <w:r>
        <w:rPr>
          <w:rFonts w:hint="eastAsia"/>
          <w:color w:val="auto"/>
        </w:rPr>
        <w:t>二级指标共</w:t>
      </w:r>
      <w:r>
        <w:rPr>
          <w:rFonts w:hint="eastAsia"/>
          <w:color w:val="auto"/>
          <w:lang w:val="en-US" w:eastAsia="zh-CN"/>
        </w:rPr>
        <w:t>6</w:t>
      </w:r>
      <w:r>
        <w:rPr>
          <w:rFonts w:hint="eastAsia"/>
          <w:color w:val="auto"/>
        </w:rPr>
        <w:t>条，三级指标共</w:t>
      </w:r>
      <w:r>
        <w:rPr>
          <w:rFonts w:hint="eastAsia"/>
          <w:color w:val="auto"/>
          <w:lang w:val="en-US" w:eastAsia="zh-CN"/>
        </w:rPr>
        <w:t>16</w:t>
      </w:r>
      <w:r>
        <w:rPr>
          <w:rFonts w:hint="eastAsia"/>
          <w:color w:val="auto"/>
        </w:rPr>
        <w:t>条，其中量化指标条数共</w:t>
      </w:r>
      <w:r>
        <w:rPr>
          <w:rFonts w:hint="eastAsia"/>
          <w:color w:val="auto"/>
          <w:lang w:val="en-US" w:eastAsia="zh-CN"/>
        </w:rPr>
        <w:t>13</w:t>
      </w:r>
      <w:r>
        <w:rPr>
          <w:rFonts w:hint="eastAsia"/>
          <w:color w:val="auto"/>
        </w:rPr>
        <w:t>条，所有绩效指标均通过清晰、可衡量的指标值予以体现，并且做到了与项目目标任务数或计划</w:t>
      </w:r>
      <w:r>
        <w:rPr>
          <w:rFonts w:hint="eastAsia"/>
        </w:rPr>
        <w:t>数相对应。</w:t>
      </w:r>
      <w:bookmarkEnd w:id="12"/>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lang w:val="en-US" w:eastAsia="zh-CN"/>
        </w:rPr>
        <w:t>此项权重分5分，得分5分。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color w:val="auto"/>
        </w:rPr>
        <w:t>预算编制经过科学论证</w:t>
      </w:r>
      <w:r>
        <w:rPr>
          <w:rFonts w:hint="eastAsia"/>
          <w:color w:val="auto"/>
          <w:lang w:eastAsia="zh-CN"/>
        </w:rPr>
        <w:t>，</w:t>
      </w:r>
      <w:r>
        <w:rPr>
          <w:rFonts w:hint="eastAsia"/>
          <w:color w:val="auto"/>
        </w:rPr>
        <w:t>预算内容与项目内容</w:t>
      </w:r>
      <w:r>
        <w:rPr>
          <w:rFonts w:hint="eastAsia"/>
          <w:color w:val="auto"/>
          <w:lang w:val="en-US" w:eastAsia="zh-CN"/>
        </w:rPr>
        <w:t>相</w:t>
      </w:r>
      <w:r>
        <w:rPr>
          <w:rFonts w:hint="eastAsia"/>
          <w:color w:val="auto"/>
        </w:rPr>
        <w:t>匹配</w:t>
      </w:r>
      <w:r>
        <w:rPr>
          <w:rFonts w:hint="eastAsia"/>
          <w:color w:val="auto"/>
          <w:lang w:eastAsia="zh-CN"/>
        </w:rPr>
        <w:t>，</w:t>
      </w:r>
      <w:r>
        <w:rPr>
          <w:rFonts w:hint="eastAsia"/>
          <w:color w:val="auto"/>
        </w:rPr>
        <w:t>预算额度测算依据充</w:t>
      </w:r>
      <w:r>
        <w:rPr>
          <w:rFonts w:hint="eastAsia"/>
        </w:rPr>
        <w:t>分</w:t>
      </w:r>
      <w:r>
        <w:rPr>
          <w:rFonts w:hint="eastAsia"/>
          <w:lang w:val="en-US" w:eastAsia="zh-CN"/>
        </w:rPr>
        <w:t>并</w:t>
      </w:r>
      <w:r>
        <w:rPr>
          <w:rFonts w:hint="eastAsia"/>
        </w:rPr>
        <w:t>按照标准编制</w:t>
      </w:r>
      <w:r>
        <w:rPr>
          <w:rFonts w:hint="eastAsia"/>
          <w:lang w:eastAsia="zh-CN"/>
        </w:rPr>
        <w:t>，</w:t>
      </w:r>
      <w:r>
        <w:rPr>
          <w:rFonts w:hint="eastAsia"/>
        </w:rPr>
        <w:t>预算确定的项目投资额或资金量与工作任务相匹配。</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lang w:val="en-US" w:eastAsia="zh-CN"/>
        </w:rPr>
        <w:t>此项权重分2分，得分2分。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color w:val="auto"/>
        </w:rPr>
        <w:t>预算资金分配</w:t>
      </w:r>
      <w:r>
        <w:rPr>
          <w:rFonts w:hint="eastAsia"/>
        </w:rPr>
        <w:t>依据充分</w:t>
      </w:r>
      <w:r>
        <w:rPr>
          <w:rFonts w:hint="eastAsia"/>
          <w:lang w:eastAsia="zh-CN"/>
        </w:rPr>
        <w:t>，</w:t>
      </w:r>
      <w:r>
        <w:rPr>
          <w:rFonts w:hint="eastAsia"/>
        </w:rPr>
        <w:t>资金分配额度合理，与</w:t>
      </w:r>
      <w:r>
        <w:rPr>
          <w:rFonts w:hint="eastAsia"/>
          <w:lang w:val="en-US" w:eastAsia="zh-CN"/>
        </w:rPr>
        <w:t>医保工作</w:t>
      </w:r>
      <w:r>
        <w:rPr>
          <w:rFonts w:hint="eastAsia"/>
        </w:rPr>
        <w:t>实际相适应。</w:t>
      </w:r>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此项权重分3分，得分3分</w:t>
      </w:r>
      <w:r>
        <w:rPr>
          <w:rFonts w:hint="eastAsia" w:ascii="Times New Roman" w:hAnsi="Times New Roman" w:eastAsia="仿宋_GB2312" w:cs="Times New Roman"/>
          <w:b w:val="0"/>
          <w:bCs w:val="0"/>
          <w:kern w:val="2"/>
          <w:sz w:val="30"/>
          <w:szCs w:val="24"/>
          <w:lang w:val="en-US" w:eastAsia="zh-CN" w:bidi="ar-SA"/>
        </w:rPr>
        <w:t>。</w:t>
      </w:r>
    </w:p>
    <w:p>
      <w:pPr>
        <w:pageBreakBefore w:val="0"/>
        <w:kinsoku/>
        <w:wordWrap/>
        <w:overflowPunct/>
        <w:topLinePunct w:val="0"/>
        <w:autoSpaceDE/>
        <w:autoSpaceDN/>
        <w:bidi w:val="0"/>
        <w:adjustRightInd/>
        <w:snapToGrid/>
        <w:spacing w:line="560" w:lineRule="exact"/>
        <w:ind w:firstLine="602" w:firstLineChars="200"/>
        <w:textAlignment w:val="auto"/>
        <w:rPr>
          <w:rFonts w:hint="eastAsia"/>
          <w:b/>
          <w:bCs/>
          <w:color w:val="auto"/>
          <w:highlight w:val="none"/>
          <w:lang w:val="en-US" w:eastAsia="zh-CN"/>
        </w:rPr>
      </w:pPr>
      <w:bookmarkStart w:id="13" w:name="_Toc68703839"/>
      <w:r>
        <w:rPr>
          <w:rFonts w:hint="eastAsia"/>
          <w:b/>
          <w:bCs/>
          <w:color w:val="auto"/>
          <w:highlight w:val="none"/>
          <w:lang w:val="en-US" w:eastAsia="zh-CN"/>
        </w:rPr>
        <w:t>（二）项目过程情况。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预算资金51577万元，实际到位资金51577万元，资金到位率100%。</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此项权重分5分，得分5分。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年初预算数51577万元，全年预算数51577万元，全年执行数51577万元，预算执行率为100%。</w:t>
      </w:r>
    </w:p>
    <w:p>
      <w:pPr>
        <w:pStyle w:val="11"/>
        <w:pageBreakBefore w:val="0"/>
        <w:kinsoku/>
        <w:wordWrap/>
        <w:overflowPunct/>
        <w:topLinePunct w:val="0"/>
        <w:autoSpaceDN/>
        <w:bidi w:val="0"/>
        <w:adjustRightInd/>
        <w:snapToGrid/>
        <w:spacing w:line="560" w:lineRule="exact"/>
        <w:ind w:firstLine="600" w:firstLineChars="200"/>
        <w:jc w:val="left"/>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2023年城乡居民基本医疗保险财政补助资金（中央、自治区、自治州）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根据绩效相关管理办法，对财政资金进行严格管理，做到专款专用，2023年城乡居民基本医疗保险财政补助资金（中央、自治区、自治州）项目资金的使用符合相关的财务管理制度规定，能够反映和考核该项目资金的规范运行情况；项目实施单位的财务和业务管理制度健全，能够反映和考核财务和业务管理制度对项目顺利实施的保障情况。</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此项权重分2分，得分2分。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lang w:val="en-US" w:eastAsia="zh-CN"/>
        </w:rPr>
        <w:t>2023年城乡居民基本医疗保险财政补助（中央、自治区、自治州）项目</w:t>
      </w:r>
      <w:r>
        <w:rPr>
          <w:rFonts w:hint="eastAsia"/>
          <w:color w:val="auto"/>
        </w:rPr>
        <w:t>遵守相关法律法规和相关管理规定</w:t>
      </w:r>
      <w:r>
        <w:rPr>
          <w:rFonts w:hint="eastAsia"/>
          <w:color w:val="auto"/>
          <w:lang w:eastAsia="zh-CN"/>
        </w:rPr>
        <w:t>，</w:t>
      </w:r>
      <w:r>
        <w:rPr>
          <w:rFonts w:hint="eastAsia"/>
          <w:color w:val="auto"/>
        </w:rPr>
        <w:t>项目调整及支出调整手续完备</w:t>
      </w:r>
      <w:r>
        <w:rPr>
          <w:rFonts w:hint="eastAsia"/>
          <w:color w:val="auto"/>
          <w:lang w:eastAsia="zh-CN"/>
        </w:rPr>
        <w:t>，</w:t>
      </w:r>
      <w:r>
        <w:rPr>
          <w:rFonts w:hint="eastAsia"/>
          <w:color w:val="auto"/>
        </w:rPr>
        <w:t>项目资料</w:t>
      </w:r>
      <w:r>
        <w:rPr>
          <w:rFonts w:hint="eastAsia"/>
          <w:color w:val="auto"/>
          <w:lang w:val="en-US" w:eastAsia="zh-CN"/>
        </w:rPr>
        <w:t>齐全并及时归档，项目实施落实到位。</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lang w:val="en-US" w:eastAsia="zh-CN"/>
        </w:rPr>
        <w:t>此项权重分5分，得分5分。</w:t>
      </w:r>
    </w:p>
    <w:p>
      <w:pPr>
        <w:pageBreakBefore w:val="0"/>
        <w:kinsoku/>
        <w:wordWrap/>
        <w:overflowPunct/>
        <w:topLinePunct w:val="0"/>
        <w:autoSpaceDE/>
        <w:autoSpaceDN/>
        <w:bidi w:val="0"/>
        <w:adjustRightInd/>
        <w:snapToGrid/>
        <w:spacing w:line="560" w:lineRule="exact"/>
        <w:ind w:firstLine="602" w:firstLineChars="200"/>
        <w:textAlignment w:val="auto"/>
        <w:rPr>
          <w:rFonts w:hint="eastAsia" w:ascii="仿宋_GB2312" w:eastAsia="仿宋_GB2312"/>
          <w:b/>
          <w:bCs/>
          <w:color w:val="auto"/>
          <w:highlight w:val="none"/>
        </w:rPr>
      </w:pPr>
      <w:bookmarkStart w:id="14" w:name="_Toc68703840"/>
      <w:r>
        <w:rPr>
          <w:rFonts w:hint="eastAsia"/>
          <w:b/>
          <w:bCs/>
          <w:color w:val="auto"/>
          <w:highlight w:val="none"/>
          <w:lang w:val="en-US" w:eastAsia="zh-CN"/>
        </w:rPr>
        <w:t>（三）</w:t>
      </w:r>
      <w:r>
        <w:rPr>
          <w:rFonts w:hint="eastAsia" w:ascii="仿宋_GB2312" w:eastAsia="仿宋_GB2312"/>
          <w:b/>
          <w:bCs/>
          <w:color w:val="auto"/>
          <w:highlight w:val="none"/>
        </w:rPr>
        <w:t>项目产出情况。</w:t>
      </w:r>
      <w:bookmarkEnd w:id="1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textAlignment w:val="auto"/>
        <w:rPr>
          <w:rFonts w:hint="eastAsia"/>
          <w:b/>
          <w:bCs/>
          <w:color w:val="auto"/>
        </w:rPr>
      </w:pPr>
      <w:r>
        <w:rPr>
          <w:rFonts w:hint="eastAsia"/>
          <w:b/>
          <w:bCs/>
          <w:color w:val="auto"/>
          <w:lang w:val="en-US" w:eastAsia="zh-CN"/>
        </w:rPr>
        <w:t>1.</w:t>
      </w:r>
      <w:r>
        <w:rPr>
          <w:rFonts w:hint="eastAsia"/>
          <w:b/>
          <w:bCs/>
          <w:color w:val="auto"/>
        </w:rPr>
        <w:t>数量指标</w:t>
      </w:r>
      <w:r>
        <w:rPr>
          <w:rFonts w:hint="eastAsia"/>
          <w:b/>
          <w:bCs/>
          <w:color w:val="auto"/>
          <w:lang w:eastAsia="zh-CN"/>
        </w:rPr>
        <w:t>完成情况</w:t>
      </w:r>
      <w:r>
        <w:rPr>
          <w:rFonts w:hint="eastAsia"/>
          <w:b/>
          <w:bCs/>
          <w:color w:val="auto"/>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a.参保人数，指标值</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≥83.29万人，实际完成</w:t>
      </w:r>
      <w:r>
        <w:rPr>
          <w:rFonts w:hint="eastAsia" w:cs="Times New Roman"/>
          <w:b w:val="0"/>
          <w:bCs w:val="0"/>
          <w:kern w:val="2"/>
          <w:sz w:val="30"/>
          <w:szCs w:val="24"/>
          <w:lang w:val="en-US" w:eastAsia="zh-CN" w:bidi="ar-SA"/>
        </w:rPr>
        <w:t>值：81.48万人</w:t>
      </w:r>
      <w:r>
        <w:rPr>
          <w:rFonts w:hint="eastAsia" w:ascii="Times New Roman" w:hAnsi="Times New Roman" w:eastAsia="仿宋_GB2312" w:cs="Times New Roman"/>
          <w:b w:val="0"/>
          <w:bCs w:val="0"/>
          <w:kern w:val="2"/>
          <w:sz w:val="30"/>
          <w:szCs w:val="24"/>
          <w:lang w:val="en-US" w:eastAsia="zh-CN" w:bidi="ar-SA"/>
        </w:rPr>
        <w:t>，指标完成率</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97.83%，偏差率</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2.17%。</w:t>
      </w:r>
      <w:r>
        <w:rPr>
          <w:rFonts w:hint="eastAsia" w:cs="Times New Roman"/>
          <w:b w:val="0"/>
          <w:bCs w:val="0"/>
          <w:kern w:val="2"/>
          <w:sz w:val="30"/>
          <w:szCs w:val="24"/>
          <w:lang w:val="en-US" w:eastAsia="zh-CN" w:bidi="ar-SA"/>
        </w:rPr>
        <w:t>偏差原因：2023年，根据《医疗保障统计调查制度》，我州剔除了暂停6个月以上居民参保人数2万余人，故2023年参保人数减少。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b.各级财政</w:t>
      </w:r>
      <w:r>
        <w:rPr>
          <w:rFonts w:hint="eastAsia" w:cs="Times New Roman"/>
          <w:b w:val="0"/>
          <w:bCs w:val="0"/>
          <w:kern w:val="2"/>
          <w:sz w:val="30"/>
          <w:szCs w:val="24"/>
          <w:lang w:val="en-US" w:eastAsia="zh-CN" w:bidi="ar-SA"/>
        </w:rPr>
        <w:t>实际</w:t>
      </w:r>
      <w:r>
        <w:rPr>
          <w:rFonts w:hint="eastAsia" w:ascii="Times New Roman" w:hAnsi="Times New Roman" w:eastAsia="仿宋_GB2312" w:cs="Times New Roman"/>
          <w:b w:val="0"/>
          <w:bCs w:val="0"/>
          <w:kern w:val="2"/>
          <w:sz w:val="30"/>
          <w:szCs w:val="24"/>
          <w:lang w:val="en-US" w:eastAsia="zh-CN" w:bidi="ar-SA"/>
        </w:rPr>
        <w:t>补助，</w:t>
      </w:r>
      <w:r>
        <w:rPr>
          <w:rFonts w:hint="eastAsia" w:cs="Times New Roman"/>
          <w:b w:val="0"/>
          <w:bCs w:val="0"/>
          <w:kern w:val="2"/>
          <w:sz w:val="30"/>
          <w:szCs w:val="24"/>
          <w:lang w:val="en-US" w:eastAsia="zh-CN" w:bidi="ar-SA"/>
        </w:rPr>
        <w:t>指标值：</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618.8元/人，</w:t>
      </w:r>
      <w:r>
        <w:rPr>
          <w:rFonts w:hint="eastAsia" w:ascii="Times New Roman" w:hAnsi="Times New Roman" w:eastAsia="仿宋_GB2312" w:cs="Times New Roman"/>
          <w:b w:val="0"/>
          <w:bCs w:val="0"/>
          <w:kern w:val="2"/>
          <w:sz w:val="30"/>
          <w:szCs w:val="24"/>
          <w:lang w:val="en-US" w:eastAsia="zh-CN" w:bidi="ar-SA"/>
        </w:rPr>
        <w:t>实际完成</w:t>
      </w:r>
      <w:r>
        <w:rPr>
          <w:rFonts w:hint="eastAsia" w:cs="Times New Roman"/>
          <w:b w:val="0"/>
          <w:bCs w:val="0"/>
          <w:kern w:val="2"/>
          <w:sz w:val="30"/>
          <w:szCs w:val="24"/>
          <w:lang w:val="en-US" w:eastAsia="zh-CN" w:bidi="ar-SA"/>
        </w:rPr>
        <w:t>值：618.8元/人，指标</w:t>
      </w:r>
      <w:r>
        <w:rPr>
          <w:rFonts w:hint="eastAsia" w:ascii="Times New Roman" w:hAnsi="Times New Roman" w:eastAsia="仿宋_GB2312" w:cs="Times New Roman"/>
          <w:b w:val="0"/>
          <w:bCs w:val="0"/>
          <w:kern w:val="2"/>
          <w:sz w:val="30"/>
          <w:szCs w:val="24"/>
          <w:lang w:val="en-US" w:eastAsia="zh-CN" w:bidi="ar-SA"/>
        </w:rPr>
        <w:t>完成率</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100%，无偏差。</w:t>
      </w:r>
    </w:p>
    <w:p>
      <w:pPr>
        <w:keepNext w:val="0"/>
        <w:keepLines w:val="0"/>
        <w:pageBreakBefore w:val="0"/>
        <w:widowControl w:val="0"/>
        <w:kinsoku/>
        <w:wordWrap/>
        <w:overflowPunct/>
        <w:topLinePunct w:val="0"/>
        <w:autoSpaceDE/>
        <w:autoSpaceDN/>
        <w:bidi w:val="0"/>
        <w:adjustRightInd/>
        <w:snapToGrid/>
        <w:spacing w:line="560" w:lineRule="exact"/>
        <w:ind w:firstLine="641" w:firstLineChars="0"/>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c.个人缴费标准，指标值</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400元/人</w:t>
      </w:r>
      <w:r>
        <w:rPr>
          <w:rFonts w:hint="eastAsia" w:ascii="Times New Roman" w:hAnsi="Times New Roman" w:eastAsia="仿宋_GB2312" w:cs="Times New Roman"/>
          <w:b w:val="0"/>
          <w:bCs w:val="0"/>
          <w:kern w:val="2"/>
          <w:sz w:val="30"/>
          <w:szCs w:val="24"/>
          <w:lang w:val="en-US" w:eastAsia="zh-CN" w:bidi="ar-SA"/>
        </w:rPr>
        <w:t>。实际完成</w:t>
      </w:r>
      <w:r>
        <w:rPr>
          <w:rFonts w:hint="eastAsia" w:cs="Times New Roman"/>
          <w:b w:val="0"/>
          <w:bCs w:val="0"/>
          <w:kern w:val="2"/>
          <w:sz w:val="30"/>
          <w:szCs w:val="24"/>
          <w:lang w:val="en-US" w:eastAsia="zh-CN" w:bidi="ar-SA"/>
        </w:rPr>
        <w:t>值：400元/人，指标</w:t>
      </w:r>
      <w:r>
        <w:rPr>
          <w:rFonts w:hint="eastAsia" w:ascii="Times New Roman" w:hAnsi="Times New Roman" w:eastAsia="仿宋_GB2312" w:cs="Times New Roman"/>
          <w:b w:val="0"/>
          <w:bCs w:val="0"/>
          <w:kern w:val="2"/>
          <w:sz w:val="30"/>
          <w:szCs w:val="24"/>
          <w:lang w:val="en-US" w:eastAsia="zh-CN" w:bidi="ar-SA"/>
        </w:rPr>
        <w:t>完成率</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100%，无偏差</w:t>
      </w:r>
      <w:r>
        <w:rPr>
          <w:rFonts w:hint="eastAsia" w:cs="Times New Roman"/>
          <w:b w:val="0"/>
          <w:bCs w:val="0"/>
          <w:kern w:val="2"/>
          <w:sz w:val="30"/>
          <w:szCs w:val="24"/>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641" w:firstLineChars="0"/>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此项权重分10分，得分9.5分。</w:t>
      </w:r>
    </w:p>
    <w:p>
      <w:pPr>
        <w:pageBreakBefore w:val="0"/>
        <w:widowControl w:val="0"/>
        <w:numPr>
          <w:ilvl w:val="0"/>
          <w:numId w:val="0"/>
        </w:numPr>
        <w:kinsoku/>
        <w:wordWrap/>
        <w:overflowPunct/>
        <w:topLinePunct w:val="0"/>
        <w:autoSpaceDN/>
        <w:bidi w:val="0"/>
        <w:adjustRightInd/>
        <w:snapToGrid/>
        <w:spacing w:line="560" w:lineRule="exact"/>
        <w:ind w:leftChars="200"/>
        <w:textAlignment w:val="auto"/>
        <w:rPr>
          <w:rFonts w:hint="eastAsia"/>
          <w:b/>
          <w:bCs/>
          <w:color w:val="auto"/>
          <w:lang w:val="en-US" w:eastAsia="zh-CN"/>
        </w:rPr>
      </w:pPr>
      <w:r>
        <w:rPr>
          <w:rFonts w:hint="eastAsia"/>
          <w:b/>
          <w:bCs/>
          <w:color w:val="auto"/>
          <w:lang w:val="en-US" w:eastAsia="zh-CN"/>
        </w:rPr>
        <w:t>2.质</w:t>
      </w:r>
      <w:r>
        <w:rPr>
          <w:rFonts w:hint="eastAsia"/>
          <w:color w:val="auto"/>
          <w:lang w:val="en-US" w:eastAsia="zh-CN"/>
        </w:rPr>
        <w:t>量指</w:t>
      </w:r>
      <w:r>
        <w:rPr>
          <w:rFonts w:hint="eastAsia"/>
          <w:b/>
          <w:bCs/>
          <w:color w:val="auto"/>
          <w:lang w:val="en-US" w:eastAsia="zh-CN"/>
        </w:rPr>
        <w:t>标完成情况：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a.以户籍人口数为基数计算的基本医保综合参保率，指标值</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≥95%，实际完成</w:t>
      </w:r>
      <w:r>
        <w:rPr>
          <w:rFonts w:hint="eastAsia" w:cs="Times New Roman"/>
          <w:b w:val="0"/>
          <w:bCs w:val="0"/>
          <w:kern w:val="2"/>
          <w:sz w:val="30"/>
          <w:szCs w:val="24"/>
          <w:lang w:val="en-US" w:eastAsia="zh-CN" w:bidi="ar-SA"/>
        </w:rPr>
        <w:t>值：106.10%</w:t>
      </w:r>
      <w:r>
        <w:rPr>
          <w:rFonts w:hint="eastAsia" w:ascii="Times New Roman" w:hAnsi="Times New Roman" w:eastAsia="仿宋_GB2312" w:cs="Times New Roman"/>
          <w:b w:val="0"/>
          <w:bCs w:val="0"/>
          <w:kern w:val="2"/>
          <w:sz w:val="30"/>
          <w:szCs w:val="24"/>
          <w:lang w:val="en-US" w:eastAsia="zh-CN" w:bidi="ar-SA"/>
        </w:rPr>
        <w:t>，指标完成率</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111.68%，偏差率</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11.68%。</w:t>
      </w:r>
      <w:r>
        <w:rPr>
          <w:rFonts w:hint="eastAsia" w:cs="Times New Roman"/>
          <w:b w:val="0"/>
          <w:bCs w:val="0"/>
          <w:kern w:val="2"/>
          <w:sz w:val="30"/>
          <w:szCs w:val="24"/>
          <w:lang w:val="en-US" w:eastAsia="zh-CN" w:bidi="ar-SA"/>
        </w:rPr>
        <w:t>偏差原因：根据2023年我州户籍人口数为基数计算，加之宣传医保政策力度持续加强，以此项口径计算的综合参保率较高。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b.以常住人口为基数计算的基本医保综合参保率，指标值</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≥90%，指标完成值</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96.06%，指标完成率</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106.73%，偏差率</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6.73%。</w:t>
      </w:r>
      <w:r>
        <w:rPr>
          <w:rFonts w:hint="eastAsia" w:cs="Times New Roman"/>
          <w:b w:val="0"/>
          <w:bCs w:val="0"/>
          <w:kern w:val="2"/>
          <w:sz w:val="30"/>
          <w:szCs w:val="24"/>
          <w:lang w:val="en-US" w:eastAsia="zh-CN" w:bidi="ar-SA"/>
        </w:rPr>
        <w:t>偏差原因：根据我州常住人口数为基数计算，加之宣传医保政策力度持续加强，以此项口径计算的综合参保率较高。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 xml:space="preserve"> c.重复参保人数，指标值</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=0人，实际完成</w:t>
      </w:r>
      <w:r>
        <w:rPr>
          <w:rFonts w:hint="eastAsia" w:cs="Times New Roman"/>
          <w:b w:val="0"/>
          <w:bCs w:val="0"/>
          <w:kern w:val="2"/>
          <w:sz w:val="30"/>
          <w:szCs w:val="24"/>
          <w:lang w:val="en-US" w:eastAsia="zh-CN" w:bidi="ar-SA"/>
        </w:rPr>
        <w:t>值0人</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指标</w:t>
      </w:r>
      <w:r>
        <w:rPr>
          <w:rFonts w:hint="eastAsia" w:ascii="Times New Roman" w:hAnsi="Times New Roman" w:eastAsia="仿宋_GB2312" w:cs="Times New Roman"/>
          <w:b w:val="0"/>
          <w:bCs w:val="0"/>
          <w:kern w:val="2"/>
          <w:sz w:val="30"/>
          <w:szCs w:val="24"/>
          <w:lang w:val="en-US" w:eastAsia="zh-CN" w:bidi="ar-SA"/>
        </w:rPr>
        <w:t>完成率100%，无偏差</w:t>
      </w:r>
      <w:r>
        <w:rPr>
          <w:rFonts w:hint="eastAsia" w:cs="Times New Roman"/>
          <w:b w:val="0"/>
          <w:bCs w:val="0"/>
          <w:kern w:val="2"/>
          <w:sz w:val="30"/>
          <w:szCs w:val="24"/>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cs="Times New Roman"/>
          <w:b w:val="0"/>
          <w:bCs w:val="0"/>
          <w:kern w:val="2"/>
          <w:sz w:val="30"/>
          <w:szCs w:val="24"/>
          <w:lang w:val="en-US" w:eastAsia="zh-CN" w:bidi="ar-SA"/>
        </w:rPr>
        <w:t>d.</w:t>
      </w:r>
      <w:r>
        <w:rPr>
          <w:rFonts w:hint="eastAsia" w:ascii="Times New Roman" w:hAnsi="Times New Roman" w:eastAsia="仿宋_GB2312" w:cs="Times New Roman"/>
          <w:b w:val="0"/>
          <w:bCs w:val="0"/>
          <w:kern w:val="2"/>
          <w:sz w:val="30"/>
          <w:szCs w:val="24"/>
          <w:lang w:val="en-US" w:eastAsia="zh-CN" w:bidi="ar-SA"/>
        </w:rPr>
        <w:t>虚报参保人数，指标值=0人，实际完成</w:t>
      </w:r>
      <w:r>
        <w:rPr>
          <w:rFonts w:hint="eastAsia" w:cs="Times New Roman"/>
          <w:b w:val="0"/>
          <w:bCs w:val="0"/>
          <w:kern w:val="2"/>
          <w:sz w:val="30"/>
          <w:szCs w:val="24"/>
          <w:lang w:val="en-US" w:eastAsia="zh-CN" w:bidi="ar-SA"/>
        </w:rPr>
        <w:t>值0人</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指标</w:t>
      </w:r>
      <w:r>
        <w:rPr>
          <w:rFonts w:hint="eastAsia" w:ascii="Times New Roman" w:hAnsi="Times New Roman" w:eastAsia="仿宋_GB2312" w:cs="Times New Roman"/>
          <w:b w:val="0"/>
          <w:bCs w:val="0"/>
          <w:kern w:val="2"/>
          <w:sz w:val="30"/>
          <w:szCs w:val="24"/>
          <w:lang w:val="en-US" w:eastAsia="zh-CN" w:bidi="ar-SA"/>
        </w:rPr>
        <w:t>完成率100%，无偏差</w:t>
      </w:r>
      <w:r>
        <w:rPr>
          <w:rFonts w:hint="eastAsia" w:cs="Times New Roman"/>
          <w:b w:val="0"/>
          <w:bCs w:val="0"/>
          <w:kern w:val="2"/>
          <w:sz w:val="30"/>
          <w:szCs w:val="24"/>
          <w:lang w:val="en-US" w:eastAsia="zh-CN" w:bidi="ar-SA"/>
        </w:rPr>
        <w:t>。</w:t>
      </w:r>
    </w:p>
    <w:p>
      <w:pPr>
        <w:pageBreakBefore w:val="0"/>
        <w:widowControl w:val="0"/>
        <w:numPr>
          <w:ilvl w:val="0"/>
          <w:numId w:val="0"/>
        </w:numPr>
        <w:kinsoku/>
        <w:wordWrap/>
        <w:overflowPunct/>
        <w:topLinePunct w:val="0"/>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cs="Times New Roman"/>
          <w:b w:val="0"/>
          <w:bCs w:val="0"/>
          <w:kern w:val="2"/>
          <w:sz w:val="30"/>
          <w:szCs w:val="24"/>
          <w:lang w:val="en-US" w:eastAsia="zh-CN" w:bidi="ar-SA"/>
        </w:rPr>
        <w:t>e.</w:t>
      </w:r>
      <w:r>
        <w:rPr>
          <w:rFonts w:hint="eastAsia" w:ascii="Times New Roman" w:hAnsi="Times New Roman" w:eastAsia="仿宋_GB2312" w:cs="Times New Roman"/>
          <w:b w:val="0"/>
          <w:bCs w:val="0"/>
          <w:kern w:val="2"/>
          <w:sz w:val="30"/>
          <w:szCs w:val="24"/>
          <w:lang w:val="en-US" w:eastAsia="zh-CN" w:bidi="ar-SA"/>
        </w:rPr>
        <w:t>参保人政策范围内住院费用报销比例，指标值</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68</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实际完成值：68.68%，指标</w:t>
      </w:r>
      <w:r>
        <w:rPr>
          <w:rFonts w:hint="eastAsia" w:ascii="Times New Roman" w:hAnsi="Times New Roman" w:eastAsia="仿宋_GB2312" w:cs="Times New Roman"/>
          <w:b w:val="0"/>
          <w:bCs w:val="0"/>
          <w:kern w:val="2"/>
          <w:sz w:val="30"/>
          <w:szCs w:val="24"/>
          <w:lang w:val="en-US" w:eastAsia="zh-CN" w:bidi="ar-SA"/>
        </w:rPr>
        <w:t>完成率10</w:t>
      </w:r>
      <w:r>
        <w:rPr>
          <w:rFonts w:hint="eastAsia" w:cs="Times New Roman"/>
          <w:b w:val="0"/>
          <w:bCs w:val="0"/>
          <w:kern w:val="2"/>
          <w:sz w:val="30"/>
          <w:szCs w:val="24"/>
          <w:lang w:val="en-US" w:eastAsia="zh-CN" w:bidi="ar-SA"/>
        </w:rPr>
        <w:t>1</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偏差率：1%，</w:t>
      </w:r>
      <w:r>
        <w:rPr>
          <w:rFonts w:hint="eastAsia" w:ascii="Times New Roman" w:hAnsi="Times New Roman" w:eastAsia="仿宋_GB2312" w:cs="Times New Roman"/>
          <w:b w:val="0"/>
          <w:bCs w:val="0"/>
          <w:kern w:val="2"/>
          <w:sz w:val="30"/>
          <w:szCs w:val="24"/>
          <w:lang w:val="en-US" w:eastAsia="zh-CN" w:bidi="ar-SA"/>
        </w:rPr>
        <w:t>偏差</w:t>
      </w:r>
      <w:r>
        <w:rPr>
          <w:rFonts w:hint="eastAsia" w:cs="Times New Roman"/>
          <w:b w:val="0"/>
          <w:bCs w:val="0"/>
          <w:kern w:val="2"/>
          <w:sz w:val="30"/>
          <w:szCs w:val="24"/>
          <w:lang w:val="en-US" w:eastAsia="zh-CN" w:bidi="ar-SA"/>
        </w:rPr>
        <w:t>原因：因该项数据为大量分数据的平均值，故有所偏差</w:t>
      </w:r>
      <w:r>
        <w:rPr>
          <w:rFonts w:hint="eastAsia" w:ascii="Times New Roman" w:hAnsi="Times New Roman" w:eastAsia="仿宋_GB2312" w:cs="Times New Roman"/>
          <w:b w:val="0"/>
          <w:bCs w:val="0"/>
          <w:kern w:val="2"/>
          <w:sz w:val="30"/>
          <w:szCs w:val="24"/>
          <w:lang w:val="en-US" w:eastAsia="zh-CN" w:bidi="ar-SA"/>
        </w:rPr>
        <w:t>。</w:t>
      </w:r>
    </w:p>
    <w:p>
      <w:pPr>
        <w:pageBreakBefore w:val="0"/>
        <w:widowControl w:val="0"/>
        <w:numPr>
          <w:ilvl w:val="0"/>
          <w:numId w:val="0"/>
        </w:numPr>
        <w:kinsoku/>
        <w:wordWrap/>
        <w:overflowPunct/>
        <w:topLinePunct w:val="0"/>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eastAsia" w:cs="Times New Roman"/>
          <w:b w:val="0"/>
          <w:bCs w:val="0"/>
          <w:kern w:val="2"/>
          <w:sz w:val="30"/>
          <w:szCs w:val="24"/>
          <w:lang w:val="en-US" w:eastAsia="zh-CN" w:bidi="ar-SA"/>
        </w:rPr>
        <w:t>f.</w:t>
      </w:r>
      <w:r>
        <w:rPr>
          <w:rFonts w:hint="eastAsia" w:ascii="Times New Roman" w:hAnsi="Times New Roman" w:eastAsia="仿宋_GB2312" w:cs="Times New Roman"/>
          <w:b w:val="0"/>
          <w:bCs w:val="0"/>
          <w:kern w:val="2"/>
          <w:sz w:val="30"/>
          <w:szCs w:val="24"/>
          <w:lang w:val="en-US" w:eastAsia="zh-CN" w:bidi="ar-SA"/>
        </w:rPr>
        <w:t>参保人住院费用实际报销比例，指标值</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60</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实际完成值：</w:t>
      </w:r>
      <w:r>
        <w:rPr>
          <w:rFonts w:hint="eastAsia" w:ascii="Times New Roman" w:hAnsi="Times New Roman" w:eastAsia="仿宋_GB2312" w:cs="Times New Roman"/>
          <w:b w:val="0"/>
          <w:bCs w:val="0"/>
          <w:kern w:val="2"/>
          <w:sz w:val="30"/>
          <w:szCs w:val="24"/>
          <w:lang w:val="en-US" w:eastAsia="zh-CN" w:bidi="ar-SA"/>
        </w:rPr>
        <w:t>6</w:t>
      </w:r>
      <w:r>
        <w:rPr>
          <w:rFonts w:hint="eastAsia" w:cs="Times New Roman"/>
          <w:b w:val="0"/>
          <w:bCs w:val="0"/>
          <w:kern w:val="2"/>
          <w:sz w:val="30"/>
          <w:szCs w:val="24"/>
          <w:lang w:val="en-US" w:eastAsia="zh-CN" w:bidi="ar-SA"/>
        </w:rPr>
        <w:t>3.85</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指标</w:t>
      </w:r>
      <w:r>
        <w:rPr>
          <w:rFonts w:hint="eastAsia" w:ascii="Times New Roman" w:hAnsi="Times New Roman" w:eastAsia="仿宋_GB2312" w:cs="Times New Roman"/>
          <w:b w:val="0"/>
          <w:bCs w:val="0"/>
          <w:kern w:val="2"/>
          <w:sz w:val="30"/>
          <w:szCs w:val="24"/>
          <w:lang w:val="en-US" w:eastAsia="zh-CN" w:bidi="ar-SA"/>
        </w:rPr>
        <w:t>完成率10</w:t>
      </w:r>
      <w:r>
        <w:rPr>
          <w:rFonts w:hint="eastAsia" w:cs="Times New Roman"/>
          <w:b w:val="0"/>
          <w:bCs w:val="0"/>
          <w:kern w:val="2"/>
          <w:sz w:val="30"/>
          <w:szCs w:val="24"/>
          <w:lang w:val="en-US" w:eastAsia="zh-CN" w:bidi="ar-SA"/>
        </w:rPr>
        <w:t>6.42</w:t>
      </w:r>
      <w:r>
        <w:rPr>
          <w:rFonts w:hint="eastAsia" w:ascii="Times New Roman" w:hAnsi="Times New Roman" w:eastAsia="仿宋_GB2312" w:cs="Times New Roman"/>
          <w:b w:val="0"/>
          <w:bCs w:val="0"/>
          <w:kern w:val="2"/>
          <w:sz w:val="30"/>
          <w:szCs w:val="24"/>
          <w:lang w:val="en-US" w:eastAsia="zh-CN" w:bidi="ar-SA"/>
        </w:rPr>
        <w:t>%，偏差</w:t>
      </w:r>
      <w:r>
        <w:rPr>
          <w:rFonts w:hint="eastAsia" w:cs="Times New Roman"/>
          <w:b w:val="0"/>
          <w:bCs w:val="0"/>
          <w:kern w:val="2"/>
          <w:sz w:val="30"/>
          <w:szCs w:val="24"/>
          <w:lang w:val="en-US" w:eastAsia="zh-CN" w:bidi="ar-SA"/>
        </w:rPr>
        <w:t>率：6.42%，</w:t>
      </w:r>
      <w:r>
        <w:rPr>
          <w:rFonts w:hint="eastAsia" w:ascii="Times New Roman" w:hAnsi="Times New Roman" w:eastAsia="仿宋_GB2312" w:cs="Times New Roman"/>
          <w:b w:val="0"/>
          <w:bCs w:val="0"/>
          <w:kern w:val="2"/>
          <w:sz w:val="30"/>
          <w:szCs w:val="24"/>
          <w:lang w:val="en-US" w:eastAsia="zh-CN" w:bidi="ar-SA"/>
        </w:rPr>
        <w:t>偏差</w:t>
      </w:r>
      <w:r>
        <w:rPr>
          <w:rFonts w:hint="eastAsia" w:cs="Times New Roman"/>
          <w:b w:val="0"/>
          <w:bCs w:val="0"/>
          <w:kern w:val="2"/>
          <w:sz w:val="30"/>
          <w:szCs w:val="24"/>
          <w:lang w:val="en-US" w:eastAsia="zh-CN" w:bidi="ar-SA"/>
        </w:rPr>
        <w:t>原因：因该项数据为大量分数据的平均值，故有所偏差</w:t>
      </w:r>
      <w:r>
        <w:rPr>
          <w:rFonts w:hint="eastAsia" w:ascii="Times New Roman" w:hAnsi="Times New Roman" w:eastAsia="仿宋_GB2312" w:cs="Times New Roman"/>
          <w:b w:val="0"/>
          <w:bCs w:val="0"/>
          <w:kern w:val="2"/>
          <w:sz w:val="30"/>
          <w:szCs w:val="24"/>
          <w:lang w:val="en-US" w:eastAsia="zh-CN" w:bidi="ar-SA"/>
        </w:rPr>
        <w:t>。</w:t>
      </w:r>
    </w:p>
    <w:p>
      <w:pPr>
        <w:pageBreakBefore w:val="0"/>
        <w:widowControl w:val="0"/>
        <w:numPr>
          <w:ilvl w:val="0"/>
          <w:numId w:val="0"/>
        </w:numPr>
        <w:kinsoku/>
        <w:wordWrap/>
        <w:overflowPunct/>
        <w:topLinePunct w:val="0"/>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cs="Times New Roman"/>
          <w:b w:val="0"/>
          <w:bCs w:val="0"/>
          <w:kern w:val="2"/>
          <w:sz w:val="30"/>
          <w:szCs w:val="24"/>
          <w:lang w:val="en-US" w:eastAsia="zh-CN" w:bidi="ar-SA"/>
        </w:rPr>
        <w:t>g.</w:t>
      </w:r>
      <w:r>
        <w:rPr>
          <w:rFonts w:hint="eastAsia" w:ascii="Times New Roman" w:hAnsi="Times New Roman" w:eastAsia="仿宋_GB2312" w:cs="Times New Roman"/>
          <w:b w:val="0"/>
          <w:bCs w:val="0"/>
          <w:kern w:val="2"/>
          <w:sz w:val="30"/>
          <w:szCs w:val="24"/>
          <w:lang w:val="en-US" w:eastAsia="zh-CN" w:bidi="ar-SA"/>
        </w:rPr>
        <w:t>实行按病组（DRG）和病种分值（DIP）付费支付方式改革，指标值</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逐步推开，</w:t>
      </w:r>
      <w:r>
        <w:rPr>
          <w:rFonts w:hint="eastAsia" w:cs="Times New Roman"/>
          <w:b w:val="0"/>
          <w:bCs w:val="0"/>
          <w:kern w:val="2"/>
          <w:sz w:val="30"/>
          <w:szCs w:val="24"/>
          <w:lang w:val="en-US" w:eastAsia="zh-CN" w:bidi="ar-SA"/>
        </w:rPr>
        <w:t>实际完成值：达成目标，指标</w:t>
      </w:r>
      <w:r>
        <w:rPr>
          <w:rFonts w:hint="eastAsia" w:ascii="Times New Roman" w:hAnsi="Times New Roman" w:eastAsia="仿宋_GB2312" w:cs="Times New Roman"/>
          <w:b w:val="0"/>
          <w:bCs w:val="0"/>
          <w:kern w:val="2"/>
          <w:sz w:val="30"/>
          <w:szCs w:val="24"/>
          <w:lang w:val="en-US" w:eastAsia="zh-CN" w:bidi="ar-SA"/>
        </w:rPr>
        <w:t>完成率100%，无偏差。</w:t>
      </w:r>
    </w:p>
    <w:p>
      <w:pPr>
        <w:keepNext w:val="0"/>
        <w:keepLines w:val="0"/>
        <w:pageBreakBefore w:val="0"/>
        <w:widowControl w:val="0"/>
        <w:kinsoku/>
        <w:wordWrap/>
        <w:overflowPunct/>
        <w:topLinePunct w:val="0"/>
        <w:autoSpaceDE/>
        <w:autoSpaceDN/>
        <w:bidi w:val="0"/>
        <w:adjustRightInd/>
        <w:snapToGrid/>
        <w:spacing w:line="560" w:lineRule="exact"/>
        <w:ind w:firstLine="641" w:firstLineChars="0"/>
        <w:textAlignment w:val="auto"/>
        <w:rPr>
          <w:rFonts w:hint="default" w:cs="Times New Roman"/>
          <w:b w:val="0"/>
          <w:bCs w:val="0"/>
          <w:kern w:val="2"/>
          <w:sz w:val="30"/>
          <w:szCs w:val="24"/>
          <w:highlight w:val="yellow"/>
          <w:lang w:val="en-US" w:eastAsia="zh-CN" w:bidi="ar-SA"/>
        </w:rPr>
      </w:pPr>
      <w:r>
        <w:rPr>
          <w:rFonts w:hint="eastAsia" w:cs="Times New Roman"/>
          <w:b w:val="0"/>
          <w:bCs w:val="0"/>
          <w:kern w:val="2"/>
          <w:sz w:val="30"/>
          <w:szCs w:val="24"/>
          <w:lang w:val="en-US" w:eastAsia="zh-CN" w:bidi="ar-SA"/>
        </w:rPr>
        <w:t>h.基金滚存结余可支付月数（月），指标值：6-9个月，实际完成值：10.04个月，指标完成值为0%，偏差率100%。</w:t>
      </w:r>
      <w:r>
        <w:rPr>
          <w:rFonts w:hint="eastAsia" w:cs="Times New Roman"/>
          <w:b w:val="0"/>
          <w:bCs w:val="0"/>
          <w:kern w:val="2"/>
          <w:sz w:val="30"/>
          <w:szCs w:val="24"/>
          <w:highlight w:val="none"/>
          <w:lang w:val="en-US" w:eastAsia="zh-CN" w:bidi="ar-SA"/>
        </w:rPr>
        <w:t>偏差原因：因2023年终清算资金在2024年支付，故基金可支付月数略高。</w:t>
      </w:r>
    </w:p>
    <w:p>
      <w:pPr>
        <w:pageBreakBefore w:val="0"/>
        <w:widowControl w:val="0"/>
        <w:numPr>
          <w:ilvl w:val="0"/>
          <w:numId w:val="0"/>
        </w:numPr>
        <w:kinsoku/>
        <w:wordWrap/>
        <w:overflowPunct/>
        <w:topLinePunct w:val="0"/>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eastAsia" w:cs="Times New Roman"/>
          <w:b w:val="0"/>
          <w:bCs w:val="0"/>
          <w:kern w:val="2"/>
          <w:sz w:val="30"/>
          <w:szCs w:val="24"/>
          <w:lang w:val="en-US" w:eastAsia="zh-CN" w:bidi="ar-SA"/>
        </w:rPr>
        <w:t>i.</w:t>
      </w:r>
      <w:r>
        <w:rPr>
          <w:rFonts w:hint="eastAsia" w:ascii="Times New Roman" w:hAnsi="Times New Roman" w:eastAsia="仿宋_GB2312" w:cs="Times New Roman"/>
          <w:b w:val="0"/>
          <w:bCs w:val="0"/>
          <w:kern w:val="2"/>
          <w:sz w:val="30"/>
          <w:szCs w:val="24"/>
          <w:lang w:val="en-US" w:eastAsia="zh-CN" w:bidi="ar-SA"/>
        </w:rPr>
        <w:t>开展门诊统筹</w:t>
      </w:r>
      <w:r>
        <w:rPr>
          <w:rFonts w:hint="eastAsia" w:cs="Times New Roman"/>
          <w:b w:val="0"/>
          <w:bCs w:val="0"/>
          <w:kern w:val="2"/>
          <w:sz w:val="30"/>
          <w:szCs w:val="24"/>
          <w:lang w:val="en-US" w:eastAsia="zh-CN" w:bidi="ar-SA"/>
        </w:rPr>
        <w:t>，实行个人账户的，向门诊统筹过渡</w:t>
      </w:r>
      <w:r>
        <w:rPr>
          <w:rFonts w:hint="eastAsia" w:ascii="Times New Roman" w:hAnsi="Times New Roman" w:eastAsia="仿宋_GB2312" w:cs="Times New Roman"/>
          <w:b w:val="0"/>
          <w:bCs w:val="0"/>
          <w:kern w:val="2"/>
          <w:sz w:val="30"/>
          <w:szCs w:val="24"/>
          <w:lang w:val="en-US" w:eastAsia="zh-CN" w:bidi="ar-SA"/>
        </w:rPr>
        <w:t>，指标值</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普遍开展，</w:t>
      </w:r>
      <w:r>
        <w:rPr>
          <w:rFonts w:hint="eastAsia" w:cs="Times New Roman"/>
          <w:b w:val="0"/>
          <w:bCs w:val="0"/>
          <w:kern w:val="2"/>
          <w:sz w:val="30"/>
          <w:szCs w:val="24"/>
          <w:lang w:val="en-US" w:eastAsia="zh-CN" w:bidi="ar-SA"/>
        </w:rPr>
        <w:t>实际完成值：达成目标，指标完成率100%，无偏差。</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此项权重分10分，得分9分。</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b/>
          <w:bCs/>
          <w:color w:val="auto"/>
        </w:rPr>
      </w:pPr>
      <w:r>
        <w:rPr>
          <w:rFonts w:hint="eastAsia"/>
          <w:b/>
          <w:bCs/>
          <w:color w:val="auto"/>
          <w:lang w:val="en-US" w:eastAsia="zh-CN"/>
        </w:rPr>
        <w:t>3.</w:t>
      </w:r>
      <w:r>
        <w:rPr>
          <w:rFonts w:hint="eastAsia"/>
          <w:b/>
          <w:bCs/>
          <w:color w:val="auto"/>
        </w:rPr>
        <w:t>时效指标</w:t>
      </w:r>
      <w:r>
        <w:rPr>
          <w:rFonts w:hint="eastAsia"/>
          <w:b/>
          <w:bCs/>
          <w:color w:val="auto"/>
          <w:lang w:eastAsia="zh-CN"/>
        </w:rPr>
        <w:t>完成情况</w:t>
      </w:r>
      <w:r>
        <w:rPr>
          <w:rFonts w:hint="eastAsia"/>
          <w:b/>
          <w:bCs/>
          <w:color w:val="auto"/>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a.</w:t>
      </w:r>
      <w:r>
        <w:rPr>
          <w:rFonts w:hint="eastAsia" w:cs="Times New Roman"/>
          <w:b w:val="0"/>
          <w:bCs w:val="0"/>
          <w:kern w:val="2"/>
          <w:sz w:val="30"/>
          <w:szCs w:val="24"/>
          <w:lang w:val="en-US" w:eastAsia="zh-CN" w:bidi="ar-SA"/>
        </w:rPr>
        <w:t>当年各级财政补助到位率</w:t>
      </w:r>
      <w:r>
        <w:rPr>
          <w:rFonts w:hint="eastAsia" w:ascii="Times New Roman" w:hAnsi="Times New Roman" w:eastAsia="仿宋_GB2312" w:cs="Times New Roman"/>
          <w:b w:val="0"/>
          <w:bCs w:val="0"/>
          <w:kern w:val="2"/>
          <w:sz w:val="30"/>
          <w:szCs w:val="24"/>
          <w:lang w:val="en-US" w:eastAsia="zh-CN" w:bidi="ar-SA"/>
        </w:rPr>
        <w:t>，指标值</w:t>
      </w:r>
      <w:r>
        <w:rPr>
          <w:rFonts w:hint="eastAsia" w:cs="Times New Roman"/>
          <w:b w:val="0"/>
          <w:bCs w:val="0"/>
          <w:kern w:val="2"/>
          <w:sz w:val="30"/>
          <w:szCs w:val="24"/>
          <w:lang w:val="en-US" w:eastAsia="zh-CN" w:bidi="ar-SA"/>
        </w:rPr>
        <w:t>：=100%</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实际完成值：100%</w:t>
      </w:r>
      <w:r>
        <w:rPr>
          <w:rFonts w:hint="eastAsia" w:ascii="Times New Roman" w:hAnsi="Times New Roman" w:eastAsia="仿宋_GB2312" w:cs="Times New Roman"/>
          <w:b w:val="0"/>
          <w:bCs w:val="0"/>
          <w:kern w:val="2"/>
          <w:sz w:val="30"/>
          <w:szCs w:val="24"/>
          <w:lang w:val="en-US" w:eastAsia="zh-CN" w:bidi="ar-SA"/>
        </w:rPr>
        <w:t>，指标完成率</w:t>
      </w:r>
      <w:r>
        <w:rPr>
          <w:rFonts w:hint="eastAsia" w:cs="Times New Roman"/>
          <w:b w:val="0"/>
          <w:bCs w:val="0"/>
          <w:kern w:val="2"/>
          <w:sz w:val="30"/>
          <w:szCs w:val="24"/>
          <w:lang w:val="en-US" w:eastAsia="zh-CN" w:bidi="ar-SA"/>
        </w:rPr>
        <w:t>100</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无偏差</w:t>
      </w:r>
      <w:r>
        <w:rPr>
          <w:rFonts w:hint="eastAsia" w:ascii="Times New Roman" w:hAnsi="Times New Roman" w:eastAsia="仿宋_GB2312" w:cs="Times New Roman"/>
          <w:b w:val="0"/>
          <w:bCs w:val="0"/>
          <w:kern w:val="2"/>
          <w:sz w:val="30"/>
          <w:szCs w:val="24"/>
          <w:lang w:val="en-US" w:eastAsia="zh-CN" w:bidi="ar-SA"/>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lang w:val="en-US" w:eastAsia="zh-CN"/>
        </w:rPr>
      </w:pPr>
      <w:r>
        <w:rPr>
          <w:rFonts w:hint="eastAsia"/>
          <w:color w:val="auto"/>
          <w:highlight w:val="none"/>
          <w:lang w:val="en-US" w:eastAsia="zh-CN"/>
        </w:rPr>
        <w:t>此项权重分10分，得分10分。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textAlignment w:val="auto"/>
        <w:rPr>
          <w:rFonts w:hint="eastAsia"/>
          <w:b/>
          <w:bCs/>
          <w:color w:val="auto"/>
          <w:lang w:val="en-US" w:eastAsia="zh-CN"/>
        </w:rPr>
      </w:pPr>
      <w:r>
        <w:rPr>
          <w:rFonts w:hint="eastAsia"/>
          <w:b/>
          <w:bCs/>
          <w:color w:val="auto"/>
          <w:lang w:val="en-US" w:eastAsia="zh-CN"/>
        </w:rPr>
        <w:t>4.经济成本指标完成情况：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a.</w:t>
      </w:r>
      <w:r>
        <w:rPr>
          <w:rFonts w:hint="eastAsia" w:cs="Times New Roman"/>
          <w:b w:val="0"/>
          <w:bCs w:val="0"/>
          <w:kern w:val="2"/>
          <w:sz w:val="30"/>
          <w:szCs w:val="24"/>
          <w:lang w:val="en-US" w:eastAsia="zh-CN" w:bidi="ar-SA"/>
        </w:rPr>
        <w:t>城乡居民医保三级财政补贴（中央、自治区、自治州）</w:t>
      </w:r>
      <w:r>
        <w:rPr>
          <w:rFonts w:hint="eastAsia" w:ascii="Times New Roman" w:hAnsi="Times New Roman" w:eastAsia="仿宋_GB2312" w:cs="Times New Roman"/>
          <w:b w:val="0"/>
          <w:bCs w:val="0"/>
          <w:kern w:val="2"/>
          <w:sz w:val="30"/>
          <w:szCs w:val="24"/>
          <w:lang w:val="en-US" w:eastAsia="zh-CN" w:bidi="ar-SA"/>
        </w:rPr>
        <w:t>，指标值</w:t>
      </w:r>
      <w:r>
        <w:rPr>
          <w:rFonts w:hint="eastAsia" w:cs="Times New Roman"/>
          <w:b w:val="0"/>
          <w:bCs w:val="0"/>
          <w:kern w:val="2"/>
          <w:sz w:val="30"/>
          <w:szCs w:val="24"/>
          <w:lang w:val="en-US" w:eastAsia="zh-CN" w:bidi="ar-SA"/>
        </w:rPr>
        <w:t>：=51577万元</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实际完成值：51577万元</w:t>
      </w:r>
      <w:r>
        <w:rPr>
          <w:rFonts w:hint="eastAsia" w:ascii="Times New Roman" w:hAnsi="Times New Roman" w:eastAsia="仿宋_GB2312" w:cs="Times New Roman"/>
          <w:b w:val="0"/>
          <w:bCs w:val="0"/>
          <w:kern w:val="2"/>
          <w:sz w:val="30"/>
          <w:szCs w:val="24"/>
          <w:lang w:val="en-US" w:eastAsia="zh-CN" w:bidi="ar-SA"/>
        </w:rPr>
        <w:t>，指标完成率</w:t>
      </w:r>
      <w:r>
        <w:rPr>
          <w:rFonts w:hint="eastAsia" w:cs="Times New Roman"/>
          <w:b w:val="0"/>
          <w:bCs w:val="0"/>
          <w:kern w:val="2"/>
          <w:sz w:val="30"/>
          <w:szCs w:val="24"/>
          <w:lang w:val="en-US" w:eastAsia="zh-CN" w:bidi="ar-SA"/>
        </w:rPr>
        <w:t>100</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无偏差</w:t>
      </w:r>
      <w:r>
        <w:rPr>
          <w:rFonts w:hint="eastAsia" w:ascii="Times New Roman" w:hAnsi="Times New Roman" w:eastAsia="仿宋_GB2312" w:cs="Times New Roman"/>
          <w:b w:val="0"/>
          <w:bCs w:val="0"/>
          <w:kern w:val="2"/>
          <w:sz w:val="30"/>
          <w:szCs w:val="24"/>
          <w:lang w:val="en-US" w:eastAsia="zh-CN" w:bidi="ar-SA"/>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eastAsia="zh-CN"/>
        </w:rPr>
      </w:pPr>
      <w:r>
        <w:rPr>
          <w:rFonts w:hint="eastAsia"/>
          <w:color w:val="auto"/>
          <w:highlight w:val="none"/>
          <w:lang w:val="en-US" w:eastAsia="zh-CN"/>
        </w:rPr>
        <w:t>此项权重分10分，得分10分。</w:t>
      </w:r>
    </w:p>
    <w:p>
      <w:pPr>
        <w:pageBreakBefore w:val="0"/>
        <w:kinsoku/>
        <w:wordWrap/>
        <w:overflowPunct/>
        <w:topLinePunct w:val="0"/>
        <w:autoSpaceDE/>
        <w:autoSpaceDN/>
        <w:bidi w:val="0"/>
        <w:adjustRightInd/>
        <w:snapToGrid/>
        <w:spacing w:line="560" w:lineRule="exact"/>
        <w:ind w:firstLine="602" w:firstLineChars="200"/>
        <w:textAlignment w:val="auto"/>
        <w:rPr>
          <w:color w:val="auto"/>
          <w:highlight w:val="none"/>
        </w:rPr>
      </w:pPr>
      <w:bookmarkStart w:id="15" w:name="_Toc68703841"/>
      <w:r>
        <w:rPr>
          <w:rFonts w:hint="eastAsia"/>
          <w:b/>
          <w:bCs/>
          <w:color w:val="auto"/>
          <w:highlight w:val="none"/>
          <w:lang w:val="en-US" w:eastAsia="zh-CN"/>
        </w:rPr>
        <w:t>（四）项目效益情况。</w:t>
      </w:r>
      <w:bookmarkEnd w:id="1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textAlignment w:val="auto"/>
        <w:rPr>
          <w:rFonts w:hint="eastAsia"/>
          <w:b/>
          <w:bCs/>
          <w:color w:val="auto"/>
          <w:lang w:val="en-US" w:eastAsia="zh-CN"/>
        </w:rPr>
      </w:pPr>
      <w:r>
        <w:rPr>
          <w:rFonts w:hint="eastAsia"/>
          <w:b/>
          <w:bCs/>
          <w:color w:val="auto"/>
          <w:lang w:val="en-US" w:eastAsia="zh-CN"/>
        </w:rPr>
        <w:t>1.社会效益指标完成情况：</w:t>
      </w:r>
    </w:p>
    <w:p>
      <w:pPr>
        <w:pageBreakBefore w:val="0"/>
        <w:kinsoku/>
        <w:wordWrap/>
        <w:topLinePunct w:val="0"/>
        <w:autoSpaceDE w:val="0"/>
        <w:autoSpaceDN/>
        <w:bidi w:val="0"/>
        <w:adjustRightInd/>
        <w:snapToGrid/>
        <w:spacing w:line="600" w:lineRule="exact"/>
        <w:ind w:right="0" w:righ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a.</w:t>
      </w:r>
      <w:r>
        <w:rPr>
          <w:rFonts w:hint="eastAsia" w:cs="Times New Roman"/>
          <w:b w:val="0"/>
          <w:bCs w:val="0"/>
          <w:kern w:val="2"/>
          <w:sz w:val="30"/>
          <w:szCs w:val="24"/>
          <w:lang w:val="en-US" w:eastAsia="zh-CN" w:bidi="ar-SA"/>
        </w:rPr>
        <w:t>减轻参保人员就医经济负担</w:t>
      </w:r>
      <w:r>
        <w:rPr>
          <w:rFonts w:hint="eastAsia" w:ascii="Times New Roman" w:hAnsi="Times New Roman" w:eastAsia="仿宋_GB2312" w:cs="Times New Roman"/>
          <w:b w:val="0"/>
          <w:bCs w:val="0"/>
          <w:kern w:val="2"/>
          <w:sz w:val="30"/>
          <w:szCs w:val="24"/>
          <w:lang w:val="en-US" w:eastAsia="zh-CN" w:bidi="ar-SA"/>
        </w:rPr>
        <w:t>，指标值</w:t>
      </w:r>
      <w:r>
        <w:rPr>
          <w:rFonts w:hint="eastAsia" w:cs="Times New Roman"/>
          <w:b w:val="0"/>
          <w:bCs w:val="0"/>
          <w:kern w:val="2"/>
          <w:sz w:val="30"/>
          <w:szCs w:val="24"/>
          <w:lang w:val="en-US" w:eastAsia="zh-CN" w:bidi="ar-SA"/>
        </w:rPr>
        <w:t>：成效明显</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实际完成值：达成目标，</w:t>
      </w:r>
      <w:r>
        <w:rPr>
          <w:rFonts w:hint="eastAsia" w:ascii="Times New Roman" w:hAnsi="Times New Roman" w:eastAsia="仿宋_GB2312" w:cs="Times New Roman"/>
          <w:b w:val="0"/>
          <w:bCs w:val="0"/>
          <w:kern w:val="2"/>
          <w:sz w:val="30"/>
          <w:szCs w:val="24"/>
          <w:lang w:val="en-US" w:eastAsia="zh-CN" w:bidi="ar-SA"/>
        </w:rPr>
        <w:t>指标完成率</w:t>
      </w:r>
      <w:r>
        <w:rPr>
          <w:rFonts w:hint="eastAsia" w:cs="Times New Roman"/>
          <w:b w:val="0"/>
          <w:bCs w:val="0"/>
          <w:kern w:val="2"/>
          <w:sz w:val="30"/>
          <w:szCs w:val="24"/>
          <w:lang w:val="en-US" w:eastAsia="zh-CN" w:bidi="ar-SA"/>
        </w:rPr>
        <w:t>100</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无偏差</w:t>
      </w:r>
      <w:r>
        <w:rPr>
          <w:rFonts w:hint="eastAsia" w:ascii="Times New Roman" w:hAnsi="Times New Roman" w:eastAsia="仿宋_GB2312" w:cs="Times New Roman"/>
          <w:b w:val="0"/>
          <w:bCs w:val="0"/>
          <w:kern w:val="2"/>
          <w:sz w:val="30"/>
          <w:szCs w:val="24"/>
          <w:lang w:val="en-US" w:eastAsia="zh-CN" w:bidi="ar-SA"/>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color w:val="auto"/>
          <w:highlight w:val="none"/>
          <w:lang w:val="en-US" w:eastAsia="zh-CN"/>
        </w:rPr>
        <w:t>此项权重分10分，得分10分。</w:t>
      </w:r>
    </w:p>
    <w:p>
      <w:pPr>
        <w:pageBreakBefore w:val="0"/>
        <w:kinsoku/>
        <w:wordWrap/>
        <w:overflowPunct/>
        <w:topLinePunct w:val="0"/>
        <w:autoSpaceDE/>
        <w:autoSpaceDN/>
        <w:bidi w:val="0"/>
        <w:adjustRightInd/>
        <w:snapToGrid/>
        <w:spacing w:line="560" w:lineRule="exact"/>
        <w:ind w:firstLine="602" w:firstLineChars="200"/>
        <w:textAlignment w:val="auto"/>
        <w:rPr>
          <w:rFonts w:hint="eastAsia"/>
          <w:b/>
          <w:bCs/>
          <w:color w:val="auto"/>
          <w:lang w:val="en-US" w:eastAsia="zh-CN"/>
        </w:rPr>
      </w:pPr>
      <w:r>
        <w:rPr>
          <w:rFonts w:hint="eastAsia"/>
          <w:b/>
          <w:bCs/>
          <w:color w:val="auto"/>
          <w:lang w:val="en-US" w:eastAsia="zh-CN"/>
        </w:rPr>
        <w:t>4.满意度指标完成情况分析：</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u w:val="none"/>
          <w:lang w:val="en-US" w:eastAsia="zh-CN"/>
        </w:rPr>
      </w:pPr>
      <w:r>
        <w:rPr>
          <w:rFonts w:hint="eastAsia" w:ascii="Times New Roman" w:hAnsi="Times New Roman" w:eastAsia="方正仿宋_GBK" w:cs="Times New Roman"/>
          <w:sz w:val="32"/>
          <w:szCs w:val="32"/>
          <w:u w:val="none"/>
          <w:lang w:val="en-US" w:eastAsia="zh-CN"/>
        </w:rPr>
        <w:t>a.参保对象满意度，指标值</w:t>
      </w:r>
      <w:r>
        <w:rPr>
          <w:rFonts w:hint="eastAsia" w:eastAsia="方正仿宋_GBK" w:cs="Times New Roman"/>
          <w:sz w:val="32"/>
          <w:szCs w:val="32"/>
          <w:u w:val="none"/>
          <w:lang w:val="en-US" w:eastAsia="zh-CN"/>
        </w:rPr>
        <w:t>：</w:t>
      </w:r>
      <w:r>
        <w:rPr>
          <w:rFonts w:hint="eastAsia" w:ascii="Times New Roman" w:hAnsi="Times New Roman" w:eastAsia="方正仿宋_GBK" w:cs="Times New Roman"/>
          <w:sz w:val="32"/>
          <w:szCs w:val="32"/>
          <w:u w:val="none"/>
          <w:lang w:val="en-US" w:eastAsia="zh-CN"/>
        </w:rPr>
        <w:t>≥90%，</w:t>
      </w:r>
      <w:r>
        <w:rPr>
          <w:rFonts w:hint="eastAsia" w:cs="Times New Roman"/>
          <w:b w:val="0"/>
          <w:bCs w:val="0"/>
          <w:kern w:val="2"/>
          <w:sz w:val="30"/>
          <w:szCs w:val="24"/>
          <w:lang w:val="en-US" w:eastAsia="zh-CN" w:bidi="ar-SA"/>
        </w:rPr>
        <w:t>实际完成值：</w:t>
      </w:r>
      <w:r>
        <w:rPr>
          <w:rFonts w:hint="eastAsia" w:ascii="Times New Roman" w:hAnsi="Times New Roman" w:eastAsia="方正仿宋_GBK" w:cs="Times New Roman"/>
          <w:sz w:val="32"/>
          <w:szCs w:val="32"/>
          <w:u w:val="none"/>
          <w:lang w:val="en-US" w:eastAsia="zh-CN"/>
        </w:rPr>
        <w:t>95%，完成率106%，偏差率</w:t>
      </w:r>
      <w:r>
        <w:rPr>
          <w:rFonts w:hint="eastAsia" w:eastAsia="方正仿宋_GBK" w:cs="Times New Roman"/>
          <w:sz w:val="32"/>
          <w:szCs w:val="32"/>
          <w:u w:val="none"/>
          <w:lang w:val="en-US" w:eastAsia="zh-CN"/>
        </w:rPr>
        <w:t>：</w:t>
      </w:r>
      <w:r>
        <w:rPr>
          <w:rFonts w:hint="eastAsia" w:ascii="Times New Roman" w:hAnsi="Times New Roman" w:eastAsia="方正仿宋_GBK" w:cs="Times New Roman"/>
          <w:sz w:val="32"/>
          <w:szCs w:val="32"/>
          <w:u w:val="none"/>
          <w:lang w:val="en-US" w:eastAsia="zh-CN"/>
        </w:rPr>
        <w:t>6%。</w:t>
      </w:r>
      <w:r>
        <w:rPr>
          <w:rFonts w:hint="eastAsia" w:ascii="Times New Roman" w:hAnsi="Times New Roman" w:eastAsia="方正仿宋_GBK" w:cs="Times New Roman"/>
          <w:b w:val="0"/>
          <w:bCs w:val="0"/>
          <w:kern w:val="2"/>
          <w:sz w:val="32"/>
          <w:szCs w:val="32"/>
          <w:u w:val="none"/>
          <w:lang w:val="en-US" w:eastAsia="zh-CN" w:bidi="ar-SA"/>
        </w:rPr>
        <w:t>偏差原因：我</w:t>
      </w:r>
      <w:r>
        <w:rPr>
          <w:rFonts w:hint="eastAsia" w:ascii="仿宋_GB2312" w:hAnsi="Times New Roman" w:eastAsia="仿宋_GB2312"/>
          <w:b w:val="0"/>
          <w:bCs w:val="0"/>
          <w:sz w:val="32"/>
          <w:szCs w:val="32"/>
          <w:highlight w:val="none"/>
          <w:lang w:val="en-US" w:eastAsia="zh-CN"/>
        </w:rPr>
        <w:t>州</w:t>
      </w:r>
      <w:r>
        <w:rPr>
          <w:rFonts w:hint="eastAsia" w:ascii="仿宋_GB2312" w:hAnsi="Times New Roman" w:eastAsia="仿宋_GB2312"/>
          <w:b w:val="0"/>
          <w:bCs w:val="0"/>
          <w:sz w:val="32"/>
          <w:szCs w:val="32"/>
          <w:highlight w:val="none"/>
        </w:rPr>
        <w:t>不断提升各级经办工作人员业务水平和能力，优化经办服务，通过新疆医保服务平台APP、一体化在线政务服务平台等多种便民服务模式，推行非接触式、不见面办理，实施“长处方”报销政策，确保医保经办工作平稳有序</w:t>
      </w:r>
      <w:r>
        <w:rPr>
          <w:rFonts w:hint="eastAsia" w:ascii="仿宋_GB2312" w:hAnsi="Times New Roman" w:eastAsia="仿宋_GB2312"/>
          <w:b w:val="0"/>
          <w:bCs w:val="0"/>
          <w:sz w:val="32"/>
          <w:szCs w:val="32"/>
          <w:highlight w:val="none"/>
          <w:lang w:eastAsia="zh-CN"/>
        </w:rPr>
        <w:t>，</w:t>
      </w:r>
      <w:r>
        <w:rPr>
          <w:rFonts w:hint="eastAsia" w:ascii="仿宋" w:hAnsi="仿宋" w:eastAsia="仿宋" w:cs="仿宋"/>
          <w:b w:val="0"/>
          <w:snapToGrid w:val="0"/>
          <w:sz w:val="32"/>
          <w:szCs w:val="32"/>
          <w:highlight w:val="none"/>
        </w:rPr>
        <w:t>群众对医疗保障的获得感和幸福感有了明显提升</w:t>
      </w:r>
      <w:r>
        <w:rPr>
          <w:rFonts w:hint="eastAsia" w:ascii="仿宋" w:hAnsi="仿宋" w:eastAsia="仿宋" w:cs="仿宋"/>
          <w:b w:val="0"/>
          <w:snapToGrid w:val="0"/>
          <w:sz w:val="32"/>
          <w:szCs w:val="32"/>
          <w:highlight w:val="none"/>
          <w:lang w:eastAsia="zh-CN"/>
        </w:rPr>
        <w:t>。</w:t>
      </w:r>
      <w:r>
        <w:rPr>
          <w:rFonts w:hint="eastAsia"/>
          <w:color w:val="auto"/>
          <w:highlight w:val="none"/>
          <w:lang w:val="en-US" w:eastAsia="zh-CN"/>
        </w:rPr>
        <w:t>此项权重分10分，得分10分。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pPr>
        <w:pageBreakBefore w:val="0"/>
        <w:kinsoku/>
        <w:wordWrap/>
        <w:overflowPunct/>
        <w:topLinePunct w:val="0"/>
        <w:autoSpaceDE w:val="0"/>
        <w:autoSpaceDN/>
        <w:bidi w:val="0"/>
        <w:adjustRightInd/>
        <w:snapToGrid/>
        <w:spacing w:line="560" w:lineRule="exact"/>
        <w:ind w:right="0" w:rightChars="0" w:firstLine="600" w:firstLineChars="200"/>
        <w:textAlignment w:val="auto"/>
        <w:rPr>
          <w:rFonts w:hint="eastAsia" w:eastAsia="方正仿宋_GBK" w:cs="方正仿宋_GBK"/>
          <w:color w:val="auto"/>
          <w:sz w:val="32"/>
          <w:szCs w:val="32"/>
          <w:highlight w:val="none"/>
          <w:lang w:eastAsia="zh-CN"/>
        </w:rPr>
      </w:pPr>
      <w:r>
        <w:rPr>
          <w:rFonts w:hint="eastAsia"/>
          <w:lang w:val="en-US" w:eastAsia="zh-CN"/>
        </w:rPr>
        <w:t>2023年城乡居民基本医疗保险财政补助资金（中央、自治区、自治州）</w:t>
      </w:r>
      <w:r>
        <w:rPr>
          <w:rFonts w:hint="eastAsia" w:eastAsia="方正仿宋_GBK" w:cs="方正仿宋_GBK"/>
          <w:color w:val="auto"/>
          <w:sz w:val="32"/>
          <w:szCs w:val="32"/>
          <w:highlight w:val="none"/>
        </w:rPr>
        <w:t>项目年初预算</w:t>
      </w:r>
      <w:r>
        <w:rPr>
          <w:rFonts w:hint="eastAsia" w:eastAsia="方正仿宋_GBK" w:cs="方正仿宋_GBK"/>
          <w:color w:val="auto"/>
          <w:sz w:val="32"/>
          <w:szCs w:val="32"/>
          <w:highlight w:val="none"/>
          <w:lang w:val="en-US" w:eastAsia="zh-CN"/>
        </w:rPr>
        <w:t>46648</w:t>
      </w:r>
      <w:bookmarkStart w:id="21" w:name="_GoBack"/>
      <w:bookmarkEnd w:id="21"/>
      <w:r>
        <w:rPr>
          <w:rFonts w:hint="eastAsia" w:eastAsia="方正仿宋_GBK" w:cs="方正仿宋_GBK"/>
          <w:color w:val="auto"/>
          <w:sz w:val="32"/>
          <w:szCs w:val="32"/>
          <w:highlight w:val="none"/>
        </w:rPr>
        <w:t>万元，全年预算</w:t>
      </w:r>
      <w:r>
        <w:rPr>
          <w:rFonts w:hint="eastAsia" w:eastAsia="方正仿宋_GBK" w:cs="方正仿宋_GBK"/>
          <w:color w:val="auto"/>
          <w:sz w:val="32"/>
          <w:szCs w:val="32"/>
          <w:highlight w:val="none"/>
          <w:lang w:val="en-US" w:eastAsia="zh-CN"/>
        </w:rPr>
        <w:t>51577</w:t>
      </w:r>
      <w:r>
        <w:rPr>
          <w:rFonts w:hint="eastAsia" w:eastAsia="方正仿宋_GBK" w:cs="方正仿宋_GBK"/>
          <w:color w:val="auto"/>
          <w:sz w:val="32"/>
          <w:szCs w:val="32"/>
          <w:highlight w:val="none"/>
        </w:rPr>
        <w:t>万元，实际支出</w:t>
      </w:r>
      <w:r>
        <w:rPr>
          <w:rFonts w:hint="eastAsia" w:eastAsia="方正仿宋_GBK" w:cs="方正仿宋_GBK"/>
          <w:color w:val="auto"/>
          <w:sz w:val="32"/>
          <w:szCs w:val="32"/>
          <w:highlight w:val="none"/>
          <w:lang w:val="en-US" w:eastAsia="zh-CN"/>
        </w:rPr>
        <w:t>51577</w:t>
      </w:r>
      <w:r>
        <w:rPr>
          <w:rFonts w:hint="eastAsia" w:eastAsia="方正仿宋_GBK" w:cs="方正仿宋_GBK"/>
          <w:color w:val="auto"/>
          <w:sz w:val="32"/>
          <w:szCs w:val="32"/>
          <w:highlight w:val="none"/>
        </w:rPr>
        <w:t>万元，预算执行率为</w:t>
      </w:r>
      <w:r>
        <w:rPr>
          <w:rFonts w:hint="eastAsia" w:eastAsia="方正仿宋_GBK" w:cs="方正仿宋_GBK"/>
          <w:color w:val="auto"/>
          <w:sz w:val="32"/>
          <w:szCs w:val="32"/>
          <w:highlight w:val="none"/>
          <w:lang w:val="en-US" w:eastAsia="zh-CN"/>
        </w:rPr>
        <w:t>100</w:t>
      </w:r>
      <w:r>
        <w:rPr>
          <w:rFonts w:hint="eastAsia" w:eastAsia="方正仿宋_GBK" w:cs="方正仿宋_GBK"/>
          <w:color w:val="auto"/>
          <w:sz w:val="32"/>
          <w:szCs w:val="32"/>
          <w:highlight w:val="none"/>
        </w:rPr>
        <w:t>%，项目绩效指标总体完成率为</w:t>
      </w:r>
      <w:r>
        <w:rPr>
          <w:rFonts w:hint="eastAsia" w:eastAsia="方正仿宋_GBK" w:cs="方正仿宋_GBK"/>
          <w:color w:val="auto"/>
          <w:sz w:val="32"/>
          <w:szCs w:val="32"/>
          <w:highlight w:val="none"/>
          <w:lang w:val="en-US" w:eastAsia="zh-CN"/>
        </w:rPr>
        <w:t>95.58</w:t>
      </w:r>
      <w:r>
        <w:rPr>
          <w:rFonts w:hint="eastAsia" w:eastAsia="方正仿宋_GBK" w:cs="方正仿宋_GBK"/>
          <w:color w:val="auto"/>
          <w:sz w:val="32"/>
          <w:szCs w:val="32"/>
          <w:highlight w:val="none"/>
        </w:rPr>
        <w:t>%，</w:t>
      </w:r>
      <w:r>
        <w:rPr>
          <w:rFonts w:hint="eastAsia" w:eastAsia="方正仿宋_GBK" w:cs="方正仿宋_GBK"/>
          <w:color w:val="auto"/>
          <w:sz w:val="32"/>
          <w:szCs w:val="32"/>
          <w:highlight w:val="none"/>
          <w:lang w:eastAsia="zh-Hans"/>
        </w:rPr>
        <w:t>总体</w:t>
      </w:r>
      <w:r>
        <w:rPr>
          <w:rFonts w:hint="eastAsia" w:eastAsia="方正仿宋_GBK" w:cs="方正仿宋_GBK"/>
          <w:color w:val="auto"/>
          <w:sz w:val="32"/>
          <w:szCs w:val="32"/>
          <w:highlight w:val="none"/>
        </w:rPr>
        <w:t>偏差率为</w:t>
      </w:r>
      <w:r>
        <w:rPr>
          <w:rFonts w:hint="eastAsia" w:eastAsia="方正仿宋_GBK" w:cs="方正仿宋_GBK"/>
          <w:color w:val="auto"/>
          <w:sz w:val="32"/>
          <w:szCs w:val="32"/>
          <w:highlight w:val="none"/>
          <w:lang w:val="en-US" w:eastAsia="zh-CN"/>
        </w:rPr>
        <w:t>4.42</w:t>
      </w:r>
      <w:r>
        <w:rPr>
          <w:rFonts w:hint="eastAsia" w:eastAsia="方正仿宋_GBK" w:cs="方正仿宋_GBK"/>
          <w:color w:val="auto"/>
          <w:sz w:val="32"/>
          <w:szCs w:val="32"/>
          <w:highlight w:val="none"/>
        </w:rPr>
        <w:t>%</w:t>
      </w:r>
      <w:r>
        <w:rPr>
          <w:rFonts w:hint="eastAsia" w:eastAsia="方正仿宋_GBK" w:cs="方正仿宋_GBK"/>
          <w:color w:val="auto"/>
          <w:sz w:val="32"/>
          <w:szCs w:val="32"/>
          <w:highlight w:val="none"/>
          <w:lang w:eastAsia="zh-CN"/>
        </w:rPr>
        <w:t>。</w:t>
      </w:r>
    </w:p>
    <w:p>
      <w:pPr>
        <w:pageBreakBefore w:val="0"/>
        <w:kinsoku/>
        <w:wordWrap/>
        <w:overflowPunct/>
        <w:topLinePunct w:val="0"/>
        <w:autoSpaceDE w:val="0"/>
        <w:autoSpaceDN/>
        <w:bidi w:val="0"/>
        <w:adjustRightInd/>
        <w:snapToGrid/>
        <w:spacing w:line="560" w:lineRule="exact"/>
        <w:ind w:right="0" w:rightChars="0" w:firstLine="640" w:firstLineChars="200"/>
        <w:textAlignment w:val="auto"/>
        <w:rPr>
          <w:rFonts w:hint="eastAsia" w:ascii="仿宋" w:hAnsi="仿宋" w:eastAsia="仿宋" w:cs="仿宋"/>
          <w:b w:val="0"/>
          <w:bCs w:val="0"/>
          <w:kern w:val="2"/>
          <w:sz w:val="32"/>
          <w:szCs w:val="32"/>
          <w:highlight w:val="none"/>
          <w:lang w:val="en-US" w:eastAsia="zh-CN" w:bidi="ar-SA"/>
        </w:rPr>
      </w:pPr>
      <w:r>
        <w:rPr>
          <w:rFonts w:hint="eastAsia" w:eastAsia="方正仿宋_GBK" w:cs="方正仿宋_GBK"/>
          <w:sz w:val="32"/>
          <w:szCs w:val="32"/>
          <w:highlight w:val="none"/>
          <w:lang w:eastAsia="zh-Hans"/>
        </w:rPr>
        <w:t>偏差</w:t>
      </w:r>
      <w:r>
        <w:rPr>
          <w:rFonts w:hint="eastAsia" w:eastAsia="方正仿宋_GBK" w:cs="方正仿宋_GBK"/>
          <w:sz w:val="32"/>
          <w:szCs w:val="32"/>
          <w:highlight w:val="none"/>
        </w:rPr>
        <w:t>原因</w:t>
      </w:r>
      <w:r>
        <w:rPr>
          <w:rFonts w:hint="eastAsia" w:eastAsia="方正仿宋_GBK" w:cs="方正仿宋_GBK"/>
          <w:sz w:val="32"/>
          <w:szCs w:val="32"/>
          <w:highlight w:val="none"/>
          <w:lang w:eastAsia="zh-CN"/>
        </w:rPr>
        <w:t>：</w:t>
      </w:r>
      <w:r>
        <w:rPr>
          <w:rFonts w:hint="eastAsia" w:eastAsia="方正仿宋_GBK" w:cs="方正仿宋_GBK"/>
          <w:sz w:val="32"/>
          <w:szCs w:val="32"/>
          <w:highlight w:val="none"/>
          <w:lang w:val="en-US" w:eastAsia="zh-CN"/>
        </w:rPr>
        <w:t>1.</w:t>
      </w:r>
      <w:r>
        <w:rPr>
          <w:rFonts w:hint="eastAsia" w:ascii="仿宋" w:hAnsi="仿宋" w:eastAsia="仿宋" w:cs="仿宋"/>
          <w:b w:val="0"/>
          <w:bCs w:val="0"/>
          <w:kern w:val="2"/>
          <w:sz w:val="32"/>
          <w:szCs w:val="32"/>
          <w:highlight w:val="none"/>
          <w:lang w:val="en-US" w:eastAsia="zh-CN" w:bidi="ar-SA"/>
        </w:rPr>
        <w:t>参保人数未达目标值，2023年，根据《医疗保障统计调查制度》，我州剔除了暂停6个月以上居民参保人数2万余人，故2023年参保人数减少，还原后参保人数835666人，达到目标值。</w:t>
      </w:r>
    </w:p>
    <w:p>
      <w:pPr>
        <w:pageBreakBefore w:val="0"/>
        <w:kinsoku/>
        <w:wordWrap/>
        <w:overflowPunct/>
        <w:topLinePunct w:val="0"/>
        <w:autoSpaceDE w:val="0"/>
        <w:autoSpaceDN/>
        <w:bidi w:val="0"/>
        <w:adjustRightInd/>
        <w:snapToGrid/>
        <w:spacing w:line="560" w:lineRule="exact"/>
        <w:ind w:right="0" w:rightChars="0" w:firstLine="640" w:firstLineChars="200"/>
        <w:textAlignment w:val="auto"/>
        <w:rPr>
          <w:rFonts w:hint="default" w:ascii="仿宋" w:hAnsi="仿宋" w:eastAsia="仿宋" w:cs="仿宋"/>
          <w:b w:val="0"/>
          <w:bCs w:val="0"/>
          <w:kern w:val="2"/>
          <w:sz w:val="32"/>
          <w:szCs w:val="32"/>
          <w:highlight w:val="none"/>
          <w:lang w:val="en-US" w:eastAsia="zh-CN" w:bidi="ar-SA"/>
        </w:rPr>
      </w:pPr>
      <w:r>
        <w:rPr>
          <w:rFonts w:hint="eastAsia" w:ascii="仿宋" w:hAnsi="仿宋" w:eastAsia="仿宋" w:cs="仿宋"/>
          <w:b w:val="0"/>
          <w:bCs w:val="0"/>
          <w:kern w:val="2"/>
          <w:sz w:val="32"/>
          <w:szCs w:val="32"/>
          <w:highlight w:val="none"/>
          <w:lang w:val="en-US" w:eastAsia="zh-CN" w:bidi="ar-SA"/>
        </w:rPr>
        <w:t>2.基金滚存结余可支配月数超出目标范围，截止2023年底我州城乡居民基本医疗保险基金滚存结余可支配月数达10.04个月，超出目标值6-9月范围。</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color w:val="auto"/>
          <w:kern w:val="2"/>
          <w:sz w:val="32"/>
          <w:szCs w:val="32"/>
          <w:highlight w:val="yellow"/>
          <w:lang w:val="en-US" w:eastAsia="zh-CN" w:bidi="ar-SA"/>
        </w:rPr>
      </w:pPr>
      <w:r>
        <w:rPr>
          <w:rFonts w:hint="eastAsia" w:ascii="仿宋" w:hAnsi="仿宋" w:eastAsia="仿宋" w:cs="仿宋"/>
          <w:b w:val="0"/>
          <w:bCs w:val="0"/>
          <w:color w:val="auto"/>
          <w:kern w:val="2"/>
          <w:sz w:val="32"/>
          <w:szCs w:val="32"/>
          <w:highlight w:val="none"/>
          <w:lang w:val="en-US" w:eastAsia="zh-Hans" w:bidi="ar-SA"/>
        </w:rPr>
        <w:t>改进</w:t>
      </w:r>
      <w:r>
        <w:rPr>
          <w:rFonts w:hint="eastAsia" w:ascii="仿宋" w:hAnsi="仿宋" w:eastAsia="仿宋" w:cs="仿宋"/>
          <w:b w:val="0"/>
          <w:bCs w:val="0"/>
          <w:color w:val="auto"/>
          <w:kern w:val="2"/>
          <w:sz w:val="32"/>
          <w:szCs w:val="32"/>
          <w:highlight w:val="none"/>
          <w:lang w:val="en-US" w:eastAsia="zh-CN" w:bidi="ar-SA"/>
        </w:rPr>
        <w:t>措施：</w:t>
      </w:r>
      <w:r>
        <w:rPr>
          <w:rFonts w:hint="eastAsia" w:ascii="仿宋_GB2312" w:hAnsi="仿宋_GB2312" w:cs="仿宋_GB2312"/>
          <w:color w:val="auto"/>
          <w:sz w:val="32"/>
          <w:szCs w:val="32"/>
          <w:highlight w:val="none"/>
          <w:lang w:val="en-US" w:eastAsia="zh-CN"/>
        </w:rPr>
        <w:t>下一步将在绩效目标设置时，充分考虑指标设置的可实施性，可考核性，设定指向明确、量化细化、合理可行、相应匹配的目标任务，绩效指标的设立要更加科学、合理、可衡量。</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bookmarkStart w:id="18" w:name="_Toc68703844"/>
      <w:r>
        <w:rPr>
          <w:rFonts w:hint="eastAsia" w:ascii="仿宋_GB2312" w:hAnsi="仿宋_GB2312" w:eastAsia="仿宋_GB2312" w:cs="仿宋_GB2312"/>
          <w:color w:val="auto"/>
          <w:sz w:val="32"/>
          <w:szCs w:val="32"/>
          <w:highlight w:val="none"/>
          <w:lang w:val="en-US" w:eastAsia="zh-CN"/>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参保群众满意度调查及项目风险防范工作。</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严格坚持先做事、后验收、再拨付的原则，基本杜绝了资金被挤占和挪用现象的发生，跟踪检查到位。在监督环节上，实行关口前移，从事后监督管理转向事前审核，事中监督和事后检查稽核相结合的监督制度上来，形成多环节全过程的监督管理格局，尽量早发现问题，早解决问题。</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val="en-US" w:eastAsia="zh-CN"/>
        </w:rPr>
      </w:pPr>
      <w:r>
        <w:rPr>
          <w:rFonts w:hint="eastAsia" w:ascii="仿宋_GB2312" w:eastAsia="仿宋_GB2312"/>
          <w:b w:val="0"/>
          <w:bCs w:val="0"/>
          <w:lang w:val="en-US" w:eastAsia="zh-CN"/>
        </w:rPr>
        <w:t>（二）存在的问题及原因分析</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1.绩效目标设置有待精细化，缺乏精准性和合理性，采用过于僵化的量化指标，导致一些关键的工作成果难以被准确而全面的量化评估。</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w:t>
      </w:r>
      <w:bookmarkEnd w:id="18"/>
      <w:r>
        <w:rPr>
          <w:rFonts w:hint="eastAsia" w:ascii="仿宋_GB2312" w:hAnsi="仿宋_GB2312" w:eastAsia="仿宋_GB2312" w:cs="仿宋_GB2312"/>
          <w:color w:val="auto"/>
          <w:sz w:val="32"/>
          <w:szCs w:val="32"/>
          <w:highlight w:val="none"/>
          <w:lang w:val="en-US" w:eastAsia="zh-CN"/>
        </w:rPr>
        <w:t>相关绩效管理方面专业知识的系统性学习有待加强。在绩效自评过程中，由于部分人员缺乏相关绩效管理专业知识，自评价工作还存在自我审定的局限性，影响评价质量。</w:t>
      </w:r>
    </w:p>
    <w:p>
      <w:pPr>
        <w:pageBreakBefore w:val="0"/>
        <w:shd w:val="clear"/>
        <w:kinsoku/>
        <w:wordWrap/>
        <w:overflowPunct/>
        <w:topLinePunct w:val="0"/>
        <w:autoSpaceDE/>
        <w:autoSpaceDN/>
        <w:bidi w:val="0"/>
        <w:adjustRightInd/>
        <w:snapToGrid/>
        <w:spacing w:line="560" w:lineRule="exact"/>
        <w:ind w:firstLine="643" w:firstLineChars="200"/>
        <w:textAlignment w:val="auto"/>
        <w:outlineLvl w:val="0"/>
        <w:rPr>
          <w:rFonts w:hint="eastAsia" w:ascii="宋体" w:hAnsi="宋体" w:eastAsia="宋体" w:cs="Times New Roman"/>
          <w:b/>
          <w:bCs/>
          <w:color w:val="auto"/>
          <w:kern w:val="44"/>
          <w:sz w:val="32"/>
          <w:szCs w:val="32"/>
          <w:lang w:val="en-US" w:eastAsia="zh-CN" w:bidi="ar-SA"/>
        </w:rPr>
      </w:pPr>
      <w:bookmarkStart w:id="19" w:name="_Toc68703845"/>
      <w:r>
        <w:rPr>
          <w:rFonts w:hint="eastAsia" w:ascii="宋体" w:hAnsi="宋体" w:eastAsia="宋体" w:cs="Times New Roman"/>
          <w:b/>
          <w:bCs/>
          <w:color w:val="auto"/>
          <w:kern w:val="44"/>
          <w:sz w:val="32"/>
          <w:szCs w:val="32"/>
          <w:lang w:val="en-US" w:eastAsia="zh-CN" w:bidi="ar-SA"/>
        </w:rPr>
        <w:t>七、有关建议</w:t>
      </w:r>
      <w:bookmarkEnd w:id="19"/>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1.多进行有关绩效管理工作方面的培训。积极组织第三方开展绩效管理工作培训，进一步夯实业务基础，提高我单位绩效人员水平。</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.进一步加强对绩效管理工作的组织领导，提高对预算绩效管理工作重要性的认识，总结经验查找问题，抓紧研究制定更全面更完善的绩效评价管理办法。</w:t>
      </w:r>
      <w:r>
        <w:rPr>
          <w:rFonts w:hint="eastAsia" w:ascii="仿宋_GB2312" w:hAnsi="仿宋_GB2312" w:cs="仿宋_GB2312"/>
          <w:color w:val="auto"/>
          <w:sz w:val="32"/>
          <w:szCs w:val="32"/>
          <w:highlight w:val="none"/>
          <w:lang w:val="en-US" w:eastAsia="zh-CN"/>
        </w:rPr>
        <w:t>结合医疗保障工作实际，</w:t>
      </w:r>
      <w:r>
        <w:rPr>
          <w:rFonts w:hint="eastAsia" w:ascii="仿宋_GB2312" w:hAnsi="仿宋_GB2312" w:eastAsia="仿宋_GB2312" w:cs="仿宋_GB2312"/>
          <w:color w:val="auto"/>
          <w:sz w:val="32"/>
          <w:szCs w:val="32"/>
          <w:highlight w:val="none"/>
          <w:lang w:val="en-US" w:eastAsia="zh-CN"/>
        </w:rPr>
        <w:t>加大全局对全面实施预算绩效管理和绩效管理工作的学习力度，让“花钱必问效，无效必问责”的理念深入工作每个环节。</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bookmarkStart w:id="20" w:name="_Toc68703846"/>
      <w:r>
        <w:rPr>
          <w:rFonts w:hint="eastAsia" w:ascii="宋体" w:hAnsi="宋体" w:eastAsia="宋体"/>
          <w:color w:val="auto"/>
          <w:sz w:val="32"/>
          <w:szCs w:val="32"/>
          <w:lang w:val="en-US" w:eastAsia="zh-CN"/>
        </w:rPr>
        <w:t>八</w:t>
      </w:r>
      <w:r>
        <w:rPr>
          <w:rFonts w:hint="eastAsia" w:ascii="宋体" w:hAnsi="宋体" w:eastAsia="宋体"/>
          <w:color w:val="auto"/>
          <w:sz w:val="32"/>
          <w:szCs w:val="32"/>
        </w:rPr>
        <w:t>、其他需要说明的问题</w:t>
      </w:r>
      <w:bookmarkEnd w:id="20"/>
    </w:p>
    <w:p>
      <w:pPr>
        <w:pageBreakBefore w:val="0"/>
        <w:kinsoku/>
        <w:wordWrap/>
        <w:overflowPunct/>
        <w:topLinePunct w:val="0"/>
        <w:autoSpaceDE/>
        <w:autoSpaceDN/>
        <w:bidi w:val="0"/>
        <w:adjustRightInd/>
        <w:snapToGrid/>
        <w:spacing w:line="560" w:lineRule="exact"/>
        <w:ind w:firstLine="600" w:firstLineChars="200"/>
        <w:textAlignment w:val="auto"/>
        <w:rPr>
          <w:rFonts w:hint="default" w:eastAsia="仿宋_GB2312"/>
          <w:lang w:val="en-US" w:eastAsia="zh-CN"/>
        </w:rPr>
      </w:pPr>
      <w:r>
        <w:rPr>
          <w:rFonts w:hint="eastAsia"/>
          <w:lang w:val="en-US"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panose1 w:val="03000509000000000000"/>
    <w:charset w:val="86"/>
    <w:family w:val="auto"/>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227DA5"/>
    <w:rsid w:val="07DF0F48"/>
    <w:rsid w:val="08D20D13"/>
    <w:rsid w:val="09B459BB"/>
    <w:rsid w:val="09E44B20"/>
    <w:rsid w:val="0B7E39F3"/>
    <w:rsid w:val="0C4D0F1B"/>
    <w:rsid w:val="0F2A6BF7"/>
    <w:rsid w:val="108E0FCA"/>
    <w:rsid w:val="15CF1B3E"/>
    <w:rsid w:val="1D723F37"/>
    <w:rsid w:val="1D785367"/>
    <w:rsid w:val="1EF56939"/>
    <w:rsid w:val="2A433F39"/>
    <w:rsid w:val="2DD62445"/>
    <w:rsid w:val="32AE0DEC"/>
    <w:rsid w:val="36B72533"/>
    <w:rsid w:val="4057649F"/>
    <w:rsid w:val="43182414"/>
    <w:rsid w:val="43725358"/>
    <w:rsid w:val="46507BB3"/>
    <w:rsid w:val="465F41FD"/>
    <w:rsid w:val="47026BC7"/>
    <w:rsid w:val="496918DA"/>
    <w:rsid w:val="4A7C25BE"/>
    <w:rsid w:val="4C22332E"/>
    <w:rsid w:val="534A084C"/>
    <w:rsid w:val="565B04A3"/>
    <w:rsid w:val="56796849"/>
    <w:rsid w:val="58923521"/>
    <w:rsid w:val="5DA95371"/>
    <w:rsid w:val="63A21D29"/>
    <w:rsid w:val="66E73775"/>
    <w:rsid w:val="68F11999"/>
    <w:rsid w:val="6ED52CEC"/>
    <w:rsid w:val="6FEE5656"/>
    <w:rsid w:val="71FE5476"/>
    <w:rsid w:val="763A0251"/>
    <w:rsid w:val="7C724D1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Char"/>
    <w:basedOn w:val="1"/>
    <w:qFormat/>
    <w:uiPriority w:val="0"/>
    <w:pPr>
      <w:widowControl/>
      <w:spacing w:after="160" w:line="240" w:lineRule="exact"/>
      <w:jc w:val="left"/>
    </w:pPr>
    <w:rPr>
      <w:rFonts w:ascii="Times New Roman" w:hAnsi="Times New Roman" w:eastAsia="宋体" w:cs="Times New Roman"/>
    </w:rPr>
  </w:style>
  <w:style w:type="paragraph" w:styleId="5">
    <w:name w:val="annotation text"/>
    <w:basedOn w:val="1"/>
    <w:qFormat/>
    <w:uiPriority w:val="0"/>
    <w:pPr>
      <w:jc w:val="left"/>
    </w:pPr>
  </w:style>
  <w:style w:type="paragraph" w:styleId="6">
    <w:name w:val="Body Text"/>
    <w:basedOn w:val="1"/>
    <w:qFormat/>
    <w:uiPriority w:val="99"/>
    <w:pPr>
      <w:jc w:val="center"/>
    </w:pPr>
    <w:rPr>
      <w:rFonts w:eastAsia="方正小标宋简体"/>
      <w:b/>
      <w:bCs/>
      <w:sz w:val="44"/>
    </w:rPr>
  </w:style>
  <w:style w:type="paragraph" w:styleId="7">
    <w:name w:val="footer"/>
    <w:basedOn w:val="1"/>
    <w:link w:val="19"/>
    <w:semiHidden/>
    <w:unhideWhenUsed/>
    <w:qFormat/>
    <w:uiPriority w:val="99"/>
    <w:pPr>
      <w:tabs>
        <w:tab w:val="center" w:pos="4153"/>
        <w:tab w:val="right" w:pos="8306"/>
      </w:tabs>
      <w:snapToGrid w:val="0"/>
      <w:jc w:val="left"/>
    </w:pPr>
    <w:rPr>
      <w:sz w:val="18"/>
      <w:szCs w:val="18"/>
    </w:rPr>
  </w:style>
  <w:style w:type="paragraph" w:styleId="8">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character" w:customStyle="1" w:styleId="15">
    <w:name w:val="标题 1 Char"/>
    <w:basedOn w:val="13"/>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3"/>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8">
    <w:name w:val="页眉 Char"/>
    <w:basedOn w:val="13"/>
    <w:link w:val="8"/>
    <w:semiHidden/>
    <w:qFormat/>
    <w:uiPriority w:val="99"/>
    <w:rPr>
      <w:rFonts w:ascii="Times New Roman" w:hAnsi="Times New Roman" w:eastAsia="仿宋_GB2312" w:cs="Times New Roman"/>
      <w:sz w:val="18"/>
      <w:szCs w:val="18"/>
    </w:rPr>
  </w:style>
  <w:style w:type="character" w:customStyle="1" w:styleId="19">
    <w:name w:val="页脚 Char"/>
    <w:basedOn w:val="13"/>
    <w:link w:val="7"/>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2</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86189</cp:lastModifiedBy>
  <dcterms:modified xsi:type="dcterms:W3CDTF">2024-05-17T11:25:04Z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5F325D12DB2D472A9BD0FD90FDC1574F</vt:lpwstr>
  </property>
</Properties>
</file>