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仿宋"/>
          <w:kern w:val="0"/>
          <w:sz w:val="32"/>
          <w:szCs w:val="32"/>
        </w:rPr>
      </w:pPr>
      <w:r>
        <w:rPr>
          <w:rFonts w:eastAsia="仿宋"/>
          <w:kern w:val="0"/>
          <w:sz w:val="32"/>
          <w:szCs w:val="32"/>
        </w:rPr>
        <w:t>附件2：</w:t>
      </w:r>
    </w:p>
    <w:p>
      <w:pPr>
        <w:spacing w:line="560" w:lineRule="exact"/>
        <w:jc w:val="center"/>
        <w:rPr>
          <w:rFonts w:eastAsia="华文中宋"/>
          <w:b/>
          <w:kern w:val="0"/>
          <w:sz w:val="52"/>
          <w:szCs w:val="52"/>
        </w:rPr>
      </w:pPr>
    </w:p>
    <w:p>
      <w:pPr>
        <w:spacing w:line="560" w:lineRule="exact"/>
        <w:jc w:val="center"/>
        <w:rPr>
          <w:rFonts w:eastAsia="华文中宋"/>
          <w:b/>
          <w:kern w:val="0"/>
          <w:sz w:val="52"/>
          <w:szCs w:val="52"/>
        </w:rPr>
      </w:pPr>
    </w:p>
    <w:p>
      <w:pPr>
        <w:spacing w:line="560" w:lineRule="exact"/>
        <w:jc w:val="center"/>
        <w:rPr>
          <w:rFonts w:eastAsia="华文中宋"/>
          <w:b/>
          <w:kern w:val="0"/>
          <w:sz w:val="52"/>
          <w:szCs w:val="52"/>
        </w:rPr>
      </w:pPr>
    </w:p>
    <w:p>
      <w:pPr>
        <w:spacing w:line="560" w:lineRule="exact"/>
        <w:jc w:val="center"/>
        <w:rPr>
          <w:rFonts w:eastAsia="华文中宋"/>
          <w:b/>
          <w:kern w:val="0"/>
          <w:sz w:val="52"/>
          <w:szCs w:val="52"/>
        </w:rPr>
      </w:pPr>
    </w:p>
    <w:p>
      <w:pPr>
        <w:spacing w:line="560" w:lineRule="exact"/>
        <w:jc w:val="center"/>
        <w:rPr>
          <w:rFonts w:eastAsia="华文中宋"/>
          <w:b/>
          <w:kern w:val="0"/>
          <w:sz w:val="52"/>
          <w:szCs w:val="52"/>
        </w:rPr>
      </w:pPr>
    </w:p>
    <w:p>
      <w:pPr>
        <w:spacing w:line="560" w:lineRule="exact"/>
        <w:jc w:val="center"/>
        <w:rPr>
          <w:rFonts w:eastAsia="华文中宋"/>
          <w:b/>
          <w:kern w:val="0"/>
          <w:sz w:val="52"/>
          <w:szCs w:val="52"/>
        </w:rPr>
      </w:pPr>
    </w:p>
    <w:p>
      <w:pPr>
        <w:spacing w:line="560" w:lineRule="exact"/>
        <w:jc w:val="center"/>
        <w:rPr>
          <w:rFonts w:eastAsia="方正小标宋_GBK"/>
          <w:b/>
          <w:kern w:val="0"/>
          <w:sz w:val="48"/>
          <w:szCs w:val="48"/>
        </w:rPr>
      </w:pPr>
      <w:r>
        <w:rPr>
          <w:rFonts w:hint="eastAsia" w:eastAsia="方正小标宋_GBK"/>
          <w:b/>
          <w:kern w:val="0"/>
          <w:sz w:val="48"/>
          <w:szCs w:val="48"/>
        </w:rPr>
        <w:t>巴州石油第一中学财政</w:t>
      </w:r>
      <w:r>
        <w:rPr>
          <w:rFonts w:eastAsia="方正小标宋_GBK"/>
          <w:b/>
          <w:kern w:val="0"/>
          <w:sz w:val="48"/>
          <w:szCs w:val="48"/>
        </w:rPr>
        <w:t>项目</w:t>
      </w:r>
    </w:p>
    <w:p>
      <w:pPr>
        <w:spacing w:line="560" w:lineRule="exact"/>
        <w:jc w:val="center"/>
        <w:rPr>
          <w:rFonts w:eastAsia="方正小标宋_GBK"/>
          <w:b/>
          <w:kern w:val="0"/>
          <w:sz w:val="48"/>
          <w:szCs w:val="48"/>
        </w:rPr>
      </w:pPr>
      <w:r>
        <w:rPr>
          <w:rFonts w:eastAsia="方正小标宋_GBK"/>
          <w:b/>
          <w:kern w:val="0"/>
          <w:sz w:val="48"/>
          <w:szCs w:val="48"/>
        </w:rPr>
        <w:t>支出绩效自评报告</w:t>
      </w:r>
    </w:p>
    <w:p>
      <w:pPr>
        <w:spacing w:line="560" w:lineRule="exact"/>
        <w:jc w:val="center"/>
        <w:rPr>
          <w:rFonts w:eastAsia="华文中宋"/>
          <w:b/>
          <w:kern w:val="0"/>
          <w:sz w:val="52"/>
          <w:szCs w:val="52"/>
        </w:rPr>
      </w:pPr>
    </w:p>
    <w:p>
      <w:pPr>
        <w:spacing w:line="560" w:lineRule="exact"/>
        <w:jc w:val="center"/>
        <w:rPr>
          <w:kern w:val="0"/>
          <w:sz w:val="36"/>
          <w:szCs w:val="36"/>
        </w:rPr>
      </w:pPr>
      <w:r>
        <w:rPr>
          <w:kern w:val="0"/>
          <w:sz w:val="36"/>
          <w:szCs w:val="36"/>
        </w:rPr>
        <w:t>（2019年度）</w:t>
      </w:r>
    </w:p>
    <w:p>
      <w:pPr>
        <w:spacing w:line="560" w:lineRule="exact"/>
        <w:jc w:val="center"/>
        <w:rPr>
          <w:kern w:val="0"/>
          <w:szCs w:val="30"/>
        </w:rPr>
      </w:pPr>
    </w:p>
    <w:p>
      <w:pPr>
        <w:spacing w:line="560" w:lineRule="exact"/>
        <w:jc w:val="center"/>
        <w:rPr>
          <w:kern w:val="0"/>
          <w:szCs w:val="30"/>
        </w:rPr>
      </w:pPr>
    </w:p>
    <w:p>
      <w:pPr>
        <w:spacing w:line="560" w:lineRule="exact"/>
        <w:jc w:val="center"/>
        <w:rPr>
          <w:kern w:val="0"/>
          <w:szCs w:val="30"/>
        </w:rPr>
      </w:pPr>
    </w:p>
    <w:p>
      <w:pPr>
        <w:spacing w:line="560" w:lineRule="exact"/>
        <w:jc w:val="center"/>
        <w:rPr>
          <w:kern w:val="0"/>
          <w:szCs w:val="30"/>
        </w:rPr>
      </w:pPr>
    </w:p>
    <w:p>
      <w:pPr>
        <w:spacing w:line="560" w:lineRule="exact"/>
        <w:jc w:val="center"/>
        <w:rPr>
          <w:kern w:val="0"/>
          <w:szCs w:val="30"/>
        </w:rPr>
      </w:pPr>
    </w:p>
    <w:p>
      <w:pPr>
        <w:spacing w:line="560" w:lineRule="exact"/>
        <w:rPr>
          <w:kern w:val="0"/>
          <w:szCs w:val="30"/>
        </w:rPr>
      </w:pPr>
    </w:p>
    <w:p>
      <w:pPr>
        <w:spacing w:line="560" w:lineRule="exact"/>
        <w:ind w:left="1800" w:hanging="1800" w:hangingChars="500"/>
        <w:jc w:val="left"/>
        <w:rPr>
          <w:kern w:val="0"/>
          <w:sz w:val="36"/>
          <w:szCs w:val="36"/>
        </w:rPr>
      </w:pPr>
      <w:r>
        <w:rPr>
          <w:kern w:val="0"/>
          <w:sz w:val="36"/>
          <w:szCs w:val="36"/>
        </w:rPr>
        <w:t>项目名称：</w:t>
      </w:r>
      <w:r>
        <w:rPr>
          <w:rFonts w:hint="eastAsia"/>
          <w:kern w:val="0"/>
          <w:sz w:val="36"/>
          <w:szCs w:val="36"/>
        </w:rPr>
        <w:t>教师办公桌椅及学生课桌椅购置</w:t>
      </w:r>
    </w:p>
    <w:p>
      <w:pPr>
        <w:spacing w:line="560" w:lineRule="exact"/>
        <w:jc w:val="left"/>
        <w:rPr>
          <w:kern w:val="0"/>
          <w:sz w:val="36"/>
          <w:szCs w:val="36"/>
        </w:rPr>
      </w:pPr>
      <w:r>
        <w:rPr>
          <w:kern w:val="0"/>
          <w:sz w:val="36"/>
          <w:szCs w:val="36"/>
        </w:rPr>
        <w:t>实施单位（公章）：</w:t>
      </w:r>
      <w:r>
        <w:rPr>
          <w:rFonts w:hint="eastAsia"/>
          <w:kern w:val="0"/>
          <w:sz w:val="36"/>
          <w:szCs w:val="36"/>
        </w:rPr>
        <w:t>巴州石油第一中学</w:t>
      </w:r>
    </w:p>
    <w:p>
      <w:pPr>
        <w:spacing w:line="560" w:lineRule="exact"/>
        <w:ind w:firstLine="849" w:firstLineChars="236"/>
        <w:jc w:val="left"/>
        <w:rPr>
          <w:kern w:val="0"/>
          <w:sz w:val="36"/>
          <w:szCs w:val="36"/>
        </w:rPr>
      </w:pPr>
      <w:r>
        <w:rPr>
          <w:kern w:val="0"/>
          <w:sz w:val="36"/>
          <w:szCs w:val="36"/>
        </w:rPr>
        <w:t>主管部门（公章）：巴州教育局</w:t>
      </w:r>
    </w:p>
    <w:p>
      <w:pPr>
        <w:spacing w:line="560" w:lineRule="exact"/>
        <w:ind w:firstLine="849" w:firstLineChars="236"/>
        <w:jc w:val="left"/>
        <w:rPr>
          <w:kern w:val="0"/>
          <w:sz w:val="36"/>
          <w:szCs w:val="36"/>
        </w:rPr>
      </w:pPr>
      <w:r>
        <w:rPr>
          <w:kern w:val="0"/>
          <w:sz w:val="36"/>
          <w:szCs w:val="36"/>
        </w:rPr>
        <w:t>项目负责人（签章）：</w:t>
      </w:r>
      <w:r>
        <w:rPr>
          <w:rFonts w:hint="eastAsia"/>
          <w:kern w:val="0"/>
          <w:sz w:val="36"/>
          <w:szCs w:val="36"/>
        </w:rPr>
        <w:t>顾峰</w:t>
      </w:r>
    </w:p>
    <w:p>
      <w:pPr>
        <w:spacing w:line="560" w:lineRule="exact"/>
        <w:ind w:firstLine="849" w:firstLineChars="236"/>
        <w:jc w:val="left"/>
        <w:rPr>
          <w:kern w:val="0"/>
          <w:sz w:val="36"/>
          <w:szCs w:val="36"/>
        </w:rPr>
      </w:pPr>
      <w:r>
        <w:rPr>
          <w:kern w:val="0"/>
          <w:sz w:val="36"/>
          <w:szCs w:val="36"/>
        </w:rPr>
        <w:t>填报时间：2020年5月</w:t>
      </w:r>
      <w:r>
        <w:rPr>
          <w:rFonts w:hint="eastAsia"/>
          <w:kern w:val="0"/>
          <w:sz w:val="36"/>
          <w:szCs w:val="36"/>
        </w:rPr>
        <w:t>20</w:t>
      </w:r>
      <w:r>
        <w:rPr>
          <w:kern w:val="0"/>
          <w:sz w:val="36"/>
          <w:szCs w:val="36"/>
        </w:rPr>
        <w:t>日</w:t>
      </w:r>
    </w:p>
    <w:p>
      <w:pPr>
        <w:spacing w:line="560" w:lineRule="exact"/>
        <w:rPr>
          <w:rStyle w:val="6"/>
          <w:rFonts w:eastAsia="黑体"/>
          <w:b w:val="0"/>
          <w:spacing w:val="-4"/>
          <w:sz w:val="32"/>
          <w:szCs w:val="32"/>
        </w:rPr>
      </w:pPr>
    </w:p>
    <w:p>
      <w:pPr>
        <w:spacing w:line="560" w:lineRule="exact"/>
        <w:ind w:firstLine="640"/>
        <w:rPr>
          <w:rStyle w:val="6"/>
          <w:rFonts w:eastAsia="黑体"/>
          <w:b w:val="0"/>
          <w:spacing w:val="-4"/>
          <w:sz w:val="32"/>
          <w:szCs w:val="32"/>
        </w:rPr>
        <w:sectPr>
          <w:footerReference r:id="rId3" w:type="default"/>
          <w:pgSz w:w="11906" w:h="16838"/>
          <w:pgMar w:top="1440" w:right="1558" w:bottom="1440" w:left="1800" w:header="851" w:footer="992" w:gutter="0"/>
          <w:cols w:space="425" w:num="1"/>
          <w:docGrid w:type="lines" w:linePitch="312" w:charSpace="0"/>
        </w:sectPr>
      </w:pPr>
    </w:p>
    <w:p>
      <w:pPr>
        <w:ind w:firstLine="643" w:firstLineChars="200"/>
        <w:rPr>
          <w:b/>
          <w:sz w:val="32"/>
          <w:szCs w:val="32"/>
        </w:rPr>
      </w:pPr>
      <w:r>
        <w:rPr>
          <w:rFonts w:hint="eastAsia"/>
          <w:b/>
          <w:sz w:val="32"/>
          <w:szCs w:val="32"/>
        </w:rPr>
        <w:t>一、基本情况</w:t>
      </w:r>
    </w:p>
    <w:p>
      <w:pPr>
        <w:ind w:firstLine="602" w:firstLineChars="200"/>
        <w:rPr>
          <w:b/>
        </w:rPr>
      </w:pPr>
      <w:r>
        <w:rPr>
          <w:rFonts w:hint="eastAsia"/>
          <w:b/>
        </w:rPr>
        <w:t>（一）项目概况。</w:t>
      </w:r>
    </w:p>
    <w:p>
      <w:pPr>
        <w:spacing w:line="360" w:lineRule="auto"/>
        <w:ind w:firstLine="600" w:firstLineChars="200"/>
        <w:rPr>
          <w:rFonts w:ascii="仿宋_GB2312" w:hAnsi="仿宋_GB2312" w:cs="仿宋_GB2312"/>
          <w:szCs w:val="30"/>
        </w:rPr>
      </w:pPr>
      <w:r>
        <w:rPr>
          <w:rFonts w:hint="eastAsia"/>
        </w:rPr>
        <w:t>1、</w:t>
      </w:r>
      <w:r>
        <w:rPr>
          <w:rFonts w:hint="eastAsia" w:ascii="仿宋_GB2312" w:hAnsi="仿宋_GB2312" w:cs="仿宋_GB2312"/>
          <w:szCs w:val="30"/>
        </w:rPr>
        <w:t>项目背景</w:t>
      </w:r>
    </w:p>
    <w:p>
      <w:pPr>
        <w:spacing w:line="360" w:lineRule="auto"/>
        <w:ind w:firstLine="600" w:firstLineChars="200"/>
      </w:pPr>
      <w:r>
        <w:rPr>
          <w:rFonts w:hint="eastAsia"/>
        </w:rPr>
        <w:t>根据“义务教育均衡化发展”的相关要求，合理配置教育资源，巴州石油一中党委讨论通过了《巴州石油一中</w:t>
      </w:r>
      <w:r>
        <w:rPr>
          <w:rFonts w:hint="eastAsia"/>
          <w:lang w:eastAsia="zh-CN"/>
        </w:rPr>
        <w:t>“十三五”规划</w:t>
      </w:r>
      <w:bookmarkStart w:id="0" w:name="_GoBack"/>
      <w:bookmarkEnd w:id="0"/>
      <w:r>
        <w:rPr>
          <w:rFonts w:hint="eastAsia"/>
        </w:rPr>
        <w:t>2016-2020年》，其中明确提出要大力度改善师生办学环境，计划购置教师办公桌椅100套，学生课桌椅224套。</w:t>
      </w:r>
    </w:p>
    <w:p>
      <w:pPr>
        <w:numPr>
          <w:ilvl w:val="0"/>
          <w:numId w:val="1"/>
        </w:numPr>
        <w:spacing w:line="360" w:lineRule="auto"/>
        <w:ind w:firstLine="600" w:firstLineChars="200"/>
      </w:pPr>
      <w:r>
        <w:rPr>
          <w:rFonts w:hint="eastAsia"/>
        </w:rPr>
        <w:t>项目内容</w:t>
      </w:r>
    </w:p>
    <w:p>
      <w:pPr>
        <w:spacing w:line="360" w:lineRule="auto"/>
        <w:ind w:left="600"/>
      </w:pPr>
      <w:r>
        <w:rPr>
          <w:rFonts w:hint="eastAsia"/>
        </w:rPr>
        <w:t>购置教师办公桌椅100套，学生课桌椅224套</w:t>
      </w:r>
    </w:p>
    <w:p>
      <w:pPr>
        <w:numPr>
          <w:ilvl w:val="0"/>
          <w:numId w:val="1"/>
        </w:numPr>
        <w:spacing w:line="360" w:lineRule="auto"/>
        <w:ind w:firstLine="600" w:firstLineChars="200"/>
      </w:pPr>
      <w:r>
        <w:rPr>
          <w:rFonts w:hint="eastAsia"/>
        </w:rPr>
        <w:t>项目实施情况</w:t>
      </w:r>
    </w:p>
    <w:p>
      <w:pPr>
        <w:spacing w:line="360" w:lineRule="auto"/>
        <w:ind w:firstLine="600" w:firstLineChars="200"/>
      </w:pPr>
      <w:r>
        <w:rPr>
          <w:rFonts w:hint="eastAsia"/>
        </w:rPr>
        <w:t>教师办公桌椅及学生课桌椅购置项目由学校总务处牵头，综合办公室、纪检室、工会参与配合，委托第三方招标代理公司公开招标，所有货物于2019年9月购置到位，现已全部配发到位，切实改善了师生工作学习条件，全面提高师生对校内教学环境的满意度。</w:t>
      </w:r>
    </w:p>
    <w:p>
      <w:pPr>
        <w:pStyle w:val="9"/>
        <w:numPr>
          <w:ilvl w:val="0"/>
          <w:numId w:val="1"/>
        </w:numPr>
        <w:spacing w:line="600" w:lineRule="exact"/>
        <w:ind w:firstLineChars="0"/>
        <w:rPr>
          <w:rFonts w:ascii="仿宋_GB2312" w:hAnsi="仿宋_GB2312" w:cs="仿宋_GB2312"/>
          <w:szCs w:val="30"/>
        </w:rPr>
      </w:pPr>
      <w:r>
        <w:rPr>
          <w:rFonts w:hint="eastAsia" w:ascii="仿宋_GB2312" w:hAnsi="仿宋_GB2312" w:cs="仿宋_GB2312"/>
          <w:szCs w:val="30"/>
        </w:rPr>
        <w:t>项目资金投入和使用情况</w:t>
      </w:r>
    </w:p>
    <w:p>
      <w:pPr>
        <w:spacing w:line="600" w:lineRule="exact"/>
        <w:ind w:firstLine="600" w:firstLineChars="200"/>
        <w:outlineLvl w:val="0"/>
        <w:rPr>
          <w:rFonts w:ascii="仿宋_GB2312" w:hAnsi="仿宋_GB2312" w:cs="仿宋_GB2312"/>
        </w:rPr>
      </w:pPr>
      <w:r>
        <w:rPr>
          <w:rFonts w:hint="eastAsia"/>
        </w:rPr>
        <w:t>教师办公桌椅及学生课桌椅购置项目经费18万元，</w:t>
      </w:r>
      <w:r>
        <w:rPr>
          <w:rFonts w:hint="eastAsia" w:ascii="仿宋_GB2312" w:hAnsi="仿宋_GB2312" w:cs="仿宋_GB2312"/>
          <w:szCs w:val="30"/>
        </w:rPr>
        <w:t>全部纳入2019年市财政部门预算并全部到位，资金到位率100%。</w:t>
      </w:r>
      <w:r>
        <w:rPr>
          <w:rFonts w:hint="eastAsia"/>
        </w:rPr>
        <w:t>截</w:t>
      </w:r>
      <w:r>
        <w:rPr>
          <w:rFonts w:hint="eastAsia"/>
          <w:b/>
          <w:bCs/>
        </w:rPr>
        <w:t>止</w:t>
      </w:r>
      <w:r>
        <w:rPr>
          <w:rFonts w:hint="eastAsia"/>
        </w:rPr>
        <w:t>2</w:t>
      </w:r>
      <w:r>
        <w:rPr>
          <w:rFonts w:hint="eastAsia" w:ascii="仿宋_GB2312" w:hAnsi="仿宋_GB2312" w:cs="仿宋_GB2312"/>
          <w:szCs w:val="30"/>
        </w:rPr>
        <w:t xml:space="preserve">019年12月31日，实际使用资金18万元，执行率100% </w:t>
      </w:r>
      <w:r>
        <w:rPr>
          <w:rFonts w:hint="eastAsia" w:ascii="仿宋_GB2312" w:hAnsi="仿宋_GB2312" w:cs="仿宋_GB2312"/>
        </w:rPr>
        <w:t>。</w:t>
      </w:r>
    </w:p>
    <w:p>
      <w:pPr>
        <w:spacing w:line="360" w:lineRule="auto"/>
        <w:ind w:firstLine="643" w:firstLineChars="200"/>
        <w:rPr>
          <w:b/>
          <w:sz w:val="32"/>
          <w:szCs w:val="32"/>
        </w:rPr>
      </w:pPr>
      <w:r>
        <w:rPr>
          <w:rFonts w:hint="eastAsia"/>
          <w:b/>
          <w:sz w:val="32"/>
          <w:szCs w:val="32"/>
        </w:rPr>
        <w:t>（二）项目绩效目标</w:t>
      </w:r>
    </w:p>
    <w:p>
      <w:pPr>
        <w:spacing w:line="360" w:lineRule="auto"/>
        <w:ind w:firstLine="900" w:firstLineChars="300"/>
      </w:pPr>
      <w:r>
        <w:rPr>
          <w:rFonts w:hint="eastAsia"/>
        </w:rPr>
        <w:t>1、总体目标</w:t>
      </w:r>
    </w:p>
    <w:p>
      <w:pPr>
        <w:spacing w:line="360" w:lineRule="auto"/>
        <w:ind w:firstLine="900" w:firstLineChars="300"/>
      </w:pPr>
      <w:r>
        <w:rPr>
          <w:rFonts w:hint="eastAsia"/>
        </w:rPr>
        <w:t>根据“义务教育均衡化发展”的相关要求，切实改善了师生工作学习条件，大力推进学校生本教学改革，全面提高师生对校内教学环境的满意度。</w:t>
      </w:r>
    </w:p>
    <w:p>
      <w:pPr>
        <w:pStyle w:val="9"/>
        <w:numPr>
          <w:ilvl w:val="0"/>
          <w:numId w:val="2"/>
        </w:numPr>
        <w:spacing w:line="600" w:lineRule="exact"/>
        <w:ind w:firstLineChars="0"/>
        <w:rPr>
          <w:rFonts w:ascii="仿宋_GB2312" w:hAnsi="仿宋_GB2312" w:cs="仿宋_GB2312"/>
          <w:szCs w:val="30"/>
        </w:rPr>
      </w:pPr>
      <w:r>
        <w:rPr>
          <w:rFonts w:hint="eastAsia" w:ascii="仿宋_GB2312" w:hAnsi="仿宋_GB2312" w:cs="仿宋_GB2312"/>
          <w:szCs w:val="30"/>
        </w:rPr>
        <w:t>阶段性目标</w:t>
      </w:r>
    </w:p>
    <w:p>
      <w:pPr>
        <w:spacing w:line="360" w:lineRule="auto"/>
        <w:ind w:firstLine="600" w:firstLineChars="200"/>
      </w:pPr>
      <w:r>
        <w:rPr>
          <w:rFonts w:hint="eastAsia" w:ascii="仿宋_GB2312" w:hAnsi="仿宋_GB2312" w:cs="仿宋_GB2312"/>
          <w:szCs w:val="30"/>
        </w:rPr>
        <w:t>此项目为当年项目，无阶段性目标。</w:t>
      </w:r>
    </w:p>
    <w:p>
      <w:pPr>
        <w:spacing w:line="360" w:lineRule="auto"/>
        <w:ind w:firstLine="643" w:firstLineChars="200"/>
        <w:rPr>
          <w:b/>
          <w:sz w:val="32"/>
          <w:szCs w:val="32"/>
        </w:rPr>
      </w:pPr>
      <w:r>
        <w:rPr>
          <w:rFonts w:hint="eastAsia"/>
          <w:b/>
          <w:sz w:val="32"/>
          <w:szCs w:val="32"/>
        </w:rPr>
        <w:t>二、绩效评价工作开展情况</w:t>
      </w:r>
    </w:p>
    <w:p>
      <w:pPr>
        <w:spacing w:line="360" w:lineRule="auto"/>
        <w:ind w:firstLine="600" w:firstLineChars="200"/>
        <w:rPr>
          <w:rFonts w:ascii="仿宋" w:hAnsi="仿宋" w:eastAsia="仿宋"/>
        </w:rPr>
      </w:pPr>
      <w:r>
        <w:rPr>
          <w:rFonts w:hint="eastAsia" w:ascii="仿宋" w:hAnsi="仿宋" w:eastAsia="仿宋"/>
        </w:rPr>
        <w:t>1、绩效评价目的：</w:t>
      </w:r>
      <w:r>
        <w:rPr>
          <w:rFonts w:hint="eastAsia" w:ascii="仿宋_GB2312" w:hAnsi="仿宋_GB2312" w:cs="仿宋_GB2312"/>
          <w:bCs/>
          <w:szCs w:val="30"/>
          <w:lang w:bidi="en-US"/>
        </w:rPr>
        <w:t>采用科学、规范的方法，依据既定的评价技术体系，</w:t>
      </w:r>
      <w:r>
        <w:rPr>
          <w:rFonts w:hint="eastAsia" w:ascii="仿宋" w:hAnsi="仿宋" w:eastAsia="仿宋"/>
        </w:rPr>
        <w:t>加强</w:t>
      </w:r>
      <w:r>
        <w:rPr>
          <w:rFonts w:hint="eastAsia"/>
        </w:rPr>
        <w:t>教师办公桌椅及学生课桌椅购置项目</w:t>
      </w:r>
      <w:r>
        <w:rPr>
          <w:rFonts w:hint="eastAsia" w:ascii="仿宋" w:hAnsi="仿宋" w:eastAsia="仿宋"/>
        </w:rPr>
        <w:t>经费绩效管理，强化支出责任，建立科学合理的支出绩效评价管理体系，提高资金使用效益。</w:t>
      </w:r>
    </w:p>
    <w:p>
      <w:pPr>
        <w:spacing w:line="360" w:lineRule="auto"/>
        <w:ind w:firstLine="600" w:firstLineChars="200"/>
        <w:rPr>
          <w:rFonts w:ascii="仿宋" w:hAnsi="仿宋" w:eastAsia="仿宋"/>
        </w:rPr>
      </w:pPr>
      <w:r>
        <w:rPr>
          <w:rFonts w:hint="eastAsia" w:ascii="仿宋" w:hAnsi="仿宋" w:eastAsia="仿宋"/>
        </w:rPr>
        <w:t>2、绩效评价对象：巴州石油第一中学</w:t>
      </w:r>
      <w:r>
        <w:rPr>
          <w:rFonts w:hint="eastAsia"/>
        </w:rPr>
        <w:t>教师办公桌椅及学生课桌椅购置项目</w:t>
      </w:r>
    </w:p>
    <w:p>
      <w:pPr>
        <w:spacing w:line="360" w:lineRule="auto"/>
        <w:ind w:firstLine="600" w:firstLineChars="200"/>
        <w:rPr>
          <w:rFonts w:ascii="仿宋" w:hAnsi="仿宋" w:eastAsia="仿宋"/>
        </w:rPr>
      </w:pPr>
      <w:r>
        <w:rPr>
          <w:rFonts w:hint="eastAsia" w:ascii="仿宋" w:hAnsi="仿宋" w:eastAsia="仿宋"/>
        </w:rPr>
        <w:t>3、绩效评价范围：</w:t>
      </w:r>
      <w:r>
        <w:rPr>
          <w:rFonts w:hint="eastAsia" w:ascii="仿宋_GB2312"/>
        </w:rPr>
        <w:t>采购</w:t>
      </w:r>
      <w:r>
        <w:rPr>
          <w:rFonts w:hint="eastAsia" w:ascii="仿宋" w:hAnsi="仿宋" w:eastAsia="仿宋"/>
        </w:rPr>
        <w:t>224套学生桌椅，100套教师办公桌椅。</w:t>
      </w:r>
    </w:p>
    <w:p>
      <w:pPr>
        <w:spacing w:line="360" w:lineRule="auto"/>
        <w:ind w:firstLine="600" w:firstLineChars="200"/>
        <w:rPr>
          <w:rFonts w:ascii="仿宋" w:hAnsi="仿宋" w:eastAsia="仿宋"/>
        </w:rPr>
      </w:pPr>
      <w:r>
        <w:rPr>
          <w:rFonts w:hint="eastAsia" w:ascii="仿宋" w:hAnsi="仿宋" w:eastAsia="仿宋"/>
        </w:rPr>
        <w:t>4、绩效评价原则：</w:t>
      </w:r>
    </w:p>
    <w:p>
      <w:pPr>
        <w:spacing w:line="600" w:lineRule="exact"/>
        <w:ind w:firstLine="640"/>
        <w:rPr>
          <w:rFonts w:ascii="仿宋" w:hAnsi="仿宋" w:eastAsia="仿宋"/>
        </w:rPr>
      </w:pPr>
      <w:r>
        <w:rPr>
          <w:rFonts w:hint="eastAsia" w:ascii="仿宋" w:hAnsi="仿宋" w:eastAsia="仿宋"/>
        </w:rPr>
        <w:t>（1）科学公正。绩效评价应当运用科学合理的方法，按照规范的程序，对项目绩效进行客观、公正的反映。</w:t>
      </w:r>
    </w:p>
    <w:p>
      <w:pPr>
        <w:spacing w:line="600" w:lineRule="exact"/>
        <w:ind w:firstLine="640"/>
        <w:rPr>
          <w:rFonts w:ascii="仿宋" w:hAnsi="仿宋" w:eastAsia="仿宋"/>
        </w:rPr>
      </w:pPr>
      <w:r>
        <w:rPr>
          <w:rFonts w:hint="eastAsia" w:ascii="仿宋" w:hAnsi="仿宋" w:eastAsia="仿宋"/>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 w:hAnsi="仿宋" w:eastAsia="仿宋"/>
        </w:rPr>
      </w:pPr>
      <w:r>
        <w:rPr>
          <w:rFonts w:hint="eastAsia" w:ascii="仿宋" w:hAnsi="仿宋" w:eastAsia="仿宋"/>
        </w:rPr>
        <w:t>（3）激励约束。绩效评价结果应与预算安排、政策调整、改进管理实质性挂钩，体现奖优罚劣和激励相容导向，有效要安排、低效要压减、无效要问责。</w:t>
      </w:r>
    </w:p>
    <w:p>
      <w:pPr>
        <w:spacing w:line="600" w:lineRule="exact"/>
        <w:ind w:firstLine="600" w:firstLineChars="200"/>
        <w:rPr>
          <w:rFonts w:ascii="仿宋" w:hAnsi="仿宋" w:eastAsia="仿宋"/>
        </w:rPr>
      </w:pPr>
      <w:r>
        <w:rPr>
          <w:rFonts w:hint="eastAsia" w:ascii="仿宋" w:hAnsi="仿宋" w:eastAsia="仿宋"/>
        </w:rPr>
        <w:t>（4）公开透明。绩效评价结果应依法依规公开，并自觉接受社会监督。</w:t>
      </w:r>
    </w:p>
    <w:p>
      <w:pPr>
        <w:spacing w:line="600" w:lineRule="exact"/>
        <w:ind w:firstLine="640"/>
        <w:rPr>
          <w:rFonts w:ascii="仿宋" w:hAnsi="仿宋" w:eastAsia="仿宋"/>
        </w:rPr>
      </w:pPr>
      <w:r>
        <w:rPr>
          <w:rFonts w:hint="eastAsia" w:ascii="仿宋" w:hAnsi="仿宋" w:eastAsia="仿宋"/>
        </w:rPr>
        <w:t>5、绩效评价指标体系：（见附表1）。</w:t>
      </w:r>
    </w:p>
    <w:p>
      <w:pPr>
        <w:spacing w:line="600" w:lineRule="exact"/>
        <w:ind w:firstLine="640"/>
        <w:rPr>
          <w:rFonts w:ascii="仿宋" w:hAnsi="仿宋" w:eastAsia="仿宋"/>
        </w:rPr>
      </w:pPr>
      <w:r>
        <w:rPr>
          <w:rFonts w:hint="eastAsia" w:ascii="仿宋" w:hAnsi="仿宋" w:eastAsia="仿宋"/>
        </w:rPr>
        <w:t>教师办公桌椅及学生课桌椅购置项目</w:t>
      </w:r>
      <w:r>
        <w:rPr>
          <w:rFonts w:ascii="仿宋" w:hAnsi="仿宋" w:eastAsia="仿宋"/>
        </w:rPr>
        <w:t>绩效评价指标体系的设计参照财政部《项目支出绩效评价指标体系框架》决策和过程在此框架的基础上结合项目的特点适当进行完善，产出和效益根据项目特点进行了细化。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Pr>
          <w:rFonts w:hint="eastAsia" w:ascii="仿宋" w:hAnsi="仿宋" w:eastAsia="仿宋"/>
        </w:rPr>
        <w:t>教师办公桌椅及学生课桌椅购置项目</w:t>
      </w:r>
      <w:r>
        <w:rPr>
          <w:rFonts w:ascii="仿宋" w:hAnsi="仿宋" w:eastAsia="仿宋"/>
        </w:rPr>
        <w:t>绩效评价指标体系</w:t>
      </w:r>
    </w:p>
    <w:p>
      <w:pPr>
        <w:spacing w:line="600" w:lineRule="exact"/>
        <w:ind w:firstLine="640"/>
        <w:rPr>
          <w:rFonts w:ascii="仿宋" w:hAnsi="仿宋" w:eastAsia="仿宋"/>
        </w:rPr>
      </w:pPr>
      <w:r>
        <w:rPr>
          <w:rFonts w:hint="eastAsia" w:ascii="仿宋" w:hAnsi="仿宋" w:eastAsia="仿宋"/>
        </w:rPr>
        <w:t>6、绩效评价方法：</w:t>
      </w:r>
    </w:p>
    <w:p>
      <w:pPr>
        <w:spacing w:line="600" w:lineRule="exact"/>
        <w:ind w:firstLine="640"/>
        <w:rPr>
          <w:rFonts w:ascii="仿宋" w:hAnsi="仿宋" w:eastAsia="仿宋"/>
        </w:rPr>
      </w:pPr>
      <w:r>
        <w:rPr>
          <w:rFonts w:hint="eastAsia" w:ascii="仿宋" w:hAnsi="仿宋" w:eastAsia="仿宋"/>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ascii="仿宋" w:hAnsi="仿宋" w:eastAsia="仿宋"/>
        </w:rPr>
        <w:t>结合本次绩效评估项目的具体情况，为确保本次绩效评估工作的真实可靠，</w:t>
      </w:r>
      <w:r>
        <w:rPr>
          <w:rFonts w:hint="eastAsia" w:ascii="仿宋" w:hAnsi="仿宋" w:eastAsia="仿宋"/>
        </w:rPr>
        <w:t>我单位采用了成本效益分析法进行评价。项目评价内容主要围绕数量指标、质量指标、时效指标、社会效益指标等开展，评价方式主要采用分析法和比较法。</w:t>
      </w:r>
    </w:p>
    <w:p>
      <w:pPr>
        <w:spacing w:line="600" w:lineRule="exact"/>
        <w:ind w:firstLine="640"/>
        <w:rPr>
          <w:rFonts w:ascii="仿宋" w:hAnsi="仿宋" w:eastAsia="仿宋"/>
        </w:rPr>
      </w:pPr>
      <w:r>
        <w:rPr>
          <w:rFonts w:hint="eastAsia" w:ascii="仿宋" w:hAnsi="仿宋" w:eastAsia="仿宋"/>
        </w:rPr>
        <w:t>比较法：主要是对三级指标内容从数量上、质量上、时效上与完成情况进行时对比，比如：资金支付进度是否及时，购置数是否准确，是否按时完成采购，质量是否达标，验收是否合格等。</w:t>
      </w:r>
    </w:p>
    <w:p>
      <w:pPr>
        <w:spacing w:line="600" w:lineRule="exact"/>
        <w:ind w:firstLine="640"/>
        <w:rPr>
          <w:rFonts w:ascii="仿宋" w:hAnsi="仿宋" w:eastAsia="仿宋"/>
        </w:rPr>
      </w:pPr>
      <w:r>
        <w:rPr>
          <w:rFonts w:hint="eastAsia" w:ascii="仿宋" w:hAnsi="仿宋" w:eastAsia="仿宋"/>
        </w:rPr>
        <w:t>分析法：主要是根据三级指标完成的情况，分析查找项目内容在数量上、质量上、时效上存在的问题，找出原因，制定解决方案，及时整改，确保项目顺利实施。</w:t>
      </w:r>
    </w:p>
    <w:p>
      <w:pPr>
        <w:spacing w:line="600" w:lineRule="exact"/>
        <w:ind w:firstLine="640"/>
        <w:rPr>
          <w:rFonts w:ascii="仿宋" w:hAnsi="仿宋" w:eastAsia="仿宋"/>
        </w:rPr>
      </w:pPr>
      <w:r>
        <w:rPr>
          <w:rFonts w:hint="eastAsia" w:ascii="仿宋" w:hAnsi="仿宋" w:eastAsia="仿宋"/>
        </w:rPr>
        <w:t>7、评价标准</w:t>
      </w:r>
    </w:p>
    <w:p>
      <w:pPr>
        <w:spacing w:line="600" w:lineRule="exact"/>
        <w:ind w:firstLine="640"/>
        <w:rPr>
          <w:rFonts w:ascii="仿宋" w:hAnsi="仿宋" w:eastAsia="仿宋"/>
        </w:rPr>
      </w:pPr>
      <w:r>
        <w:rPr>
          <w:rFonts w:ascii="仿宋" w:hAnsi="仿宋" w:eastAsia="仿宋"/>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pPr>
        <w:spacing w:line="600" w:lineRule="exact"/>
        <w:ind w:firstLine="640"/>
        <w:rPr>
          <w:rFonts w:ascii="仿宋" w:hAnsi="仿宋" w:eastAsia="仿宋"/>
        </w:rPr>
      </w:pPr>
      <w:r>
        <w:rPr>
          <w:rFonts w:hint="eastAsia" w:ascii="仿宋" w:hAnsi="仿宋" w:eastAsia="仿宋"/>
        </w:rPr>
        <w:t>8、绩效评价工作过程：（1）项目开展前积极调查，编制项目工作方案。重大项目开支都由学校党委班子集体研究讨论决定。制定绩效自评内容，将《项目支出绩效自评表》送相关责任部门，在规定工作日内，报送自治州财政局业务处室，由自治州部门单位报送的绩效自评结果进行初审。（2）根据审核确定的《项目支出绩效自评表》监控内容，对绩效内容进行过程性监控，监控内容主要包括预算执行率、分项指标完成情况、年度总体绩效完成情况。对未按进度执行的绩效目标，进行分析，并提出改进措施，严格按照绩效目标进度执行，确保顺利完成年度绩效目标任务。</w:t>
      </w:r>
    </w:p>
    <w:p>
      <w:pPr>
        <w:spacing w:line="600" w:lineRule="exact"/>
        <w:ind w:firstLine="640"/>
        <w:rPr>
          <w:rFonts w:ascii="仿宋" w:hAnsi="仿宋" w:eastAsia="仿宋"/>
          <w:b/>
          <w:sz w:val="32"/>
          <w:szCs w:val="32"/>
        </w:rPr>
      </w:pPr>
      <w:r>
        <w:rPr>
          <w:rFonts w:hint="eastAsia" w:ascii="仿宋" w:hAnsi="仿宋" w:eastAsia="仿宋"/>
          <w:b/>
          <w:sz w:val="32"/>
          <w:szCs w:val="32"/>
        </w:rPr>
        <w:t>三、综合评价情况及评价结论</w:t>
      </w:r>
    </w:p>
    <w:p>
      <w:pPr>
        <w:spacing w:line="600" w:lineRule="exact"/>
        <w:ind w:firstLine="640"/>
        <w:rPr>
          <w:rFonts w:ascii="仿宋" w:hAnsi="仿宋" w:eastAsia="仿宋"/>
        </w:rPr>
      </w:pPr>
      <w:r>
        <w:rPr>
          <w:rFonts w:hint="eastAsia" w:ascii="仿宋" w:hAnsi="仿宋" w:eastAsia="仿宋"/>
        </w:rPr>
        <w:t xml:space="preserve"> 年初预留项目经费18万元，按照绩效目标要求累计支付18万元，顺利完成年度绩效目标任务，显著改善了学校办学条件，全面提高师生对校内教学环境的满意度，确保学校的教育教学正常开展。</w:t>
      </w:r>
    </w:p>
    <w:p>
      <w:pPr>
        <w:spacing w:line="600" w:lineRule="exact"/>
        <w:rPr>
          <w:rFonts w:ascii="仿宋" w:hAnsi="仿宋" w:eastAsia="仿宋"/>
        </w:rPr>
      </w:pPr>
      <w:r>
        <w:rPr>
          <w:rFonts w:hint="eastAsia" w:ascii="仿宋" w:hAnsi="仿宋" w:eastAsia="仿宋"/>
        </w:rPr>
        <w:t>保证桌椅质量，对购置的办公桌椅及学生课桌椅百分百验收合格，有效提升师生使用满意度。</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四、绩效评价指标分析</w:t>
      </w:r>
    </w:p>
    <w:p>
      <w:pPr>
        <w:spacing w:line="360" w:lineRule="auto"/>
        <w:ind w:firstLine="600" w:firstLineChars="200"/>
        <w:rPr>
          <w:rFonts w:ascii="仿宋" w:hAnsi="仿宋" w:eastAsia="仿宋"/>
        </w:rPr>
      </w:pPr>
      <w:r>
        <w:rPr>
          <w:rFonts w:hint="eastAsia" w:ascii="仿宋" w:hAnsi="仿宋" w:eastAsia="仿宋"/>
        </w:rPr>
        <w:t>（一）项目决策情况：贯彻实施绩效目标任务是学校的重要职责。学校主要领导负责绩效任务的统筹规划，总务处具体负责，由办公室、财务室、总务处负责资金使用实施方案编制，严格遵守“三重一大”制度，一万元以上的开支均在党委会上讨论通过，学校成立了招标领导小组监督领导领导小组，所有义务教育经费的管理使用实行公开。</w:t>
      </w:r>
    </w:p>
    <w:p>
      <w:pPr>
        <w:spacing w:line="360" w:lineRule="auto"/>
        <w:ind w:firstLine="600" w:firstLineChars="200"/>
        <w:rPr>
          <w:rFonts w:ascii="仿宋" w:hAnsi="仿宋" w:eastAsia="仿宋"/>
        </w:rPr>
      </w:pPr>
      <w:r>
        <w:rPr>
          <w:rFonts w:hint="eastAsia" w:ascii="仿宋" w:hAnsi="仿宋" w:eastAsia="仿宋"/>
        </w:rPr>
        <w:t>（二）项目过程情况：1、严格项目招投标制，项目在实施阶段严格实行招标、投标制度，遵循公开、公正、公平竞争的原则，择优选择供货单位，杜绝各种不正当竞争的行为，确保商品质量。</w:t>
      </w:r>
    </w:p>
    <w:p>
      <w:pPr>
        <w:spacing w:line="360" w:lineRule="auto"/>
        <w:ind w:firstLine="600" w:firstLineChars="200"/>
        <w:rPr>
          <w:rFonts w:ascii="仿宋" w:hAnsi="仿宋" w:eastAsia="仿宋"/>
        </w:rPr>
      </w:pPr>
      <w:r>
        <w:rPr>
          <w:rFonts w:hint="eastAsia" w:ascii="仿宋" w:hAnsi="仿宋" w:eastAsia="仿宋"/>
        </w:rPr>
        <w:t>2、严格项目内容，认真组织实施，按照报批的项目名称、内容、资金预算进行，杜绝未经批准擅自变更内容。严格财务管理工作，在项目资金使用过程中严把监督审核关，建立健全内部审批制度。</w:t>
      </w:r>
    </w:p>
    <w:p>
      <w:pPr>
        <w:spacing w:line="600" w:lineRule="exact"/>
        <w:ind w:firstLine="640"/>
        <w:rPr>
          <w:rFonts w:ascii="仿宋" w:hAnsi="仿宋" w:eastAsia="仿宋"/>
        </w:rPr>
      </w:pPr>
      <w:r>
        <w:rPr>
          <w:rFonts w:hint="eastAsia" w:ascii="仿宋" w:hAnsi="仿宋" w:eastAsia="仿宋"/>
        </w:rPr>
        <w:t>（三）项目产出情况：</w:t>
      </w:r>
    </w:p>
    <w:p>
      <w:pPr>
        <w:spacing w:line="600" w:lineRule="exact"/>
        <w:ind w:firstLine="640"/>
        <w:rPr>
          <w:rFonts w:ascii="仿宋" w:hAnsi="仿宋" w:eastAsia="仿宋"/>
        </w:rPr>
      </w:pPr>
      <w:r>
        <w:rPr>
          <w:rFonts w:hint="eastAsia" w:ascii="仿宋" w:hAnsi="仿宋" w:eastAsia="仿宋"/>
        </w:rPr>
        <w:t>1、数量指标：购置了教师办公桌椅100套，学生课桌椅224套。</w:t>
      </w:r>
    </w:p>
    <w:p>
      <w:pPr>
        <w:spacing w:line="600" w:lineRule="exact"/>
        <w:ind w:firstLine="640"/>
        <w:rPr>
          <w:rFonts w:ascii="仿宋" w:hAnsi="仿宋" w:eastAsia="仿宋"/>
        </w:rPr>
      </w:pPr>
      <w:r>
        <w:rPr>
          <w:rFonts w:hint="eastAsia" w:ascii="仿宋" w:hAnsi="仿宋" w:eastAsia="仿宋"/>
        </w:rPr>
        <w:t>2、质量指标：严格按照相关质量标准组织学校验收小组进行验收，认真履职，监督到位。验收合格率达到100%。</w:t>
      </w:r>
    </w:p>
    <w:p>
      <w:pPr>
        <w:spacing w:line="600" w:lineRule="exact"/>
        <w:ind w:firstLine="640"/>
        <w:rPr>
          <w:rFonts w:ascii="仿宋" w:hAnsi="仿宋" w:eastAsia="仿宋"/>
        </w:rPr>
      </w:pPr>
      <w:r>
        <w:rPr>
          <w:rFonts w:hint="eastAsia" w:ascii="仿宋" w:hAnsi="仿宋" w:eastAsia="仿宋"/>
        </w:rPr>
        <w:t>3、时效指标：按照项目支出绩效工作计划完成时间，结合实际情况，督促组织相关人员开展工作，按时保质保量完成项目要求。</w:t>
      </w:r>
    </w:p>
    <w:p>
      <w:pPr>
        <w:spacing w:line="600" w:lineRule="exact"/>
        <w:ind w:firstLine="640"/>
        <w:rPr>
          <w:rFonts w:ascii="仿宋" w:hAnsi="仿宋" w:eastAsia="仿宋"/>
        </w:rPr>
      </w:pPr>
      <w:r>
        <w:rPr>
          <w:rFonts w:hint="eastAsia" w:ascii="仿宋" w:hAnsi="仿宋" w:eastAsia="仿宋"/>
        </w:rPr>
        <w:t>4、成本指标:教师办公桌椅，12.36万元；学生课桌椅5.64万累计18万元。</w:t>
      </w:r>
    </w:p>
    <w:p>
      <w:pPr>
        <w:spacing w:line="360" w:lineRule="auto"/>
        <w:ind w:firstLine="600" w:firstLineChars="200"/>
        <w:rPr>
          <w:rFonts w:ascii="仿宋" w:hAnsi="仿宋" w:eastAsia="仿宋"/>
        </w:rPr>
      </w:pPr>
      <w:r>
        <w:rPr>
          <w:rFonts w:hint="eastAsia" w:ascii="仿宋" w:hAnsi="仿宋" w:eastAsia="仿宋"/>
        </w:rPr>
        <w:t>（四）项目效益情况：根据绩效任务完成设定指标，学生和教师满意度达到95%以上，经过师生层面的满意度抽样测评，学生、教师抽样调查满意度为95%，完成预期抽样调查满意度指标。经费充分保障了学校教学条件不断的改善。</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五、主要经验及做法、存在的问题及原因分析</w:t>
      </w:r>
    </w:p>
    <w:p>
      <w:pPr>
        <w:spacing w:line="360" w:lineRule="auto"/>
        <w:ind w:firstLine="600" w:firstLineChars="200"/>
        <w:rPr>
          <w:rFonts w:ascii="仿宋" w:hAnsi="仿宋" w:eastAsia="仿宋"/>
        </w:rPr>
      </w:pPr>
      <w:r>
        <w:rPr>
          <w:rFonts w:hint="eastAsia" w:ascii="仿宋" w:hAnsi="仿宋" w:eastAsia="仿宋"/>
        </w:rPr>
        <w:t>（一）主要经验及做法、存在问题和建议</w:t>
      </w:r>
    </w:p>
    <w:p>
      <w:pPr>
        <w:spacing w:line="360" w:lineRule="auto"/>
        <w:ind w:firstLine="600" w:firstLineChars="200"/>
        <w:rPr>
          <w:rFonts w:ascii="仿宋" w:hAnsi="仿宋" w:eastAsia="仿宋"/>
        </w:rPr>
      </w:pPr>
      <w:r>
        <w:rPr>
          <w:rFonts w:hint="eastAsia" w:ascii="仿宋" w:hAnsi="仿宋" w:eastAsia="仿宋"/>
        </w:rPr>
        <w:t>一是加强领导，落实责任。学校高度重视此项工作，明确各职能部门的工作职责，由专人负责该项工作的实施与推进。二是部门协调，齐抓共管。各部门充分发挥职能作用，在项目申报、资金使用等方面，认真履职，监督到位。三是按照项目进度款拨付管理等相关要求开展工作，并严格按照资金使用的相关管理办法执行，保证项目资金专款专用。</w:t>
      </w:r>
    </w:p>
    <w:p>
      <w:pPr>
        <w:spacing w:line="360" w:lineRule="auto"/>
        <w:ind w:firstLine="600" w:firstLineChars="200"/>
        <w:rPr>
          <w:rFonts w:ascii="仿宋" w:hAnsi="仿宋" w:eastAsia="仿宋"/>
        </w:rPr>
      </w:pPr>
      <w:r>
        <w:rPr>
          <w:rFonts w:hint="eastAsia" w:ascii="仿宋" w:hAnsi="仿宋" w:eastAsia="仿宋"/>
        </w:rPr>
        <w:t>（二）后续工作计划</w:t>
      </w:r>
    </w:p>
    <w:p>
      <w:pPr>
        <w:spacing w:line="360" w:lineRule="auto"/>
        <w:ind w:firstLine="600" w:firstLineChars="200"/>
        <w:rPr>
          <w:rFonts w:ascii="仿宋" w:hAnsi="仿宋" w:eastAsia="仿宋"/>
        </w:rPr>
      </w:pPr>
      <w:r>
        <w:rPr>
          <w:rFonts w:hint="eastAsia" w:ascii="仿宋" w:hAnsi="仿宋" w:eastAsia="仿宋"/>
        </w:rPr>
        <w:t>认真履行财务相关制度，力求资金的规范使用，无挪用、挤占、截留等现象，项目开展前积极调查，编制项目工作方案。后期提交绩效评价报告，指导所在学校针对存在的问题进行整改，为下年度财政预算提供依据。</w:t>
      </w:r>
    </w:p>
    <w:p>
      <w:pPr>
        <w:spacing w:line="360" w:lineRule="auto"/>
        <w:ind w:firstLine="600" w:firstLineChars="200"/>
        <w:rPr>
          <w:rFonts w:ascii="仿宋" w:hAnsi="仿宋" w:eastAsia="仿宋"/>
        </w:rPr>
      </w:pPr>
      <w:r>
        <w:rPr>
          <w:rFonts w:hint="eastAsia" w:ascii="仿宋" w:hAnsi="仿宋" w:eastAsia="仿宋"/>
        </w:rPr>
        <w:t>（三）存在的问题</w:t>
      </w:r>
    </w:p>
    <w:p>
      <w:pPr>
        <w:spacing w:line="360" w:lineRule="auto"/>
        <w:ind w:firstLine="600" w:firstLineChars="200"/>
        <w:rPr>
          <w:rFonts w:ascii="仿宋" w:hAnsi="仿宋" w:eastAsia="仿宋"/>
        </w:rPr>
      </w:pPr>
      <w:r>
        <w:rPr>
          <w:rFonts w:hint="eastAsia" w:ascii="仿宋" w:hAnsi="仿宋" w:eastAsia="仿宋"/>
        </w:rPr>
        <w:t>我校教师工作任务繁重，项目绩效评估人员缺乏财务专业知识，义务教育经费使用要求较高，难于根据学校实际计划使用资金。</w:t>
      </w:r>
    </w:p>
    <w:p>
      <w:pPr>
        <w:spacing w:line="360" w:lineRule="auto"/>
        <w:ind w:firstLine="643" w:firstLineChars="200"/>
        <w:rPr>
          <w:rFonts w:ascii="仿宋" w:hAnsi="仿宋" w:eastAsia="仿宋"/>
        </w:rPr>
      </w:pPr>
      <w:r>
        <w:rPr>
          <w:rFonts w:hint="eastAsia" w:ascii="仿宋" w:hAnsi="仿宋" w:eastAsia="仿宋"/>
          <w:b/>
          <w:sz w:val="32"/>
          <w:szCs w:val="32"/>
        </w:rPr>
        <w:t>六、有关建议：</w:t>
      </w:r>
      <w:r>
        <w:rPr>
          <w:rFonts w:hint="eastAsia" w:ascii="仿宋" w:hAnsi="仿宋" w:eastAsia="仿宋"/>
        </w:rPr>
        <w:t>无</w:t>
      </w:r>
    </w:p>
    <w:p>
      <w:pPr>
        <w:spacing w:line="360" w:lineRule="auto"/>
        <w:ind w:firstLine="643" w:firstLineChars="200"/>
        <w:rPr>
          <w:rFonts w:ascii="仿宋" w:hAnsi="仿宋" w:eastAsia="仿宋"/>
        </w:rPr>
      </w:pPr>
      <w:r>
        <w:rPr>
          <w:rFonts w:hint="eastAsia" w:ascii="仿宋" w:hAnsi="仿宋" w:eastAsia="仿宋"/>
          <w:b/>
          <w:sz w:val="32"/>
          <w:szCs w:val="32"/>
        </w:rPr>
        <w:t>七、其他需要说明的问题：</w:t>
      </w:r>
      <w:r>
        <w:rPr>
          <w:rFonts w:hint="eastAsia" w:ascii="仿宋" w:hAnsi="仿宋" w:eastAsia="仿宋"/>
        </w:rPr>
        <w:t>无</w:t>
      </w:r>
    </w:p>
    <w:p>
      <w:pPr>
        <w:spacing w:line="360" w:lineRule="auto"/>
        <w:ind w:firstLine="600" w:firstLineChars="200"/>
        <w:rPr>
          <w:rFonts w:ascii="仿宋" w:hAnsi="仿宋" w:eastAsia="仿宋"/>
        </w:rPr>
      </w:pPr>
    </w:p>
    <w:p>
      <w:pPr>
        <w:spacing w:line="360" w:lineRule="auto"/>
        <w:ind w:firstLine="600" w:firstLineChars="200"/>
        <w:rPr>
          <w:rFonts w:ascii="仿宋" w:hAnsi="仿宋" w:eastAsia="仿宋"/>
        </w:rPr>
        <w:sectPr>
          <w:pgSz w:w="11906" w:h="16838"/>
          <w:pgMar w:top="1928" w:right="1531" w:bottom="1701" w:left="1531" w:header="737" w:footer="851" w:gutter="0"/>
          <w:cols w:space="720" w:num="1"/>
          <w:docGrid w:type="lines" w:linePitch="408" w:charSpace="0"/>
        </w:sectPr>
      </w:pPr>
    </w:p>
    <w:p>
      <w:pPr>
        <w:spacing w:line="360" w:lineRule="auto"/>
        <w:ind w:firstLine="600" w:firstLineChars="200"/>
        <w:rPr>
          <w:rFonts w:ascii="仿宋" w:hAnsi="仿宋" w:eastAsia="仿宋"/>
        </w:rPr>
      </w:pPr>
    </w:p>
    <w:tbl>
      <w:tblPr>
        <w:tblStyle w:val="4"/>
        <w:tblpPr w:topFromText="180" w:bottomFromText="180" w:vertAnchor="text" w:tblpX="1" w:tblpYSpec="top"/>
        <w:tblOverlap w:val="never"/>
        <w:tblW w:w="5000"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56"/>
        <w:gridCol w:w="876"/>
        <w:gridCol w:w="517"/>
        <w:gridCol w:w="1084"/>
        <w:gridCol w:w="3034"/>
        <w:gridCol w:w="438"/>
        <w:gridCol w:w="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trPr>
        <w:tc>
          <w:tcPr>
            <w:tcW w:w="216" w:type="pct"/>
            <w:tcBorders>
              <w:tl2br w:val="nil"/>
              <w:tr2bl w:val="nil"/>
            </w:tcBorders>
            <w:shd w:val="clear" w:color="auto" w:fill="FFFFFF"/>
            <w:vAlign w:val="center"/>
          </w:tcPr>
          <w:p>
            <w:pPr>
              <w:widowControl/>
              <w:spacing w:line="0" w:lineRule="atLeast"/>
              <w:jc w:val="center"/>
              <w:rPr>
                <w:b/>
                <w:bCs/>
                <w:color w:val="000000"/>
                <w:kern w:val="0"/>
                <w:sz w:val="22"/>
                <w:szCs w:val="22"/>
              </w:rPr>
            </w:pPr>
            <w:r>
              <w:rPr>
                <w:rFonts w:eastAsia="宋体"/>
                <w:b/>
                <w:bCs/>
                <w:color w:val="000000"/>
                <w:kern w:val="0"/>
                <w:sz w:val="22"/>
                <w:szCs w:val="22"/>
              </w:rPr>
              <w:t>一级指标</w:t>
            </w:r>
          </w:p>
        </w:tc>
        <w:tc>
          <w:tcPr>
            <w:tcW w:w="704" w:type="pct"/>
            <w:tcBorders>
              <w:tl2br w:val="nil"/>
              <w:tr2bl w:val="nil"/>
            </w:tcBorders>
            <w:shd w:val="clear" w:color="auto" w:fill="FFFFFF"/>
            <w:vAlign w:val="center"/>
          </w:tcPr>
          <w:p>
            <w:pPr>
              <w:widowControl/>
              <w:spacing w:line="0" w:lineRule="atLeast"/>
              <w:jc w:val="center"/>
              <w:rPr>
                <w:b/>
                <w:bCs/>
                <w:color w:val="000000"/>
                <w:kern w:val="0"/>
                <w:sz w:val="22"/>
                <w:szCs w:val="22"/>
              </w:rPr>
            </w:pPr>
            <w:r>
              <w:rPr>
                <w:rFonts w:eastAsia="宋体"/>
                <w:b/>
                <w:bCs/>
                <w:color w:val="000000"/>
                <w:kern w:val="0"/>
                <w:sz w:val="22"/>
                <w:szCs w:val="22"/>
              </w:rPr>
              <w:t>二级指标</w:t>
            </w:r>
          </w:p>
        </w:tc>
        <w:tc>
          <w:tcPr>
            <w:tcW w:w="478" w:type="pct"/>
            <w:tcBorders>
              <w:tl2br w:val="nil"/>
              <w:tr2bl w:val="nil"/>
            </w:tcBorders>
            <w:shd w:val="clear" w:color="auto" w:fill="FFFFFF"/>
            <w:vAlign w:val="center"/>
          </w:tcPr>
          <w:p>
            <w:pPr>
              <w:widowControl/>
              <w:spacing w:line="0" w:lineRule="atLeast"/>
              <w:jc w:val="center"/>
              <w:rPr>
                <w:b/>
                <w:bCs/>
                <w:color w:val="000000"/>
                <w:kern w:val="0"/>
                <w:sz w:val="22"/>
                <w:szCs w:val="22"/>
              </w:rPr>
            </w:pPr>
            <w:r>
              <w:rPr>
                <w:rFonts w:eastAsia="宋体"/>
                <w:b/>
                <w:bCs/>
                <w:color w:val="000000"/>
                <w:kern w:val="0"/>
                <w:sz w:val="22"/>
                <w:szCs w:val="22"/>
              </w:rPr>
              <w:t>三级指标</w:t>
            </w:r>
          </w:p>
        </w:tc>
        <w:tc>
          <w:tcPr>
            <w:tcW w:w="866" w:type="pct"/>
            <w:tcBorders>
              <w:tl2br w:val="nil"/>
              <w:tr2bl w:val="nil"/>
            </w:tcBorders>
            <w:shd w:val="clear" w:color="auto" w:fill="FFFFFF"/>
            <w:vAlign w:val="center"/>
          </w:tcPr>
          <w:p>
            <w:pPr>
              <w:widowControl/>
              <w:spacing w:line="0" w:lineRule="atLeast"/>
              <w:jc w:val="center"/>
              <w:rPr>
                <w:b/>
                <w:bCs/>
                <w:color w:val="000000"/>
                <w:kern w:val="0"/>
                <w:sz w:val="22"/>
                <w:szCs w:val="22"/>
              </w:rPr>
            </w:pPr>
            <w:r>
              <w:rPr>
                <w:rFonts w:eastAsia="宋体"/>
                <w:b/>
                <w:bCs/>
                <w:color w:val="000000"/>
                <w:kern w:val="0"/>
                <w:sz w:val="22"/>
                <w:szCs w:val="22"/>
              </w:rPr>
              <w:t>指标解释</w:t>
            </w:r>
          </w:p>
        </w:tc>
        <w:tc>
          <w:tcPr>
            <w:tcW w:w="2250" w:type="pct"/>
            <w:tcBorders>
              <w:tl2br w:val="nil"/>
              <w:tr2bl w:val="nil"/>
            </w:tcBorders>
            <w:shd w:val="clear" w:color="auto" w:fill="FFFFFF"/>
            <w:vAlign w:val="center"/>
          </w:tcPr>
          <w:p>
            <w:pPr>
              <w:widowControl/>
              <w:spacing w:line="0" w:lineRule="atLeast"/>
              <w:jc w:val="center"/>
              <w:rPr>
                <w:b/>
                <w:bCs/>
                <w:color w:val="000000"/>
                <w:kern w:val="0"/>
                <w:sz w:val="22"/>
                <w:szCs w:val="22"/>
              </w:rPr>
            </w:pPr>
            <w:r>
              <w:rPr>
                <w:rFonts w:eastAsia="宋体"/>
                <w:b/>
                <w:bCs/>
                <w:color w:val="000000"/>
                <w:kern w:val="0"/>
                <w:sz w:val="22"/>
                <w:szCs w:val="22"/>
              </w:rPr>
              <w:t>指标说明</w:t>
            </w:r>
          </w:p>
        </w:tc>
        <w:tc>
          <w:tcPr>
            <w:tcW w:w="241" w:type="pct"/>
            <w:tcBorders>
              <w:top w:val="single" w:color="auto" w:sz="4" w:space="0"/>
              <w:bottom w:val="single" w:color="auto" w:sz="4" w:space="0"/>
              <w:right w:val="single" w:color="auto" w:sz="4" w:space="0"/>
            </w:tcBorders>
            <w:shd w:val="clear" w:color="auto" w:fill="auto"/>
          </w:tcPr>
          <w:p>
            <w:pPr>
              <w:widowControl/>
              <w:spacing w:line="0" w:lineRule="atLeast"/>
              <w:jc w:val="center"/>
              <w:rPr>
                <w:b/>
                <w:bCs/>
                <w:color w:val="000000"/>
                <w:kern w:val="0"/>
                <w:sz w:val="22"/>
                <w:szCs w:val="22"/>
              </w:rPr>
            </w:pPr>
            <w:r>
              <w:rPr>
                <w:rFonts w:eastAsia="宋体"/>
                <w:b/>
                <w:bCs/>
                <w:color w:val="000000"/>
                <w:kern w:val="0"/>
                <w:sz w:val="22"/>
                <w:szCs w:val="22"/>
              </w:rPr>
              <w:t>分值</w:t>
            </w:r>
          </w:p>
        </w:tc>
        <w:tc>
          <w:tcPr>
            <w:tcW w:w="245" w:type="pct"/>
            <w:tcBorders>
              <w:top w:val="single" w:color="auto" w:sz="4" w:space="0"/>
              <w:left w:val="single" w:color="auto" w:sz="4" w:space="0"/>
              <w:bottom w:val="single" w:color="auto" w:sz="4" w:space="0"/>
              <w:right w:val="single" w:color="auto" w:sz="4" w:space="0"/>
            </w:tcBorders>
            <w:shd w:val="clear" w:color="auto" w:fill="auto"/>
          </w:tcPr>
          <w:p>
            <w:pPr>
              <w:widowControl/>
              <w:jc w:val="left"/>
              <w:rPr>
                <w:b/>
                <w:bCs/>
                <w:color w:val="000000"/>
                <w:kern w:val="0"/>
                <w:sz w:val="22"/>
                <w:szCs w:val="22"/>
              </w:rPr>
            </w:pPr>
            <w:r>
              <w:rPr>
                <w:rFonts w:eastAsia="宋体"/>
                <w:b/>
                <w:bCs/>
                <w:color w:val="000000"/>
                <w:kern w:val="0"/>
                <w:sz w:val="22"/>
                <w:szCs w:val="22"/>
              </w:rPr>
              <w:t>评价</w:t>
            </w:r>
          </w:p>
          <w:p>
            <w:pPr>
              <w:widowControl/>
              <w:jc w:val="left"/>
              <w:rPr>
                <w:b/>
                <w:bCs/>
                <w:color w:val="000000"/>
                <w:kern w:val="0"/>
                <w:sz w:val="22"/>
                <w:szCs w:val="22"/>
              </w:rPr>
            </w:pPr>
            <w:r>
              <w:rPr>
                <w:rFonts w:eastAsia="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trPr>
        <w:tc>
          <w:tcPr>
            <w:tcW w:w="216"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决策(20分)　</w:t>
            </w:r>
          </w:p>
          <w:p>
            <w:pPr>
              <w:widowControl/>
              <w:spacing w:line="0" w:lineRule="atLeast"/>
              <w:jc w:val="center"/>
              <w:rPr>
                <w:color w:val="000000"/>
                <w:kern w:val="0"/>
                <w:sz w:val="22"/>
                <w:szCs w:val="22"/>
              </w:rPr>
            </w:pPr>
            <w:r>
              <w:rPr>
                <w:rFonts w:eastAsia="宋体"/>
                <w:color w:val="000000"/>
                <w:kern w:val="0"/>
                <w:sz w:val="22"/>
                <w:szCs w:val="22"/>
              </w:rPr>
              <w:t>　</w:t>
            </w:r>
          </w:p>
          <w:p>
            <w:pPr>
              <w:spacing w:line="0" w:lineRule="atLeast"/>
              <w:jc w:val="center"/>
              <w:rPr>
                <w:color w:val="000000"/>
                <w:kern w:val="0"/>
                <w:sz w:val="22"/>
                <w:szCs w:val="22"/>
              </w:rPr>
            </w:pPr>
            <w:r>
              <w:rPr>
                <w:rFonts w:eastAsia="宋体"/>
                <w:color w:val="000000"/>
                <w:kern w:val="0"/>
                <w:sz w:val="22"/>
                <w:szCs w:val="22"/>
              </w:rPr>
              <w:t>　</w:t>
            </w:r>
          </w:p>
        </w:tc>
        <w:tc>
          <w:tcPr>
            <w:tcW w:w="704"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项目立项（5）　</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立项依据</w:t>
            </w:r>
          </w:p>
          <w:p>
            <w:pPr>
              <w:widowControl/>
              <w:spacing w:line="0" w:lineRule="atLeast"/>
              <w:jc w:val="center"/>
              <w:rPr>
                <w:color w:val="000000"/>
                <w:kern w:val="0"/>
                <w:sz w:val="22"/>
                <w:szCs w:val="22"/>
              </w:rPr>
            </w:pPr>
            <w:r>
              <w:rPr>
                <w:rFonts w:eastAsia="宋体"/>
                <w:color w:val="000000"/>
                <w:kern w:val="0"/>
                <w:sz w:val="22"/>
                <w:szCs w:val="22"/>
              </w:rPr>
              <w:t>充分性</w:t>
            </w:r>
          </w:p>
        </w:tc>
        <w:tc>
          <w:tcPr>
            <w:tcW w:w="866" w:type="pct"/>
            <w:tcBorders>
              <w:tl2br w:val="nil"/>
              <w:tr2bl w:val="nil"/>
            </w:tcBorders>
            <w:shd w:val="clear" w:color="auto" w:fill="FFFFFF"/>
            <w:vAlign w:val="center"/>
          </w:tcPr>
          <w:p>
            <w:pPr>
              <w:widowControl/>
              <w:spacing w:line="0" w:lineRule="atLeast"/>
              <w:rPr>
                <w:color w:val="000000"/>
                <w:kern w:val="0"/>
                <w:sz w:val="22"/>
                <w:szCs w:val="22"/>
              </w:rPr>
            </w:pPr>
            <w:r>
              <w:rPr>
                <w:rFonts w:eastAsia="宋体"/>
                <w:color w:val="000000"/>
                <w:kern w:val="0"/>
                <w:sz w:val="22"/>
                <w:szCs w:val="22"/>
              </w:rPr>
              <w:t>项目立项是否符合法律法规、相关政策、发展规划以及部门职责，用以反映和考核项目立项依据情况。</w:t>
            </w:r>
          </w:p>
        </w:tc>
        <w:tc>
          <w:tcPr>
            <w:tcW w:w="2250" w:type="pct"/>
            <w:tcBorders>
              <w:bottom w:val="single" w:color="auto" w:sz="4" w:space="0"/>
              <w:tl2br w:val="nil"/>
              <w:tr2bl w:val="nil"/>
            </w:tcBorders>
            <w:shd w:val="clear" w:color="auto" w:fill="FFFFFF"/>
            <w:vAlign w:val="center"/>
          </w:tcPr>
          <w:p>
            <w:pPr>
              <w:widowControl/>
              <w:spacing w:line="0" w:lineRule="atLeast"/>
              <w:jc w:val="left"/>
              <w:rPr>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①项目立项是否符合国家法律法规、国民经济发展规划和相关政策；</w:t>
            </w:r>
            <w:r>
              <w:rPr>
                <w:rFonts w:eastAsia="宋体"/>
                <w:color w:val="000000"/>
                <w:kern w:val="0"/>
                <w:sz w:val="22"/>
                <w:szCs w:val="22"/>
              </w:rPr>
              <w:br w:type="textWrapping"/>
            </w:r>
            <w:r>
              <w:rPr>
                <w:rFonts w:eastAsia="宋体"/>
                <w:color w:val="000000"/>
                <w:kern w:val="0"/>
                <w:sz w:val="22"/>
                <w:szCs w:val="22"/>
              </w:rPr>
              <w:t>②项目立项是否符合行业发展规划和政策要求；</w:t>
            </w:r>
            <w:r>
              <w:rPr>
                <w:rFonts w:eastAsia="宋体"/>
                <w:color w:val="000000"/>
                <w:kern w:val="0"/>
                <w:sz w:val="22"/>
                <w:szCs w:val="22"/>
              </w:rPr>
              <w:br w:type="textWrapping"/>
            </w:r>
            <w:r>
              <w:rPr>
                <w:rFonts w:eastAsia="宋体"/>
                <w:color w:val="000000"/>
                <w:kern w:val="0"/>
                <w:sz w:val="22"/>
                <w:szCs w:val="22"/>
              </w:rPr>
              <w:t>③项目立项是否与部门职责范围相符，属于部门履职所需；</w:t>
            </w:r>
            <w:r>
              <w:rPr>
                <w:rFonts w:eastAsia="宋体"/>
                <w:color w:val="000000"/>
                <w:kern w:val="0"/>
                <w:sz w:val="22"/>
                <w:szCs w:val="22"/>
              </w:rPr>
              <w:br w:type="textWrapping"/>
            </w:r>
            <w:r>
              <w:rPr>
                <w:rFonts w:eastAsia="宋体"/>
                <w:color w:val="000000"/>
                <w:kern w:val="0"/>
                <w:sz w:val="22"/>
                <w:szCs w:val="22"/>
              </w:rPr>
              <w:t>④项目是否属于公共财政支持范围，是否符合中央、地方事权支出责任划分原则；</w:t>
            </w:r>
            <w:r>
              <w:rPr>
                <w:rFonts w:eastAsia="宋体"/>
                <w:color w:val="000000"/>
                <w:kern w:val="0"/>
                <w:sz w:val="22"/>
                <w:szCs w:val="22"/>
              </w:rPr>
              <w:br w:type="textWrapping"/>
            </w:r>
            <w:r>
              <w:rPr>
                <w:rFonts w:eastAsia="宋体"/>
                <w:color w:val="000000"/>
                <w:kern w:val="0"/>
                <w:sz w:val="22"/>
                <w:szCs w:val="22"/>
              </w:rPr>
              <w:t>⑤项目是否与相关部门同类项目或部门内部相关项目重复。</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3</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trPr>
        <w:tc>
          <w:tcPr>
            <w:tcW w:w="216" w:type="pct"/>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704" w:type="pct"/>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立项程序</w:t>
            </w:r>
          </w:p>
          <w:p>
            <w:pPr>
              <w:widowControl/>
              <w:spacing w:line="0" w:lineRule="atLeast"/>
              <w:jc w:val="center"/>
              <w:rPr>
                <w:color w:val="000000"/>
                <w:kern w:val="0"/>
                <w:sz w:val="22"/>
                <w:szCs w:val="22"/>
              </w:rPr>
            </w:pPr>
            <w:r>
              <w:rPr>
                <w:rFonts w:eastAsia="宋体"/>
                <w:color w:val="000000"/>
                <w:kern w:val="0"/>
                <w:sz w:val="22"/>
                <w:szCs w:val="22"/>
              </w:rPr>
              <w:t>规范性</w:t>
            </w:r>
          </w:p>
        </w:tc>
        <w:tc>
          <w:tcPr>
            <w:tcW w:w="866" w:type="pct"/>
            <w:tcBorders>
              <w:tl2br w:val="nil"/>
              <w:tr2bl w:val="nil"/>
            </w:tcBorders>
            <w:shd w:val="clear" w:color="auto" w:fill="FFFFFF"/>
            <w:vAlign w:val="center"/>
          </w:tcPr>
          <w:p>
            <w:pPr>
              <w:widowControl/>
              <w:spacing w:line="0" w:lineRule="atLeast"/>
              <w:rPr>
                <w:color w:val="000000"/>
                <w:kern w:val="0"/>
                <w:sz w:val="22"/>
                <w:szCs w:val="22"/>
              </w:rPr>
            </w:pPr>
            <w:r>
              <w:rPr>
                <w:rFonts w:eastAsia="宋体"/>
                <w:color w:val="000000"/>
                <w:kern w:val="0"/>
                <w:sz w:val="22"/>
                <w:szCs w:val="22"/>
              </w:rPr>
              <w:t>项目申请、设立过程是否符合相关要求，用以反映和考核项目立项的规范情况。</w:t>
            </w:r>
          </w:p>
        </w:tc>
        <w:tc>
          <w:tcPr>
            <w:tcW w:w="2250" w:type="pct"/>
            <w:tcBorders>
              <w:tl2br w:val="nil"/>
              <w:tr2bl w:val="nil"/>
            </w:tcBorders>
            <w:shd w:val="clear" w:color="auto" w:fill="FFFFFF"/>
            <w:vAlign w:val="center"/>
          </w:tcPr>
          <w:p>
            <w:pPr>
              <w:widowControl/>
              <w:spacing w:line="0" w:lineRule="atLeast"/>
              <w:jc w:val="left"/>
              <w:rPr>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①项目是否按照规定的程序申请设立；</w:t>
            </w:r>
            <w:r>
              <w:rPr>
                <w:rFonts w:eastAsia="宋体"/>
                <w:color w:val="000000"/>
                <w:kern w:val="0"/>
                <w:sz w:val="22"/>
                <w:szCs w:val="22"/>
              </w:rPr>
              <w:br w:type="textWrapping"/>
            </w:r>
            <w:r>
              <w:rPr>
                <w:rFonts w:eastAsia="宋体"/>
                <w:color w:val="000000"/>
                <w:kern w:val="0"/>
                <w:sz w:val="22"/>
                <w:szCs w:val="22"/>
              </w:rPr>
              <w:t>②审批文件、材料是否符合相关要求；</w:t>
            </w:r>
            <w:r>
              <w:rPr>
                <w:rFonts w:eastAsia="宋体"/>
                <w:color w:val="000000"/>
                <w:kern w:val="0"/>
                <w:sz w:val="22"/>
                <w:szCs w:val="22"/>
              </w:rPr>
              <w:br w:type="textWrapping"/>
            </w:r>
            <w:r>
              <w:rPr>
                <w:rFonts w:eastAsia="宋体"/>
                <w:color w:val="000000"/>
                <w:kern w:val="0"/>
                <w:sz w:val="22"/>
                <w:szCs w:val="22"/>
              </w:rPr>
              <w:t>③事前是否已经过必要的可行性研究、专家论证、风险评估、绩效评估、集体决策。</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p>
          <w:p>
            <w:pPr>
              <w:widowControl/>
              <w:jc w:val="center"/>
              <w:rPr>
                <w:color w:val="000000"/>
                <w:kern w:val="0"/>
                <w:sz w:val="22"/>
                <w:szCs w:val="22"/>
              </w:rPr>
            </w:pPr>
            <w:r>
              <w:rPr>
                <w:color w:val="000000"/>
                <w:kern w:val="0"/>
                <w:sz w:val="22"/>
                <w:szCs w:val="22"/>
              </w:rPr>
              <w:t>2</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p>
          <w:p>
            <w:pPr>
              <w:widowControl/>
              <w:jc w:val="center"/>
              <w:rPr>
                <w:color w:val="000000"/>
                <w:kern w:val="0"/>
                <w:sz w:val="22"/>
                <w:szCs w:val="22"/>
              </w:rPr>
            </w:pPr>
            <w:r>
              <w:rPr>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trPr>
        <w:tc>
          <w:tcPr>
            <w:tcW w:w="216" w:type="pct"/>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704"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绩效目标（10）　</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绩效目标</w:t>
            </w:r>
          </w:p>
          <w:p>
            <w:pPr>
              <w:widowControl/>
              <w:spacing w:line="0" w:lineRule="atLeast"/>
              <w:jc w:val="center"/>
              <w:rPr>
                <w:color w:val="000000"/>
                <w:kern w:val="0"/>
                <w:sz w:val="22"/>
                <w:szCs w:val="22"/>
              </w:rPr>
            </w:pPr>
            <w:r>
              <w:rPr>
                <w:rFonts w:eastAsia="宋体"/>
                <w:color w:val="000000"/>
                <w:kern w:val="0"/>
                <w:sz w:val="22"/>
                <w:szCs w:val="22"/>
              </w:rPr>
              <w:t>合理性</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项目所设定的绩效目标是否依据充分，是否符合客观实际，用以反映和考核项目绩效目标与项目实施的相符情况。</w:t>
            </w:r>
          </w:p>
        </w:tc>
        <w:tc>
          <w:tcPr>
            <w:tcW w:w="2250" w:type="pct"/>
            <w:tcBorders>
              <w:tl2br w:val="nil"/>
              <w:tr2bl w:val="nil"/>
            </w:tcBorders>
            <w:shd w:val="clear" w:color="000000" w:fill="FFFFFF"/>
            <w:vAlign w:val="center"/>
          </w:tcPr>
          <w:p>
            <w:pPr>
              <w:widowControl/>
              <w:spacing w:line="0" w:lineRule="atLeast"/>
              <w:jc w:val="left"/>
              <w:rPr>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（如未设定预算绩效目标，也可考核其他工作任务目标）</w:t>
            </w:r>
            <w:r>
              <w:rPr>
                <w:rFonts w:eastAsia="宋体"/>
                <w:color w:val="000000"/>
                <w:kern w:val="0"/>
                <w:sz w:val="22"/>
                <w:szCs w:val="22"/>
              </w:rPr>
              <w:br w:type="textWrapping"/>
            </w:r>
            <w:r>
              <w:rPr>
                <w:rFonts w:eastAsia="宋体"/>
                <w:color w:val="000000"/>
                <w:kern w:val="0"/>
                <w:sz w:val="22"/>
                <w:szCs w:val="22"/>
              </w:rPr>
              <w:t>①项目是否有绩效目标；</w:t>
            </w:r>
            <w:r>
              <w:rPr>
                <w:rFonts w:eastAsia="宋体"/>
                <w:color w:val="000000"/>
                <w:kern w:val="0"/>
                <w:sz w:val="22"/>
                <w:szCs w:val="22"/>
              </w:rPr>
              <w:br w:type="textWrapping"/>
            </w:r>
            <w:r>
              <w:rPr>
                <w:rFonts w:eastAsia="宋体"/>
                <w:color w:val="000000"/>
                <w:kern w:val="0"/>
                <w:sz w:val="22"/>
                <w:szCs w:val="22"/>
              </w:rPr>
              <w:t>②项目绩效目标与实际工作内容是否具有相关性；</w:t>
            </w:r>
            <w:r>
              <w:rPr>
                <w:rFonts w:eastAsia="宋体"/>
                <w:color w:val="000000"/>
                <w:kern w:val="0"/>
                <w:sz w:val="22"/>
                <w:szCs w:val="22"/>
              </w:rPr>
              <w:br w:type="textWrapping"/>
            </w:r>
            <w:r>
              <w:rPr>
                <w:rFonts w:eastAsia="宋体"/>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rFonts w:eastAsia="宋体"/>
                <w:color w:val="000000"/>
                <w:kern w:val="0"/>
                <w:sz w:val="22"/>
                <w:szCs w:val="22"/>
              </w:rPr>
              <w:t>④是否与预算确定的项目投资额或资金量相匹配。</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trPr>
        <w:tc>
          <w:tcPr>
            <w:tcW w:w="216"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决策（20分）　</w:t>
            </w:r>
          </w:p>
        </w:tc>
        <w:tc>
          <w:tcPr>
            <w:tcW w:w="704"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绩效目标</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绩效指标</w:t>
            </w:r>
          </w:p>
          <w:p>
            <w:pPr>
              <w:widowControl/>
              <w:spacing w:line="0" w:lineRule="atLeast"/>
              <w:jc w:val="center"/>
              <w:rPr>
                <w:color w:val="000000"/>
                <w:kern w:val="0"/>
                <w:sz w:val="22"/>
                <w:szCs w:val="22"/>
              </w:rPr>
            </w:pPr>
            <w:r>
              <w:rPr>
                <w:rFonts w:eastAsia="宋体"/>
                <w:color w:val="000000"/>
                <w:kern w:val="0"/>
                <w:sz w:val="22"/>
                <w:szCs w:val="22"/>
              </w:rPr>
              <w:t>明确性</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依据绩效目标设定的绩效指标是否清晰、细化、可衡量等，用以反映和考核项目绩效目标的明细化情况。</w:t>
            </w:r>
          </w:p>
        </w:tc>
        <w:tc>
          <w:tcPr>
            <w:tcW w:w="2250"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①是否将项目绩效目标细化分解为具体的绩效指标；</w:t>
            </w:r>
            <w:r>
              <w:rPr>
                <w:rFonts w:eastAsia="宋体"/>
                <w:color w:val="000000"/>
                <w:kern w:val="0"/>
                <w:sz w:val="22"/>
                <w:szCs w:val="22"/>
              </w:rPr>
              <w:br w:type="textWrapping"/>
            </w:r>
            <w:r>
              <w:rPr>
                <w:rFonts w:eastAsia="宋体"/>
                <w:color w:val="000000"/>
                <w:kern w:val="0"/>
                <w:sz w:val="22"/>
                <w:szCs w:val="22"/>
              </w:rPr>
              <w:t>②是否通过清晰、可衡量的指标值予以体现；</w:t>
            </w:r>
            <w:r>
              <w:rPr>
                <w:rFonts w:eastAsia="宋体"/>
                <w:color w:val="000000"/>
                <w:kern w:val="0"/>
                <w:sz w:val="22"/>
                <w:szCs w:val="22"/>
              </w:rPr>
              <w:br w:type="textWrapping"/>
            </w:r>
            <w:r>
              <w:rPr>
                <w:rFonts w:eastAsia="宋体"/>
                <w:color w:val="000000"/>
                <w:kern w:val="0"/>
                <w:sz w:val="22"/>
                <w:szCs w:val="22"/>
              </w:rPr>
              <w:t>③是否与项目目标任务数或计划数相对应。</w:t>
            </w:r>
            <w:r>
              <w:rPr>
                <w:rFonts w:eastAsia="宋体"/>
                <w:color w:val="000000"/>
                <w:kern w:val="0"/>
                <w:sz w:val="22"/>
                <w:szCs w:val="22"/>
              </w:rPr>
              <w:br w:type="textWrapping"/>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15</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trPr>
        <w:tc>
          <w:tcPr>
            <w:tcW w:w="216" w:type="pct"/>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704"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资金投入（5）</w:t>
            </w:r>
          </w:p>
          <w:p>
            <w:pPr>
              <w:spacing w:line="0" w:lineRule="atLeast"/>
              <w:jc w:val="center"/>
              <w:rPr>
                <w:color w:val="000000"/>
                <w:kern w:val="0"/>
                <w:sz w:val="22"/>
                <w:szCs w:val="22"/>
              </w:rPr>
            </w:pPr>
            <w:r>
              <w:rPr>
                <w:rFonts w:eastAsia="宋体"/>
                <w:color w:val="000000"/>
                <w:kern w:val="0"/>
                <w:sz w:val="22"/>
                <w:szCs w:val="22"/>
              </w:rPr>
              <w:t>　</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预算编制</w:t>
            </w:r>
          </w:p>
          <w:p>
            <w:pPr>
              <w:widowControl/>
              <w:spacing w:line="0" w:lineRule="atLeast"/>
              <w:jc w:val="center"/>
              <w:rPr>
                <w:color w:val="000000"/>
                <w:kern w:val="0"/>
                <w:sz w:val="22"/>
                <w:szCs w:val="22"/>
              </w:rPr>
            </w:pPr>
            <w:r>
              <w:rPr>
                <w:rFonts w:eastAsia="宋体"/>
                <w:color w:val="000000"/>
                <w:kern w:val="0"/>
                <w:sz w:val="22"/>
                <w:szCs w:val="22"/>
              </w:rPr>
              <w:t>科学性</w:t>
            </w:r>
          </w:p>
        </w:tc>
        <w:tc>
          <w:tcPr>
            <w:tcW w:w="866" w:type="pct"/>
            <w:tcBorders>
              <w:tl2br w:val="nil"/>
              <w:tr2bl w:val="nil"/>
            </w:tcBorders>
            <w:shd w:val="clear" w:color="auto" w:fill="FFFFFF"/>
            <w:vAlign w:val="center"/>
          </w:tcPr>
          <w:p>
            <w:pPr>
              <w:widowControl/>
              <w:spacing w:line="0" w:lineRule="atLeast"/>
              <w:rPr>
                <w:color w:val="000000"/>
                <w:kern w:val="0"/>
                <w:sz w:val="22"/>
                <w:szCs w:val="22"/>
              </w:rPr>
            </w:pPr>
            <w:r>
              <w:rPr>
                <w:rFonts w:eastAsia="宋体"/>
                <w:color w:val="000000"/>
                <w:kern w:val="0"/>
                <w:sz w:val="22"/>
                <w:szCs w:val="22"/>
              </w:rPr>
              <w:t>项目预算编制是否经过科学论证、有明确标准，资金额度与年度目标是否相适应，用以反映和考核项目预算编制的科学性、合理性情况。</w:t>
            </w:r>
          </w:p>
        </w:tc>
        <w:tc>
          <w:tcPr>
            <w:tcW w:w="2250" w:type="pct"/>
            <w:tcBorders>
              <w:tl2br w:val="nil"/>
              <w:tr2bl w:val="nil"/>
            </w:tcBorders>
            <w:shd w:val="clear" w:color="auto" w:fill="FFFFFF"/>
            <w:vAlign w:val="center"/>
          </w:tcPr>
          <w:p>
            <w:pPr>
              <w:widowControl/>
              <w:spacing w:line="0" w:lineRule="atLeast"/>
              <w:rPr>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①预算编制是否经过科学论证；</w:t>
            </w:r>
            <w:r>
              <w:rPr>
                <w:rFonts w:eastAsia="宋体"/>
                <w:color w:val="000000"/>
                <w:kern w:val="0"/>
                <w:sz w:val="22"/>
                <w:szCs w:val="22"/>
              </w:rPr>
              <w:br w:type="textWrapping"/>
            </w:r>
            <w:r>
              <w:rPr>
                <w:rFonts w:eastAsia="宋体"/>
                <w:color w:val="000000"/>
                <w:kern w:val="0"/>
                <w:sz w:val="22"/>
                <w:szCs w:val="22"/>
              </w:rPr>
              <w:t>②预算内容与项目内容是否匹配；</w:t>
            </w:r>
            <w:r>
              <w:rPr>
                <w:rFonts w:eastAsia="宋体"/>
                <w:color w:val="000000"/>
                <w:kern w:val="0"/>
                <w:sz w:val="22"/>
                <w:szCs w:val="22"/>
              </w:rPr>
              <w:br w:type="textWrapping"/>
            </w:r>
            <w:r>
              <w:rPr>
                <w:rFonts w:eastAsia="宋体"/>
                <w:color w:val="000000"/>
                <w:kern w:val="0"/>
                <w:sz w:val="22"/>
                <w:szCs w:val="22"/>
              </w:rPr>
              <w:t>③预算额度测算依据是否充分，是否按照标准编制；</w:t>
            </w:r>
            <w:r>
              <w:rPr>
                <w:rFonts w:eastAsia="宋体"/>
                <w:color w:val="000000"/>
                <w:kern w:val="0"/>
                <w:sz w:val="22"/>
                <w:szCs w:val="22"/>
              </w:rPr>
              <w:br w:type="textWrapping"/>
            </w:r>
            <w:r>
              <w:rPr>
                <w:rFonts w:eastAsia="宋体"/>
                <w:color w:val="000000"/>
                <w:kern w:val="0"/>
                <w:sz w:val="22"/>
                <w:szCs w:val="22"/>
              </w:rPr>
              <w:t>④预算确定的项目投资额或资金量是否与工作任务相匹配。</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3</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trPr>
        <w:tc>
          <w:tcPr>
            <w:tcW w:w="216" w:type="pct"/>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704" w:type="pct"/>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资金分配</w:t>
            </w:r>
          </w:p>
          <w:p>
            <w:pPr>
              <w:widowControl/>
              <w:spacing w:line="0" w:lineRule="atLeast"/>
              <w:jc w:val="center"/>
              <w:rPr>
                <w:color w:val="000000"/>
                <w:kern w:val="0"/>
                <w:sz w:val="22"/>
                <w:szCs w:val="22"/>
              </w:rPr>
            </w:pPr>
            <w:r>
              <w:rPr>
                <w:rFonts w:eastAsia="宋体"/>
                <w:color w:val="000000"/>
                <w:kern w:val="0"/>
                <w:sz w:val="22"/>
                <w:szCs w:val="22"/>
              </w:rPr>
              <w:t>合理性</w:t>
            </w:r>
          </w:p>
        </w:tc>
        <w:tc>
          <w:tcPr>
            <w:tcW w:w="866" w:type="pct"/>
            <w:tcBorders>
              <w:tl2br w:val="nil"/>
              <w:tr2bl w:val="nil"/>
            </w:tcBorders>
            <w:shd w:val="clear" w:color="auto" w:fill="FFFFFF"/>
            <w:vAlign w:val="center"/>
          </w:tcPr>
          <w:p>
            <w:pPr>
              <w:widowControl/>
              <w:spacing w:line="0" w:lineRule="atLeast"/>
              <w:rPr>
                <w:color w:val="000000"/>
                <w:kern w:val="0"/>
                <w:sz w:val="22"/>
                <w:szCs w:val="22"/>
              </w:rPr>
            </w:pPr>
            <w:r>
              <w:rPr>
                <w:rFonts w:eastAsia="宋体"/>
                <w:color w:val="000000"/>
                <w:kern w:val="0"/>
                <w:sz w:val="22"/>
                <w:szCs w:val="22"/>
              </w:rPr>
              <w:t>项目预算资金分配是否有测算依据，与补助单位或地方实际是否相适应，用以反映和考核项目预算资金分配的科学性、合理性情况。</w:t>
            </w:r>
          </w:p>
        </w:tc>
        <w:tc>
          <w:tcPr>
            <w:tcW w:w="2250" w:type="pct"/>
            <w:tcBorders>
              <w:bottom w:val="single" w:color="auto" w:sz="4" w:space="0"/>
              <w:tl2br w:val="nil"/>
              <w:tr2bl w:val="nil"/>
            </w:tcBorders>
            <w:shd w:val="clear" w:color="auto" w:fill="FFFFFF"/>
            <w:vAlign w:val="center"/>
          </w:tcPr>
          <w:p>
            <w:pPr>
              <w:widowControl/>
              <w:spacing w:line="0" w:lineRule="atLeast"/>
              <w:rPr>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①预算资金分配依据是否充分；</w:t>
            </w:r>
            <w:r>
              <w:rPr>
                <w:rFonts w:eastAsia="宋体"/>
                <w:color w:val="000000"/>
                <w:kern w:val="0"/>
                <w:sz w:val="22"/>
                <w:szCs w:val="22"/>
              </w:rPr>
              <w:br w:type="textWrapping"/>
            </w:r>
            <w:r>
              <w:rPr>
                <w:rFonts w:eastAsia="宋体"/>
                <w:color w:val="000000"/>
                <w:kern w:val="0"/>
                <w:sz w:val="22"/>
                <w:szCs w:val="22"/>
              </w:rPr>
              <w:t>②资金分配额度是否合理，与项目单位或地方实际是否相适应。</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2</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trPr>
        <w:tc>
          <w:tcPr>
            <w:tcW w:w="216" w:type="pct"/>
            <w:vMerge w:val="restart"/>
            <w:tcBorders>
              <w:tl2br w:val="nil"/>
              <w:tr2bl w:val="nil"/>
            </w:tcBorders>
            <w:shd w:val="clear" w:color="auto" w:fill="FFFFFF"/>
            <w:vAlign w:val="center"/>
          </w:tcPr>
          <w:p>
            <w:pPr>
              <w:spacing w:line="0" w:lineRule="atLeast"/>
              <w:jc w:val="center"/>
              <w:rPr>
                <w:color w:val="000000"/>
                <w:kern w:val="0"/>
                <w:sz w:val="22"/>
                <w:szCs w:val="22"/>
              </w:rPr>
            </w:pPr>
            <w:r>
              <w:rPr>
                <w:rFonts w:eastAsia="宋体"/>
                <w:color w:val="000000"/>
                <w:kern w:val="0"/>
                <w:sz w:val="22"/>
                <w:szCs w:val="22"/>
              </w:rPr>
              <w:t>过程（20分）</w:t>
            </w:r>
          </w:p>
        </w:tc>
        <w:tc>
          <w:tcPr>
            <w:tcW w:w="704"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资金管理（10）</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资金到位率</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实际到位资金与预算资金的比率，用以反映和考核资金落实情况对项目实施的总体保障程度。</w:t>
            </w:r>
          </w:p>
        </w:tc>
        <w:tc>
          <w:tcPr>
            <w:tcW w:w="2250"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资金到位率=（实际到位资金/预算资金）×100%。</w:t>
            </w:r>
          </w:p>
          <w:p>
            <w:pPr>
              <w:widowControl/>
              <w:spacing w:line="0" w:lineRule="atLeast"/>
              <w:rPr>
                <w:color w:val="000000"/>
                <w:kern w:val="0"/>
                <w:sz w:val="22"/>
                <w:szCs w:val="22"/>
              </w:rPr>
            </w:pPr>
            <w:r>
              <w:rPr>
                <w:rFonts w:eastAsia="宋体"/>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rFonts w:eastAsia="宋体"/>
                <w:color w:val="000000"/>
                <w:kern w:val="0"/>
                <w:sz w:val="22"/>
                <w:szCs w:val="22"/>
              </w:rPr>
              <w:t>预算资金：一定时期（本年度或项目期）内预算安排到具体项目的资金。</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trPr>
        <w:tc>
          <w:tcPr>
            <w:tcW w:w="216" w:type="pct"/>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704" w:type="pct"/>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预算执行率</w:t>
            </w:r>
          </w:p>
        </w:tc>
        <w:tc>
          <w:tcPr>
            <w:tcW w:w="866" w:type="pct"/>
            <w:tcBorders>
              <w:tl2br w:val="nil"/>
              <w:tr2bl w:val="nil"/>
            </w:tcBorders>
            <w:shd w:val="clear" w:color="auto" w:fill="FFFFFF"/>
            <w:vAlign w:val="center"/>
          </w:tcPr>
          <w:p>
            <w:pPr>
              <w:widowControl/>
              <w:spacing w:line="0" w:lineRule="atLeast"/>
              <w:rPr>
                <w:color w:val="000000"/>
                <w:kern w:val="0"/>
                <w:sz w:val="22"/>
                <w:szCs w:val="22"/>
              </w:rPr>
            </w:pPr>
            <w:r>
              <w:rPr>
                <w:rFonts w:eastAsia="宋体"/>
                <w:color w:val="000000"/>
                <w:kern w:val="0"/>
                <w:sz w:val="22"/>
                <w:szCs w:val="22"/>
              </w:rPr>
              <w:t>项目预算资金是否按照计划执行，用以反映或考核项目预算执行情况。</w:t>
            </w:r>
          </w:p>
        </w:tc>
        <w:tc>
          <w:tcPr>
            <w:tcW w:w="2250" w:type="pct"/>
            <w:tcBorders>
              <w:tl2br w:val="nil"/>
              <w:tr2bl w:val="nil"/>
            </w:tcBorders>
            <w:shd w:val="clear" w:color="auto" w:fill="FFFFFF"/>
            <w:vAlign w:val="center"/>
          </w:tcPr>
          <w:p>
            <w:pPr>
              <w:widowControl/>
              <w:spacing w:line="0" w:lineRule="atLeast"/>
              <w:rPr>
                <w:color w:val="000000"/>
                <w:kern w:val="0"/>
                <w:sz w:val="22"/>
                <w:szCs w:val="22"/>
              </w:rPr>
            </w:pPr>
            <w:r>
              <w:rPr>
                <w:rFonts w:eastAsia="宋体"/>
                <w:color w:val="000000"/>
                <w:kern w:val="0"/>
                <w:sz w:val="22"/>
                <w:szCs w:val="22"/>
              </w:rPr>
              <w:t>预算执行率=（实际支出资金/实际到位资金）×100%。</w:t>
            </w:r>
            <w:r>
              <w:rPr>
                <w:rFonts w:eastAsia="宋体"/>
                <w:color w:val="000000"/>
                <w:kern w:val="0"/>
                <w:sz w:val="22"/>
                <w:szCs w:val="22"/>
              </w:rPr>
              <w:br w:type="textWrapping"/>
            </w:r>
            <w:r>
              <w:rPr>
                <w:rFonts w:eastAsia="宋体"/>
                <w:color w:val="000000"/>
                <w:kern w:val="0"/>
                <w:sz w:val="22"/>
                <w:szCs w:val="22"/>
              </w:rPr>
              <w:t>实际支出资金：一定时期（本年度或项目期）内项目实际拨付的资金。</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trPr>
        <w:tc>
          <w:tcPr>
            <w:tcW w:w="216"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　</w:t>
            </w:r>
          </w:p>
          <w:p>
            <w:pPr>
              <w:spacing w:line="0" w:lineRule="atLeast"/>
              <w:jc w:val="center"/>
              <w:rPr>
                <w:color w:val="000000"/>
                <w:kern w:val="0"/>
                <w:sz w:val="22"/>
                <w:szCs w:val="22"/>
              </w:rPr>
            </w:pPr>
            <w:r>
              <w:rPr>
                <w:rFonts w:eastAsia="宋体"/>
                <w:color w:val="000000"/>
                <w:kern w:val="0"/>
                <w:sz w:val="22"/>
                <w:szCs w:val="22"/>
              </w:rPr>
              <w:t>过程（20分）　</w:t>
            </w:r>
          </w:p>
        </w:tc>
        <w:tc>
          <w:tcPr>
            <w:tcW w:w="704"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资金管理</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资金使用</w:t>
            </w:r>
          </w:p>
          <w:p>
            <w:pPr>
              <w:widowControl/>
              <w:spacing w:line="0" w:lineRule="atLeast"/>
              <w:jc w:val="center"/>
              <w:rPr>
                <w:color w:val="000000"/>
                <w:kern w:val="0"/>
                <w:sz w:val="22"/>
                <w:szCs w:val="22"/>
              </w:rPr>
            </w:pPr>
            <w:r>
              <w:rPr>
                <w:rFonts w:eastAsia="宋体"/>
                <w:color w:val="000000"/>
                <w:kern w:val="0"/>
                <w:sz w:val="22"/>
                <w:szCs w:val="22"/>
              </w:rPr>
              <w:t>合规性</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项目资金使用是否符合相关的财务管理制度规定，用以反映和考核项目资金的规范运行情况。</w:t>
            </w:r>
          </w:p>
        </w:tc>
        <w:tc>
          <w:tcPr>
            <w:tcW w:w="2250" w:type="pct"/>
            <w:tcBorders>
              <w:bottom w:val="single" w:color="auto" w:sz="4" w:space="0"/>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①是否符合国家财经法规和财务管理制度以及有关专项资金管理办法的规定；</w:t>
            </w:r>
            <w:r>
              <w:rPr>
                <w:rFonts w:eastAsia="宋体"/>
                <w:color w:val="000000"/>
                <w:kern w:val="0"/>
                <w:sz w:val="22"/>
                <w:szCs w:val="22"/>
              </w:rPr>
              <w:br w:type="textWrapping"/>
            </w:r>
            <w:r>
              <w:rPr>
                <w:rFonts w:eastAsia="宋体"/>
                <w:color w:val="000000"/>
                <w:kern w:val="0"/>
                <w:sz w:val="22"/>
                <w:szCs w:val="22"/>
              </w:rPr>
              <w:t>②资金的拨付是否有完整的审批程序和手续；</w:t>
            </w:r>
            <w:r>
              <w:rPr>
                <w:rFonts w:eastAsia="宋体"/>
                <w:color w:val="000000"/>
                <w:kern w:val="0"/>
                <w:sz w:val="22"/>
                <w:szCs w:val="22"/>
              </w:rPr>
              <w:br w:type="textWrapping"/>
            </w:r>
            <w:r>
              <w:rPr>
                <w:rFonts w:eastAsia="宋体"/>
                <w:color w:val="000000"/>
                <w:kern w:val="0"/>
                <w:sz w:val="22"/>
                <w:szCs w:val="22"/>
              </w:rPr>
              <w:t>③是否符合项目预算批复或合同规定的用途；</w:t>
            </w:r>
            <w:r>
              <w:rPr>
                <w:rFonts w:eastAsia="宋体"/>
                <w:color w:val="000000"/>
                <w:kern w:val="0"/>
                <w:sz w:val="22"/>
                <w:szCs w:val="22"/>
              </w:rPr>
              <w:br w:type="textWrapping"/>
            </w:r>
            <w:r>
              <w:rPr>
                <w:rFonts w:eastAsia="宋体"/>
                <w:color w:val="000000"/>
                <w:kern w:val="0"/>
                <w:sz w:val="22"/>
                <w:szCs w:val="22"/>
              </w:rPr>
              <w:t>④是否存在截留、挤占、挪用、虚列支出等情况。</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trPr>
        <w:tc>
          <w:tcPr>
            <w:tcW w:w="216" w:type="pct"/>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704"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组织实施（10）</w:t>
            </w:r>
          </w:p>
          <w:p>
            <w:pPr>
              <w:spacing w:line="0" w:lineRule="atLeast"/>
              <w:jc w:val="center"/>
              <w:rPr>
                <w:color w:val="000000"/>
                <w:kern w:val="0"/>
                <w:sz w:val="22"/>
                <w:szCs w:val="22"/>
              </w:rPr>
            </w:pPr>
            <w:r>
              <w:rPr>
                <w:rFonts w:eastAsia="宋体"/>
                <w:color w:val="000000"/>
                <w:kern w:val="0"/>
                <w:sz w:val="22"/>
                <w:szCs w:val="22"/>
              </w:rPr>
              <w:t>　</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管理制度</w:t>
            </w:r>
          </w:p>
          <w:p>
            <w:pPr>
              <w:widowControl/>
              <w:spacing w:line="0" w:lineRule="atLeast"/>
              <w:jc w:val="center"/>
              <w:rPr>
                <w:color w:val="000000"/>
                <w:kern w:val="0"/>
                <w:sz w:val="22"/>
                <w:szCs w:val="22"/>
              </w:rPr>
            </w:pPr>
            <w:r>
              <w:rPr>
                <w:rFonts w:eastAsia="宋体"/>
                <w:color w:val="000000"/>
                <w:kern w:val="0"/>
                <w:sz w:val="22"/>
                <w:szCs w:val="22"/>
              </w:rPr>
              <w:t>健全性</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项目实施单位的财务和业务管理制度是否健全，用以反映和考核财务和业务管理制度对项目顺利实施的保障情况。</w:t>
            </w:r>
          </w:p>
        </w:tc>
        <w:tc>
          <w:tcPr>
            <w:tcW w:w="2250"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①是否已制定或具有相应的财务和业务管理制度；</w:t>
            </w:r>
            <w:r>
              <w:rPr>
                <w:rFonts w:eastAsia="宋体"/>
                <w:color w:val="000000"/>
                <w:kern w:val="0"/>
                <w:sz w:val="22"/>
                <w:szCs w:val="22"/>
              </w:rPr>
              <w:br w:type="textWrapping"/>
            </w:r>
            <w:r>
              <w:rPr>
                <w:rFonts w:eastAsia="宋体"/>
                <w:color w:val="000000"/>
                <w:kern w:val="0"/>
                <w:sz w:val="22"/>
                <w:szCs w:val="22"/>
              </w:rPr>
              <w:t>②财务和业务管理制度是否合法、合规、完整。</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trPr>
        <w:tc>
          <w:tcPr>
            <w:tcW w:w="216" w:type="pct"/>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704" w:type="pct"/>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制度执行</w:t>
            </w:r>
          </w:p>
          <w:p>
            <w:pPr>
              <w:widowControl/>
              <w:spacing w:line="0" w:lineRule="atLeast"/>
              <w:jc w:val="center"/>
              <w:rPr>
                <w:color w:val="000000"/>
                <w:kern w:val="0"/>
                <w:sz w:val="22"/>
                <w:szCs w:val="22"/>
              </w:rPr>
            </w:pPr>
            <w:r>
              <w:rPr>
                <w:rFonts w:eastAsia="宋体"/>
                <w:color w:val="000000"/>
                <w:kern w:val="0"/>
                <w:sz w:val="22"/>
                <w:szCs w:val="22"/>
              </w:rPr>
              <w:t>有效性</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项目实施是否符合相关管理规定，用以反映和考核相关管理制度的有效执行情况。</w:t>
            </w:r>
          </w:p>
        </w:tc>
        <w:tc>
          <w:tcPr>
            <w:tcW w:w="2250"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①是否遵守相关法律法规和相关管理规定；</w:t>
            </w:r>
            <w:r>
              <w:rPr>
                <w:rFonts w:eastAsia="宋体"/>
                <w:color w:val="000000"/>
                <w:kern w:val="0"/>
                <w:sz w:val="22"/>
                <w:szCs w:val="22"/>
              </w:rPr>
              <w:br w:type="textWrapping"/>
            </w:r>
            <w:r>
              <w:rPr>
                <w:rFonts w:eastAsia="宋体"/>
                <w:color w:val="000000"/>
                <w:kern w:val="0"/>
                <w:sz w:val="22"/>
                <w:szCs w:val="22"/>
              </w:rPr>
              <w:t>②项目调整及支出调整手续是否完备；</w:t>
            </w:r>
            <w:r>
              <w:rPr>
                <w:rFonts w:eastAsia="宋体"/>
                <w:color w:val="000000"/>
                <w:kern w:val="0"/>
                <w:sz w:val="22"/>
                <w:szCs w:val="22"/>
              </w:rPr>
              <w:br w:type="textWrapping"/>
            </w:r>
            <w:r>
              <w:rPr>
                <w:rFonts w:eastAsia="宋体"/>
                <w:color w:val="000000"/>
                <w:kern w:val="0"/>
                <w:sz w:val="22"/>
                <w:szCs w:val="22"/>
              </w:rPr>
              <w:t>③项目合同书、验收报告、技术鉴定等资料是否齐全并及时归档；</w:t>
            </w:r>
            <w:r>
              <w:rPr>
                <w:rFonts w:eastAsia="宋体"/>
                <w:color w:val="000000"/>
                <w:kern w:val="0"/>
                <w:sz w:val="22"/>
                <w:szCs w:val="22"/>
              </w:rPr>
              <w:br w:type="textWrapping"/>
            </w:r>
            <w:r>
              <w:rPr>
                <w:rFonts w:eastAsia="宋体"/>
                <w:color w:val="000000"/>
                <w:kern w:val="0"/>
                <w:sz w:val="22"/>
                <w:szCs w:val="22"/>
              </w:rPr>
              <w:t>④项目实施的人员条件、场地设备、信息支撑等是否落实到位。</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trPr>
        <w:tc>
          <w:tcPr>
            <w:tcW w:w="216"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产出（30分）</w:t>
            </w:r>
          </w:p>
        </w:tc>
        <w:tc>
          <w:tcPr>
            <w:tcW w:w="704"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产出数量（10分）</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实际完成率</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项目实施的实际产出数与计划产出数的比率，用以反映和考核项目产出数量目标的实现程度。</w:t>
            </w:r>
          </w:p>
        </w:tc>
        <w:tc>
          <w:tcPr>
            <w:tcW w:w="2250"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实际完成率=（实际产出数/计划产出数）×100%。</w:t>
            </w:r>
            <w:r>
              <w:rPr>
                <w:rFonts w:eastAsia="宋体"/>
                <w:color w:val="000000"/>
                <w:kern w:val="0"/>
                <w:sz w:val="22"/>
                <w:szCs w:val="22"/>
              </w:rPr>
              <w:br w:type="textWrapping"/>
            </w:r>
            <w:r>
              <w:rPr>
                <w:rFonts w:eastAsia="宋体"/>
                <w:color w:val="000000"/>
                <w:kern w:val="0"/>
                <w:sz w:val="22"/>
                <w:szCs w:val="22"/>
              </w:rPr>
              <w:t>实际产出数：一定时期（本年度或项目期）内项目实际产出的产品或提供的服务数量。</w:t>
            </w:r>
            <w:r>
              <w:rPr>
                <w:rFonts w:eastAsia="宋体"/>
                <w:color w:val="000000"/>
                <w:kern w:val="0"/>
                <w:sz w:val="22"/>
                <w:szCs w:val="22"/>
              </w:rPr>
              <w:br w:type="textWrapping"/>
            </w:r>
            <w:r>
              <w:rPr>
                <w:rFonts w:eastAsia="宋体"/>
                <w:color w:val="000000"/>
                <w:kern w:val="0"/>
                <w:sz w:val="22"/>
                <w:szCs w:val="22"/>
              </w:rPr>
              <w:t>计划产出数：项目绩效目标确定的在一定时期（本年度或项目期）内计划产出的产品或提供的服务数量。</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trPr>
        <w:tc>
          <w:tcPr>
            <w:tcW w:w="216"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产出（30分）</w:t>
            </w:r>
          </w:p>
        </w:tc>
        <w:tc>
          <w:tcPr>
            <w:tcW w:w="704"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产出质量（10分）</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质量达标率</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项目完成的质量达标产出数与实际产出数的比率，用以反映和考核项目产出质量目标的实现程度。</w:t>
            </w:r>
          </w:p>
        </w:tc>
        <w:tc>
          <w:tcPr>
            <w:tcW w:w="2250" w:type="pct"/>
            <w:tcBorders>
              <w:bottom w:val="single" w:color="auto" w:sz="4" w:space="0"/>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质量达标率=（质量达标产出数/实际产出数）×100%。</w:t>
            </w:r>
          </w:p>
          <w:p>
            <w:pPr>
              <w:widowControl/>
              <w:spacing w:line="0" w:lineRule="atLeast"/>
              <w:rPr>
                <w:color w:val="000000"/>
                <w:kern w:val="0"/>
                <w:sz w:val="22"/>
                <w:szCs w:val="22"/>
              </w:rPr>
            </w:pPr>
            <w:r>
              <w:rPr>
                <w:rFonts w:eastAsia="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trPr>
        <w:tc>
          <w:tcPr>
            <w:tcW w:w="216" w:type="pct"/>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704" w:type="pct"/>
            <w:tcBorders>
              <w:tl2br w:val="nil"/>
              <w:tr2bl w:val="nil"/>
            </w:tcBorders>
            <w:shd w:val="clear" w:color="auto" w:fill="FFFFFF"/>
            <w:vAlign w:val="center"/>
          </w:tcPr>
          <w:p>
            <w:pPr>
              <w:spacing w:line="0" w:lineRule="atLeast"/>
              <w:jc w:val="center"/>
              <w:rPr>
                <w:color w:val="000000"/>
                <w:kern w:val="0"/>
                <w:sz w:val="22"/>
                <w:szCs w:val="22"/>
              </w:rPr>
            </w:pPr>
            <w:r>
              <w:rPr>
                <w:rFonts w:eastAsia="宋体"/>
                <w:color w:val="000000"/>
                <w:kern w:val="0"/>
                <w:sz w:val="22"/>
                <w:szCs w:val="22"/>
              </w:rPr>
              <w:t>产出时效（5分）</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完成及时性</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项目实际完成时间与计划完成时间的比较，用以反映和考核项目产出时效目标的实现程度。</w:t>
            </w:r>
          </w:p>
        </w:tc>
        <w:tc>
          <w:tcPr>
            <w:tcW w:w="2250"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实际完成时间：项目实施单位完成该项目实际所耗用的时间。</w:t>
            </w:r>
            <w:r>
              <w:rPr>
                <w:rFonts w:eastAsia="宋体"/>
                <w:color w:val="000000"/>
                <w:kern w:val="0"/>
                <w:sz w:val="22"/>
                <w:szCs w:val="22"/>
              </w:rPr>
              <w:br w:type="textWrapping"/>
            </w:r>
            <w:r>
              <w:rPr>
                <w:rFonts w:eastAsia="宋体"/>
                <w:color w:val="000000"/>
                <w:kern w:val="0"/>
                <w:sz w:val="22"/>
                <w:szCs w:val="22"/>
              </w:rPr>
              <w:t>计划完成时间：按照项目实施计划或相关规定完成该项目所需的时间。</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trPr>
        <w:tc>
          <w:tcPr>
            <w:tcW w:w="216" w:type="pct"/>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704"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产出成本（5分）</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成本节约率</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完成项目计划工作目标的实际节约成本与计划成本的比率，用以反映和考核项目的成本节约程度。</w:t>
            </w:r>
          </w:p>
        </w:tc>
        <w:tc>
          <w:tcPr>
            <w:tcW w:w="2250"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br w:type="textWrapping"/>
            </w:r>
            <w:r>
              <w:rPr>
                <w:rFonts w:eastAsia="宋体"/>
                <w:color w:val="000000"/>
                <w:kern w:val="0"/>
                <w:sz w:val="22"/>
                <w:szCs w:val="22"/>
              </w:rPr>
              <w:t>成本节约率=[（计划成本-实际成本）/计划成本]×100%。</w:t>
            </w:r>
            <w:r>
              <w:rPr>
                <w:rFonts w:eastAsia="宋体"/>
                <w:color w:val="000000"/>
                <w:kern w:val="0"/>
                <w:sz w:val="22"/>
                <w:szCs w:val="22"/>
              </w:rPr>
              <w:br w:type="textWrapping"/>
            </w:r>
            <w:r>
              <w:rPr>
                <w:rFonts w:eastAsia="宋体"/>
                <w:color w:val="000000"/>
                <w:kern w:val="0"/>
                <w:sz w:val="22"/>
                <w:szCs w:val="22"/>
              </w:rPr>
              <w:t>实际成本：项目实施单位如期、保质、保量完成既定工作目标实际所耗费的支出。</w:t>
            </w:r>
            <w:r>
              <w:rPr>
                <w:rFonts w:eastAsia="宋体"/>
                <w:color w:val="000000"/>
                <w:kern w:val="0"/>
                <w:sz w:val="22"/>
                <w:szCs w:val="22"/>
              </w:rPr>
              <w:br w:type="textWrapping"/>
            </w:r>
            <w:r>
              <w:rPr>
                <w:rFonts w:eastAsia="宋体"/>
                <w:color w:val="000000"/>
                <w:kern w:val="0"/>
                <w:sz w:val="22"/>
                <w:szCs w:val="22"/>
              </w:rPr>
              <w:t>计划成本：项目实施单位为完成工作目标计划安排的支出，一般以项目预算为参考。</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trPr>
        <w:tc>
          <w:tcPr>
            <w:tcW w:w="216"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效益（30分）　</w:t>
            </w:r>
          </w:p>
        </w:tc>
        <w:tc>
          <w:tcPr>
            <w:tcW w:w="704" w:type="pct"/>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项目效益（30分）　</w:t>
            </w: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实施效益</w:t>
            </w:r>
          </w:p>
        </w:tc>
        <w:tc>
          <w:tcPr>
            <w:tcW w:w="866" w:type="pct"/>
            <w:tcBorders>
              <w:tl2br w:val="nil"/>
              <w:tr2bl w:val="nil"/>
            </w:tcBorders>
            <w:shd w:val="clear" w:color="auto" w:fill="FFFFFF"/>
            <w:vAlign w:val="center"/>
          </w:tcPr>
          <w:p>
            <w:pPr>
              <w:widowControl/>
              <w:spacing w:line="0" w:lineRule="atLeast"/>
              <w:jc w:val="left"/>
              <w:rPr>
                <w:color w:val="000000"/>
                <w:kern w:val="0"/>
                <w:sz w:val="22"/>
                <w:szCs w:val="22"/>
              </w:rPr>
            </w:pPr>
            <w:r>
              <w:rPr>
                <w:rFonts w:eastAsia="宋体"/>
                <w:color w:val="000000"/>
                <w:kern w:val="0"/>
                <w:sz w:val="22"/>
                <w:szCs w:val="22"/>
              </w:rPr>
              <w:t>项目实施所产生的效益。</w:t>
            </w:r>
          </w:p>
        </w:tc>
        <w:tc>
          <w:tcPr>
            <w:tcW w:w="2250" w:type="pct"/>
            <w:tcBorders>
              <w:tl2br w:val="nil"/>
              <w:tr2bl w:val="nil"/>
            </w:tcBorders>
            <w:shd w:val="clear" w:color="auto" w:fill="FFFFFF"/>
            <w:vAlign w:val="center"/>
          </w:tcPr>
          <w:p>
            <w:pPr>
              <w:widowControl/>
              <w:spacing w:line="0" w:lineRule="atLeast"/>
              <w:rPr>
                <w:color w:val="000000"/>
                <w:kern w:val="0"/>
                <w:sz w:val="22"/>
                <w:szCs w:val="22"/>
              </w:rPr>
            </w:pPr>
            <w:r>
              <w:rPr>
                <w:rFonts w:eastAsia="宋体"/>
                <w:color w:val="000000"/>
                <w:kern w:val="0"/>
                <w:sz w:val="22"/>
                <w:szCs w:val="22"/>
              </w:rPr>
              <w:t>项目实施所产生的社会效益、经济效益、生态效益、可持续影响等。可根据项目实际情况有选择地设置和细化。</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20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trPr>
        <w:tc>
          <w:tcPr>
            <w:tcW w:w="216" w:type="pct"/>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704" w:type="pct"/>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478" w:type="pct"/>
            <w:tcBorders>
              <w:tl2br w:val="nil"/>
              <w:tr2bl w:val="nil"/>
            </w:tcBorders>
            <w:shd w:val="clear" w:color="auto" w:fill="FFFFFF"/>
            <w:vAlign w:val="center"/>
          </w:tcPr>
          <w:p>
            <w:pPr>
              <w:widowControl/>
              <w:spacing w:line="0" w:lineRule="atLeast"/>
              <w:jc w:val="center"/>
              <w:rPr>
                <w:color w:val="000000"/>
                <w:kern w:val="0"/>
                <w:sz w:val="22"/>
                <w:szCs w:val="22"/>
              </w:rPr>
            </w:pPr>
            <w:r>
              <w:rPr>
                <w:rFonts w:eastAsia="宋体"/>
                <w:color w:val="000000"/>
                <w:kern w:val="0"/>
                <w:sz w:val="22"/>
                <w:szCs w:val="22"/>
              </w:rPr>
              <w:t>满意度</w:t>
            </w:r>
          </w:p>
        </w:tc>
        <w:tc>
          <w:tcPr>
            <w:tcW w:w="866"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社会公众或服务对象对项目实施效果的满意程度。</w:t>
            </w:r>
          </w:p>
        </w:tc>
        <w:tc>
          <w:tcPr>
            <w:tcW w:w="2250" w:type="pct"/>
            <w:tcBorders>
              <w:tl2br w:val="nil"/>
              <w:tr2bl w:val="nil"/>
            </w:tcBorders>
            <w:shd w:val="clear" w:color="000000" w:fill="FFFFFF"/>
            <w:vAlign w:val="center"/>
          </w:tcPr>
          <w:p>
            <w:pPr>
              <w:widowControl/>
              <w:spacing w:line="0" w:lineRule="atLeast"/>
              <w:rPr>
                <w:color w:val="000000"/>
                <w:kern w:val="0"/>
                <w:sz w:val="22"/>
                <w:szCs w:val="22"/>
              </w:rPr>
            </w:pPr>
            <w:r>
              <w:rPr>
                <w:rFonts w:eastAsia="宋体"/>
                <w:color w:val="000000"/>
                <w:kern w:val="0"/>
                <w:sz w:val="22"/>
                <w:szCs w:val="22"/>
              </w:rPr>
              <w:t>社会公众或服务对象是指因该项目实施而受到影响的部门（单位）、群体或个人。一般采取社会调查的方式。</w:t>
            </w:r>
          </w:p>
        </w:tc>
        <w:tc>
          <w:tcPr>
            <w:tcW w:w="241" w:type="pct"/>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r>
    </w:tbl>
    <w:p>
      <w:pPr>
        <w:spacing w:line="560" w:lineRule="exact"/>
        <w:ind w:firstLine="567"/>
        <w:jc w:val="center"/>
        <w:rPr>
          <w:rStyle w:val="6"/>
        </w:rPr>
      </w:pPr>
    </w:p>
    <w:sectPr>
      <w:pgSz w:w="16840" w:h="11907"/>
      <w:pgMar w:top="1531" w:right="2540" w:bottom="1531" w:left="2540" w:header="737" w:footer="851" w:gutter="0"/>
      <w:cols w:space="720" w:num="1"/>
      <w:textDirection w:val="tbRl"/>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36C907-186D-4139-B2E9-0E6D961F2B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D199247-B440-42C2-A350-1E312870AC1B}"/>
  </w:font>
  <w:font w:name="仿宋_GB2312">
    <w:altName w:val="仿宋"/>
    <w:panose1 w:val="00000000000000000000"/>
    <w:charset w:val="86"/>
    <w:family w:val="modern"/>
    <w:pitch w:val="default"/>
    <w:sig w:usb0="00000000" w:usb1="00000000" w:usb2="00000010" w:usb3="00000000" w:csb0="00040000" w:csb1="00000000"/>
    <w:embedRegular r:id="rId3" w:fontKey="{C0ECBEBC-548E-4EF4-8F8E-598AC1E43516}"/>
  </w:font>
  <w:font w:name="仿宋">
    <w:panose1 w:val="02010609060101010101"/>
    <w:charset w:val="86"/>
    <w:family w:val="modern"/>
    <w:pitch w:val="default"/>
    <w:sig w:usb0="800002BF" w:usb1="38CF7CFA" w:usb2="00000016" w:usb3="00000000" w:csb0="00040001" w:csb1="00000000"/>
    <w:embedRegular r:id="rId4" w:fontKey="{6724C6B8-83D4-4928-A412-C7C7CF310D29}"/>
  </w:font>
  <w:font w:name="仿宋w..">
    <w:altName w:val="宋体"/>
    <w:panose1 w:val="00000000000000000000"/>
    <w:charset w:val="86"/>
    <w:family w:val="roma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embedRegular r:id="rId5" w:fontKey="{FC1F8702-8EDC-4942-8A4A-0E2380F14E06}"/>
  </w:font>
  <w:font w:name="方正小标宋_GBK">
    <w:panose1 w:val="02000000000000000000"/>
    <w:charset w:val="86"/>
    <w:family w:val="script"/>
    <w:pitch w:val="default"/>
    <w:sig w:usb0="A00002BF" w:usb1="38CF7CFA" w:usb2="00082016" w:usb3="00000000" w:csb0="00040001" w:csb1="00000000"/>
    <w:embedRegular r:id="rId6" w:fontKey="{35AA3BA1-626D-47D2-AFE2-5B3BFEC44F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074110"/>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28956"/>
    <w:multiLevelType w:val="singleLevel"/>
    <w:tmpl w:val="83E28956"/>
    <w:lvl w:ilvl="0" w:tentative="0">
      <w:start w:val="2"/>
      <w:numFmt w:val="decimal"/>
      <w:suff w:val="nothing"/>
      <w:lvlText w:val="%1、"/>
      <w:lvlJc w:val="left"/>
    </w:lvl>
  </w:abstractNum>
  <w:abstractNum w:abstractNumId="1">
    <w:nsid w:val="617A4689"/>
    <w:multiLevelType w:val="multilevel"/>
    <w:tmpl w:val="617A4689"/>
    <w:lvl w:ilvl="0" w:tentative="0">
      <w:start w:val="2"/>
      <w:numFmt w:val="decimal"/>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535AC9"/>
    <w:rsid w:val="00007A08"/>
    <w:rsid w:val="000227CB"/>
    <w:rsid w:val="000750C7"/>
    <w:rsid w:val="000B4E42"/>
    <w:rsid w:val="000F44ED"/>
    <w:rsid w:val="001327EC"/>
    <w:rsid w:val="001B55EC"/>
    <w:rsid w:val="002E6A7D"/>
    <w:rsid w:val="002F5C00"/>
    <w:rsid w:val="00321AB7"/>
    <w:rsid w:val="00347333"/>
    <w:rsid w:val="00365C32"/>
    <w:rsid w:val="00383616"/>
    <w:rsid w:val="003919A9"/>
    <w:rsid w:val="003976C6"/>
    <w:rsid w:val="0043448B"/>
    <w:rsid w:val="00440974"/>
    <w:rsid w:val="004C1EA1"/>
    <w:rsid w:val="00535AC9"/>
    <w:rsid w:val="005734D8"/>
    <w:rsid w:val="005D427C"/>
    <w:rsid w:val="005E7A17"/>
    <w:rsid w:val="00603BEC"/>
    <w:rsid w:val="00652FFB"/>
    <w:rsid w:val="006B1D68"/>
    <w:rsid w:val="006D41AE"/>
    <w:rsid w:val="007A730C"/>
    <w:rsid w:val="007F3D0F"/>
    <w:rsid w:val="008567AF"/>
    <w:rsid w:val="00897C6D"/>
    <w:rsid w:val="008D1615"/>
    <w:rsid w:val="008E577E"/>
    <w:rsid w:val="008E67CA"/>
    <w:rsid w:val="00910A07"/>
    <w:rsid w:val="009145EB"/>
    <w:rsid w:val="00954F21"/>
    <w:rsid w:val="0097122D"/>
    <w:rsid w:val="00976E5E"/>
    <w:rsid w:val="009E02CA"/>
    <w:rsid w:val="009E3972"/>
    <w:rsid w:val="00A0456E"/>
    <w:rsid w:val="00A205B4"/>
    <w:rsid w:val="00A2314E"/>
    <w:rsid w:val="00AF2824"/>
    <w:rsid w:val="00B07025"/>
    <w:rsid w:val="00B30898"/>
    <w:rsid w:val="00BD320C"/>
    <w:rsid w:val="00C000A9"/>
    <w:rsid w:val="00C44329"/>
    <w:rsid w:val="00CE1CDC"/>
    <w:rsid w:val="00D31574"/>
    <w:rsid w:val="00D944AC"/>
    <w:rsid w:val="00E3118B"/>
    <w:rsid w:val="00F44C98"/>
    <w:rsid w:val="00F557CA"/>
    <w:rsid w:val="00F849C5"/>
    <w:rsid w:val="00FF71AB"/>
    <w:rsid w:val="23C4387D"/>
    <w:rsid w:val="570B64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Calibri" w:hAnsi="Calibri" w:eastAsia="宋体"/>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eastAsia="宋体"/>
      <w:kern w:val="0"/>
      <w:sz w:val="18"/>
      <w:szCs w:val="18"/>
    </w:rPr>
  </w:style>
  <w:style w:type="character" w:styleId="6">
    <w:name w:val="Strong"/>
    <w:basedOn w:val="5"/>
    <w:qFormat/>
    <w:uiPriority w:val="0"/>
    <w:rPr>
      <w:rFonts w:eastAsia="仿宋"/>
      <w:b/>
      <w:bCs/>
      <w:sz w:val="21"/>
    </w:rPr>
  </w:style>
  <w:style w:type="character" w:customStyle="1" w:styleId="7">
    <w:name w:val="页眉 Char"/>
    <w:link w:val="3"/>
    <w:uiPriority w:val="99"/>
    <w:rPr>
      <w:sz w:val="18"/>
      <w:szCs w:val="18"/>
    </w:rPr>
  </w:style>
  <w:style w:type="character" w:customStyle="1" w:styleId="8">
    <w:name w:val="页脚 Char"/>
    <w:link w:val="2"/>
    <w:uiPriority w:val="99"/>
    <w:rPr>
      <w:sz w:val="18"/>
      <w:szCs w:val="18"/>
    </w:rPr>
  </w:style>
  <w:style w:type="paragraph" w:styleId="9">
    <w:name w:val="List Paragraph"/>
    <w:basedOn w:val="1"/>
    <w:qFormat/>
    <w:uiPriority w:val="34"/>
    <w:pPr>
      <w:ind w:firstLine="420" w:firstLineChars="200"/>
    </w:pPr>
  </w:style>
  <w:style w:type="paragraph" w:customStyle="1" w:styleId="10">
    <w:name w:val="Defaul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880</Words>
  <Characters>5022</Characters>
  <Lines>41</Lines>
  <Paragraphs>11</Paragraphs>
  <TotalTime>53</TotalTime>
  <ScaleCrop>false</ScaleCrop>
  <LinksUpToDate>false</LinksUpToDate>
  <CharactersWithSpaces>5891</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2020-06-04T02:48:00Z</dcterms:created>
  <dc:creator>CurUserName</dc:creator>
  <cp:lastModifiedBy>Qxb</cp:lastModifiedBy>
  <dcterms:modified xsi:type="dcterms:W3CDTF">2023-08-14T10:14:44Z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531CD187FD4B414F84737C073A5F086D_12</vt:lpwstr>
  </property>
</Properties>
</file>