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D92362">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巴音郭楞蒙古自治州区域空间             生态环境项目支出</w:t>
      </w:r>
      <w:r>
        <w:rPr>
          <w:rFonts w:ascii="方正小标宋_GBK" w:hAnsi="华文中宋" w:eastAsia="方正小标宋_GBK" w:cs="宋体"/>
          <w:b/>
          <w:kern w:val="0"/>
          <w:sz w:val="48"/>
          <w:szCs w:val="48"/>
        </w:rPr>
        <w:t>绩效</w:t>
      </w:r>
      <w:r>
        <w:rPr>
          <w:rFonts w:hint="eastAsia" w:ascii="方正小标宋_GBK" w:hAnsi="华文中宋" w:eastAsia="方正小标宋_GBK" w:cs="宋体"/>
          <w:b/>
          <w:kern w:val="0"/>
          <w:sz w:val="48"/>
          <w:szCs w:val="48"/>
        </w:rPr>
        <w:t>评价报告</w:t>
      </w:r>
    </w:p>
    <w:p w14:paraId="5FDBAAA7">
      <w:pPr>
        <w:spacing w:line="540" w:lineRule="exact"/>
        <w:jc w:val="center"/>
        <w:rPr>
          <w:rFonts w:ascii="华文中宋" w:hAnsi="华文中宋" w:eastAsia="华文中宋" w:cs="宋体"/>
          <w:b/>
          <w:kern w:val="0"/>
          <w:sz w:val="52"/>
          <w:szCs w:val="52"/>
        </w:rPr>
      </w:pPr>
    </w:p>
    <w:p w14:paraId="5E343B4F">
      <w:pPr>
        <w:spacing w:line="540" w:lineRule="exact"/>
        <w:jc w:val="center"/>
        <w:rPr>
          <w:rFonts w:ascii="华文中宋" w:hAnsi="华文中宋" w:eastAsia="华文中宋" w:cs="宋体"/>
          <w:b/>
          <w:kern w:val="0"/>
          <w:sz w:val="52"/>
          <w:szCs w:val="52"/>
        </w:rPr>
      </w:pPr>
    </w:p>
    <w:p w14:paraId="14775940">
      <w:pPr>
        <w:spacing w:line="540" w:lineRule="exact"/>
        <w:jc w:val="center"/>
        <w:rPr>
          <w:rFonts w:ascii="华文中宋" w:hAnsi="华文中宋" w:eastAsia="华文中宋" w:cs="宋体"/>
          <w:b/>
          <w:kern w:val="0"/>
          <w:sz w:val="52"/>
          <w:szCs w:val="52"/>
        </w:rPr>
      </w:pPr>
    </w:p>
    <w:p w14:paraId="10FA8165">
      <w:pPr>
        <w:spacing w:line="540" w:lineRule="exact"/>
        <w:jc w:val="center"/>
        <w:rPr>
          <w:rFonts w:hAnsi="宋体" w:cs="宋体"/>
          <w:kern w:val="0"/>
          <w:sz w:val="36"/>
          <w:szCs w:val="36"/>
        </w:rPr>
      </w:pPr>
      <w:r>
        <w:rPr>
          <w:rFonts w:hint="eastAsia" w:hAnsi="宋体" w:cs="宋体"/>
          <w:kern w:val="0"/>
          <w:sz w:val="36"/>
          <w:szCs w:val="36"/>
        </w:rPr>
        <w:t>（2019年度）</w:t>
      </w:r>
    </w:p>
    <w:p w14:paraId="4EC79897">
      <w:pPr>
        <w:spacing w:line="540" w:lineRule="exact"/>
        <w:jc w:val="center"/>
        <w:rPr>
          <w:rFonts w:hAnsi="宋体" w:cs="宋体"/>
          <w:kern w:val="0"/>
          <w:szCs w:val="30"/>
        </w:rPr>
      </w:pPr>
    </w:p>
    <w:p w14:paraId="0A45CDDA">
      <w:pPr>
        <w:spacing w:line="540" w:lineRule="exact"/>
        <w:jc w:val="center"/>
        <w:rPr>
          <w:rFonts w:hAnsi="宋体" w:cs="宋体"/>
          <w:kern w:val="0"/>
          <w:szCs w:val="30"/>
        </w:rPr>
      </w:pPr>
    </w:p>
    <w:p w14:paraId="771582E6">
      <w:pPr>
        <w:spacing w:line="540" w:lineRule="exact"/>
        <w:jc w:val="center"/>
        <w:rPr>
          <w:rFonts w:hAnsi="宋体" w:cs="宋体"/>
          <w:kern w:val="0"/>
          <w:szCs w:val="30"/>
        </w:rPr>
      </w:pPr>
    </w:p>
    <w:p w14:paraId="011EADED">
      <w:pPr>
        <w:spacing w:line="540" w:lineRule="exact"/>
        <w:jc w:val="center"/>
        <w:rPr>
          <w:rFonts w:hAnsi="宋体" w:cs="宋体"/>
          <w:kern w:val="0"/>
          <w:szCs w:val="30"/>
        </w:rPr>
      </w:pPr>
    </w:p>
    <w:p w14:paraId="09A28503">
      <w:pPr>
        <w:spacing w:line="540" w:lineRule="exact"/>
        <w:jc w:val="center"/>
        <w:rPr>
          <w:rFonts w:hAnsi="宋体" w:cs="宋体"/>
          <w:kern w:val="0"/>
          <w:szCs w:val="30"/>
        </w:rPr>
      </w:pPr>
    </w:p>
    <w:p w14:paraId="3BD9BC4F">
      <w:pPr>
        <w:spacing w:line="540" w:lineRule="exact"/>
        <w:rPr>
          <w:rFonts w:hAnsi="宋体" w:cs="宋体"/>
          <w:kern w:val="0"/>
          <w:szCs w:val="30"/>
        </w:rPr>
      </w:pPr>
    </w:p>
    <w:p w14:paraId="2ED39378">
      <w:pPr>
        <w:spacing w:line="700" w:lineRule="exact"/>
        <w:ind w:firstLine="900" w:firstLineChars="250"/>
        <w:jc w:val="left"/>
        <w:rPr>
          <w:rFonts w:hint="eastAsia" w:hAnsi="宋体" w:cs="宋体"/>
          <w:kern w:val="0"/>
          <w:sz w:val="36"/>
          <w:szCs w:val="36"/>
        </w:rPr>
      </w:pPr>
      <w:r>
        <w:rPr>
          <w:rFonts w:hint="eastAsia" w:hAnsi="宋体" w:cs="宋体"/>
          <w:kern w:val="0"/>
          <w:sz w:val="36"/>
          <w:szCs w:val="36"/>
        </w:rPr>
        <w:t>项目名称：巴音郭楞蒙古自治州区域空间生态环境</w:t>
      </w:r>
    </w:p>
    <w:p w14:paraId="18448D12">
      <w:pPr>
        <w:spacing w:line="700" w:lineRule="exact"/>
        <w:ind w:firstLine="900" w:firstLineChars="250"/>
        <w:jc w:val="left"/>
        <w:rPr>
          <w:rFonts w:hAnsi="宋体" w:cs="宋体"/>
          <w:kern w:val="0"/>
          <w:sz w:val="36"/>
          <w:szCs w:val="36"/>
        </w:rPr>
      </w:pPr>
      <w:r>
        <w:rPr>
          <w:rFonts w:hint="eastAsia" w:hAnsi="宋体" w:cs="宋体"/>
          <w:kern w:val="0"/>
          <w:sz w:val="36"/>
          <w:szCs w:val="36"/>
        </w:rPr>
        <w:t xml:space="preserve">          评价暨“三线一单”编制</w:t>
      </w:r>
    </w:p>
    <w:p w14:paraId="4FB09100">
      <w:pPr>
        <w:spacing w:line="700" w:lineRule="exact"/>
        <w:ind w:left="4140" w:leftChars="300" w:hanging="3240" w:hangingChars="900"/>
        <w:jc w:val="left"/>
        <w:rPr>
          <w:rFonts w:hAnsi="宋体" w:cs="宋体"/>
          <w:kern w:val="0"/>
          <w:sz w:val="36"/>
          <w:szCs w:val="36"/>
        </w:rPr>
      </w:pPr>
      <w:r>
        <w:rPr>
          <w:rFonts w:hint="eastAsia" w:hAnsi="宋体" w:cs="宋体"/>
          <w:kern w:val="0"/>
          <w:sz w:val="36"/>
          <w:szCs w:val="36"/>
        </w:rPr>
        <w:t>实施单位（公章）：巴音郭楞蒙古自治州区域空间     生态环境</w:t>
      </w:r>
      <w:r>
        <w:rPr>
          <w:rFonts w:hAnsi="宋体" w:cs="宋体"/>
          <w:kern w:val="0"/>
          <w:sz w:val="36"/>
          <w:szCs w:val="36"/>
        </w:rPr>
        <w:t xml:space="preserve"> </w:t>
      </w:r>
    </w:p>
    <w:p w14:paraId="0391098B">
      <w:pPr>
        <w:spacing w:line="700" w:lineRule="exact"/>
        <w:ind w:firstLine="849" w:firstLineChars="236"/>
        <w:jc w:val="left"/>
        <w:rPr>
          <w:rFonts w:hAnsi="宋体" w:cs="宋体"/>
          <w:kern w:val="0"/>
          <w:sz w:val="36"/>
          <w:szCs w:val="36"/>
        </w:rPr>
      </w:pPr>
      <w:r>
        <w:rPr>
          <w:rFonts w:hint="eastAsia" w:hAnsi="宋体" w:cs="宋体"/>
          <w:kern w:val="0"/>
          <w:sz w:val="36"/>
          <w:szCs w:val="36"/>
        </w:rPr>
        <w:t>主管部门（公章）：巴州生态环境局</w:t>
      </w:r>
      <w:r>
        <w:rPr>
          <w:rFonts w:hAnsi="宋体" w:cs="宋体"/>
          <w:kern w:val="0"/>
          <w:sz w:val="36"/>
          <w:szCs w:val="36"/>
        </w:rPr>
        <w:t xml:space="preserve"> </w:t>
      </w:r>
    </w:p>
    <w:p w14:paraId="72936B71">
      <w:pPr>
        <w:spacing w:line="700" w:lineRule="exact"/>
        <w:ind w:firstLine="849" w:firstLineChars="236"/>
        <w:jc w:val="left"/>
        <w:rPr>
          <w:rFonts w:hAnsi="宋体" w:cs="宋体"/>
          <w:kern w:val="0"/>
          <w:sz w:val="36"/>
          <w:szCs w:val="36"/>
        </w:rPr>
      </w:pPr>
      <w:r>
        <w:rPr>
          <w:rFonts w:hint="eastAsia" w:hAnsi="宋体" w:cs="宋体"/>
          <w:kern w:val="0"/>
          <w:sz w:val="36"/>
          <w:szCs w:val="36"/>
        </w:rPr>
        <w:t>项目负责人（签章）：马锦</w:t>
      </w:r>
      <w:r>
        <w:rPr>
          <w:rFonts w:hAnsi="宋体" w:cs="宋体"/>
          <w:kern w:val="0"/>
          <w:sz w:val="36"/>
          <w:szCs w:val="36"/>
        </w:rPr>
        <w:t xml:space="preserve"> </w:t>
      </w:r>
    </w:p>
    <w:p w14:paraId="1D0AB470">
      <w:pPr>
        <w:spacing w:line="700" w:lineRule="exact"/>
        <w:ind w:firstLine="849" w:firstLineChars="236"/>
        <w:jc w:val="left"/>
        <w:rPr>
          <w:rFonts w:hAnsi="宋体" w:cs="宋体"/>
          <w:kern w:val="0"/>
          <w:sz w:val="36"/>
          <w:szCs w:val="36"/>
        </w:rPr>
      </w:pPr>
      <w:r>
        <w:rPr>
          <w:rFonts w:hint="eastAsia" w:hAnsi="宋体" w:cs="宋体"/>
          <w:kern w:val="0"/>
          <w:sz w:val="36"/>
          <w:szCs w:val="36"/>
        </w:rPr>
        <w:t>填报时间：  2020年4月</w:t>
      </w:r>
      <w:r>
        <w:rPr>
          <w:rFonts w:hAnsi="宋体" w:cs="宋体"/>
          <w:kern w:val="0"/>
          <w:sz w:val="36"/>
          <w:szCs w:val="36"/>
        </w:rPr>
        <w:t xml:space="preserve"> </w:t>
      </w:r>
    </w:p>
    <w:p w14:paraId="42C9A3C5">
      <w:pPr>
        <w:spacing w:line="540" w:lineRule="exact"/>
        <w:jc w:val="center"/>
        <w:rPr>
          <w:rFonts w:hAnsi="宋体" w:cs="宋体"/>
          <w:kern w:val="0"/>
          <w:szCs w:val="30"/>
        </w:rPr>
      </w:pPr>
    </w:p>
    <w:p w14:paraId="237FD10E"/>
    <w:p w14:paraId="50C9E47F">
      <w:pPr>
        <w:jc w:val="center"/>
        <w:rPr>
          <w:rFonts w:ascii="宋体" w:hAnsi="宋体" w:eastAsia="宋体" w:cs="Arial"/>
          <w:b/>
          <w:bCs/>
          <w:sz w:val="36"/>
          <w:szCs w:val="36"/>
        </w:rPr>
      </w:pPr>
    </w:p>
    <w:p w14:paraId="32FE7F64">
      <w:pPr>
        <w:jc w:val="center"/>
        <w:rPr>
          <w:rFonts w:ascii="宋体" w:hAnsi="宋体" w:eastAsia="宋体" w:cs="Arial"/>
          <w:b/>
          <w:bCs/>
          <w:sz w:val="36"/>
          <w:szCs w:val="36"/>
        </w:rPr>
      </w:pPr>
    </w:p>
    <w:p w14:paraId="6865E61A">
      <w:pPr>
        <w:jc w:val="center"/>
        <w:rPr>
          <w:rFonts w:ascii="宋体" w:hAnsi="宋体" w:eastAsia="宋体" w:cs="Arial"/>
          <w:b/>
          <w:bCs/>
          <w:sz w:val="36"/>
          <w:szCs w:val="36"/>
        </w:rPr>
      </w:pPr>
    </w:p>
    <w:p w14:paraId="37A0C8BD">
      <w:pPr>
        <w:jc w:val="center"/>
        <w:rPr>
          <w:rFonts w:ascii="宋体" w:hAnsi="宋体" w:eastAsia="宋体" w:cs="Arial"/>
          <w:b/>
          <w:bCs/>
          <w:sz w:val="36"/>
          <w:szCs w:val="36"/>
        </w:rPr>
      </w:pPr>
      <w:r>
        <w:rPr>
          <w:rFonts w:hint="eastAsia" w:ascii="宋体" w:hAnsi="宋体" w:eastAsia="宋体" w:cs="Arial"/>
          <w:b/>
          <w:bCs/>
          <w:sz w:val="36"/>
          <w:szCs w:val="36"/>
        </w:rPr>
        <w:t>巴音郭楞蒙古自治州区域空间生态环境</w:t>
      </w:r>
    </w:p>
    <w:p w14:paraId="42207EA5">
      <w:pPr>
        <w:jc w:val="center"/>
        <w:rPr>
          <w:rFonts w:ascii="宋体" w:hAnsi="宋体" w:eastAsia="宋体" w:cs="Arial"/>
          <w:b/>
          <w:bCs/>
          <w:sz w:val="36"/>
          <w:szCs w:val="36"/>
        </w:rPr>
      </w:pPr>
      <w:r>
        <w:rPr>
          <w:rFonts w:hint="eastAsia" w:ascii="宋体" w:hAnsi="宋体" w:eastAsia="宋体" w:cs="Arial"/>
          <w:b/>
          <w:bCs/>
          <w:sz w:val="36"/>
          <w:szCs w:val="36"/>
        </w:rPr>
        <w:t>评价暨“三线一单”编制</w:t>
      </w:r>
    </w:p>
    <w:p w14:paraId="227585D7">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07C7B3AE">
      <w:pPr>
        <w:pStyle w:val="9"/>
      </w:pPr>
    </w:p>
    <w:p w14:paraId="52C74E4B">
      <w:pPr>
        <w:pStyle w:val="10"/>
        <w:ind w:firstLine="600"/>
      </w:pPr>
      <w:r>
        <w:rPr>
          <w:rFonts w:hint="eastAsia"/>
        </w:rPr>
        <w:t>一、基本情况</w:t>
      </w:r>
    </w:p>
    <w:p w14:paraId="3FAF912D">
      <w:pPr>
        <w:pStyle w:val="12"/>
        <w:ind w:firstLine="602"/>
      </w:pPr>
      <w:r>
        <w:rPr>
          <w:rFonts w:hint="eastAsia"/>
        </w:rPr>
        <w:t>（一）项目概况</w:t>
      </w:r>
    </w:p>
    <w:p w14:paraId="00BBA3B8">
      <w:pPr>
        <w:pStyle w:val="12"/>
        <w:ind w:firstLine="602"/>
      </w:pPr>
      <w:r>
        <w:rPr>
          <w:rFonts w:hint="eastAsia"/>
        </w:rPr>
        <w:t>1、项目背景</w:t>
      </w:r>
    </w:p>
    <w:p w14:paraId="5FF8F0E7">
      <w:pPr>
        <w:pStyle w:val="9"/>
      </w:pPr>
      <w:r>
        <w:rPr>
          <w:rFonts w:hint="eastAsia"/>
        </w:rPr>
        <w:t>党中央国务院高度重视生态文明建设和生态环境保护，习近平总书记在中共中央政治局第四十一次集体学习时强调，加快构建生态功能保障基线、环境质量安全底线、自然资源利用上线三大红线，全方位、全地域、全过程开展生态环境保护建设。全国生态环境保护大会及《关于全面加强生态环境保护 坚决打好污染防治攻坚战的意见》（中发[2018]17号）明确提出，“省级党委和政府加快确定生态保护红线、环境质量底线、资源利用上线，制定生态环境准入清单，在地方立法、政策制定、规划编制、执法监管中不得变通突破、降低标准，不符合不衔接不适应的于2020年年底前完成调整”。</w:t>
      </w:r>
    </w:p>
    <w:p w14:paraId="77D1C3A0">
      <w:pPr>
        <w:pStyle w:val="9"/>
      </w:pPr>
      <w:r>
        <w:rPr>
          <w:rFonts w:hint="eastAsia"/>
        </w:rPr>
        <w:t>生态环境部制定出台的了《“三线一单”试点工作方案》（环办环评函〔2017〕894号）、《区域空间生态环境评价工作实施方案》（环办环评[2018]23号）、《“生态保护红线、环境质量底线、资源利用上线和环境准入负面清单”编制技术指南（试行）》（环办环评〔2017〕99号）、《“三线一单”编制技术要求（试行）》（环办环评〔2018〕14号）、《“三线一单”成果数据规范（试行）》（环办环评〔2018〕18号）等，为在全国推行“三线一单”奠定了理论技术基础和实践基础。</w:t>
      </w:r>
    </w:p>
    <w:p w14:paraId="12457FFB">
      <w:pPr>
        <w:pStyle w:val="9"/>
      </w:pPr>
      <w:r>
        <w:rPr>
          <w:rFonts w:hint="eastAsia"/>
        </w:rPr>
        <w:t>自治区党委、政府主要领导在全区生态环境保护大会上对编制“三线一单”工作做出了</w:t>
      </w:r>
      <w:r>
        <w:rPr>
          <w:rFonts w:hint="eastAsia"/>
          <w:lang w:eastAsia="zh-CN"/>
        </w:rPr>
        <w:t>安排部署</w:t>
      </w:r>
      <w:r>
        <w:rPr>
          <w:rFonts w:hint="eastAsia"/>
        </w:rPr>
        <w:t>，自治区政府印发了《自治区区域空间生态环评评价工作实施方案（2018-2025年）》，实施方案中要求各地州与2019年12月完成“三线一单”的编制及验收工作。</w:t>
      </w:r>
    </w:p>
    <w:p w14:paraId="71B94734">
      <w:pPr>
        <w:pStyle w:val="9"/>
      </w:pPr>
      <w:r>
        <w:rPr>
          <w:rFonts w:hint="eastAsia"/>
        </w:rPr>
        <w:t>巴州作为自治区国土面积最大的地州，素有“华夏第一州”之称，地处衔接南北疆通道核心位置，拥有丝绸之路经济带北道、中道、南道的国际通道优势。近年来，巴州党委、政府也积极推进生态保护红线划定任务，强化生态空间管控，落实大气、流域联防联控，组织编制兵地一体的生态环境保护规划，建立了生态环境保护工作新格局。但是，巴州依然存在着面积大生态空间分散管控压力大、生态环境相对脆弱、产业结构“一油独大”的不平衡、水资源短缺等一系列问题。加快开展“三线一单”的编制工作，对巴州加强生态环境保护和污染防治力度、优化国土空间开发保护制度、完善空间治理体系、优化产业布局与结构、实现绿色高质量发展具有重要意义。</w:t>
      </w:r>
    </w:p>
    <w:p w14:paraId="7C7E94B3">
      <w:pPr>
        <w:pStyle w:val="9"/>
      </w:pPr>
      <w:r>
        <w:rPr>
          <w:rFonts w:hint="eastAsia"/>
        </w:rPr>
        <w:t>基于国家和自治区层面要求，巴州积极启动区域空间生态环境评价工作，加快编制“三线一单”。针对巴州区域战略定位和发展目标，围绕改善环境质量、提升生态安全水平两大任务，按照生态保护红线优布局、区域环境总量调结构、生态环境准入促转型的总体思路，明确生态保护红线和生态空间，确定环境质量底线，划定资源利用上线，建立生态环境准入清单，提出空间、总量和准入环境管控策略，建立巴州精细化的“三线一单”管控体系，作为巴州全面加强生态环境保护、促进绿色发展、提高生态环境治理能力的有力支撑。</w:t>
      </w:r>
    </w:p>
    <w:p w14:paraId="19DC519D">
      <w:pPr>
        <w:pStyle w:val="12"/>
        <w:ind w:firstLine="602"/>
      </w:pPr>
      <w:r>
        <w:t>2</w:t>
      </w:r>
      <w:r>
        <w:rPr>
          <w:rFonts w:hint="eastAsia"/>
        </w:rPr>
        <w:t>、主要内容</w:t>
      </w:r>
    </w:p>
    <w:p w14:paraId="43EA7837">
      <w:pPr>
        <w:pStyle w:val="9"/>
      </w:pPr>
      <w:bookmarkStart w:id="0" w:name="_Toc19815102"/>
      <w:r>
        <w:rPr>
          <w:rFonts w:hint="eastAsia"/>
        </w:rPr>
        <w:t>（1）</w:t>
      </w:r>
      <w:r>
        <w:t>建立工作底图与基础数据库</w:t>
      </w:r>
      <w:bookmarkEnd w:id="0"/>
    </w:p>
    <w:p w14:paraId="043CF816">
      <w:pPr>
        <w:pStyle w:val="9"/>
      </w:pPr>
      <w:r>
        <w:t>衔接生态保护红线和空间规划相关工作的基础，补充收集生态环境、资源利用、国土开发、城市规划、社会经济等基础数据资料，对数据进行标准化处理和可靠性分析，与巴州空间规划基础数据进行对接，建立基础数据库和统一规范的工作底图。</w:t>
      </w:r>
    </w:p>
    <w:p w14:paraId="30A6277E">
      <w:pPr>
        <w:pStyle w:val="9"/>
      </w:pPr>
      <w:bookmarkStart w:id="1" w:name="_Toc19815103"/>
      <w:r>
        <w:rPr>
          <w:rFonts w:hint="eastAsia"/>
        </w:rPr>
        <w:t>（2）</w:t>
      </w:r>
      <w:r>
        <w:t>开展经济社会环境综合分析，确定评价框架与重点</w:t>
      </w:r>
      <w:bookmarkEnd w:id="1"/>
    </w:p>
    <w:p w14:paraId="37A9D133">
      <w:pPr>
        <w:pStyle w:val="9"/>
      </w:pPr>
      <w:r>
        <w:t>衔接相关规划、功能区划、行动计划、战略环评等工作基础，开展生态环境状况、资源能源禀赋、社会经济发展和区域产业布局等方面的综合分析，系统评估城镇化、工业化、农业发展、重大资源开发及对生态环境的影响，开展区域生态、水、大气、土壤等系统评估，识别区域发展带来的生态影响、环境压力和环境风险，明确区域环评框架与重点内容。</w:t>
      </w:r>
    </w:p>
    <w:p w14:paraId="54A4EF3D">
      <w:pPr>
        <w:pStyle w:val="9"/>
      </w:pPr>
      <w:bookmarkStart w:id="2" w:name="_Toc19815104"/>
      <w:r>
        <w:rPr>
          <w:rFonts w:hint="eastAsia"/>
        </w:rPr>
        <w:t>（3）</w:t>
      </w:r>
      <w:r>
        <w:t>新时期巴州生态环境保护战略和目标指标研究</w:t>
      </w:r>
      <w:bookmarkEnd w:id="2"/>
    </w:p>
    <w:p w14:paraId="687770B2">
      <w:pPr>
        <w:pStyle w:val="9"/>
      </w:pPr>
      <w:r>
        <w:t>围绕美丽巴州建设，按照对标国际、领先全国要求，积极应对巴州产业发展过度依赖对石油工业的压力，统筹以库尔勒经济技术开发区为核心的产业园区（1个国家级、9个自治区级）和中巴经济走廊综合承载区“一心、一枢纽、三基地”为重点的经济发展工作，重点针对产业结构进一步优化、空气质量进一步改善、博斯腾湖等流域水质进一步提升等重点问题，从环境质量改善、环境空间格局优化、环境污染控制、资源利用效率提升、环境保护制度完善、生态文明体制机制创新等角度，系统研究设计巴州中长期生态环境保护的路线图、空间布局、战略任务以及目标指标。</w:t>
      </w:r>
    </w:p>
    <w:p w14:paraId="212BB721">
      <w:pPr>
        <w:pStyle w:val="9"/>
      </w:pPr>
      <w:bookmarkStart w:id="3" w:name="_Toc506136695"/>
      <w:bookmarkStart w:id="4" w:name="_Toc506059367"/>
      <w:bookmarkStart w:id="5" w:name="_Toc19815105"/>
      <w:r>
        <w:rPr>
          <w:rFonts w:hint="eastAsia"/>
        </w:rPr>
        <w:t>（4）</w:t>
      </w:r>
      <w:r>
        <w:t>落实生态保护红线与生态空间，</w:t>
      </w:r>
      <w:bookmarkEnd w:id="3"/>
      <w:bookmarkEnd w:id="4"/>
      <w:r>
        <w:t>建立生态分区分类管控体系</w:t>
      </w:r>
      <w:bookmarkEnd w:id="5"/>
    </w:p>
    <w:p w14:paraId="76347041">
      <w:pPr>
        <w:pStyle w:val="9"/>
      </w:pPr>
      <w:r>
        <w:t>全面衔接新疆生态保护红线巴州部分的划定成果，在已有生态保护红线研究的基础上，确定巴州生态保护红线格局，并进行管控要求研究。在生态保护红线的基础上，衔接生态服务功能重要性评价结果、生态服务功能敏感性评价结果、重要保护地（自然保护地、饮用水水源保护区、风景名胜区、湿地公园、文化自然遗产地等）与一般重要保护地（生态公益林、重要湿地、重要草原、河湖滨岸带敏感区、重要的城市绿地区域等），识别红线外的其他生态空间，并对接相关规划，优化空间划分结果，最后合理分区分类，明确管控要求，形成巴州生态空间图件及矢量数据库，建立以生态保护红线、生态空间为主分区分类的生态管控体系。</w:t>
      </w:r>
    </w:p>
    <w:p w14:paraId="71493368">
      <w:pPr>
        <w:pStyle w:val="9"/>
      </w:pPr>
      <w:bookmarkStart w:id="6" w:name="_Toc19815106"/>
      <w:r>
        <w:rPr>
          <w:rFonts w:hint="eastAsia"/>
        </w:rPr>
        <w:t>（</w:t>
      </w:r>
      <w:r>
        <w:t>5</w:t>
      </w:r>
      <w:r>
        <w:rPr>
          <w:rFonts w:hint="eastAsia"/>
        </w:rPr>
        <w:t>）</w:t>
      </w:r>
      <w:r>
        <w:t>确立环境质量底线，构建环境分区管控体系</w:t>
      </w:r>
      <w:bookmarkEnd w:id="6"/>
    </w:p>
    <w:p w14:paraId="0A16A344">
      <w:pPr>
        <w:pStyle w:val="9"/>
      </w:pPr>
      <w:r>
        <w:t>本项任务具体工作按照水、气、土三要素同时开展，统筹确立环境质量底线，测算污染物允许排放量，构建环境分区管控体系。</w:t>
      </w:r>
    </w:p>
    <w:p w14:paraId="69230F7F">
      <w:pPr>
        <w:pStyle w:val="9"/>
        <w:ind w:firstLine="602"/>
        <w:rPr>
          <w:b/>
        </w:rPr>
      </w:pPr>
      <w:r>
        <w:rPr>
          <w:b/>
        </w:rPr>
        <w:fldChar w:fldCharType="begin"/>
      </w:r>
      <w:r>
        <w:rPr>
          <w:rFonts w:hint="eastAsia"/>
          <w:b/>
        </w:rPr>
        <w:instrText xml:space="preserve">= 1 \* GB3</w:instrText>
      </w:r>
      <w:r>
        <w:rPr>
          <w:b/>
        </w:rPr>
        <w:fldChar w:fldCharType="separate"/>
      </w:r>
      <w:r>
        <w:rPr>
          <w:rFonts w:hint="eastAsia"/>
          <w:b/>
        </w:rPr>
        <w:t>①</w:t>
      </w:r>
      <w:r>
        <w:rPr>
          <w:b/>
        </w:rPr>
        <w:fldChar w:fldCharType="end"/>
      </w:r>
      <w:r>
        <w:rPr>
          <w:b/>
        </w:rPr>
        <w:t>水环境质量底线确定与环境分区管控体系构建</w:t>
      </w:r>
    </w:p>
    <w:p w14:paraId="7238BEA7">
      <w:pPr>
        <w:pStyle w:val="9"/>
      </w:pPr>
      <w:r>
        <w:t>一是精细化管理分区分级论证。二是水环境控制单元细化研究。三是主要污染物现状产排污格局落地研究。四是水环境质量目标确定。五是主要水污染物允许排放量测算。六是水环境管控分区划定。</w:t>
      </w:r>
    </w:p>
    <w:p w14:paraId="6211D82D">
      <w:pPr>
        <w:pStyle w:val="9"/>
        <w:ind w:firstLine="602"/>
        <w:rPr>
          <w:b/>
        </w:rPr>
      </w:pPr>
      <w:r>
        <w:rPr>
          <w:b/>
        </w:rPr>
        <w:fldChar w:fldCharType="begin"/>
      </w:r>
      <w:r>
        <w:rPr>
          <w:rFonts w:hint="eastAsia"/>
          <w:b/>
        </w:rPr>
        <w:instrText xml:space="preserve">= 2 \* GB3</w:instrText>
      </w:r>
      <w:r>
        <w:rPr>
          <w:b/>
        </w:rPr>
        <w:fldChar w:fldCharType="separate"/>
      </w:r>
      <w:r>
        <w:rPr>
          <w:rFonts w:hint="eastAsia"/>
          <w:b/>
        </w:rPr>
        <w:t>②</w:t>
      </w:r>
      <w:r>
        <w:rPr>
          <w:b/>
        </w:rPr>
        <w:fldChar w:fldCharType="end"/>
      </w:r>
      <w:r>
        <w:rPr>
          <w:b/>
        </w:rPr>
        <w:t>大气环境质量底线确定与环境分区管控体系构建</w:t>
      </w:r>
    </w:p>
    <w:p w14:paraId="1D411CB7">
      <w:pPr>
        <w:pStyle w:val="9"/>
      </w:pPr>
      <w:r>
        <w:t>一是三维气象流场及空气资源禀赋模拟解析。二是主要污染物现状产排污格局落地研究。三是区域传输影响分析。四是大气环境质量底线目标研究。五是主要污染物环境容量测算。六是主要大气污染物允许排放量测算。七大气环境管控区划。</w:t>
      </w:r>
    </w:p>
    <w:p w14:paraId="53E307C8">
      <w:pPr>
        <w:pStyle w:val="9"/>
        <w:ind w:firstLine="602"/>
        <w:rPr>
          <w:b/>
        </w:rPr>
      </w:pPr>
      <w:r>
        <w:rPr>
          <w:b/>
        </w:rPr>
        <w:fldChar w:fldCharType="begin"/>
      </w:r>
      <w:r>
        <w:rPr>
          <w:rFonts w:hint="eastAsia"/>
          <w:b/>
        </w:rPr>
        <w:instrText xml:space="preserve">= 3 \* GB3</w:instrText>
      </w:r>
      <w:r>
        <w:rPr>
          <w:b/>
        </w:rPr>
        <w:fldChar w:fldCharType="separate"/>
      </w:r>
      <w:r>
        <w:rPr>
          <w:rFonts w:hint="eastAsia"/>
          <w:b/>
        </w:rPr>
        <w:t>③</w:t>
      </w:r>
      <w:r>
        <w:rPr>
          <w:b/>
        </w:rPr>
        <w:fldChar w:fldCharType="end"/>
      </w:r>
      <w:r>
        <w:rPr>
          <w:b/>
        </w:rPr>
        <w:t>土壤环境质量底线确定与环境分区管控体系构建</w:t>
      </w:r>
    </w:p>
    <w:p w14:paraId="7DE6A3F1">
      <w:pPr>
        <w:pStyle w:val="9"/>
      </w:pPr>
      <w:r>
        <w:t>一是土壤环境质量现状调查研究。二是农用地污染风险管控分区。三是建设用地污染风险管控分区。根据《“生态保护红线、环境质量底线、资源利用上线和环境准入负面清单”编制技术指南（试行）》、《污染地块土壤环境管理办法（试行）》、《重点行业企业用地调查信息采集技术规定》、《重点行业企业用地调查疑似污染地块布点技术规定(试行)》等相关技术规定，对建设用地风险管控范围进行区域划定。</w:t>
      </w:r>
    </w:p>
    <w:p w14:paraId="3F65074F">
      <w:pPr>
        <w:pStyle w:val="9"/>
      </w:pPr>
      <w:bookmarkStart w:id="7" w:name="_Toc506136697"/>
      <w:bookmarkStart w:id="8" w:name="_Toc506059369"/>
      <w:bookmarkStart w:id="9" w:name="_Toc19815107"/>
      <w:r>
        <w:rPr>
          <w:rFonts w:hint="eastAsia"/>
        </w:rPr>
        <w:t>（6）</w:t>
      </w:r>
      <w:r>
        <w:t>综合确定资源利用上线，明确管控要求</w:t>
      </w:r>
      <w:bookmarkEnd w:id="7"/>
      <w:bookmarkEnd w:id="8"/>
      <w:r>
        <w:t>。</w:t>
      </w:r>
      <w:bookmarkEnd w:id="9"/>
    </w:p>
    <w:p w14:paraId="028CD24E">
      <w:pPr>
        <w:pStyle w:val="9"/>
        <w:ind w:firstLine="602"/>
        <w:rPr>
          <w:rStyle w:val="11"/>
          <w:b/>
        </w:rPr>
      </w:pPr>
      <w:r>
        <w:rPr>
          <w:rStyle w:val="11"/>
          <w:b/>
        </w:rPr>
        <w:fldChar w:fldCharType="begin"/>
      </w:r>
      <w:r>
        <w:rPr>
          <w:rStyle w:val="11"/>
          <w:rFonts w:hint="eastAsia"/>
          <w:b/>
        </w:rPr>
        <w:instrText xml:space="preserve">= 1 \* GB3</w:instrText>
      </w:r>
      <w:r>
        <w:rPr>
          <w:rStyle w:val="11"/>
          <w:b/>
        </w:rPr>
        <w:fldChar w:fldCharType="separate"/>
      </w:r>
      <w:r>
        <w:rPr>
          <w:rStyle w:val="11"/>
          <w:rFonts w:hint="eastAsia"/>
          <w:b/>
        </w:rPr>
        <w:t>①</w:t>
      </w:r>
      <w:r>
        <w:rPr>
          <w:rStyle w:val="11"/>
          <w:b/>
        </w:rPr>
        <w:fldChar w:fldCharType="end"/>
      </w:r>
      <w:r>
        <w:rPr>
          <w:rStyle w:val="11"/>
          <w:b/>
        </w:rPr>
        <w:t>重点河流生态需水量测算和生态用水重点管控区研究</w:t>
      </w:r>
    </w:p>
    <w:p w14:paraId="64146ECD">
      <w:pPr>
        <w:pStyle w:val="9"/>
      </w:pPr>
      <w:r>
        <w:t>基于水生态功能保障和水环境质量改善要求，对涉及重要生态服务功能、断流、重度污染等河段，采用水文学法、水力学法、组合法、生境模拟法、综合法等生态需水量计算方法，估算区域生态环境需水量。明确需要控制的水面面积、生态水位、河湖岸线等管控要求，纳入水资源利用上线。根据生态需水量测算结果，将相关河段划为生态用水补给区，纳入水资源重点管控区，实施重点管控。根据地下水超采、地下水漏斗等状况，衔接各部门地下水开采相关空间管控要求，将地下水严重超采区、已发生严重地面沉降等需要特殊保护的区域划为地下水开采重点管控区。</w:t>
      </w:r>
    </w:p>
    <w:p w14:paraId="41E05C31">
      <w:pPr>
        <w:pStyle w:val="9"/>
        <w:ind w:firstLine="602"/>
        <w:rPr>
          <w:b/>
        </w:rPr>
      </w:pPr>
      <w:r>
        <w:rPr>
          <w:b/>
        </w:rPr>
        <w:fldChar w:fldCharType="begin"/>
      </w:r>
      <w:r>
        <w:rPr>
          <w:rFonts w:hint="eastAsia"/>
          <w:b/>
        </w:rPr>
        <w:instrText xml:space="preserve">= 2 \* GB3</w:instrText>
      </w:r>
      <w:r>
        <w:rPr>
          <w:b/>
        </w:rPr>
        <w:fldChar w:fldCharType="separate"/>
      </w:r>
      <w:r>
        <w:rPr>
          <w:rFonts w:hint="eastAsia"/>
          <w:b/>
        </w:rPr>
        <w:t>②</w:t>
      </w:r>
      <w:r>
        <w:rPr>
          <w:b/>
        </w:rPr>
        <w:fldChar w:fldCharType="end"/>
      </w:r>
      <w:r>
        <w:rPr>
          <w:b/>
        </w:rPr>
        <w:t>土地资源利用重点管控区研究</w:t>
      </w:r>
    </w:p>
    <w:p w14:paraId="0FCF6AE4">
      <w:pPr>
        <w:pStyle w:val="9"/>
      </w:pPr>
      <w:r>
        <w:t>综合考虑对土地开发建设影响显著的因子，运用分步式算法测算适宜建设用地规模及分布，确定土地开发强度及分布区域。将自然地理单元开发适宜性评价结果及实际开发建设单元进行以县级行政单元为归口的统计，分析现状建设用地适宜、基本适宜建设开发土地之间的空间关系，并计算区域现状建设开发程度。考虑生态环境安全，采用空间聚类、区域统计等分析方法，将生态保护红线集中、重度污染农用地或污染地块、难利用地块集中的区域确定为土地资源重点管控区。</w:t>
      </w:r>
    </w:p>
    <w:p w14:paraId="4B123930">
      <w:pPr>
        <w:pStyle w:val="9"/>
        <w:ind w:firstLine="602"/>
        <w:rPr>
          <w:b/>
        </w:rPr>
      </w:pPr>
      <w:r>
        <w:rPr>
          <w:b/>
        </w:rPr>
        <w:fldChar w:fldCharType="begin"/>
      </w:r>
      <w:r>
        <w:rPr>
          <w:rFonts w:hint="eastAsia"/>
          <w:b/>
        </w:rPr>
        <w:instrText xml:space="preserve">= 3 \* GB3</w:instrText>
      </w:r>
      <w:r>
        <w:rPr>
          <w:b/>
        </w:rPr>
        <w:fldChar w:fldCharType="separate"/>
      </w:r>
      <w:r>
        <w:rPr>
          <w:rFonts w:hint="eastAsia"/>
          <w:b/>
        </w:rPr>
        <w:t>③</w:t>
      </w:r>
      <w:r>
        <w:rPr>
          <w:b/>
        </w:rPr>
        <w:fldChar w:fldCharType="end"/>
      </w:r>
      <w:r>
        <w:rPr>
          <w:b/>
        </w:rPr>
        <w:t>基于空气质量改善的重点区域煤炭消费总量限值和重点管控区研究</w:t>
      </w:r>
    </w:p>
    <w:p w14:paraId="1F04A119">
      <w:pPr>
        <w:pStyle w:val="9"/>
      </w:pPr>
      <w:r>
        <w:t>以大气环境质量改善目标为约束，测算未来能源供需状况，采用污染排放贡献系数等方法，确定煤炭消费总量。煤炭燃烧产生的主要污染物包括NO</w:t>
      </w:r>
      <w:r>
        <w:rPr>
          <w:vertAlign w:val="subscript"/>
        </w:rPr>
        <w:t>X</w:t>
      </w:r>
      <w:r>
        <w:t>、SO</w:t>
      </w:r>
      <w:r>
        <w:rPr>
          <w:vertAlign w:val="subscript"/>
        </w:rPr>
        <w:t>2</w:t>
      </w:r>
      <w:r>
        <w:t>、PM</w:t>
      </w:r>
      <w:r>
        <w:rPr>
          <w:vertAlign w:val="subscript"/>
        </w:rPr>
        <w:t>10</w:t>
      </w:r>
      <w:r>
        <w:t>、PM</w:t>
      </w:r>
      <w:r>
        <w:rPr>
          <w:vertAlign w:val="subscript"/>
        </w:rPr>
        <w:t>2.5</w:t>
      </w:r>
      <w:r>
        <w:t>、NMVOC、CO。通过统计一年内该区域各项污染物超标的天数，并计算一年内该区域各项污染物超标的天数与该年煤炭消费总量之和。同时，衔接既有能源消费总量与强度控制要求，控制煤炭消耗总量，在人口密集、污染排放强度高的区域优先划定禁煤区，作为重点管控区。</w:t>
      </w:r>
    </w:p>
    <w:p w14:paraId="7684E194">
      <w:pPr>
        <w:pStyle w:val="9"/>
        <w:ind w:firstLine="602"/>
        <w:rPr>
          <w:b/>
        </w:rPr>
      </w:pPr>
      <w:r>
        <w:rPr>
          <w:b/>
        </w:rPr>
        <w:fldChar w:fldCharType="begin"/>
      </w:r>
      <w:r>
        <w:rPr>
          <w:rFonts w:hint="eastAsia"/>
          <w:b/>
        </w:rPr>
        <w:instrText xml:space="preserve">= 4 \* GB3</w:instrText>
      </w:r>
      <w:r>
        <w:rPr>
          <w:b/>
        </w:rPr>
        <w:fldChar w:fldCharType="separate"/>
      </w:r>
      <w:r>
        <w:rPr>
          <w:rFonts w:hint="eastAsia"/>
          <w:b/>
        </w:rPr>
        <w:t>④</w:t>
      </w:r>
      <w:r>
        <w:rPr>
          <w:b/>
        </w:rPr>
        <w:fldChar w:fldCharType="end"/>
      </w:r>
      <w:r>
        <w:rPr>
          <w:b/>
        </w:rPr>
        <w:t>水资源、土地资源、能源利用上线研究</w:t>
      </w:r>
    </w:p>
    <w:p w14:paraId="5C9EE581">
      <w:pPr>
        <w:pStyle w:val="9"/>
      </w:pPr>
      <w:r>
        <w:t>一是水资源利用上线研究。二是土地资源利用上线研究。三是能源利用上线研究。</w:t>
      </w:r>
    </w:p>
    <w:p w14:paraId="658B19C9">
      <w:pPr>
        <w:pStyle w:val="9"/>
      </w:pPr>
      <w:bookmarkStart w:id="10" w:name="_Toc506136698"/>
      <w:bookmarkStart w:id="11" w:name="_Toc506059370"/>
      <w:bookmarkStart w:id="12" w:name="_Toc19815108"/>
      <w:r>
        <w:rPr>
          <w:rFonts w:hint="eastAsia"/>
        </w:rPr>
        <w:t>（7）</w:t>
      </w:r>
      <w:r>
        <w:t>综合生态环境管控分区，确定环境管控单元</w:t>
      </w:r>
      <w:bookmarkEnd w:id="10"/>
      <w:bookmarkEnd w:id="11"/>
      <w:r>
        <w:t>。</w:t>
      </w:r>
      <w:bookmarkEnd w:id="12"/>
    </w:p>
    <w:p w14:paraId="31E0B4A9">
      <w:pPr>
        <w:pStyle w:val="9"/>
        <w:ind w:firstLine="602"/>
        <w:rPr>
          <w:b/>
        </w:rPr>
      </w:pPr>
      <w:r>
        <w:rPr>
          <w:b/>
        </w:rPr>
        <w:fldChar w:fldCharType="begin"/>
      </w:r>
      <w:r>
        <w:rPr>
          <w:rFonts w:hint="eastAsia"/>
          <w:b/>
        </w:rPr>
        <w:instrText xml:space="preserve">= 1 \* GB3</w:instrText>
      </w:r>
      <w:r>
        <w:rPr>
          <w:b/>
        </w:rPr>
        <w:fldChar w:fldCharType="separate"/>
      </w:r>
      <w:r>
        <w:rPr>
          <w:rFonts w:hint="eastAsia"/>
          <w:b/>
        </w:rPr>
        <w:t>①</w:t>
      </w:r>
      <w:r>
        <w:rPr>
          <w:b/>
        </w:rPr>
        <w:fldChar w:fldCharType="end"/>
      </w:r>
      <w:r>
        <w:rPr>
          <w:b/>
        </w:rPr>
        <w:t>“三线一单”与发展规划、保护规划的空间管制衔接研究</w:t>
      </w:r>
    </w:p>
    <w:p w14:paraId="5DF972BE">
      <w:pPr>
        <w:pStyle w:val="9"/>
      </w:pPr>
      <w:r>
        <w:t>根据生态保护红线、生态空间、环境质量底线、资源利用上线的分区管控要求，衔接巴州生态空间、城镇空间、工业集聚区及八县一市行政边界，综合划定环境管控单元，实施分类管控。项目技术组根据各县市区自然环境特征、人口密度、开发强度、生态环境管理基础能力等因素，衔接区域发展规划、保护规划的空间管控要求，合理确定环境管控单元的空间尺度和空间范围。</w:t>
      </w:r>
    </w:p>
    <w:p w14:paraId="452969E6">
      <w:pPr>
        <w:pStyle w:val="9"/>
        <w:ind w:firstLine="602"/>
        <w:rPr>
          <w:b/>
        </w:rPr>
      </w:pPr>
      <w:r>
        <w:rPr>
          <w:b/>
        </w:rPr>
        <w:fldChar w:fldCharType="begin"/>
      </w:r>
      <w:r>
        <w:rPr>
          <w:rFonts w:hint="eastAsia"/>
          <w:b/>
        </w:rPr>
        <w:instrText xml:space="preserve">= 2 \* GB3</w:instrText>
      </w:r>
      <w:r>
        <w:rPr>
          <w:b/>
        </w:rPr>
        <w:fldChar w:fldCharType="separate"/>
      </w:r>
      <w:r>
        <w:rPr>
          <w:rFonts w:hint="eastAsia"/>
          <w:b/>
        </w:rPr>
        <w:t>②</w:t>
      </w:r>
      <w:r>
        <w:rPr>
          <w:b/>
        </w:rPr>
        <w:fldChar w:fldCharType="end"/>
      </w:r>
      <w:r>
        <w:rPr>
          <w:b/>
        </w:rPr>
        <w:t>环境管控单元划定方案研究</w:t>
      </w:r>
    </w:p>
    <w:p w14:paraId="275C99D4">
      <w:pPr>
        <w:pStyle w:val="9"/>
      </w:pPr>
      <w:r>
        <w:t>将规划城镇建设区、乡镇街道、工业园区（集聚区）等边界与生态保护红线、生态空间、水环境管控分区、大气环境管控分区、土壤污染风险管控分区、资源利用上线管控分区等进行叠加。采用逐级聚类的方法，确定环境管控单元。分析各环境管控单元生态、水、大气、土壤等环境要素的区域功能及自然资源利用的保护、管控要求等，将环境管控单元划分为优先保护、重点管控和一般管控等三类。</w:t>
      </w:r>
    </w:p>
    <w:p w14:paraId="7C8A6C79">
      <w:pPr>
        <w:pStyle w:val="9"/>
      </w:pPr>
      <w:bookmarkStart w:id="13" w:name="_Toc506059371"/>
      <w:bookmarkStart w:id="14" w:name="_Toc506136699"/>
      <w:bookmarkStart w:id="15" w:name="_Toc19815109"/>
      <w:r>
        <w:rPr>
          <w:rFonts w:hint="eastAsia"/>
        </w:rPr>
        <w:t>（8）</w:t>
      </w:r>
      <w:r>
        <w:t>统筹分区管控要求，建立</w:t>
      </w:r>
      <w:bookmarkEnd w:id="13"/>
      <w:bookmarkEnd w:id="14"/>
      <w:r>
        <w:t>环境准入清单</w:t>
      </w:r>
      <w:bookmarkEnd w:id="15"/>
    </w:p>
    <w:p w14:paraId="437730E1">
      <w:pPr>
        <w:pStyle w:val="9"/>
      </w:pPr>
      <w:r>
        <w:t>分析环境管控单元涉及的生态保护红线、环境质量底线、资源利用上线的管控要求，从空间布局约束、污染物排放管控、环境风险防控、资源利用效率等方面，针对环境管控单元提出优化布局、调整结构、控制规模等调控策略及导向性的环境治理要求，分类明确禁止和限制的环境准入要求，编制各管控单元的生态环境准入清单。</w:t>
      </w:r>
    </w:p>
    <w:p w14:paraId="5C2EFD60">
      <w:pPr>
        <w:pStyle w:val="9"/>
        <w:ind w:firstLine="602"/>
        <w:rPr>
          <w:b/>
        </w:rPr>
      </w:pPr>
      <w:r>
        <w:rPr>
          <w:b/>
        </w:rPr>
        <w:fldChar w:fldCharType="begin"/>
      </w:r>
      <w:r>
        <w:rPr>
          <w:rFonts w:hint="eastAsia"/>
          <w:b/>
        </w:rPr>
        <w:instrText xml:space="preserve">= 1 \* GB3</w:instrText>
      </w:r>
      <w:r>
        <w:rPr>
          <w:b/>
        </w:rPr>
        <w:fldChar w:fldCharType="separate"/>
      </w:r>
      <w:r>
        <w:rPr>
          <w:rFonts w:hint="eastAsia"/>
          <w:b/>
        </w:rPr>
        <w:t>①</w:t>
      </w:r>
      <w:r>
        <w:rPr>
          <w:b/>
        </w:rPr>
        <w:fldChar w:fldCharType="end"/>
      </w:r>
      <w:r>
        <w:rPr>
          <w:b/>
        </w:rPr>
        <w:t>基于空间布局的生态环境准入清单研究</w:t>
      </w:r>
    </w:p>
    <w:p w14:paraId="6C77B6BF">
      <w:pPr>
        <w:pStyle w:val="9"/>
      </w:pPr>
      <w:r>
        <w:t>基于空间布局约束划定结果，对于各类优先保护单元以及生态保护红线以外的其他生态空间，应从环境功能维护、生态安全保障等角度出发，优先从空间布局上禁止或限制有损该单元生态环境功能的开发建设活动。</w:t>
      </w:r>
    </w:p>
    <w:p w14:paraId="6DA0D52D">
      <w:pPr>
        <w:pStyle w:val="9"/>
        <w:ind w:firstLine="602"/>
        <w:rPr>
          <w:b/>
        </w:rPr>
      </w:pPr>
      <w:r>
        <w:rPr>
          <w:b/>
        </w:rPr>
        <w:fldChar w:fldCharType="begin"/>
      </w:r>
      <w:r>
        <w:rPr>
          <w:rFonts w:hint="eastAsia"/>
          <w:b/>
        </w:rPr>
        <w:instrText xml:space="preserve">= 2 \* GB3</w:instrText>
      </w:r>
      <w:r>
        <w:rPr>
          <w:b/>
        </w:rPr>
        <w:fldChar w:fldCharType="separate"/>
      </w:r>
      <w:r>
        <w:rPr>
          <w:rFonts w:hint="eastAsia"/>
          <w:b/>
        </w:rPr>
        <w:t>②</w:t>
      </w:r>
      <w:r>
        <w:rPr>
          <w:b/>
        </w:rPr>
        <w:fldChar w:fldCharType="end"/>
      </w:r>
      <w:r>
        <w:rPr>
          <w:b/>
        </w:rPr>
        <w:t>基于资源能源开发总量、强度和效率的生态环境准入清单研究</w:t>
      </w:r>
    </w:p>
    <w:p w14:paraId="2A677DEE">
      <w:pPr>
        <w:pStyle w:val="9"/>
      </w:pPr>
      <w:r>
        <w:t>对于生态用水补给区、地下水开采重点管控区、禁煤区、自然资源重点管控区等管控单元，应针对区域内资源开发的突出问题，加严资源开发的总量、强度和效率等管控要求。</w:t>
      </w:r>
    </w:p>
    <w:p w14:paraId="7BA0152C">
      <w:pPr>
        <w:pStyle w:val="9"/>
        <w:ind w:firstLine="602"/>
        <w:rPr>
          <w:b/>
        </w:rPr>
      </w:pPr>
      <w:r>
        <w:rPr>
          <w:b/>
        </w:rPr>
        <w:fldChar w:fldCharType="begin"/>
      </w:r>
      <w:r>
        <w:rPr>
          <w:rFonts w:hint="eastAsia"/>
          <w:b/>
        </w:rPr>
        <w:instrText xml:space="preserve">= 3 \* GB3</w:instrText>
      </w:r>
      <w:r>
        <w:rPr>
          <w:b/>
        </w:rPr>
        <w:fldChar w:fldCharType="separate"/>
      </w:r>
      <w:r>
        <w:rPr>
          <w:rFonts w:hint="eastAsia"/>
          <w:b/>
        </w:rPr>
        <w:t>③</w:t>
      </w:r>
      <w:r>
        <w:rPr>
          <w:b/>
        </w:rPr>
        <w:fldChar w:fldCharType="end"/>
      </w:r>
      <w:r>
        <w:rPr>
          <w:b/>
        </w:rPr>
        <w:t>基于污染物排放种类、排放量、强度和浓度限制的生态环境准入清单研究</w:t>
      </w:r>
    </w:p>
    <w:p w14:paraId="2C5B5513">
      <w:pPr>
        <w:pStyle w:val="9"/>
      </w:pPr>
      <w:r>
        <w:t>对于水环境重点管控区、大气环境重点管控区等管控单元，应加强污染排放控制，重点从污染物种类，排放量、强度和浓度上管控开发建设活动，提出主要污染物允许排放量、新增源减量置换和存量源污染治理等方面的环境准入要求。</w:t>
      </w:r>
    </w:p>
    <w:p w14:paraId="51EB71BF">
      <w:pPr>
        <w:pStyle w:val="9"/>
        <w:ind w:firstLine="602"/>
        <w:rPr>
          <w:b/>
        </w:rPr>
      </w:pPr>
      <w:r>
        <w:rPr>
          <w:b/>
        </w:rPr>
        <w:fldChar w:fldCharType="begin"/>
      </w:r>
      <w:r>
        <w:rPr>
          <w:rFonts w:hint="eastAsia"/>
          <w:b/>
        </w:rPr>
        <w:instrText xml:space="preserve">= 4 \* GB3</w:instrText>
      </w:r>
      <w:r>
        <w:rPr>
          <w:b/>
        </w:rPr>
        <w:fldChar w:fldCharType="separate"/>
      </w:r>
      <w:r>
        <w:rPr>
          <w:rFonts w:hint="eastAsia"/>
          <w:b/>
        </w:rPr>
        <w:t>④</w:t>
      </w:r>
      <w:r>
        <w:rPr>
          <w:b/>
        </w:rPr>
        <w:fldChar w:fldCharType="end"/>
      </w:r>
      <w:r>
        <w:rPr>
          <w:b/>
        </w:rPr>
        <w:t>基于环境风险防控的生态环境准入清单研究</w:t>
      </w:r>
    </w:p>
    <w:p w14:paraId="7CF42FB4">
      <w:pPr>
        <w:pStyle w:val="9"/>
      </w:pPr>
      <w:r>
        <w:t>对于各类优先保护单元、水环境工业污染重点管控区、大气环境高排放重点管控区，以及建设用地和农用地污染风险重点管控区，应提出环境风险防控的准入要求。</w:t>
      </w:r>
    </w:p>
    <w:p w14:paraId="4F4FC974">
      <w:pPr>
        <w:pStyle w:val="9"/>
      </w:pPr>
      <w:bookmarkStart w:id="16" w:name="_Toc506136700"/>
      <w:bookmarkStart w:id="17" w:name="_Toc506059372"/>
      <w:bookmarkStart w:id="18" w:name="_Toc19815110"/>
      <w:r>
        <w:rPr>
          <w:rFonts w:hint="eastAsia"/>
        </w:rPr>
        <w:t>（9）</w:t>
      </w:r>
      <w:r>
        <w:t>集成“三线一单”成果，</w:t>
      </w:r>
      <w:bookmarkEnd w:id="16"/>
      <w:bookmarkEnd w:id="17"/>
      <w:r>
        <w:t>支撑信息管理平台建设</w:t>
      </w:r>
      <w:bookmarkEnd w:id="18"/>
    </w:p>
    <w:p w14:paraId="2E9CE3D5">
      <w:pPr>
        <w:pStyle w:val="9"/>
      </w:pPr>
      <w:r>
        <w:t>系统梳理巴州“三线一单”成果数据，提炼环境管控单元及生态环境准入的各类空间管控要求及关键管理数据，构建相应的规则库、措施库和方案库，将“三线一单”成果纳入自治区环境信息管理平台，实现信息共享及动态管理。</w:t>
      </w:r>
    </w:p>
    <w:p w14:paraId="089A7940">
      <w:pPr>
        <w:pStyle w:val="12"/>
        <w:ind w:firstLine="602"/>
      </w:pPr>
      <w:r>
        <w:rPr>
          <w:rFonts w:hint="eastAsia"/>
        </w:rPr>
        <w:t>3、实施情况</w:t>
      </w:r>
    </w:p>
    <w:p w14:paraId="4DE715BF">
      <w:pPr>
        <w:pStyle w:val="9"/>
      </w:pPr>
      <w:r>
        <w:rPr>
          <w:rFonts w:hint="eastAsia"/>
        </w:rPr>
        <w:t>（1）生态红线</w:t>
      </w:r>
    </w:p>
    <w:p w14:paraId="18F4D441">
      <w:pPr>
        <w:pStyle w:val="9"/>
      </w:pPr>
      <w:r>
        <w:rPr>
          <w:rFonts w:hint="eastAsia"/>
        </w:rPr>
        <w:t>根据自治区生态环境厅提供的自治区生态保护红线的初步划定结果和生态空间重要性、敏感性评价结果，完成巴州生态红线的确定与一般生态空间的识别。</w:t>
      </w:r>
    </w:p>
    <w:p w14:paraId="19D162CB">
      <w:pPr>
        <w:pStyle w:val="9"/>
      </w:pPr>
      <w:r>
        <w:rPr>
          <w:rFonts w:hint="eastAsia"/>
        </w:rPr>
        <w:t>划定生态红线，巴州生态保护红线面积16.40万km</w:t>
      </w:r>
      <w:r>
        <w:rPr>
          <w:rFonts w:hint="eastAsia"/>
          <w:vertAlign w:val="superscript"/>
        </w:rPr>
        <w:t>2</w:t>
      </w:r>
      <w:r>
        <w:rPr>
          <w:rFonts w:hint="eastAsia"/>
        </w:rPr>
        <w:t>，占巴州国土面积的34.78%；基于生态系统重要性、敏感性评价结果，扣除沙漠、矿产资源开发区、畜牧草场、集中区等识别巴州一半生态空间面积10.16万km</w:t>
      </w:r>
      <w:r>
        <w:rPr>
          <w:rFonts w:hint="eastAsia"/>
          <w:vertAlign w:val="superscript"/>
        </w:rPr>
        <w:t>2</w:t>
      </w:r>
      <w:r>
        <w:rPr>
          <w:rFonts w:hint="eastAsia"/>
        </w:rPr>
        <w:t>，占巴州国土面积的21.55%。</w:t>
      </w:r>
    </w:p>
    <w:p w14:paraId="3FC42766">
      <w:pPr>
        <w:pStyle w:val="9"/>
      </w:pPr>
      <w:r>
        <w:rPr>
          <w:rFonts w:hint="eastAsia"/>
        </w:rPr>
        <w:t>完成巴州生态红线与生态空间管控要求。</w:t>
      </w:r>
    </w:p>
    <w:p w14:paraId="22E7CF5A">
      <w:pPr>
        <w:pStyle w:val="9"/>
      </w:pPr>
      <w:r>
        <w:rPr>
          <w:rFonts w:hint="eastAsia"/>
        </w:rPr>
        <w:t>（2）环境质量底线</w:t>
      </w:r>
    </w:p>
    <w:p w14:paraId="422AFDCB">
      <w:pPr>
        <w:pStyle w:val="9"/>
      </w:pPr>
      <w:r>
        <w:rPr>
          <w:rFonts w:hint="eastAsia"/>
        </w:rPr>
        <w:t>大气环境质量底线：完成大气环境质量现状分析，完成大气气象条件三维流场分析，完成大气污染源时空变化及结构分析，从而确定了大气环境质量底线，提出巴州各区县2020、2025、2035年的大气环境质量底线。完成大气环境管控区分，识别了大气优先保护区面积16.40万km</w:t>
      </w:r>
      <w:r>
        <w:rPr>
          <w:rFonts w:hint="eastAsia"/>
          <w:vertAlign w:val="superscript"/>
        </w:rPr>
        <w:t>2</w:t>
      </w:r>
      <w:r>
        <w:rPr>
          <w:rFonts w:hint="eastAsia"/>
        </w:rPr>
        <w:t>，占巴州国土面积的34.78%，大气重点保护区（高排放区、布局敏感区、弱扩散区、受体敏感区）2.99万km</w:t>
      </w:r>
      <w:r>
        <w:rPr>
          <w:rFonts w:hint="eastAsia"/>
          <w:vertAlign w:val="superscript"/>
        </w:rPr>
        <w:t>2</w:t>
      </w:r>
      <w:r>
        <w:rPr>
          <w:rFonts w:hint="eastAsia"/>
        </w:rPr>
        <w:t>，占巴州国土面积的6.33%。</w:t>
      </w:r>
    </w:p>
    <w:p w14:paraId="7FD40E80">
      <w:pPr>
        <w:pStyle w:val="9"/>
      </w:pPr>
      <w:r>
        <w:rPr>
          <w:rFonts w:hint="eastAsia"/>
        </w:rPr>
        <w:t>水环境质量底线：完成了水环境质量底线确定与环境分区管控体系构建，从全州层面分析水环境基础概况，开展包括地表水和地下水在内的水环境质量现状、水质变化趋势、污染物排放情况、污染治理情况分析，评估巴州水环境质量突出问题和污染超标重点区域，完成了水环境控制单元细化研究。明确了水环境质量目标确定，开展了主要水污染物允许排放量测算，划定了水环境管控分区,划定了31个水优先管控单元，面积占巴州国土面积的22.49%；划定了30个水重点管控单元，面积占巴州国土面积的1.74%。</w:t>
      </w:r>
    </w:p>
    <w:p w14:paraId="26805271">
      <w:pPr>
        <w:pStyle w:val="9"/>
      </w:pPr>
      <w:r>
        <w:rPr>
          <w:rFonts w:hint="eastAsia"/>
        </w:rPr>
        <w:t>土壤环境质量底线：完成土壤环境质量底线确定与环境分区管控体系的构建，基于巴州土壤环境质量现状调查研究，建立了农用地和建设用地的污染风险管控分区，提出了土壤环境风险管控要求。</w:t>
      </w:r>
    </w:p>
    <w:p w14:paraId="3AA88F0B">
      <w:pPr>
        <w:pStyle w:val="9"/>
      </w:pPr>
      <w:r>
        <w:rPr>
          <w:rFonts w:hint="eastAsia"/>
        </w:rPr>
        <w:t>（3）资源利用上线</w:t>
      </w:r>
    </w:p>
    <w:p w14:paraId="3FC89532">
      <w:pPr>
        <w:pStyle w:val="9"/>
      </w:pPr>
      <w:r>
        <w:rPr>
          <w:rFonts w:hint="eastAsia"/>
        </w:rPr>
        <w:t>水资源利用上线：完成水资源控制指标及承载力分析，进行了重点河流生态需水量测算和生态用水重点管控区研究，基于水生态功能保障和水环境质量改善要求，估算区域生态环境需水量。衔接各部门地下水开采相关空间管控要求，将地下水严重超采区、已发生严重地面沉降等需要特殊保护的区域划为地下水开采重点管控区，总面积为4326 km</w:t>
      </w:r>
      <w:r>
        <w:rPr>
          <w:rFonts w:hint="eastAsia"/>
          <w:vertAlign w:val="superscript"/>
        </w:rPr>
        <w:t>2</w:t>
      </w:r>
      <w:r>
        <w:rPr>
          <w:rFonts w:hint="eastAsia"/>
        </w:rPr>
        <w:t>，占巴州国土面积的1%。</w:t>
      </w:r>
    </w:p>
    <w:p w14:paraId="5FEFCE7D">
      <w:pPr>
        <w:pStyle w:val="9"/>
      </w:pPr>
      <w:r>
        <w:rPr>
          <w:rFonts w:hint="eastAsia"/>
        </w:rPr>
        <w:t>土地资源利用上线：完成了土地资源利用重点管控区研究，综合考虑对土地开发建设影响显著的因子，将生态保护红线集中、重度污染农用地或污染地块、难利用地块集中的区域确定为土地资源重点管控区，总面积40.02万km</w:t>
      </w:r>
      <w:r>
        <w:rPr>
          <w:rFonts w:hint="eastAsia"/>
          <w:vertAlign w:val="superscript"/>
        </w:rPr>
        <w:t>2</w:t>
      </w:r>
      <w:r>
        <w:rPr>
          <w:rFonts w:hint="eastAsia"/>
        </w:rPr>
        <w:t>。</w:t>
      </w:r>
    </w:p>
    <w:p w14:paraId="4E5EF427">
      <w:pPr>
        <w:pStyle w:val="9"/>
      </w:pPr>
      <w:r>
        <w:rPr>
          <w:rFonts w:hint="eastAsia"/>
        </w:rPr>
        <w:t>能源资源利用上线：完成能源管控上线分析，基于空气质量改善的重点区域煤炭消费总量限值和重点管控区研究，在人口密集、污染排放强度高的区域优先划定禁煤区，覆盖面积70.7 km</w:t>
      </w:r>
      <w:r>
        <w:rPr>
          <w:rFonts w:hint="eastAsia"/>
          <w:vertAlign w:val="superscript"/>
        </w:rPr>
        <w:t>2</w:t>
      </w:r>
      <w:r>
        <w:rPr>
          <w:rFonts w:hint="eastAsia"/>
        </w:rPr>
        <w:t>作为重点管控区。</w:t>
      </w:r>
    </w:p>
    <w:p w14:paraId="637C28D5">
      <w:pPr>
        <w:pStyle w:val="9"/>
      </w:pPr>
      <w:r>
        <w:rPr>
          <w:rFonts w:hint="eastAsia"/>
        </w:rPr>
        <w:t>（</w:t>
      </w:r>
      <w:r>
        <w:t>4</w:t>
      </w:r>
      <w:r>
        <w:rPr>
          <w:rFonts w:hint="eastAsia"/>
        </w:rPr>
        <w:t>）综合生态环境管控单元</w:t>
      </w:r>
    </w:p>
    <w:p w14:paraId="6E48950E">
      <w:pPr>
        <w:pStyle w:val="9"/>
      </w:pPr>
      <w:r>
        <w:rPr>
          <w:rFonts w:hint="eastAsia"/>
        </w:rPr>
        <w:t>综合生态环境管控分区，初步确定了环境管控单元。根据生态保护红线、生态空间、环境质量底线、资源利用上线的分区管控要求，衔接巴州生态空间、城镇空间、工业集聚区及八县一市行政边界，初步划定了环境管控单元，明确了分类管控要求。</w:t>
      </w:r>
    </w:p>
    <w:p w14:paraId="2326D056">
      <w:pPr>
        <w:pStyle w:val="9"/>
      </w:pPr>
      <w:r>
        <w:rPr>
          <w:rFonts w:hint="eastAsia"/>
        </w:rPr>
        <w:t>合理确定了环境管控单元的空间尺度和空间范围，初步划分了优先保护、重点管控和一般管控三类综合管控单元。巴州环境管控单元共45个，其中：优先保护类单元7个，占巴州国土面积的28.66%。优先保护以生态空间、饮用水源保护为主的防风固沙、水源涵养和土壤保持生态功能单元，保障生态安全与流域水环境安全。重点管控单元34个，占巴州国土面积的36.00%。重点解决大气环境格局性污染、改善水环境质量、强化农业面源污染防治、破解产业布局与环境格局不匹配等问题。一般管控单元共4个，占巴州国土面积的35.34%。主要为环境要素制约少，工业规模小、环境问题不突出，以荒漠、农业生产等为主的管控单元。</w:t>
      </w:r>
    </w:p>
    <w:p w14:paraId="0251E4F8">
      <w:pPr>
        <w:pStyle w:val="9"/>
      </w:pPr>
      <w:r>
        <w:rPr>
          <w:rFonts w:hint="eastAsia"/>
        </w:rPr>
        <w:t>（5）环境准入清单</w:t>
      </w:r>
    </w:p>
    <w:p w14:paraId="4519B193">
      <w:pPr>
        <w:pStyle w:val="9"/>
      </w:pPr>
      <w:r>
        <w:rPr>
          <w:rFonts w:hint="eastAsia"/>
        </w:rPr>
        <w:t>初步建立了环境准入清单。分析环境管控单元涉及的生态保护红线、环境质量底线、资源利用上线的管控要求，从空间布局约束、污染物排放管控、环境风险防控、资源利用效率等方面，初步提出了优化布局、调整结构、控制规模等调控策略及导向性的环境治理要求，分类明确禁止和限制的环境准入要求。进一步完善了生态环境准入清单，细化各管控单元的重点管控类型与管控要求。</w:t>
      </w:r>
    </w:p>
    <w:p w14:paraId="1A1FC757">
      <w:pPr>
        <w:pStyle w:val="12"/>
        <w:ind w:firstLine="602"/>
      </w:pPr>
      <w:r>
        <w:t>4</w:t>
      </w:r>
      <w:r>
        <w:rPr>
          <w:rFonts w:hint="eastAsia"/>
        </w:rPr>
        <w:t>、资金投入和使用情况</w:t>
      </w:r>
    </w:p>
    <w:p w14:paraId="74DD53E0">
      <w:pPr>
        <w:pStyle w:val="9"/>
      </w:pPr>
      <w:r>
        <w:rPr>
          <w:rFonts w:hint="eastAsia"/>
        </w:rPr>
        <w:t>（1）资金安排情况</w:t>
      </w:r>
    </w:p>
    <w:tbl>
      <w:tblPr>
        <w:tblStyle w:val="5"/>
        <w:tblW w:w="8674" w:type="dxa"/>
        <w:jc w:val="center"/>
        <w:tblLayout w:type="fixed"/>
        <w:tblCellMar>
          <w:top w:w="0" w:type="dxa"/>
          <w:left w:w="30" w:type="dxa"/>
          <w:bottom w:w="0" w:type="dxa"/>
          <w:right w:w="30" w:type="dxa"/>
        </w:tblCellMar>
      </w:tblPr>
      <w:tblGrid>
        <w:gridCol w:w="1652"/>
        <w:gridCol w:w="1618"/>
        <w:gridCol w:w="963"/>
        <w:gridCol w:w="826"/>
        <w:gridCol w:w="722"/>
        <w:gridCol w:w="929"/>
        <w:gridCol w:w="860"/>
        <w:gridCol w:w="1104"/>
      </w:tblGrid>
      <w:tr w14:paraId="06A08DFD">
        <w:tblPrEx>
          <w:tblCellMar>
            <w:top w:w="0" w:type="dxa"/>
            <w:left w:w="30" w:type="dxa"/>
            <w:bottom w:w="0" w:type="dxa"/>
            <w:right w:w="30" w:type="dxa"/>
          </w:tblCellMar>
        </w:tblPrEx>
        <w:trPr>
          <w:trHeight w:val="305" w:hRule="atLeast"/>
          <w:jc w:val="center"/>
        </w:trPr>
        <w:tc>
          <w:tcPr>
            <w:tcW w:w="1652"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14:paraId="6EF1A008">
            <w:pPr>
              <w:widowControl/>
              <w:jc w:val="center"/>
              <w:rPr>
                <w:rFonts w:ascii="仿宋_GB2312"/>
                <w:b/>
                <w:bCs/>
                <w:kern w:val="0"/>
                <w:sz w:val="22"/>
                <w:szCs w:val="22"/>
              </w:rPr>
            </w:pPr>
            <w:r>
              <w:rPr>
                <w:rFonts w:hint="eastAsia" w:ascii="仿宋_GB2312"/>
                <w:b/>
                <w:bCs/>
                <w:kern w:val="0"/>
                <w:sz w:val="22"/>
                <w:szCs w:val="22"/>
              </w:rPr>
              <w:t>项目</w:t>
            </w:r>
          </w:p>
        </w:tc>
        <w:tc>
          <w:tcPr>
            <w:tcW w:w="1618"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14:paraId="5A78B8BA">
            <w:pPr>
              <w:widowControl/>
              <w:jc w:val="center"/>
              <w:rPr>
                <w:rFonts w:ascii="仿宋_GB2312"/>
                <w:b/>
                <w:bCs/>
                <w:kern w:val="0"/>
                <w:sz w:val="22"/>
                <w:szCs w:val="22"/>
              </w:rPr>
            </w:pPr>
            <w:r>
              <w:rPr>
                <w:b/>
                <w:bCs/>
                <w:kern w:val="0"/>
                <w:sz w:val="22"/>
                <w:szCs w:val="22"/>
              </w:rPr>
              <w:t>行次</w:t>
            </w:r>
          </w:p>
        </w:tc>
        <w:tc>
          <w:tcPr>
            <w:tcW w:w="963" w:type="dxa"/>
            <w:vMerge w:val="restart"/>
            <w:tcBorders>
              <w:top w:val="single" w:color="000000" w:sz="6" w:space="0"/>
              <w:left w:val="single" w:color="auto" w:sz="4" w:space="0"/>
              <w:right w:val="single" w:color="auto" w:sz="4" w:space="0"/>
            </w:tcBorders>
            <w:shd w:val="clear" w:color="auto" w:fill="95B3D7"/>
            <w:vAlign w:val="center"/>
          </w:tcPr>
          <w:p w14:paraId="380F6FE3">
            <w:pPr>
              <w:jc w:val="center"/>
              <w:rPr>
                <w:rFonts w:ascii="仿宋_GB2312"/>
                <w:b/>
                <w:bCs/>
                <w:kern w:val="0"/>
                <w:sz w:val="22"/>
                <w:szCs w:val="22"/>
              </w:rPr>
            </w:pPr>
            <w:r>
              <w:rPr>
                <w:rFonts w:hint="eastAsia" w:ascii="仿宋_GB2312"/>
                <w:b/>
                <w:bCs/>
                <w:kern w:val="0"/>
                <w:sz w:val="22"/>
                <w:szCs w:val="22"/>
              </w:rPr>
              <w:t>合计</w:t>
            </w:r>
          </w:p>
        </w:tc>
        <w:tc>
          <w:tcPr>
            <w:tcW w:w="4441" w:type="dxa"/>
            <w:gridSpan w:val="5"/>
            <w:tcBorders>
              <w:top w:val="single" w:color="000000" w:sz="6" w:space="0"/>
              <w:left w:val="single" w:color="auto" w:sz="4" w:space="0"/>
              <w:bottom w:val="single" w:color="000000" w:sz="6" w:space="0"/>
              <w:right w:val="single" w:color="auto" w:sz="4" w:space="0"/>
            </w:tcBorders>
            <w:shd w:val="clear" w:color="auto" w:fill="95B3D7"/>
            <w:vAlign w:val="center"/>
          </w:tcPr>
          <w:p w14:paraId="5C58D1EC">
            <w:pPr>
              <w:widowControl/>
              <w:jc w:val="center"/>
              <w:rPr>
                <w:rFonts w:ascii="仿宋_GB2312"/>
                <w:b/>
                <w:bCs/>
                <w:kern w:val="0"/>
                <w:sz w:val="22"/>
                <w:szCs w:val="22"/>
              </w:rPr>
            </w:pPr>
            <w:r>
              <w:rPr>
                <w:b/>
                <w:bCs/>
                <w:kern w:val="0"/>
                <w:sz w:val="22"/>
                <w:szCs w:val="22"/>
              </w:rPr>
              <w:t>财政资金</w:t>
            </w:r>
          </w:p>
        </w:tc>
      </w:tr>
      <w:tr w14:paraId="5F4E7507">
        <w:tblPrEx>
          <w:tblCellMar>
            <w:top w:w="0" w:type="dxa"/>
            <w:left w:w="30" w:type="dxa"/>
            <w:bottom w:w="0" w:type="dxa"/>
            <w:right w:w="30" w:type="dxa"/>
          </w:tblCellMar>
        </w:tblPrEx>
        <w:trPr>
          <w:trHeight w:val="227" w:hRule="atLeast"/>
          <w:jc w:val="center"/>
        </w:trPr>
        <w:tc>
          <w:tcPr>
            <w:tcW w:w="1652" w:type="dxa"/>
            <w:vMerge w:val="continue"/>
            <w:tcBorders>
              <w:top w:val="single" w:color="auto" w:sz="4" w:space="0"/>
              <w:left w:val="single" w:color="auto" w:sz="4" w:space="0"/>
              <w:bottom w:val="single" w:color="auto" w:sz="4" w:space="0"/>
              <w:right w:val="single" w:color="auto" w:sz="4" w:space="0"/>
            </w:tcBorders>
            <w:shd w:val="solid" w:color="FFFFFF" w:fill="auto"/>
            <w:vAlign w:val="center"/>
          </w:tcPr>
          <w:p w14:paraId="46BABADD">
            <w:pPr>
              <w:widowControl/>
              <w:jc w:val="center"/>
              <w:rPr>
                <w:rFonts w:ascii="仿宋_GB2312"/>
                <w:b/>
                <w:bCs/>
                <w:kern w:val="0"/>
                <w:sz w:val="22"/>
                <w:szCs w:val="22"/>
              </w:rPr>
            </w:pPr>
          </w:p>
        </w:tc>
        <w:tc>
          <w:tcPr>
            <w:tcW w:w="1618" w:type="dxa"/>
            <w:vMerge w:val="continue"/>
            <w:tcBorders>
              <w:top w:val="single" w:color="auto" w:sz="4" w:space="0"/>
              <w:left w:val="single" w:color="auto" w:sz="4" w:space="0"/>
              <w:bottom w:val="single" w:color="auto" w:sz="4" w:space="0"/>
              <w:right w:val="single" w:color="auto" w:sz="4" w:space="0"/>
            </w:tcBorders>
            <w:shd w:val="clear" w:color="auto" w:fill="95B3D7"/>
            <w:vAlign w:val="center"/>
          </w:tcPr>
          <w:p w14:paraId="66B230D9">
            <w:pPr>
              <w:widowControl/>
              <w:jc w:val="center"/>
              <w:rPr>
                <w:rFonts w:ascii="仿宋_GB2312"/>
                <w:b/>
                <w:bCs/>
                <w:kern w:val="0"/>
                <w:sz w:val="22"/>
                <w:szCs w:val="22"/>
              </w:rPr>
            </w:pPr>
          </w:p>
        </w:tc>
        <w:tc>
          <w:tcPr>
            <w:tcW w:w="963" w:type="dxa"/>
            <w:vMerge w:val="continue"/>
            <w:tcBorders>
              <w:left w:val="single" w:color="auto" w:sz="4" w:space="0"/>
              <w:bottom w:val="single" w:color="000000" w:sz="6" w:space="0"/>
              <w:right w:val="single" w:color="auto" w:sz="4" w:space="0"/>
            </w:tcBorders>
            <w:shd w:val="clear" w:color="auto" w:fill="95B3D7"/>
            <w:vAlign w:val="center"/>
          </w:tcPr>
          <w:p w14:paraId="043B5A95">
            <w:pPr>
              <w:widowControl/>
              <w:jc w:val="center"/>
              <w:rPr>
                <w:rFonts w:ascii="仿宋_GB2312"/>
                <w:b/>
                <w:bCs/>
                <w:kern w:val="0"/>
                <w:sz w:val="22"/>
                <w:szCs w:val="22"/>
              </w:rPr>
            </w:pPr>
          </w:p>
        </w:tc>
        <w:tc>
          <w:tcPr>
            <w:tcW w:w="826" w:type="dxa"/>
            <w:tcBorders>
              <w:top w:val="single" w:color="000000" w:sz="6" w:space="0"/>
              <w:left w:val="single" w:color="auto" w:sz="4" w:space="0"/>
              <w:bottom w:val="single" w:color="000000" w:sz="6" w:space="0"/>
              <w:right w:val="single" w:color="000000" w:sz="6" w:space="0"/>
            </w:tcBorders>
            <w:shd w:val="clear" w:color="auto" w:fill="95B3D7"/>
            <w:vAlign w:val="center"/>
          </w:tcPr>
          <w:p w14:paraId="5E0241BB">
            <w:pPr>
              <w:widowControl/>
              <w:jc w:val="center"/>
              <w:rPr>
                <w:rFonts w:ascii="仿宋_GB2312"/>
                <w:b/>
                <w:bCs/>
                <w:kern w:val="0"/>
                <w:sz w:val="22"/>
                <w:szCs w:val="22"/>
              </w:rPr>
            </w:pPr>
            <w:r>
              <w:rPr>
                <w:b/>
                <w:bCs/>
                <w:kern w:val="0"/>
                <w:sz w:val="22"/>
                <w:szCs w:val="22"/>
              </w:rPr>
              <w:t>小计</w:t>
            </w:r>
          </w:p>
        </w:tc>
        <w:tc>
          <w:tcPr>
            <w:tcW w:w="722" w:type="dxa"/>
            <w:tcBorders>
              <w:top w:val="single" w:color="000000" w:sz="6" w:space="0"/>
              <w:left w:val="single" w:color="000000" w:sz="6" w:space="0"/>
              <w:bottom w:val="single" w:color="000000" w:sz="6" w:space="0"/>
              <w:right w:val="single" w:color="000000" w:sz="6" w:space="0"/>
            </w:tcBorders>
            <w:shd w:val="clear" w:color="auto" w:fill="95B3D7"/>
            <w:vAlign w:val="center"/>
          </w:tcPr>
          <w:p w14:paraId="696F3FE3">
            <w:pPr>
              <w:widowControl/>
              <w:jc w:val="center"/>
              <w:rPr>
                <w:rFonts w:ascii="仿宋_GB2312"/>
                <w:b/>
                <w:bCs/>
                <w:kern w:val="0"/>
                <w:sz w:val="22"/>
                <w:szCs w:val="22"/>
              </w:rPr>
            </w:pPr>
            <w:r>
              <w:rPr>
                <w:b/>
                <w:bCs/>
                <w:kern w:val="0"/>
                <w:sz w:val="22"/>
                <w:szCs w:val="22"/>
              </w:rPr>
              <w:t>中央级</w:t>
            </w:r>
          </w:p>
        </w:tc>
        <w:tc>
          <w:tcPr>
            <w:tcW w:w="929" w:type="dxa"/>
            <w:tcBorders>
              <w:top w:val="single" w:color="000000" w:sz="6" w:space="0"/>
              <w:left w:val="single" w:color="000000" w:sz="6" w:space="0"/>
              <w:bottom w:val="single" w:color="000000" w:sz="6" w:space="0"/>
              <w:right w:val="single" w:color="000000" w:sz="6" w:space="0"/>
            </w:tcBorders>
            <w:shd w:val="clear" w:color="auto" w:fill="95B3D7"/>
            <w:vAlign w:val="center"/>
          </w:tcPr>
          <w:p w14:paraId="6AE36CC4">
            <w:pPr>
              <w:widowControl/>
              <w:jc w:val="center"/>
              <w:rPr>
                <w:rFonts w:ascii="仿宋_GB2312"/>
                <w:b/>
                <w:bCs/>
                <w:kern w:val="0"/>
                <w:sz w:val="22"/>
                <w:szCs w:val="22"/>
              </w:rPr>
            </w:pPr>
            <w:r>
              <w:rPr>
                <w:b/>
                <w:bCs/>
                <w:kern w:val="0"/>
                <w:sz w:val="22"/>
                <w:szCs w:val="22"/>
              </w:rPr>
              <w:t>市级</w:t>
            </w:r>
          </w:p>
        </w:tc>
        <w:tc>
          <w:tcPr>
            <w:tcW w:w="860" w:type="dxa"/>
            <w:tcBorders>
              <w:top w:val="single" w:color="000000" w:sz="6" w:space="0"/>
              <w:left w:val="single" w:color="000000" w:sz="6" w:space="0"/>
              <w:bottom w:val="single" w:color="000000" w:sz="6" w:space="0"/>
              <w:right w:val="single" w:color="000000" w:sz="6" w:space="0"/>
            </w:tcBorders>
            <w:shd w:val="clear" w:color="auto" w:fill="95B3D7"/>
            <w:vAlign w:val="center"/>
          </w:tcPr>
          <w:p w14:paraId="08F83442">
            <w:pPr>
              <w:widowControl/>
              <w:jc w:val="center"/>
              <w:rPr>
                <w:rFonts w:ascii="仿宋_GB2312"/>
                <w:b/>
                <w:bCs/>
                <w:kern w:val="0"/>
                <w:sz w:val="22"/>
                <w:szCs w:val="22"/>
              </w:rPr>
            </w:pPr>
            <w:r>
              <w:rPr>
                <w:b/>
                <w:bCs/>
                <w:kern w:val="0"/>
                <w:sz w:val="22"/>
                <w:szCs w:val="22"/>
              </w:rPr>
              <w:t>区县级</w:t>
            </w:r>
          </w:p>
        </w:tc>
        <w:tc>
          <w:tcPr>
            <w:tcW w:w="1103" w:type="dxa"/>
            <w:tcBorders>
              <w:top w:val="single" w:color="000000" w:sz="6" w:space="0"/>
              <w:left w:val="single" w:color="000000" w:sz="6" w:space="0"/>
              <w:bottom w:val="single" w:color="000000" w:sz="6" w:space="0"/>
              <w:right w:val="single" w:color="000000" w:sz="6" w:space="0"/>
            </w:tcBorders>
            <w:shd w:val="clear" w:color="auto" w:fill="95B3D7"/>
            <w:vAlign w:val="center"/>
          </w:tcPr>
          <w:p w14:paraId="255B17E0">
            <w:pPr>
              <w:widowControl/>
              <w:jc w:val="center"/>
              <w:rPr>
                <w:rFonts w:ascii="仿宋_GB2312"/>
                <w:b/>
                <w:bCs/>
                <w:kern w:val="0"/>
                <w:sz w:val="22"/>
                <w:szCs w:val="22"/>
              </w:rPr>
            </w:pPr>
            <w:r>
              <w:rPr>
                <w:b/>
                <w:bCs/>
                <w:kern w:val="0"/>
                <w:sz w:val="22"/>
                <w:szCs w:val="22"/>
              </w:rPr>
              <w:t>乡镇级</w:t>
            </w:r>
          </w:p>
        </w:tc>
      </w:tr>
      <w:tr w14:paraId="231F3A42">
        <w:tblPrEx>
          <w:tblCellMar>
            <w:top w:w="0" w:type="dxa"/>
            <w:left w:w="30" w:type="dxa"/>
            <w:bottom w:w="0" w:type="dxa"/>
            <w:right w:w="30" w:type="dxa"/>
          </w:tblCellMar>
        </w:tblPrEx>
        <w:trPr>
          <w:trHeight w:val="395" w:hRule="atLeast"/>
          <w:jc w:val="center"/>
        </w:trPr>
        <w:tc>
          <w:tcPr>
            <w:tcW w:w="1652" w:type="dxa"/>
            <w:tcBorders>
              <w:top w:val="single" w:color="auto" w:sz="4" w:space="0"/>
              <w:left w:val="single" w:color="auto" w:sz="4" w:space="0"/>
              <w:bottom w:val="single" w:color="auto" w:sz="4" w:space="0"/>
              <w:right w:val="single" w:color="auto" w:sz="4" w:space="0"/>
            </w:tcBorders>
            <w:vAlign w:val="center"/>
          </w:tcPr>
          <w:p w14:paraId="50D589A9">
            <w:pPr>
              <w:autoSpaceDE w:val="0"/>
              <w:autoSpaceDN w:val="0"/>
              <w:jc w:val="center"/>
              <w:rPr>
                <w:rFonts w:ascii="宋体" w:hAnsi="Arial" w:eastAsia="宋体" w:cs="宋体"/>
                <w:color w:val="000000"/>
                <w:kern w:val="0"/>
                <w:sz w:val="22"/>
                <w:szCs w:val="22"/>
              </w:rPr>
            </w:pPr>
            <w:r>
              <w:rPr>
                <w:rFonts w:hint="eastAsia" w:ascii="宋体" w:hAnsi="Arial" w:eastAsia="宋体" w:cs="宋体"/>
                <w:color w:val="000000"/>
                <w:kern w:val="0"/>
                <w:sz w:val="22"/>
                <w:szCs w:val="22"/>
              </w:rPr>
              <w:t>预算安排</w:t>
            </w:r>
          </w:p>
        </w:tc>
        <w:tc>
          <w:tcPr>
            <w:tcW w:w="1618" w:type="dxa"/>
            <w:tcBorders>
              <w:top w:val="single" w:color="auto" w:sz="4" w:space="0"/>
              <w:left w:val="single" w:color="auto" w:sz="4" w:space="0"/>
              <w:bottom w:val="single" w:color="auto" w:sz="4" w:space="0"/>
              <w:right w:val="single" w:color="auto" w:sz="4" w:space="0"/>
            </w:tcBorders>
            <w:vAlign w:val="center"/>
          </w:tcPr>
          <w:p w14:paraId="3AC2F3A0">
            <w:pPr>
              <w:autoSpaceDE w:val="0"/>
              <w:autoSpaceDN w:val="0"/>
              <w:jc w:val="center"/>
              <w:rPr>
                <w:rFonts w:ascii="宋体" w:hAnsi="Arial" w:eastAsia="宋体" w:cs="宋体"/>
                <w:color w:val="000000"/>
                <w:kern w:val="0"/>
                <w:sz w:val="22"/>
                <w:szCs w:val="22"/>
              </w:rPr>
            </w:pPr>
            <w:r>
              <w:rPr>
                <w:rFonts w:ascii="宋体" w:hAnsi="Arial" w:eastAsia="宋体" w:cs="宋体"/>
                <w:color w:val="000000"/>
                <w:kern w:val="0"/>
                <w:sz w:val="22"/>
                <w:szCs w:val="22"/>
              </w:rPr>
              <w:t>(1)</w:t>
            </w:r>
          </w:p>
        </w:tc>
        <w:tc>
          <w:tcPr>
            <w:tcW w:w="963" w:type="dxa"/>
            <w:tcBorders>
              <w:top w:val="single" w:color="000000" w:sz="6" w:space="0"/>
              <w:left w:val="single" w:color="auto" w:sz="4" w:space="0"/>
              <w:bottom w:val="single" w:color="000000" w:sz="6" w:space="0"/>
              <w:right w:val="single" w:color="000000" w:sz="6" w:space="0"/>
            </w:tcBorders>
            <w:vAlign w:val="center"/>
          </w:tcPr>
          <w:p w14:paraId="187B755E">
            <w:pPr>
              <w:autoSpaceDE w:val="0"/>
              <w:autoSpaceDN w:val="0"/>
              <w:jc w:val="center"/>
              <w:rPr>
                <w:rFonts w:ascii="宋体" w:hAnsi="Arial" w:eastAsia="宋体" w:cs="宋体"/>
                <w:color w:val="000000"/>
                <w:kern w:val="0"/>
                <w:sz w:val="22"/>
                <w:szCs w:val="22"/>
              </w:rPr>
            </w:pPr>
            <w:r>
              <w:rPr>
                <w:rFonts w:ascii="宋体" w:hAnsi="Arial" w:eastAsia="宋体" w:cs="宋体"/>
                <w:color w:val="000000"/>
                <w:kern w:val="0"/>
                <w:sz w:val="22"/>
                <w:szCs w:val="22"/>
              </w:rPr>
              <w:t>390</w:t>
            </w:r>
          </w:p>
        </w:tc>
        <w:tc>
          <w:tcPr>
            <w:tcW w:w="826" w:type="dxa"/>
            <w:tcBorders>
              <w:top w:val="single" w:color="000000" w:sz="6" w:space="0"/>
              <w:left w:val="single" w:color="000000" w:sz="6" w:space="0"/>
              <w:bottom w:val="single" w:color="000000" w:sz="6" w:space="0"/>
              <w:right w:val="single" w:color="000000" w:sz="6" w:space="0"/>
            </w:tcBorders>
            <w:vAlign w:val="center"/>
          </w:tcPr>
          <w:p w14:paraId="60B38E81">
            <w:pPr>
              <w:autoSpaceDE w:val="0"/>
              <w:autoSpaceDN w:val="0"/>
              <w:jc w:val="center"/>
              <w:rPr>
                <w:rFonts w:ascii="宋体" w:hAnsi="Arial" w:eastAsia="宋体" w:cs="宋体"/>
                <w:color w:val="000000"/>
                <w:kern w:val="0"/>
                <w:sz w:val="22"/>
                <w:szCs w:val="22"/>
              </w:rPr>
            </w:pPr>
            <w:r>
              <w:rPr>
                <w:rFonts w:ascii="宋体" w:hAnsi="Arial" w:eastAsia="宋体" w:cs="宋体"/>
                <w:color w:val="000000"/>
                <w:kern w:val="0"/>
                <w:sz w:val="22"/>
                <w:szCs w:val="22"/>
              </w:rPr>
              <w:t>0</w:t>
            </w:r>
          </w:p>
        </w:tc>
        <w:tc>
          <w:tcPr>
            <w:tcW w:w="722" w:type="dxa"/>
            <w:tcBorders>
              <w:top w:val="single" w:color="000000" w:sz="6" w:space="0"/>
              <w:left w:val="single" w:color="000000" w:sz="6" w:space="0"/>
              <w:bottom w:val="single" w:color="000000" w:sz="6" w:space="0"/>
              <w:right w:val="single" w:color="000000" w:sz="6" w:space="0"/>
            </w:tcBorders>
            <w:vAlign w:val="center"/>
          </w:tcPr>
          <w:p w14:paraId="270B929E">
            <w:pPr>
              <w:autoSpaceDE w:val="0"/>
              <w:autoSpaceDN w:val="0"/>
              <w:jc w:val="center"/>
              <w:rPr>
                <w:rFonts w:ascii="宋体" w:hAnsi="Arial" w:eastAsia="宋体" w:cs="宋体"/>
                <w:color w:val="000000"/>
                <w:kern w:val="0"/>
                <w:sz w:val="22"/>
                <w:szCs w:val="22"/>
              </w:rPr>
            </w:pPr>
          </w:p>
        </w:tc>
        <w:tc>
          <w:tcPr>
            <w:tcW w:w="929" w:type="dxa"/>
            <w:tcBorders>
              <w:top w:val="single" w:color="000000" w:sz="6" w:space="0"/>
              <w:left w:val="single" w:color="000000" w:sz="6" w:space="0"/>
              <w:bottom w:val="single" w:color="000000" w:sz="6" w:space="0"/>
              <w:right w:val="single" w:color="000000" w:sz="6" w:space="0"/>
            </w:tcBorders>
            <w:vAlign w:val="center"/>
          </w:tcPr>
          <w:p w14:paraId="6BD07AF5">
            <w:pPr>
              <w:autoSpaceDE w:val="0"/>
              <w:autoSpaceDN w:val="0"/>
              <w:jc w:val="center"/>
              <w:rPr>
                <w:rFonts w:ascii="宋体" w:hAnsi="Arial" w:eastAsia="宋体" w:cs="宋体"/>
                <w:color w:val="000000"/>
                <w:kern w:val="0"/>
                <w:sz w:val="22"/>
                <w:szCs w:val="22"/>
              </w:rPr>
            </w:pPr>
            <w:r>
              <w:rPr>
                <w:rFonts w:ascii="宋体" w:hAnsi="Arial" w:eastAsia="宋体" w:cs="宋体"/>
                <w:color w:val="000000"/>
                <w:kern w:val="0"/>
                <w:sz w:val="22"/>
                <w:szCs w:val="22"/>
              </w:rPr>
              <w:t>390</w:t>
            </w:r>
          </w:p>
        </w:tc>
        <w:tc>
          <w:tcPr>
            <w:tcW w:w="860" w:type="dxa"/>
            <w:tcBorders>
              <w:top w:val="single" w:color="000000" w:sz="6" w:space="0"/>
              <w:left w:val="single" w:color="000000" w:sz="6" w:space="0"/>
              <w:bottom w:val="single" w:color="000000" w:sz="6" w:space="0"/>
              <w:right w:val="single" w:color="000000" w:sz="6" w:space="0"/>
            </w:tcBorders>
            <w:vAlign w:val="center"/>
          </w:tcPr>
          <w:p w14:paraId="14F32700">
            <w:pPr>
              <w:autoSpaceDE w:val="0"/>
              <w:autoSpaceDN w:val="0"/>
              <w:jc w:val="center"/>
              <w:rPr>
                <w:rFonts w:ascii="宋体" w:hAnsi="Arial" w:eastAsia="宋体" w:cs="宋体"/>
                <w:color w:val="000000"/>
                <w:kern w:val="0"/>
                <w:sz w:val="22"/>
                <w:szCs w:val="22"/>
              </w:rPr>
            </w:pPr>
          </w:p>
        </w:tc>
        <w:tc>
          <w:tcPr>
            <w:tcW w:w="1103" w:type="dxa"/>
            <w:tcBorders>
              <w:top w:val="single" w:color="000000" w:sz="6" w:space="0"/>
              <w:left w:val="single" w:color="000000" w:sz="6" w:space="0"/>
              <w:bottom w:val="single" w:color="000000" w:sz="6" w:space="0"/>
              <w:right w:val="single" w:color="000000" w:sz="6" w:space="0"/>
            </w:tcBorders>
            <w:vAlign w:val="center"/>
          </w:tcPr>
          <w:p w14:paraId="71CD8271">
            <w:pPr>
              <w:autoSpaceDE w:val="0"/>
              <w:autoSpaceDN w:val="0"/>
              <w:jc w:val="center"/>
              <w:rPr>
                <w:rFonts w:ascii="宋体" w:hAnsi="Arial" w:eastAsia="宋体" w:cs="宋体"/>
                <w:color w:val="000000"/>
                <w:kern w:val="0"/>
                <w:sz w:val="22"/>
                <w:szCs w:val="22"/>
              </w:rPr>
            </w:pPr>
          </w:p>
        </w:tc>
      </w:tr>
      <w:tr w14:paraId="2B9B0CB1">
        <w:tblPrEx>
          <w:tblCellMar>
            <w:top w:w="0" w:type="dxa"/>
            <w:left w:w="30" w:type="dxa"/>
            <w:bottom w:w="0" w:type="dxa"/>
            <w:right w:w="30" w:type="dxa"/>
          </w:tblCellMar>
        </w:tblPrEx>
        <w:trPr>
          <w:trHeight w:val="395" w:hRule="atLeast"/>
          <w:jc w:val="center"/>
        </w:trPr>
        <w:tc>
          <w:tcPr>
            <w:tcW w:w="1652" w:type="dxa"/>
            <w:tcBorders>
              <w:top w:val="single" w:color="auto" w:sz="4" w:space="0"/>
              <w:left w:val="single" w:color="auto" w:sz="4" w:space="0"/>
              <w:bottom w:val="single" w:color="auto" w:sz="4" w:space="0"/>
              <w:right w:val="single" w:color="auto" w:sz="4" w:space="0"/>
            </w:tcBorders>
            <w:vAlign w:val="center"/>
          </w:tcPr>
          <w:p w14:paraId="5FB4EC5D">
            <w:pPr>
              <w:autoSpaceDE w:val="0"/>
              <w:autoSpaceDN w:val="0"/>
              <w:jc w:val="center"/>
              <w:rPr>
                <w:rFonts w:ascii="宋体" w:hAnsi="Arial" w:eastAsia="宋体" w:cs="宋体"/>
                <w:color w:val="000000"/>
                <w:kern w:val="0"/>
                <w:sz w:val="22"/>
                <w:szCs w:val="22"/>
              </w:rPr>
            </w:pPr>
            <w:r>
              <w:rPr>
                <w:rFonts w:hint="eastAsia" w:ascii="宋体" w:hAnsi="Arial" w:eastAsia="宋体" w:cs="宋体"/>
                <w:color w:val="000000"/>
                <w:kern w:val="0"/>
                <w:sz w:val="22"/>
                <w:szCs w:val="22"/>
              </w:rPr>
              <w:t>项目实际投入</w:t>
            </w:r>
          </w:p>
        </w:tc>
        <w:tc>
          <w:tcPr>
            <w:tcW w:w="1618" w:type="dxa"/>
            <w:tcBorders>
              <w:top w:val="single" w:color="auto" w:sz="4" w:space="0"/>
              <w:left w:val="single" w:color="auto" w:sz="4" w:space="0"/>
              <w:bottom w:val="single" w:color="auto" w:sz="4" w:space="0"/>
              <w:right w:val="single" w:color="auto" w:sz="4" w:space="0"/>
            </w:tcBorders>
            <w:vAlign w:val="center"/>
          </w:tcPr>
          <w:p w14:paraId="53A66239">
            <w:pPr>
              <w:autoSpaceDE w:val="0"/>
              <w:autoSpaceDN w:val="0"/>
              <w:jc w:val="center"/>
              <w:rPr>
                <w:rFonts w:ascii="宋体" w:hAnsi="Arial" w:eastAsia="宋体" w:cs="宋体"/>
                <w:color w:val="000000"/>
                <w:kern w:val="0"/>
                <w:sz w:val="22"/>
                <w:szCs w:val="22"/>
              </w:rPr>
            </w:pPr>
            <w:r>
              <w:rPr>
                <w:rFonts w:ascii="宋体" w:hAnsi="Arial" w:eastAsia="宋体" w:cs="宋体"/>
                <w:color w:val="000000"/>
                <w:kern w:val="0"/>
                <w:sz w:val="22"/>
                <w:szCs w:val="22"/>
              </w:rPr>
              <w:t>(2)</w:t>
            </w:r>
          </w:p>
        </w:tc>
        <w:tc>
          <w:tcPr>
            <w:tcW w:w="963" w:type="dxa"/>
            <w:tcBorders>
              <w:top w:val="single" w:color="000000" w:sz="6" w:space="0"/>
              <w:left w:val="single" w:color="auto" w:sz="4" w:space="0"/>
              <w:bottom w:val="single" w:color="000000" w:sz="6" w:space="0"/>
              <w:right w:val="single" w:color="000000" w:sz="6" w:space="0"/>
            </w:tcBorders>
            <w:vAlign w:val="center"/>
          </w:tcPr>
          <w:p w14:paraId="39559D27">
            <w:pPr>
              <w:autoSpaceDE w:val="0"/>
              <w:autoSpaceDN w:val="0"/>
              <w:jc w:val="center"/>
              <w:rPr>
                <w:rFonts w:ascii="宋体" w:hAnsi="Arial" w:eastAsia="宋体" w:cs="宋体"/>
                <w:color w:val="000000"/>
                <w:kern w:val="0"/>
                <w:sz w:val="22"/>
                <w:szCs w:val="22"/>
              </w:rPr>
            </w:pPr>
            <w:r>
              <w:rPr>
                <w:rFonts w:ascii="宋体" w:hAnsi="Arial" w:eastAsia="宋体" w:cs="宋体"/>
                <w:color w:val="000000"/>
                <w:kern w:val="0"/>
                <w:sz w:val="22"/>
                <w:szCs w:val="22"/>
              </w:rPr>
              <w:t>390</w:t>
            </w:r>
          </w:p>
        </w:tc>
        <w:tc>
          <w:tcPr>
            <w:tcW w:w="826" w:type="dxa"/>
            <w:tcBorders>
              <w:top w:val="single" w:color="000000" w:sz="6" w:space="0"/>
              <w:left w:val="single" w:color="000000" w:sz="6" w:space="0"/>
              <w:bottom w:val="single" w:color="000000" w:sz="6" w:space="0"/>
              <w:right w:val="single" w:color="000000" w:sz="6" w:space="0"/>
            </w:tcBorders>
            <w:vAlign w:val="center"/>
          </w:tcPr>
          <w:p w14:paraId="4E8DAEF4">
            <w:pPr>
              <w:autoSpaceDE w:val="0"/>
              <w:autoSpaceDN w:val="0"/>
              <w:jc w:val="center"/>
              <w:rPr>
                <w:rFonts w:ascii="宋体" w:hAnsi="Arial" w:eastAsia="宋体" w:cs="宋体"/>
                <w:color w:val="000000"/>
                <w:kern w:val="0"/>
                <w:sz w:val="22"/>
                <w:szCs w:val="22"/>
              </w:rPr>
            </w:pPr>
            <w:r>
              <w:rPr>
                <w:rFonts w:ascii="宋体" w:hAnsi="Arial" w:eastAsia="宋体" w:cs="宋体"/>
                <w:color w:val="000000"/>
                <w:kern w:val="0"/>
                <w:sz w:val="22"/>
                <w:szCs w:val="22"/>
              </w:rPr>
              <w:t>0</w:t>
            </w:r>
          </w:p>
        </w:tc>
        <w:tc>
          <w:tcPr>
            <w:tcW w:w="722" w:type="dxa"/>
            <w:tcBorders>
              <w:top w:val="single" w:color="000000" w:sz="6" w:space="0"/>
              <w:left w:val="single" w:color="000000" w:sz="6" w:space="0"/>
              <w:bottom w:val="single" w:color="000000" w:sz="6" w:space="0"/>
              <w:right w:val="single" w:color="000000" w:sz="6" w:space="0"/>
            </w:tcBorders>
            <w:vAlign w:val="center"/>
          </w:tcPr>
          <w:p w14:paraId="308D8BEE">
            <w:pPr>
              <w:autoSpaceDE w:val="0"/>
              <w:autoSpaceDN w:val="0"/>
              <w:jc w:val="center"/>
              <w:rPr>
                <w:rFonts w:ascii="宋体" w:hAnsi="Arial" w:eastAsia="宋体" w:cs="宋体"/>
                <w:color w:val="000000"/>
                <w:kern w:val="0"/>
                <w:sz w:val="22"/>
                <w:szCs w:val="22"/>
              </w:rPr>
            </w:pPr>
          </w:p>
        </w:tc>
        <w:tc>
          <w:tcPr>
            <w:tcW w:w="929" w:type="dxa"/>
            <w:tcBorders>
              <w:top w:val="single" w:color="000000" w:sz="6" w:space="0"/>
              <w:left w:val="single" w:color="000000" w:sz="6" w:space="0"/>
              <w:bottom w:val="single" w:color="000000" w:sz="6" w:space="0"/>
              <w:right w:val="single" w:color="000000" w:sz="6" w:space="0"/>
            </w:tcBorders>
            <w:vAlign w:val="center"/>
          </w:tcPr>
          <w:p w14:paraId="2BD3E5BA">
            <w:pPr>
              <w:autoSpaceDE w:val="0"/>
              <w:autoSpaceDN w:val="0"/>
              <w:jc w:val="center"/>
              <w:rPr>
                <w:rFonts w:ascii="宋体" w:hAnsi="Arial" w:eastAsia="宋体" w:cs="宋体"/>
                <w:color w:val="000000"/>
                <w:kern w:val="0"/>
                <w:sz w:val="22"/>
                <w:szCs w:val="22"/>
              </w:rPr>
            </w:pPr>
            <w:r>
              <w:rPr>
                <w:rFonts w:ascii="宋体" w:hAnsi="Arial" w:eastAsia="宋体" w:cs="宋体"/>
                <w:color w:val="000000"/>
                <w:kern w:val="0"/>
                <w:sz w:val="22"/>
                <w:szCs w:val="22"/>
              </w:rPr>
              <w:t>390</w:t>
            </w:r>
          </w:p>
        </w:tc>
        <w:tc>
          <w:tcPr>
            <w:tcW w:w="860" w:type="dxa"/>
            <w:tcBorders>
              <w:top w:val="single" w:color="000000" w:sz="6" w:space="0"/>
              <w:left w:val="single" w:color="000000" w:sz="6" w:space="0"/>
              <w:bottom w:val="single" w:color="000000" w:sz="6" w:space="0"/>
              <w:right w:val="single" w:color="000000" w:sz="6" w:space="0"/>
            </w:tcBorders>
            <w:vAlign w:val="center"/>
          </w:tcPr>
          <w:p w14:paraId="1F8ACDAE">
            <w:pPr>
              <w:autoSpaceDE w:val="0"/>
              <w:autoSpaceDN w:val="0"/>
              <w:jc w:val="center"/>
              <w:rPr>
                <w:rFonts w:ascii="宋体" w:hAnsi="Arial" w:eastAsia="宋体" w:cs="宋体"/>
                <w:color w:val="000000"/>
                <w:kern w:val="0"/>
                <w:sz w:val="22"/>
                <w:szCs w:val="22"/>
              </w:rPr>
            </w:pPr>
          </w:p>
        </w:tc>
        <w:tc>
          <w:tcPr>
            <w:tcW w:w="1103" w:type="dxa"/>
            <w:tcBorders>
              <w:top w:val="single" w:color="000000" w:sz="6" w:space="0"/>
              <w:left w:val="single" w:color="000000" w:sz="6" w:space="0"/>
              <w:bottom w:val="single" w:color="000000" w:sz="6" w:space="0"/>
              <w:right w:val="single" w:color="000000" w:sz="6" w:space="0"/>
            </w:tcBorders>
            <w:vAlign w:val="center"/>
          </w:tcPr>
          <w:p w14:paraId="13A5D42A">
            <w:pPr>
              <w:autoSpaceDE w:val="0"/>
              <w:autoSpaceDN w:val="0"/>
              <w:jc w:val="center"/>
              <w:rPr>
                <w:rFonts w:ascii="宋体" w:hAnsi="Arial" w:eastAsia="宋体" w:cs="宋体"/>
                <w:color w:val="000000"/>
                <w:kern w:val="0"/>
                <w:sz w:val="22"/>
                <w:szCs w:val="22"/>
              </w:rPr>
            </w:pPr>
          </w:p>
        </w:tc>
      </w:tr>
      <w:tr w14:paraId="03A7E158">
        <w:tblPrEx>
          <w:tblCellMar>
            <w:top w:w="0" w:type="dxa"/>
            <w:left w:w="30" w:type="dxa"/>
            <w:bottom w:w="0" w:type="dxa"/>
            <w:right w:w="30" w:type="dxa"/>
          </w:tblCellMar>
        </w:tblPrEx>
        <w:trPr>
          <w:trHeight w:val="395" w:hRule="atLeast"/>
          <w:jc w:val="center"/>
        </w:trPr>
        <w:tc>
          <w:tcPr>
            <w:tcW w:w="1652" w:type="dxa"/>
            <w:tcBorders>
              <w:top w:val="single" w:color="auto" w:sz="4" w:space="0"/>
              <w:left w:val="single" w:color="auto" w:sz="4" w:space="0"/>
              <w:bottom w:val="single" w:color="auto" w:sz="4" w:space="0"/>
              <w:right w:val="single" w:color="auto" w:sz="4" w:space="0"/>
            </w:tcBorders>
            <w:vAlign w:val="center"/>
          </w:tcPr>
          <w:p w14:paraId="6C64B969">
            <w:pPr>
              <w:autoSpaceDE w:val="0"/>
              <w:autoSpaceDN w:val="0"/>
              <w:jc w:val="center"/>
              <w:rPr>
                <w:rFonts w:ascii="宋体" w:hAnsi="Arial" w:eastAsia="宋体" w:cs="宋体"/>
                <w:color w:val="000000"/>
                <w:kern w:val="0"/>
                <w:sz w:val="22"/>
                <w:szCs w:val="22"/>
              </w:rPr>
            </w:pPr>
            <w:r>
              <w:rPr>
                <w:rFonts w:hint="eastAsia" w:ascii="宋体" w:hAnsi="Arial" w:eastAsia="宋体" w:cs="宋体"/>
                <w:color w:val="000000"/>
                <w:kern w:val="0"/>
                <w:sz w:val="22"/>
                <w:szCs w:val="22"/>
              </w:rPr>
              <w:t>资金到位</w:t>
            </w:r>
          </w:p>
        </w:tc>
        <w:tc>
          <w:tcPr>
            <w:tcW w:w="1618" w:type="dxa"/>
            <w:tcBorders>
              <w:top w:val="single" w:color="auto" w:sz="4" w:space="0"/>
              <w:left w:val="single" w:color="auto" w:sz="4" w:space="0"/>
              <w:bottom w:val="single" w:color="auto" w:sz="4" w:space="0"/>
              <w:right w:val="single" w:color="auto" w:sz="4" w:space="0"/>
            </w:tcBorders>
            <w:vAlign w:val="center"/>
          </w:tcPr>
          <w:p w14:paraId="43BC5114">
            <w:pPr>
              <w:autoSpaceDE w:val="0"/>
              <w:autoSpaceDN w:val="0"/>
              <w:jc w:val="center"/>
              <w:rPr>
                <w:rFonts w:ascii="宋体" w:hAnsi="Arial" w:eastAsia="宋体" w:cs="宋体"/>
                <w:color w:val="000000"/>
                <w:kern w:val="0"/>
                <w:sz w:val="22"/>
                <w:szCs w:val="22"/>
              </w:rPr>
            </w:pPr>
            <w:r>
              <w:rPr>
                <w:rFonts w:ascii="宋体" w:hAnsi="Arial" w:eastAsia="宋体" w:cs="宋体"/>
                <w:color w:val="000000"/>
                <w:kern w:val="0"/>
                <w:sz w:val="22"/>
                <w:szCs w:val="22"/>
              </w:rPr>
              <w:t>(3)</w:t>
            </w:r>
          </w:p>
        </w:tc>
        <w:tc>
          <w:tcPr>
            <w:tcW w:w="963" w:type="dxa"/>
            <w:tcBorders>
              <w:top w:val="single" w:color="000000" w:sz="6" w:space="0"/>
              <w:left w:val="single" w:color="auto" w:sz="4" w:space="0"/>
              <w:bottom w:val="single" w:color="000000" w:sz="6" w:space="0"/>
              <w:right w:val="single" w:color="000000" w:sz="6" w:space="0"/>
            </w:tcBorders>
            <w:vAlign w:val="center"/>
          </w:tcPr>
          <w:p w14:paraId="73B2AA34">
            <w:pPr>
              <w:autoSpaceDE w:val="0"/>
              <w:autoSpaceDN w:val="0"/>
              <w:jc w:val="center"/>
              <w:rPr>
                <w:rFonts w:ascii="宋体" w:hAnsi="Arial" w:eastAsia="宋体" w:cs="宋体"/>
                <w:color w:val="000000"/>
                <w:kern w:val="0"/>
                <w:sz w:val="22"/>
                <w:szCs w:val="22"/>
              </w:rPr>
            </w:pPr>
            <w:r>
              <w:rPr>
                <w:rFonts w:ascii="宋体" w:hAnsi="Arial" w:eastAsia="宋体" w:cs="宋体"/>
                <w:color w:val="000000"/>
                <w:kern w:val="0"/>
                <w:sz w:val="22"/>
                <w:szCs w:val="22"/>
              </w:rPr>
              <w:t>200</w:t>
            </w:r>
          </w:p>
        </w:tc>
        <w:tc>
          <w:tcPr>
            <w:tcW w:w="826" w:type="dxa"/>
            <w:tcBorders>
              <w:top w:val="single" w:color="000000" w:sz="6" w:space="0"/>
              <w:left w:val="single" w:color="000000" w:sz="6" w:space="0"/>
              <w:bottom w:val="single" w:color="000000" w:sz="6" w:space="0"/>
              <w:right w:val="single" w:color="000000" w:sz="6" w:space="0"/>
            </w:tcBorders>
            <w:vAlign w:val="center"/>
          </w:tcPr>
          <w:p w14:paraId="4D592AC2">
            <w:pPr>
              <w:autoSpaceDE w:val="0"/>
              <w:autoSpaceDN w:val="0"/>
              <w:jc w:val="center"/>
              <w:rPr>
                <w:rFonts w:ascii="宋体" w:hAnsi="Arial" w:eastAsia="宋体" w:cs="宋体"/>
                <w:color w:val="000000"/>
                <w:kern w:val="0"/>
                <w:sz w:val="22"/>
                <w:szCs w:val="22"/>
              </w:rPr>
            </w:pPr>
            <w:r>
              <w:rPr>
                <w:rFonts w:ascii="宋体" w:hAnsi="Arial" w:eastAsia="宋体" w:cs="宋体"/>
                <w:color w:val="000000"/>
                <w:kern w:val="0"/>
                <w:sz w:val="22"/>
                <w:szCs w:val="22"/>
              </w:rPr>
              <w:t>0</w:t>
            </w:r>
          </w:p>
        </w:tc>
        <w:tc>
          <w:tcPr>
            <w:tcW w:w="722" w:type="dxa"/>
            <w:tcBorders>
              <w:top w:val="single" w:color="000000" w:sz="6" w:space="0"/>
              <w:left w:val="single" w:color="000000" w:sz="6" w:space="0"/>
              <w:bottom w:val="single" w:color="000000" w:sz="6" w:space="0"/>
              <w:right w:val="single" w:color="000000" w:sz="6" w:space="0"/>
            </w:tcBorders>
            <w:vAlign w:val="center"/>
          </w:tcPr>
          <w:p w14:paraId="78F9C6B6">
            <w:pPr>
              <w:autoSpaceDE w:val="0"/>
              <w:autoSpaceDN w:val="0"/>
              <w:jc w:val="center"/>
              <w:rPr>
                <w:rFonts w:ascii="宋体" w:hAnsi="Arial" w:eastAsia="宋体" w:cs="宋体"/>
                <w:color w:val="000000"/>
                <w:kern w:val="0"/>
                <w:sz w:val="22"/>
                <w:szCs w:val="22"/>
              </w:rPr>
            </w:pPr>
          </w:p>
        </w:tc>
        <w:tc>
          <w:tcPr>
            <w:tcW w:w="929" w:type="dxa"/>
            <w:tcBorders>
              <w:top w:val="single" w:color="000000" w:sz="6" w:space="0"/>
              <w:left w:val="single" w:color="000000" w:sz="6" w:space="0"/>
              <w:bottom w:val="single" w:color="000000" w:sz="6" w:space="0"/>
              <w:right w:val="single" w:color="000000" w:sz="6" w:space="0"/>
            </w:tcBorders>
            <w:vAlign w:val="center"/>
          </w:tcPr>
          <w:p w14:paraId="3530B3BB">
            <w:pPr>
              <w:autoSpaceDE w:val="0"/>
              <w:autoSpaceDN w:val="0"/>
              <w:jc w:val="center"/>
              <w:rPr>
                <w:rFonts w:ascii="宋体" w:hAnsi="Arial" w:eastAsia="宋体" w:cs="宋体"/>
                <w:color w:val="000000"/>
                <w:kern w:val="0"/>
                <w:sz w:val="22"/>
                <w:szCs w:val="22"/>
              </w:rPr>
            </w:pPr>
            <w:r>
              <w:rPr>
                <w:rFonts w:ascii="宋体" w:hAnsi="Arial" w:eastAsia="宋体" w:cs="宋体"/>
                <w:color w:val="000000"/>
                <w:kern w:val="0"/>
                <w:sz w:val="22"/>
                <w:szCs w:val="22"/>
              </w:rPr>
              <w:t>200</w:t>
            </w:r>
          </w:p>
        </w:tc>
        <w:tc>
          <w:tcPr>
            <w:tcW w:w="860" w:type="dxa"/>
            <w:tcBorders>
              <w:top w:val="single" w:color="000000" w:sz="6" w:space="0"/>
              <w:left w:val="single" w:color="000000" w:sz="6" w:space="0"/>
              <w:bottom w:val="single" w:color="000000" w:sz="6" w:space="0"/>
              <w:right w:val="single" w:color="000000" w:sz="6" w:space="0"/>
            </w:tcBorders>
            <w:vAlign w:val="center"/>
          </w:tcPr>
          <w:p w14:paraId="3F672BC7">
            <w:pPr>
              <w:autoSpaceDE w:val="0"/>
              <w:autoSpaceDN w:val="0"/>
              <w:jc w:val="center"/>
              <w:rPr>
                <w:rFonts w:ascii="宋体" w:hAnsi="Arial" w:eastAsia="宋体" w:cs="宋体"/>
                <w:color w:val="000000"/>
                <w:kern w:val="0"/>
                <w:sz w:val="22"/>
                <w:szCs w:val="22"/>
              </w:rPr>
            </w:pPr>
          </w:p>
        </w:tc>
        <w:tc>
          <w:tcPr>
            <w:tcW w:w="1103" w:type="dxa"/>
            <w:tcBorders>
              <w:top w:val="single" w:color="000000" w:sz="6" w:space="0"/>
              <w:left w:val="single" w:color="000000" w:sz="6" w:space="0"/>
              <w:bottom w:val="single" w:color="000000" w:sz="6" w:space="0"/>
              <w:right w:val="single" w:color="000000" w:sz="6" w:space="0"/>
            </w:tcBorders>
            <w:vAlign w:val="center"/>
          </w:tcPr>
          <w:p w14:paraId="71001919">
            <w:pPr>
              <w:autoSpaceDE w:val="0"/>
              <w:autoSpaceDN w:val="0"/>
              <w:jc w:val="center"/>
              <w:rPr>
                <w:rFonts w:ascii="宋体" w:hAnsi="Arial" w:eastAsia="宋体" w:cs="宋体"/>
                <w:color w:val="000000"/>
                <w:kern w:val="0"/>
                <w:sz w:val="22"/>
                <w:szCs w:val="22"/>
              </w:rPr>
            </w:pPr>
          </w:p>
        </w:tc>
      </w:tr>
      <w:tr w14:paraId="69AD3612">
        <w:tblPrEx>
          <w:tblCellMar>
            <w:top w:w="0" w:type="dxa"/>
            <w:left w:w="30" w:type="dxa"/>
            <w:bottom w:w="0" w:type="dxa"/>
            <w:right w:w="30" w:type="dxa"/>
          </w:tblCellMar>
        </w:tblPrEx>
        <w:trPr>
          <w:trHeight w:val="395" w:hRule="atLeast"/>
          <w:jc w:val="center"/>
        </w:trPr>
        <w:tc>
          <w:tcPr>
            <w:tcW w:w="1652" w:type="dxa"/>
            <w:tcBorders>
              <w:top w:val="single" w:color="auto" w:sz="4" w:space="0"/>
              <w:left w:val="single" w:color="auto" w:sz="4" w:space="0"/>
              <w:bottom w:val="single" w:color="auto" w:sz="4" w:space="0"/>
              <w:right w:val="single" w:color="auto" w:sz="4" w:space="0"/>
            </w:tcBorders>
            <w:vAlign w:val="center"/>
          </w:tcPr>
          <w:p w14:paraId="1A28C83B">
            <w:pPr>
              <w:autoSpaceDE w:val="0"/>
              <w:autoSpaceDN w:val="0"/>
              <w:jc w:val="center"/>
              <w:rPr>
                <w:rFonts w:ascii="宋体" w:hAnsi="Arial" w:eastAsia="宋体" w:cs="宋体"/>
                <w:color w:val="000000"/>
                <w:kern w:val="0"/>
                <w:sz w:val="22"/>
                <w:szCs w:val="22"/>
              </w:rPr>
            </w:pPr>
            <w:r>
              <w:rPr>
                <w:rFonts w:hint="eastAsia" w:ascii="宋体" w:hAnsi="Arial" w:eastAsia="宋体" w:cs="宋体"/>
                <w:color w:val="000000"/>
                <w:kern w:val="0"/>
                <w:sz w:val="22"/>
                <w:szCs w:val="22"/>
              </w:rPr>
              <w:t>实际支出</w:t>
            </w:r>
          </w:p>
        </w:tc>
        <w:tc>
          <w:tcPr>
            <w:tcW w:w="1618" w:type="dxa"/>
            <w:tcBorders>
              <w:top w:val="single" w:color="auto" w:sz="4" w:space="0"/>
              <w:left w:val="single" w:color="auto" w:sz="4" w:space="0"/>
              <w:bottom w:val="single" w:color="auto" w:sz="4" w:space="0"/>
              <w:right w:val="single" w:color="auto" w:sz="4" w:space="0"/>
            </w:tcBorders>
            <w:vAlign w:val="center"/>
          </w:tcPr>
          <w:p w14:paraId="3590DED9">
            <w:pPr>
              <w:autoSpaceDE w:val="0"/>
              <w:autoSpaceDN w:val="0"/>
              <w:jc w:val="center"/>
              <w:rPr>
                <w:rFonts w:ascii="宋体" w:hAnsi="Arial" w:eastAsia="宋体" w:cs="宋体"/>
                <w:color w:val="000000"/>
                <w:kern w:val="0"/>
                <w:sz w:val="22"/>
                <w:szCs w:val="22"/>
              </w:rPr>
            </w:pPr>
            <w:r>
              <w:rPr>
                <w:rFonts w:ascii="宋体" w:hAnsi="Arial" w:eastAsia="宋体" w:cs="宋体"/>
                <w:color w:val="000000"/>
                <w:kern w:val="0"/>
                <w:sz w:val="22"/>
                <w:szCs w:val="22"/>
              </w:rPr>
              <w:t>(4)</w:t>
            </w:r>
          </w:p>
        </w:tc>
        <w:tc>
          <w:tcPr>
            <w:tcW w:w="963" w:type="dxa"/>
            <w:tcBorders>
              <w:top w:val="single" w:color="000000" w:sz="6" w:space="0"/>
              <w:left w:val="single" w:color="auto" w:sz="4" w:space="0"/>
              <w:bottom w:val="single" w:color="000000" w:sz="6" w:space="0"/>
              <w:right w:val="single" w:color="000000" w:sz="6" w:space="0"/>
            </w:tcBorders>
            <w:vAlign w:val="center"/>
          </w:tcPr>
          <w:p w14:paraId="58547CD8">
            <w:pPr>
              <w:autoSpaceDE w:val="0"/>
              <w:autoSpaceDN w:val="0"/>
              <w:jc w:val="center"/>
              <w:rPr>
                <w:rFonts w:ascii="宋体" w:hAnsi="Arial" w:eastAsia="宋体" w:cs="宋体"/>
                <w:color w:val="000000"/>
                <w:kern w:val="0"/>
                <w:sz w:val="22"/>
                <w:szCs w:val="22"/>
              </w:rPr>
            </w:pPr>
            <w:r>
              <w:rPr>
                <w:rFonts w:ascii="宋体" w:hAnsi="Arial" w:eastAsia="宋体" w:cs="宋体"/>
                <w:color w:val="000000"/>
                <w:kern w:val="0"/>
                <w:sz w:val="22"/>
                <w:szCs w:val="22"/>
              </w:rPr>
              <w:t>200</w:t>
            </w:r>
          </w:p>
        </w:tc>
        <w:tc>
          <w:tcPr>
            <w:tcW w:w="826" w:type="dxa"/>
            <w:tcBorders>
              <w:top w:val="single" w:color="000000" w:sz="6" w:space="0"/>
              <w:left w:val="single" w:color="000000" w:sz="6" w:space="0"/>
              <w:bottom w:val="single" w:color="000000" w:sz="6" w:space="0"/>
              <w:right w:val="single" w:color="000000" w:sz="6" w:space="0"/>
            </w:tcBorders>
            <w:vAlign w:val="center"/>
          </w:tcPr>
          <w:p w14:paraId="52D7C8D0">
            <w:pPr>
              <w:autoSpaceDE w:val="0"/>
              <w:autoSpaceDN w:val="0"/>
              <w:jc w:val="center"/>
              <w:rPr>
                <w:rFonts w:ascii="宋体" w:hAnsi="Arial" w:eastAsia="宋体" w:cs="宋体"/>
                <w:color w:val="000000"/>
                <w:kern w:val="0"/>
                <w:sz w:val="22"/>
                <w:szCs w:val="22"/>
              </w:rPr>
            </w:pPr>
            <w:r>
              <w:rPr>
                <w:rFonts w:ascii="宋体" w:hAnsi="Arial" w:eastAsia="宋体" w:cs="宋体"/>
                <w:color w:val="000000"/>
                <w:kern w:val="0"/>
                <w:sz w:val="22"/>
                <w:szCs w:val="22"/>
              </w:rPr>
              <w:t>0</w:t>
            </w:r>
          </w:p>
        </w:tc>
        <w:tc>
          <w:tcPr>
            <w:tcW w:w="722" w:type="dxa"/>
            <w:tcBorders>
              <w:top w:val="single" w:color="000000" w:sz="6" w:space="0"/>
              <w:left w:val="single" w:color="000000" w:sz="6" w:space="0"/>
              <w:bottom w:val="single" w:color="000000" w:sz="6" w:space="0"/>
              <w:right w:val="single" w:color="000000" w:sz="6" w:space="0"/>
            </w:tcBorders>
            <w:vAlign w:val="center"/>
          </w:tcPr>
          <w:p w14:paraId="0A2E708C">
            <w:pPr>
              <w:autoSpaceDE w:val="0"/>
              <w:autoSpaceDN w:val="0"/>
              <w:jc w:val="center"/>
              <w:rPr>
                <w:rFonts w:ascii="宋体" w:hAnsi="Arial" w:eastAsia="宋体" w:cs="宋体"/>
                <w:color w:val="000000"/>
                <w:kern w:val="0"/>
                <w:sz w:val="22"/>
                <w:szCs w:val="22"/>
              </w:rPr>
            </w:pPr>
          </w:p>
        </w:tc>
        <w:tc>
          <w:tcPr>
            <w:tcW w:w="929" w:type="dxa"/>
            <w:tcBorders>
              <w:top w:val="single" w:color="000000" w:sz="6" w:space="0"/>
              <w:left w:val="single" w:color="000000" w:sz="6" w:space="0"/>
              <w:bottom w:val="single" w:color="000000" w:sz="6" w:space="0"/>
              <w:right w:val="single" w:color="000000" w:sz="6" w:space="0"/>
            </w:tcBorders>
            <w:vAlign w:val="center"/>
          </w:tcPr>
          <w:p w14:paraId="3FF5595D">
            <w:pPr>
              <w:autoSpaceDE w:val="0"/>
              <w:autoSpaceDN w:val="0"/>
              <w:jc w:val="center"/>
              <w:rPr>
                <w:rFonts w:ascii="宋体" w:hAnsi="Arial" w:eastAsia="宋体" w:cs="宋体"/>
                <w:color w:val="000000"/>
                <w:kern w:val="0"/>
                <w:sz w:val="22"/>
                <w:szCs w:val="22"/>
              </w:rPr>
            </w:pPr>
            <w:r>
              <w:rPr>
                <w:rFonts w:ascii="宋体" w:hAnsi="Arial" w:eastAsia="宋体" w:cs="宋体"/>
                <w:color w:val="000000"/>
                <w:kern w:val="0"/>
                <w:sz w:val="22"/>
                <w:szCs w:val="22"/>
              </w:rPr>
              <w:t>200</w:t>
            </w:r>
          </w:p>
        </w:tc>
        <w:tc>
          <w:tcPr>
            <w:tcW w:w="860" w:type="dxa"/>
            <w:tcBorders>
              <w:top w:val="single" w:color="000000" w:sz="6" w:space="0"/>
              <w:left w:val="single" w:color="000000" w:sz="6" w:space="0"/>
              <w:bottom w:val="single" w:color="000000" w:sz="6" w:space="0"/>
              <w:right w:val="single" w:color="000000" w:sz="6" w:space="0"/>
            </w:tcBorders>
            <w:vAlign w:val="center"/>
          </w:tcPr>
          <w:p w14:paraId="06E4A11A">
            <w:pPr>
              <w:autoSpaceDE w:val="0"/>
              <w:autoSpaceDN w:val="0"/>
              <w:jc w:val="center"/>
              <w:rPr>
                <w:rFonts w:ascii="宋体" w:hAnsi="Arial" w:eastAsia="宋体" w:cs="宋体"/>
                <w:color w:val="000000"/>
                <w:kern w:val="0"/>
                <w:sz w:val="22"/>
                <w:szCs w:val="22"/>
              </w:rPr>
            </w:pPr>
          </w:p>
        </w:tc>
        <w:tc>
          <w:tcPr>
            <w:tcW w:w="1103" w:type="dxa"/>
            <w:tcBorders>
              <w:top w:val="single" w:color="000000" w:sz="6" w:space="0"/>
              <w:left w:val="single" w:color="000000" w:sz="6" w:space="0"/>
              <w:bottom w:val="single" w:color="000000" w:sz="6" w:space="0"/>
              <w:right w:val="single" w:color="000000" w:sz="6" w:space="0"/>
            </w:tcBorders>
            <w:vAlign w:val="center"/>
          </w:tcPr>
          <w:p w14:paraId="0ADA902F">
            <w:pPr>
              <w:autoSpaceDE w:val="0"/>
              <w:autoSpaceDN w:val="0"/>
              <w:jc w:val="center"/>
              <w:rPr>
                <w:rFonts w:ascii="宋体" w:hAnsi="Arial" w:eastAsia="宋体" w:cs="宋体"/>
                <w:color w:val="000000"/>
                <w:kern w:val="0"/>
                <w:sz w:val="22"/>
                <w:szCs w:val="22"/>
              </w:rPr>
            </w:pPr>
          </w:p>
        </w:tc>
      </w:tr>
      <w:tr w14:paraId="11AE5194">
        <w:tblPrEx>
          <w:tblCellMar>
            <w:top w:w="0" w:type="dxa"/>
            <w:left w:w="30" w:type="dxa"/>
            <w:bottom w:w="0" w:type="dxa"/>
            <w:right w:w="30" w:type="dxa"/>
          </w:tblCellMar>
        </w:tblPrEx>
        <w:trPr>
          <w:trHeight w:val="395" w:hRule="atLeast"/>
          <w:jc w:val="center"/>
        </w:trPr>
        <w:tc>
          <w:tcPr>
            <w:tcW w:w="1652" w:type="dxa"/>
            <w:tcBorders>
              <w:top w:val="single" w:color="auto" w:sz="4" w:space="0"/>
              <w:left w:val="single" w:color="auto" w:sz="4" w:space="0"/>
              <w:bottom w:val="single" w:color="auto" w:sz="4" w:space="0"/>
              <w:right w:val="single" w:color="auto" w:sz="4" w:space="0"/>
            </w:tcBorders>
            <w:vAlign w:val="center"/>
          </w:tcPr>
          <w:p w14:paraId="5D019279">
            <w:pPr>
              <w:autoSpaceDE w:val="0"/>
              <w:autoSpaceDN w:val="0"/>
              <w:jc w:val="center"/>
              <w:rPr>
                <w:rFonts w:ascii="宋体" w:hAnsi="Arial" w:eastAsia="宋体" w:cs="宋体"/>
                <w:color w:val="000000"/>
                <w:kern w:val="0"/>
                <w:sz w:val="22"/>
                <w:szCs w:val="22"/>
              </w:rPr>
            </w:pPr>
            <w:r>
              <w:rPr>
                <w:rFonts w:hint="eastAsia" w:ascii="宋体" w:hAnsi="Arial" w:eastAsia="宋体" w:cs="宋体"/>
                <w:color w:val="000000"/>
                <w:kern w:val="0"/>
                <w:sz w:val="22"/>
                <w:szCs w:val="22"/>
              </w:rPr>
              <w:t>资金结余</w:t>
            </w:r>
          </w:p>
        </w:tc>
        <w:tc>
          <w:tcPr>
            <w:tcW w:w="1618" w:type="dxa"/>
            <w:tcBorders>
              <w:top w:val="single" w:color="auto" w:sz="4" w:space="0"/>
              <w:left w:val="single" w:color="auto" w:sz="4" w:space="0"/>
              <w:bottom w:val="single" w:color="auto" w:sz="4" w:space="0"/>
              <w:right w:val="single" w:color="auto" w:sz="4" w:space="0"/>
            </w:tcBorders>
            <w:vAlign w:val="center"/>
          </w:tcPr>
          <w:p w14:paraId="0B6C0C82">
            <w:pPr>
              <w:autoSpaceDE w:val="0"/>
              <w:autoSpaceDN w:val="0"/>
              <w:jc w:val="center"/>
              <w:rPr>
                <w:rFonts w:ascii="宋体" w:hAnsi="Arial" w:eastAsia="宋体" w:cs="宋体"/>
                <w:color w:val="000000"/>
                <w:kern w:val="0"/>
                <w:sz w:val="22"/>
                <w:szCs w:val="22"/>
              </w:rPr>
            </w:pPr>
            <w:r>
              <w:rPr>
                <w:rFonts w:ascii="宋体" w:hAnsi="Arial" w:eastAsia="宋体" w:cs="宋体"/>
                <w:color w:val="000000"/>
                <w:kern w:val="0"/>
                <w:sz w:val="22"/>
                <w:szCs w:val="22"/>
              </w:rPr>
              <w:t>(5)=(3)-(4)</w:t>
            </w:r>
          </w:p>
        </w:tc>
        <w:tc>
          <w:tcPr>
            <w:tcW w:w="963" w:type="dxa"/>
            <w:tcBorders>
              <w:top w:val="single" w:color="000000" w:sz="6" w:space="0"/>
              <w:left w:val="single" w:color="auto" w:sz="4" w:space="0"/>
              <w:bottom w:val="single" w:color="000000" w:sz="6" w:space="0"/>
              <w:right w:val="single" w:color="000000" w:sz="6" w:space="0"/>
            </w:tcBorders>
            <w:vAlign w:val="center"/>
          </w:tcPr>
          <w:p w14:paraId="14FC39A3">
            <w:pPr>
              <w:autoSpaceDE w:val="0"/>
              <w:autoSpaceDN w:val="0"/>
              <w:jc w:val="center"/>
              <w:rPr>
                <w:rFonts w:ascii="宋体" w:hAnsi="Arial" w:eastAsia="宋体" w:cs="宋体"/>
                <w:color w:val="000000"/>
                <w:kern w:val="0"/>
                <w:sz w:val="22"/>
                <w:szCs w:val="22"/>
              </w:rPr>
            </w:pPr>
            <w:r>
              <w:rPr>
                <w:rFonts w:ascii="宋体" w:hAnsi="Arial" w:eastAsia="宋体" w:cs="宋体"/>
                <w:color w:val="000000"/>
                <w:kern w:val="0"/>
                <w:sz w:val="22"/>
                <w:szCs w:val="22"/>
              </w:rPr>
              <w:t>0</w:t>
            </w:r>
          </w:p>
        </w:tc>
        <w:tc>
          <w:tcPr>
            <w:tcW w:w="826" w:type="dxa"/>
            <w:tcBorders>
              <w:top w:val="single" w:color="000000" w:sz="6" w:space="0"/>
              <w:left w:val="single" w:color="000000" w:sz="6" w:space="0"/>
              <w:bottom w:val="single" w:color="000000" w:sz="6" w:space="0"/>
              <w:right w:val="single" w:color="000000" w:sz="6" w:space="0"/>
            </w:tcBorders>
            <w:vAlign w:val="center"/>
          </w:tcPr>
          <w:p w14:paraId="249B92A0">
            <w:pPr>
              <w:autoSpaceDE w:val="0"/>
              <w:autoSpaceDN w:val="0"/>
              <w:jc w:val="center"/>
              <w:rPr>
                <w:rFonts w:ascii="宋体" w:hAnsi="Arial" w:eastAsia="宋体" w:cs="宋体"/>
                <w:color w:val="000000"/>
                <w:kern w:val="0"/>
                <w:sz w:val="22"/>
                <w:szCs w:val="22"/>
              </w:rPr>
            </w:pPr>
            <w:r>
              <w:rPr>
                <w:rFonts w:ascii="宋体" w:hAnsi="Arial" w:eastAsia="宋体" w:cs="宋体"/>
                <w:color w:val="000000"/>
                <w:kern w:val="0"/>
                <w:sz w:val="22"/>
                <w:szCs w:val="22"/>
              </w:rPr>
              <w:t>0</w:t>
            </w:r>
          </w:p>
        </w:tc>
        <w:tc>
          <w:tcPr>
            <w:tcW w:w="722" w:type="dxa"/>
            <w:tcBorders>
              <w:top w:val="single" w:color="000000" w:sz="6" w:space="0"/>
              <w:left w:val="single" w:color="000000" w:sz="6" w:space="0"/>
              <w:bottom w:val="single" w:color="000000" w:sz="6" w:space="0"/>
              <w:right w:val="single" w:color="000000" w:sz="6" w:space="0"/>
            </w:tcBorders>
            <w:vAlign w:val="center"/>
          </w:tcPr>
          <w:p w14:paraId="2FFBDEEB">
            <w:pPr>
              <w:autoSpaceDE w:val="0"/>
              <w:autoSpaceDN w:val="0"/>
              <w:jc w:val="center"/>
              <w:rPr>
                <w:rFonts w:ascii="宋体" w:hAnsi="Arial" w:eastAsia="宋体" w:cs="宋体"/>
                <w:color w:val="000000"/>
                <w:kern w:val="0"/>
                <w:sz w:val="22"/>
                <w:szCs w:val="22"/>
              </w:rPr>
            </w:pPr>
            <w:r>
              <w:rPr>
                <w:rFonts w:ascii="宋体" w:hAnsi="Arial" w:eastAsia="宋体" w:cs="宋体"/>
                <w:color w:val="000000"/>
                <w:kern w:val="0"/>
                <w:sz w:val="22"/>
                <w:szCs w:val="22"/>
              </w:rPr>
              <w:t>0</w:t>
            </w:r>
          </w:p>
        </w:tc>
        <w:tc>
          <w:tcPr>
            <w:tcW w:w="929" w:type="dxa"/>
            <w:tcBorders>
              <w:top w:val="single" w:color="000000" w:sz="6" w:space="0"/>
              <w:left w:val="single" w:color="000000" w:sz="6" w:space="0"/>
              <w:bottom w:val="single" w:color="000000" w:sz="6" w:space="0"/>
              <w:right w:val="single" w:color="000000" w:sz="6" w:space="0"/>
            </w:tcBorders>
            <w:vAlign w:val="center"/>
          </w:tcPr>
          <w:p w14:paraId="72DF4660">
            <w:pPr>
              <w:autoSpaceDE w:val="0"/>
              <w:autoSpaceDN w:val="0"/>
              <w:jc w:val="center"/>
              <w:rPr>
                <w:rFonts w:ascii="宋体" w:hAnsi="Arial" w:eastAsia="宋体" w:cs="宋体"/>
                <w:color w:val="000000"/>
                <w:kern w:val="0"/>
                <w:sz w:val="22"/>
                <w:szCs w:val="22"/>
              </w:rPr>
            </w:pPr>
            <w:r>
              <w:rPr>
                <w:rFonts w:ascii="宋体" w:hAnsi="Arial" w:eastAsia="宋体" w:cs="宋体"/>
                <w:color w:val="000000"/>
                <w:kern w:val="0"/>
                <w:sz w:val="22"/>
                <w:szCs w:val="22"/>
              </w:rPr>
              <w:t>0</w:t>
            </w:r>
          </w:p>
        </w:tc>
        <w:tc>
          <w:tcPr>
            <w:tcW w:w="860" w:type="dxa"/>
            <w:tcBorders>
              <w:top w:val="single" w:color="000000" w:sz="6" w:space="0"/>
              <w:left w:val="single" w:color="000000" w:sz="6" w:space="0"/>
              <w:bottom w:val="single" w:color="000000" w:sz="6" w:space="0"/>
              <w:right w:val="single" w:color="000000" w:sz="6" w:space="0"/>
            </w:tcBorders>
            <w:vAlign w:val="center"/>
          </w:tcPr>
          <w:p w14:paraId="5FB9B056">
            <w:pPr>
              <w:autoSpaceDE w:val="0"/>
              <w:autoSpaceDN w:val="0"/>
              <w:jc w:val="center"/>
              <w:rPr>
                <w:rFonts w:ascii="宋体" w:hAnsi="Arial" w:eastAsia="宋体" w:cs="宋体"/>
                <w:color w:val="000000"/>
                <w:kern w:val="0"/>
                <w:sz w:val="22"/>
                <w:szCs w:val="22"/>
              </w:rPr>
            </w:pPr>
            <w:r>
              <w:rPr>
                <w:rFonts w:ascii="宋体" w:hAnsi="Arial" w:eastAsia="宋体" w:cs="宋体"/>
                <w:color w:val="000000"/>
                <w:kern w:val="0"/>
                <w:sz w:val="22"/>
                <w:szCs w:val="22"/>
              </w:rPr>
              <w:t>0</w:t>
            </w:r>
          </w:p>
        </w:tc>
        <w:tc>
          <w:tcPr>
            <w:tcW w:w="1103" w:type="dxa"/>
            <w:tcBorders>
              <w:top w:val="single" w:color="000000" w:sz="6" w:space="0"/>
              <w:left w:val="single" w:color="000000" w:sz="6" w:space="0"/>
              <w:bottom w:val="single" w:color="000000" w:sz="6" w:space="0"/>
              <w:right w:val="single" w:color="000000" w:sz="6" w:space="0"/>
            </w:tcBorders>
            <w:vAlign w:val="center"/>
          </w:tcPr>
          <w:p w14:paraId="08D1C066">
            <w:pPr>
              <w:autoSpaceDE w:val="0"/>
              <w:autoSpaceDN w:val="0"/>
              <w:jc w:val="center"/>
              <w:rPr>
                <w:rFonts w:ascii="宋体" w:hAnsi="Arial" w:eastAsia="宋体" w:cs="宋体"/>
                <w:color w:val="000000"/>
                <w:kern w:val="0"/>
                <w:sz w:val="22"/>
                <w:szCs w:val="22"/>
              </w:rPr>
            </w:pPr>
            <w:r>
              <w:rPr>
                <w:rFonts w:ascii="宋体" w:hAnsi="Arial" w:eastAsia="宋体" w:cs="宋体"/>
                <w:color w:val="000000"/>
                <w:kern w:val="0"/>
                <w:sz w:val="22"/>
                <w:szCs w:val="22"/>
              </w:rPr>
              <w:t>0</w:t>
            </w:r>
          </w:p>
        </w:tc>
      </w:tr>
      <w:tr w14:paraId="63B03AF3">
        <w:tblPrEx>
          <w:tblCellMar>
            <w:top w:w="0" w:type="dxa"/>
            <w:left w:w="30" w:type="dxa"/>
            <w:bottom w:w="0" w:type="dxa"/>
            <w:right w:w="30" w:type="dxa"/>
          </w:tblCellMar>
        </w:tblPrEx>
        <w:trPr>
          <w:trHeight w:val="395" w:hRule="atLeast"/>
          <w:jc w:val="center"/>
        </w:trPr>
        <w:tc>
          <w:tcPr>
            <w:tcW w:w="1652" w:type="dxa"/>
            <w:tcBorders>
              <w:top w:val="single" w:color="auto" w:sz="4" w:space="0"/>
              <w:left w:val="single" w:color="auto" w:sz="4" w:space="0"/>
              <w:bottom w:val="single" w:color="auto" w:sz="4" w:space="0"/>
              <w:right w:val="single" w:color="auto" w:sz="4" w:space="0"/>
            </w:tcBorders>
            <w:vAlign w:val="center"/>
          </w:tcPr>
          <w:p w14:paraId="2BE58F5A">
            <w:pPr>
              <w:autoSpaceDE w:val="0"/>
              <w:autoSpaceDN w:val="0"/>
              <w:jc w:val="center"/>
              <w:rPr>
                <w:rFonts w:ascii="宋体" w:hAnsi="Arial" w:eastAsia="宋体" w:cs="宋体"/>
                <w:color w:val="000000"/>
                <w:kern w:val="0"/>
                <w:sz w:val="22"/>
                <w:szCs w:val="22"/>
              </w:rPr>
            </w:pPr>
            <w:r>
              <w:rPr>
                <w:rFonts w:hint="eastAsia" w:ascii="宋体" w:hAnsi="Arial" w:eastAsia="宋体" w:cs="宋体"/>
                <w:color w:val="000000"/>
                <w:kern w:val="0"/>
                <w:sz w:val="22"/>
                <w:szCs w:val="22"/>
              </w:rPr>
              <w:t>预算执行率(%)</w:t>
            </w:r>
          </w:p>
        </w:tc>
        <w:tc>
          <w:tcPr>
            <w:tcW w:w="1618" w:type="dxa"/>
            <w:tcBorders>
              <w:top w:val="single" w:color="auto" w:sz="4" w:space="0"/>
              <w:left w:val="single" w:color="auto" w:sz="4" w:space="0"/>
              <w:bottom w:val="single" w:color="auto" w:sz="4" w:space="0"/>
              <w:right w:val="single" w:color="auto" w:sz="4" w:space="0"/>
            </w:tcBorders>
            <w:vAlign w:val="center"/>
          </w:tcPr>
          <w:p w14:paraId="1C8CA8CE">
            <w:pPr>
              <w:autoSpaceDE w:val="0"/>
              <w:autoSpaceDN w:val="0"/>
              <w:jc w:val="center"/>
              <w:rPr>
                <w:rFonts w:ascii="宋体" w:hAnsi="Arial" w:eastAsia="宋体" w:cs="宋体"/>
                <w:color w:val="000000"/>
                <w:kern w:val="0"/>
                <w:sz w:val="22"/>
                <w:szCs w:val="22"/>
              </w:rPr>
            </w:pPr>
            <w:r>
              <w:rPr>
                <w:rFonts w:ascii="宋体" w:hAnsi="Arial" w:eastAsia="宋体" w:cs="宋体"/>
                <w:color w:val="000000"/>
                <w:kern w:val="0"/>
                <w:sz w:val="22"/>
                <w:szCs w:val="22"/>
              </w:rPr>
              <w:t>(6)=(4)/(1)</w:t>
            </w:r>
          </w:p>
        </w:tc>
        <w:tc>
          <w:tcPr>
            <w:tcW w:w="963" w:type="dxa"/>
            <w:tcBorders>
              <w:top w:val="single" w:color="000000" w:sz="6" w:space="0"/>
              <w:left w:val="single" w:color="auto" w:sz="4" w:space="0"/>
              <w:bottom w:val="single" w:color="000000" w:sz="6" w:space="0"/>
              <w:right w:val="single" w:color="000000" w:sz="6" w:space="0"/>
            </w:tcBorders>
            <w:vAlign w:val="center"/>
          </w:tcPr>
          <w:p w14:paraId="40C301C7">
            <w:pPr>
              <w:autoSpaceDE w:val="0"/>
              <w:autoSpaceDN w:val="0"/>
              <w:jc w:val="center"/>
              <w:rPr>
                <w:rFonts w:ascii="宋体" w:hAnsi="Arial" w:eastAsia="宋体" w:cs="宋体"/>
                <w:color w:val="000000"/>
                <w:kern w:val="0"/>
                <w:sz w:val="22"/>
                <w:szCs w:val="22"/>
              </w:rPr>
            </w:pPr>
            <w:r>
              <w:rPr>
                <w:rFonts w:ascii="宋体" w:hAnsi="Arial" w:eastAsia="宋体" w:cs="宋体"/>
                <w:color w:val="000000"/>
                <w:kern w:val="0"/>
                <w:sz w:val="22"/>
                <w:szCs w:val="22"/>
              </w:rPr>
              <w:t>51.3</w:t>
            </w:r>
          </w:p>
        </w:tc>
        <w:tc>
          <w:tcPr>
            <w:tcW w:w="826" w:type="dxa"/>
            <w:tcBorders>
              <w:top w:val="single" w:color="000000" w:sz="6" w:space="0"/>
              <w:left w:val="single" w:color="000000" w:sz="6" w:space="0"/>
              <w:bottom w:val="single" w:color="000000" w:sz="6" w:space="0"/>
              <w:right w:val="single" w:color="000000" w:sz="6" w:space="0"/>
            </w:tcBorders>
            <w:vAlign w:val="center"/>
          </w:tcPr>
          <w:p w14:paraId="201ACB78">
            <w:pPr>
              <w:autoSpaceDE w:val="0"/>
              <w:autoSpaceDN w:val="0"/>
              <w:jc w:val="center"/>
              <w:rPr>
                <w:rFonts w:ascii="宋体" w:hAnsi="Arial" w:eastAsia="宋体" w:cs="宋体"/>
                <w:color w:val="000000"/>
                <w:kern w:val="0"/>
                <w:sz w:val="22"/>
                <w:szCs w:val="22"/>
              </w:rPr>
            </w:pPr>
            <w:r>
              <w:rPr>
                <w:rFonts w:ascii="宋体" w:hAnsi="Arial" w:eastAsia="宋体" w:cs="宋体"/>
                <w:color w:val="000000"/>
                <w:kern w:val="0"/>
                <w:sz w:val="22"/>
                <w:szCs w:val="22"/>
              </w:rPr>
              <w:t>0</w:t>
            </w:r>
          </w:p>
        </w:tc>
        <w:tc>
          <w:tcPr>
            <w:tcW w:w="722" w:type="dxa"/>
            <w:tcBorders>
              <w:top w:val="single" w:color="000000" w:sz="6" w:space="0"/>
              <w:left w:val="single" w:color="000000" w:sz="6" w:space="0"/>
              <w:bottom w:val="single" w:color="000000" w:sz="6" w:space="0"/>
              <w:right w:val="single" w:color="000000" w:sz="6" w:space="0"/>
            </w:tcBorders>
            <w:vAlign w:val="center"/>
          </w:tcPr>
          <w:p w14:paraId="64880C02">
            <w:pPr>
              <w:autoSpaceDE w:val="0"/>
              <w:autoSpaceDN w:val="0"/>
              <w:jc w:val="center"/>
              <w:rPr>
                <w:rFonts w:ascii="宋体" w:hAnsi="Arial" w:eastAsia="宋体" w:cs="宋体"/>
                <w:color w:val="000000"/>
                <w:kern w:val="0"/>
                <w:sz w:val="22"/>
                <w:szCs w:val="22"/>
              </w:rPr>
            </w:pPr>
            <w:r>
              <w:rPr>
                <w:rFonts w:ascii="宋体" w:hAnsi="Arial" w:eastAsia="宋体" w:cs="宋体"/>
                <w:color w:val="000000"/>
                <w:kern w:val="0"/>
                <w:sz w:val="22"/>
                <w:szCs w:val="22"/>
              </w:rPr>
              <w:t>0</w:t>
            </w:r>
          </w:p>
        </w:tc>
        <w:tc>
          <w:tcPr>
            <w:tcW w:w="929" w:type="dxa"/>
            <w:tcBorders>
              <w:top w:val="single" w:color="000000" w:sz="6" w:space="0"/>
              <w:left w:val="single" w:color="000000" w:sz="6" w:space="0"/>
              <w:bottom w:val="single" w:color="000000" w:sz="6" w:space="0"/>
              <w:right w:val="single" w:color="000000" w:sz="6" w:space="0"/>
            </w:tcBorders>
            <w:vAlign w:val="center"/>
          </w:tcPr>
          <w:p w14:paraId="7369AB7D">
            <w:pPr>
              <w:autoSpaceDE w:val="0"/>
              <w:autoSpaceDN w:val="0"/>
              <w:jc w:val="center"/>
              <w:rPr>
                <w:rFonts w:ascii="宋体" w:hAnsi="Arial" w:eastAsia="宋体" w:cs="宋体"/>
                <w:color w:val="000000"/>
                <w:kern w:val="0"/>
                <w:sz w:val="22"/>
                <w:szCs w:val="22"/>
              </w:rPr>
            </w:pPr>
            <w:r>
              <w:rPr>
                <w:rFonts w:ascii="宋体" w:hAnsi="Arial" w:eastAsia="宋体" w:cs="宋体"/>
                <w:color w:val="000000"/>
                <w:kern w:val="0"/>
                <w:sz w:val="22"/>
                <w:szCs w:val="22"/>
              </w:rPr>
              <w:t>51.3</w:t>
            </w:r>
          </w:p>
        </w:tc>
        <w:tc>
          <w:tcPr>
            <w:tcW w:w="860" w:type="dxa"/>
            <w:tcBorders>
              <w:top w:val="single" w:color="000000" w:sz="6" w:space="0"/>
              <w:left w:val="single" w:color="000000" w:sz="6" w:space="0"/>
              <w:bottom w:val="single" w:color="000000" w:sz="6" w:space="0"/>
              <w:right w:val="single" w:color="000000" w:sz="6" w:space="0"/>
            </w:tcBorders>
            <w:vAlign w:val="center"/>
          </w:tcPr>
          <w:p w14:paraId="28D24833">
            <w:pPr>
              <w:autoSpaceDE w:val="0"/>
              <w:autoSpaceDN w:val="0"/>
              <w:jc w:val="center"/>
              <w:rPr>
                <w:rFonts w:ascii="宋体" w:hAnsi="Arial" w:eastAsia="宋体" w:cs="宋体"/>
                <w:color w:val="000000"/>
                <w:kern w:val="0"/>
                <w:sz w:val="22"/>
                <w:szCs w:val="22"/>
              </w:rPr>
            </w:pPr>
            <w:r>
              <w:rPr>
                <w:rFonts w:ascii="宋体" w:hAnsi="Arial" w:eastAsia="宋体" w:cs="宋体"/>
                <w:color w:val="000000"/>
                <w:kern w:val="0"/>
                <w:sz w:val="22"/>
                <w:szCs w:val="22"/>
              </w:rPr>
              <w:t>0</w:t>
            </w:r>
          </w:p>
        </w:tc>
        <w:tc>
          <w:tcPr>
            <w:tcW w:w="1103" w:type="dxa"/>
            <w:tcBorders>
              <w:top w:val="single" w:color="000000" w:sz="6" w:space="0"/>
              <w:left w:val="single" w:color="000000" w:sz="6" w:space="0"/>
              <w:bottom w:val="single" w:color="000000" w:sz="6" w:space="0"/>
              <w:right w:val="single" w:color="000000" w:sz="6" w:space="0"/>
            </w:tcBorders>
            <w:vAlign w:val="center"/>
          </w:tcPr>
          <w:p w14:paraId="5EF66EFF">
            <w:pPr>
              <w:autoSpaceDE w:val="0"/>
              <w:autoSpaceDN w:val="0"/>
              <w:jc w:val="center"/>
              <w:rPr>
                <w:rFonts w:ascii="宋体" w:hAnsi="Arial" w:eastAsia="宋体" w:cs="宋体"/>
                <w:color w:val="000000"/>
                <w:kern w:val="0"/>
                <w:sz w:val="22"/>
                <w:szCs w:val="22"/>
              </w:rPr>
            </w:pPr>
            <w:r>
              <w:rPr>
                <w:rFonts w:ascii="宋体" w:hAnsi="Arial" w:eastAsia="宋体" w:cs="宋体"/>
                <w:color w:val="000000"/>
                <w:kern w:val="0"/>
                <w:sz w:val="22"/>
                <w:szCs w:val="22"/>
              </w:rPr>
              <w:t>0</w:t>
            </w:r>
          </w:p>
        </w:tc>
      </w:tr>
      <w:tr w14:paraId="6731D299">
        <w:tblPrEx>
          <w:tblCellMar>
            <w:top w:w="0" w:type="dxa"/>
            <w:left w:w="30" w:type="dxa"/>
            <w:bottom w:w="0" w:type="dxa"/>
            <w:right w:w="30" w:type="dxa"/>
          </w:tblCellMar>
        </w:tblPrEx>
        <w:trPr>
          <w:trHeight w:val="395" w:hRule="atLeast"/>
          <w:jc w:val="center"/>
        </w:trPr>
        <w:tc>
          <w:tcPr>
            <w:tcW w:w="1652" w:type="dxa"/>
            <w:tcBorders>
              <w:top w:val="single" w:color="auto" w:sz="4" w:space="0"/>
              <w:left w:val="single" w:color="auto" w:sz="4" w:space="0"/>
              <w:bottom w:val="single" w:color="auto" w:sz="4" w:space="0"/>
              <w:right w:val="single" w:color="auto" w:sz="4" w:space="0"/>
            </w:tcBorders>
            <w:vAlign w:val="center"/>
          </w:tcPr>
          <w:p w14:paraId="49654A54">
            <w:pPr>
              <w:autoSpaceDE w:val="0"/>
              <w:autoSpaceDN w:val="0"/>
              <w:jc w:val="center"/>
              <w:rPr>
                <w:rFonts w:ascii="宋体" w:hAnsi="Arial" w:eastAsia="宋体" w:cs="宋体"/>
                <w:color w:val="000000"/>
                <w:kern w:val="0"/>
                <w:sz w:val="22"/>
                <w:szCs w:val="22"/>
              </w:rPr>
            </w:pPr>
            <w:r>
              <w:rPr>
                <w:rFonts w:hint="eastAsia" w:ascii="宋体" w:hAnsi="Arial" w:eastAsia="宋体" w:cs="宋体"/>
                <w:color w:val="000000"/>
                <w:kern w:val="0"/>
                <w:sz w:val="22"/>
                <w:szCs w:val="22"/>
              </w:rPr>
              <w:t>资金到位率(%)</w:t>
            </w:r>
          </w:p>
        </w:tc>
        <w:tc>
          <w:tcPr>
            <w:tcW w:w="1618" w:type="dxa"/>
            <w:tcBorders>
              <w:top w:val="single" w:color="auto" w:sz="4" w:space="0"/>
              <w:left w:val="single" w:color="auto" w:sz="4" w:space="0"/>
              <w:bottom w:val="single" w:color="auto" w:sz="4" w:space="0"/>
              <w:right w:val="single" w:color="auto" w:sz="4" w:space="0"/>
            </w:tcBorders>
            <w:vAlign w:val="center"/>
          </w:tcPr>
          <w:p w14:paraId="64F6BFC9">
            <w:pPr>
              <w:autoSpaceDE w:val="0"/>
              <w:autoSpaceDN w:val="0"/>
              <w:jc w:val="center"/>
              <w:rPr>
                <w:rFonts w:ascii="宋体" w:hAnsi="Arial" w:eastAsia="宋体" w:cs="宋体"/>
                <w:color w:val="000000"/>
                <w:kern w:val="0"/>
                <w:sz w:val="22"/>
                <w:szCs w:val="22"/>
              </w:rPr>
            </w:pPr>
            <w:r>
              <w:rPr>
                <w:rFonts w:ascii="宋体" w:hAnsi="Arial" w:eastAsia="宋体" w:cs="宋体"/>
                <w:color w:val="000000"/>
                <w:kern w:val="0"/>
                <w:sz w:val="22"/>
                <w:szCs w:val="22"/>
              </w:rPr>
              <w:t>(7)=(3)/(1)</w:t>
            </w:r>
          </w:p>
        </w:tc>
        <w:tc>
          <w:tcPr>
            <w:tcW w:w="963" w:type="dxa"/>
            <w:tcBorders>
              <w:top w:val="single" w:color="000000" w:sz="6" w:space="0"/>
              <w:left w:val="single" w:color="auto" w:sz="4" w:space="0"/>
              <w:bottom w:val="single" w:color="000000" w:sz="6" w:space="0"/>
              <w:right w:val="single" w:color="000000" w:sz="6" w:space="0"/>
            </w:tcBorders>
            <w:vAlign w:val="center"/>
          </w:tcPr>
          <w:p w14:paraId="61431490">
            <w:pPr>
              <w:autoSpaceDE w:val="0"/>
              <w:autoSpaceDN w:val="0"/>
              <w:jc w:val="center"/>
              <w:rPr>
                <w:rFonts w:ascii="宋体" w:hAnsi="Arial" w:eastAsia="宋体" w:cs="宋体"/>
                <w:color w:val="000000"/>
                <w:kern w:val="0"/>
                <w:sz w:val="22"/>
                <w:szCs w:val="22"/>
              </w:rPr>
            </w:pPr>
            <w:r>
              <w:rPr>
                <w:rFonts w:ascii="宋体" w:hAnsi="Arial" w:eastAsia="宋体" w:cs="宋体"/>
                <w:color w:val="000000"/>
                <w:kern w:val="0"/>
                <w:sz w:val="22"/>
                <w:szCs w:val="22"/>
              </w:rPr>
              <w:t>51.3</w:t>
            </w:r>
          </w:p>
        </w:tc>
        <w:tc>
          <w:tcPr>
            <w:tcW w:w="826" w:type="dxa"/>
            <w:tcBorders>
              <w:top w:val="single" w:color="000000" w:sz="6" w:space="0"/>
              <w:left w:val="single" w:color="000000" w:sz="6" w:space="0"/>
              <w:bottom w:val="single" w:color="000000" w:sz="6" w:space="0"/>
              <w:right w:val="single" w:color="000000" w:sz="6" w:space="0"/>
            </w:tcBorders>
            <w:vAlign w:val="center"/>
          </w:tcPr>
          <w:p w14:paraId="0ED9D478">
            <w:pPr>
              <w:autoSpaceDE w:val="0"/>
              <w:autoSpaceDN w:val="0"/>
              <w:jc w:val="center"/>
              <w:rPr>
                <w:rFonts w:ascii="宋体" w:hAnsi="Arial" w:eastAsia="宋体" w:cs="宋体"/>
                <w:color w:val="000000"/>
                <w:kern w:val="0"/>
                <w:sz w:val="22"/>
                <w:szCs w:val="22"/>
              </w:rPr>
            </w:pPr>
            <w:r>
              <w:rPr>
                <w:rFonts w:ascii="宋体" w:hAnsi="Arial" w:eastAsia="宋体" w:cs="宋体"/>
                <w:color w:val="000000"/>
                <w:kern w:val="0"/>
                <w:sz w:val="22"/>
                <w:szCs w:val="22"/>
              </w:rPr>
              <w:t>0</w:t>
            </w:r>
          </w:p>
        </w:tc>
        <w:tc>
          <w:tcPr>
            <w:tcW w:w="722" w:type="dxa"/>
            <w:tcBorders>
              <w:top w:val="single" w:color="000000" w:sz="6" w:space="0"/>
              <w:left w:val="single" w:color="000000" w:sz="6" w:space="0"/>
              <w:bottom w:val="single" w:color="000000" w:sz="6" w:space="0"/>
              <w:right w:val="single" w:color="000000" w:sz="6" w:space="0"/>
            </w:tcBorders>
            <w:vAlign w:val="center"/>
          </w:tcPr>
          <w:p w14:paraId="35D035CA">
            <w:pPr>
              <w:autoSpaceDE w:val="0"/>
              <w:autoSpaceDN w:val="0"/>
              <w:jc w:val="center"/>
              <w:rPr>
                <w:rFonts w:ascii="宋体" w:hAnsi="Arial" w:eastAsia="宋体" w:cs="宋体"/>
                <w:color w:val="000000"/>
                <w:kern w:val="0"/>
                <w:sz w:val="22"/>
                <w:szCs w:val="22"/>
              </w:rPr>
            </w:pPr>
            <w:r>
              <w:rPr>
                <w:rFonts w:ascii="宋体" w:hAnsi="Arial" w:eastAsia="宋体" w:cs="宋体"/>
                <w:color w:val="000000"/>
                <w:kern w:val="0"/>
                <w:sz w:val="22"/>
                <w:szCs w:val="22"/>
              </w:rPr>
              <w:t>0</w:t>
            </w:r>
          </w:p>
        </w:tc>
        <w:tc>
          <w:tcPr>
            <w:tcW w:w="929" w:type="dxa"/>
            <w:tcBorders>
              <w:top w:val="single" w:color="000000" w:sz="6" w:space="0"/>
              <w:left w:val="single" w:color="000000" w:sz="6" w:space="0"/>
              <w:bottom w:val="single" w:color="000000" w:sz="6" w:space="0"/>
              <w:right w:val="single" w:color="000000" w:sz="6" w:space="0"/>
            </w:tcBorders>
            <w:vAlign w:val="center"/>
          </w:tcPr>
          <w:p w14:paraId="393FD965">
            <w:pPr>
              <w:autoSpaceDE w:val="0"/>
              <w:autoSpaceDN w:val="0"/>
              <w:jc w:val="center"/>
              <w:rPr>
                <w:rFonts w:ascii="宋体" w:hAnsi="Arial" w:eastAsia="宋体" w:cs="宋体"/>
                <w:color w:val="000000"/>
                <w:kern w:val="0"/>
                <w:sz w:val="22"/>
                <w:szCs w:val="22"/>
              </w:rPr>
            </w:pPr>
            <w:r>
              <w:rPr>
                <w:rFonts w:ascii="宋体" w:hAnsi="Arial" w:eastAsia="宋体" w:cs="宋体"/>
                <w:color w:val="000000"/>
                <w:kern w:val="0"/>
                <w:sz w:val="22"/>
                <w:szCs w:val="22"/>
              </w:rPr>
              <w:t>51.3</w:t>
            </w:r>
          </w:p>
        </w:tc>
        <w:tc>
          <w:tcPr>
            <w:tcW w:w="860" w:type="dxa"/>
            <w:tcBorders>
              <w:top w:val="single" w:color="000000" w:sz="6" w:space="0"/>
              <w:left w:val="single" w:color="000000" w:sz="6" w:space="0"/>
              <w:bottom w:val="single" w:color="000000" w:sz="6" w:space="0"/>
              <w:right w:val="single" w:color="000000" w:sz="6" w:space="0"/>
            </w:tcBorders>
            <w:vAlign w:val="center"/>
          </w:tcPr>
          <w:p w14:paraId="6C372D3B">
            <w:pPr>
              <w:autoSpaceDE w:val="0"/>
              <w:autoSpaceDN w:val="0"/>
              <w:jc w:val="center"/>
              <w:rPr>
                <w:rFonts w:ascii="宋体" w:hAnsi="Arial" w:eastAsia="宋体" w:cs="宋体"/>
                <w:color w:val="000000"/>
                <w:kern w:val="0"/>
                <w:sz w:val="22"/>
                <w:szCs w:val="22"/>
              </w:rPr>
            </w:pPr>
            <w:r>
              <w:rPr>
                <w:rFonts w:ascii="宋体" w:hAnsi="Arial" w:eastAsia="宋体" w:cs="宋体"/>
                <w:color w:val="000000"/>
                <w:kern w:val="0"/>
                <w:sz w:val="22"/>
                <w:szCs w:val="22"/>
              </w:rPr>
              <w:t>0</w:t>
            </w:r>
          </w:p>
        </w:tc>
        <w:tc>
          <w:tcPr>
            <w:tcW w:w="1103" w:type="dxa"/>
            <w:tcBorders>
              <w:top w:val="single" w:color="000000" w:sz="6" w:space="0"/>
              <w:left w:val="single" w:color="000000" w:sz="6" w:space="0"/>
              <w:bottom w:val="single" w:color="000000" w:sz="6" w:space="0"/>
              <w:right w:val="single" w:color="000000" w:sz="6" w:space="0"/>
            </w:tcBorders>
            <w:vAlign w:val="center"/>
          </w:tcPr>
          <w:p w14:paraId="0D5632B7">
            <w:pPr>
              <w:autoSpaceDE w:val="0"/>
              <w:autoSpaceDN w:val="0"/>
              <w:jc w:val="center"/>
              <w:rPr>
                <w:rFonts w:ascii="宋体" w:hAnsi="Arial" w:eastAsia="宋体" w:cs="宋体"/>
                <w:color w:val="000000"/>
                <w:kern w:val="0"/>
                <w:sz w:val="22"/>
                <w:szCs w:val="22"/>
              </w:rPr>
            </w:pPr>
            <w:r>
              <w:rPr>
                <w:rFonts w:ascii="宋体" w:hAnsi="Arial" w:eastAsia="宋体" w:cs="宋体"/>
                <w:color w:val="000000"/>
                <w:kern w:val="0"/>
                <w:sz w:val="22"/>
                <w:szCs w:val="22"/>
              </w:rPr>
              <w:t>0</w:t>
            </w:r>
          </w:p>
        </w:tc>
      </w:tr>
      <w:tr w14:paraId="49202FD3">
        <w:tblPrEx>
          <w:tblCellMar>
            <w:top w:w="0" w:type="dxa"/>
            <w:left w:w="30" w:type="dxa"/>
            <w:bottom w:w="0" w:type="dxa"/>
            <w:right w:w="30" w:type="dxa"/>
          </w:tblCellMar>
        </w:tblPrEx>
        <w:trPr>
          <w:trHeight w:val="395" w:hRule="atLeast"/>
          <w:jc w:val="center"/>
        </w:trPr>
        <w:tc>
          <w:tcPr>
            <w:tcW w:w="1652" w:type="dxa"/>
            <w:tcBorders>
              <w:top w:val="single" w:color="auto" w:sz="4" w:space="0"/>
              <w:left w:val="single" w:color="auto" w:sz="4" w:space="0"/>
              <w:bottom w:val="single" w:color="auto" w:sz="4" w:space="0"/>
              <w:right w:val="single" w:color="auto" w:sz="4" w:space="0"/>
            </w:tcBorders>
            <w:vAlign w:val="center"/>
          </w:tcPr>
          <w:p w14:paraId="46CFF97D">
            <w:pPr>
              <w:autoSpaceDE w:val="0"/>
              <w:autoSpaceDN w:val="0"/>
              <w:jc w:val="center"/>
              <w:rPr>
                <w:rFonts w:ascii="宋体" w:hAnsi="Arial" w:eastAsia="宋体" w:cs="宋体"/>
                <w:color w:val="000000"/>
                <w:kern w:val="0"/>
                <w:sz w:val="22"/>
                <w:szCs w:val="22"/>
              </w:rPr>
            </w:pPr>
            <w:r>
              <w:rPr>
                <w:rFonts w:hint="eastAsia" w:ascii="宋体" w:hAnsi="Arial" w:eastAsia="宋体" w:cs="宋体"/>
                <w:color w:val="000000"/>
                <w:kern w:val="0"/>
                <w:sz w:val="22"/>
                <w:szCs w:val="22"/>
              </w:rPr>
              <w:t>资金实际支出率(%)</w:t>
            </w:r>
          </w:p>
        </w:tc>
        <w:tc>
          <w:tcPr>
            <w:tcW w:w="1618" w:type="dxa"/>
            <w:tcBorders>
              <w:top w:val="single" w:color="auto" w:sz="4" w:space="0"/>
              <w:left w:val="single" w:color="auto" w:sz="4" w:space="0"/>
              <w:bottom w:val="single" w:color="auto" w:sz="4" w:space="0"/>
              <w:right w:val="single" w:color="auto" w:sz="4" w:space="0"/>
            </w:tcBorders>
            <w:vAlign w:val="center"/>
          </w:tcPr>
          <w:p w14:paraId="247C2983">
            <w:pPr>
              <w:autoSpaceDE w:val="0"/>
              <w:autoSpaceDN w:val="0"/>
              <w:jc w:val="center"/>
              <w:rPr>
                <w:rFonts w:ascii="宋体" w:hAnsi="Arial" w:eastAsia="宋体" w:cs="宋体"/>
                <w:color w:val="000000"/>
                <w:kern w:val="0"/>
                <w:sz w:val="22"/>
                <w:szCs w:val="22"/>
              </w:rPr>
            </w:pPr>
            <w:r>
              <w:rPr>
                <w:rFonts w:ascii="宋体" w:hAnsi="Arial" w:eastAsia="宋体" w:cs="宋体"/>
                <w:color w:val="000000"/>
                <w:kern w:val="0"/>
                <w:sz w:val="22"/>
                <w:szCs w:val="22"/>
              </w:rPr>
              <w:t>(8)=(4)/(3)</w:t>
            </w:r>
          </w:p>
        </w:tc>
        <w:tc>
          <w:tcPr>
            <w:tcW w:w="963" w:type="dxa"/>
            <w:tcBorders>
              <w:top w:val="single" w:color="000000" w:sz="6" w:space="0"/>
              <w:left w:val="single" w:color="auto" w:sz="4" w:space="0"/>
              <w:bottom w:val="single" w:color="000000" w:sz="6" w:space="0"/>
              <w:right w:val="single" w:color="000000" w:sz="6" w:space="0"/>
            </w:tcBorders>
            <w:vAlign w:val="center"/>
          </w:tcPr>
          <w:p w14:paraId="5BFBC4B2">
            <w:pPr>
              <w:autoSpaceDE w:val="0"/>
              <w:autoSpaceDN w:val="0"/>
              <w:jc w:val="center"/>
              <w:rPr>
                <w:rFonts w:ascii="宋体" w:hAnsi="Arial" w:eastAsia="宋体" w:cs="宋体"/>
                <w:color w:val="000000"/>
                <w:kern w:val="0"/>
                <w:sz w:val="22"/>
                <w:szCs w:val="22"/>
              </w:rPr>
            </w:pPr>
            <w:r>
              <w:rPr>
                <w:rFonts w:ascii="宋体" w:hAnsi="Arial" w:eastAsia="宋体" w:cs="宋体"/>
                <w:color w:val="000000"/>
                <w:kern w:val="0"/>
                <w:sz w:val="22"/>
                <w:szCs w:val="22"/>
              </w:rPr>
              <w:t>100</w:t>
            </w:r>
          </w:p>
        </w:tc>
        <w:tc>
          <w:tcPr>
            <w:tcW w:w="826" w:type="dxa"/>
            <w:tcBorders>
              <w:top w:val="single" w:color="000000" w:sz="6" w:space="0"/>
              <w:left w:val="single" w:color="000000" w:sz="6" w:space="0"/>
              <w:bottom w:val="single" w:color="000000" w:sz="6" w:space="0"/>
              <w:right w:val="single" w:color="000000" w:sz="6" w:space="0"/>
            </w:tcBorders>
            <w:vAlign w:val="center"/>
          </w:tcPr>
          <w:p w14:paraId="4AB18EF2">
            <w:pPr>
              <w:autoSpaceDE w:val="0"/>
              <w:autoSpaceDN w:val="0"/>
              <w:jc w:val="center"/>
              <w:rPr>
                <w:rFonts w:ascii="宋体" w:hAnsi="Arial" w:eastAsia="宋体" w:cs="宋体"/>
                <w:color w:val="000000"/>
                <w:kern w:val="0"/>
                <w:sz w:val="22"/>
                <w:szCs w:val="22"/>
              </w:rPr>
            </w:pPr>
            <w:r>
              <w:rPr>
                <w:rFonts w:ascii="宋体" w:hAnsi="Arial" w:eastAsia="宋体" w:cs="宋体"/>
                <w:color w:val="000000"/>
                <w:kern w:val="0"/>
                <w:sz w:val="22"/>
                <w:szCs w:val="22"/>
              </w:rPr>
              <w:t>0</w:t>
            </w:r>
          </w:p>
        </w:tc>
        <w:tc>
          <w:tcPr>
            <w:tcW w:w="722" w:type="dxa"/>
            <w:tcBorders>
              <w:top w:val="single" w:color="000000" w:sz="6" w:space="0"/>
              <w:left w:val="single" w:color="000000" w:sz="6" w:space="0"/>
              <w:bottom w:val="single" w:color="000000" w:sz="6" w:space="0"/>
              <w:right w:val="single" w:color="000000" w:sz="6" w:space="0"/>
            </w:tcBorders>
            <w:vAlign w:val="center"/>
          </w:tcPr>
          <w:p w14:paraId="07D1245D">
            <w:pPr>
              <w:autoSpaceDE w:val="0"/>
              <w:autoSpaceDN w:val="0"/>
              <w:jc w:val="center"/>
              <w:rPr>
                <w:rFonts w:ascii="宋体" w:hAnsi="Arial" w:eastAsia="宋体" w:cs="宋体"/>
                <w:color w:val="000000"/>
                <w:kern w:val="0"/>
                <w:sz w:val="22"/>
                <w:szCs w:val="22"/>
              </w:rPr>
            </w:pPr>
            <w:r>
              <w:rPr>
                <w:rFonts w:ascii="宋体" w:hAnsi="Arial" w:eastAsia="宋体" w:cs="宋体"/>
                <w:color w:val="000000"/>
                <w:kern w:val="0"/>
                <w:sz w:val="22"/>
                <w:szCs w:val="22"/>
              </w:rPr>
              <w:t>0</w:t>
            </w:r>
          </w:p>
        </w:tc>
        <w:tc>
          <w:tcPr>
            <w:tcW w:w="929" w:type="dxa"/>
            <w:tcBorders>
              <w:top w:val="single" w:color="000000" w:sz="6" w:space="0"/>
              <w:left w:val="single" w:color="000000" w:sz="6" w:space="0"/>
              <w:bottom w:val="single" w:color="000000" w:sz="6" w:space="0"/>
              <w:right w:val="single" w:color="000000" w:sz="6" w:space="0"/>
            </w:tcBorders>
            <w:vAlign w:val="center"/>
          </w:tcPr>
          <w:p w14:paraId="38F95EEB">
            <w:pPr>
              <w:autoSpaceDE w:val="0"/>
              <w:autoSpaceDN w:val="0"/>
              <w:jc w:val="center"/>
              <w:rPr>
                <w:rFonts w:ascii="宋体" w:hAnsi="Arial" w:eastAsia="宋体" w:cs="宋体"/>
                <w:color w:val="000000"/>
                <w:kern w:val="0"/>
                <w:sz w:val="22"/>
                <w:szCs w:val="22"/>
              </w:rPr>
            </w:pPr>
            <w:r>
              <w:rPr>
                <w:rFonts w:ascii="宋体" w:hAnsi="Arial" w:eastAsia="宋体" w:cs="宋体"/>
                <w:color w:val="000000"/>
                <w:kern w:val="0"/>
                <w:sz w:val="22"/>
                <w:szCs w:val="22"/>
              </w:rPr>
              <w:t>100</w:t>
            </w:r>
          </w:p>
        </w:tc>
        <w:tc>
          <w:tcPr>
            <w:tcW w:w="860" w:type="dxa"/>
            <w:tcBorders>
              <w:top w:val="single" w:color="000000" w:sz="6" w:space="0"/>
              <w:left w:val="single" w:color="000000" w:sz="6" w:space="0"/>
              <w:bottom w:val="single" w:color="000000" w:sz="6" w:space="0"/>
              <w:right w:val="single" w:color="000000" w:sz="6" w:space="0"/>
            </w:tcBorders>
            <w:vAlign w:val="center"/>
          </w:tcPr>
          <w:p w14:paraId="2A10BF83">
            <w:pPr>
              <w:autoSpaceDE w:val="0"/>
              <w:autoSpaceDN w:val="0"/>
              <w:jc w:val="center"/>
              <w:rPr>
                <w:rFonts w:ascii="宋体" w:hAnsi="Arial" w:eastAsia="宋体" w:cs="宋体"/>
                <w:color w:val="000000"/>
                <w:kern w:val="0"/>
                <w:sz w:val="22"/>
                <w:szCs w:val="22"/>
              </w:rPr>
            </w:pPr>
            <w:r>
              <w:rPr>
                <w:rFonts w:ascii="宋体" w:hAnsi="Arial" w:eastAsia="宋体" w:cs="宋体"/>
                <w:color w:val="000000"/>
                <w:kern w:val="0"/>
                <w:sz w:val="22"/>
                <w:szCs w:val="22"/>
              </w:rPr>
              <w:t>0</w:t>
            </w:r>
          </w:p>
        </w:tc>
        <w:tc>
          <w:tcPr>
            <w:tcW w:w="1103" w:type="dxa"/>
            <w:tcBorders>
              <w:top w:val="single" w:color="000000" w:sz="6" w:space="0"/>
              <w:left w:val="single" w:color="000000" w:sz="6" w:space="0"/>
              <w:bottom w:val="single" w:color="000000" w:sz="6" w:space="0"/>
              <w:right w:val="single" w:color="000000" w:sz="6" w:space="0"/>
            </w:tcBorders>
            <w:vAlign w:val="center"/>
          </w:tcPr>
          <w:p w14:paraId="73AADB9C">
            <w:pPr>
              <w:autoSpaceDE w:val="0"/>
              <w:autoSpaceDN w:val="0"/>
              <w:jc w:val="center"/>
              <w:rPr>
                <w:rFonts w:ascii="宋体" w:hAnsi="Arial" w:eastAsia="宋体" w:cs="宋体"/>
                <w:color w:val="000000"/>
                <w:kern w:val="0"/>
                <w:sz w:val="22"/>
                <w:szCs w:val="22"/>
              </w:rPr>
            </w:pPr>
            <w:r>
              <w:rPr>
                <w:rFonts w:ascii="宋体" w:hAnsi="Arial" w:eastAsia="宋体" w:cs="宋体"/>
                <w:color w:val="000000"/>
                <w:kern w:val="0"/>
                <w:sz w:val="22"/>
                <w:szCs w:val="22"/>
              </w:rPr>
              <w:t>0</w:t>
            </w:r>
          </w:p>
        </w:tc>
      </w:tr>
    </w:tbl>
    <w:p w14:paraId="5E68D7A8">
      <w:pPr>
        <w:pStyle w:val="9"/>
      </w:pPr>
      <w:r>
        <w:rPr>
          <w:rFonts w:hint="eastAsia"/>
        </w:rPr>
        <w:t>（2）资金使用情况</w:t>
      </w:r>
    </w:p>
    <w:tbl>
      <w:tblPr>
        <w:tblStyle w:val="5"/>
        <w:tblW w:w="8850" w:type="dxa"/>
        <w:jc w:val="center"/>
        <w:tblLayout w:type="fixed"/>
        <w:tblCellMar>
          <w:top w:w="0" w:type="dxa"/>
          <w:left w:w="30" w:type="dxa"/>
          <w:bottom w:w="0" w:type="dxa"/>
          <w:right w:w="30" w:type="dxa"/>
        </w:tblCellMar>
      </w:tblPr>
      <w:tblGrid>
        <w:gridCol w:w="2298"/>
        <w:gridCol w:w="1149"/>
        <w:gridCol w:w="1651"/>
        <w:gridCol w:w="1798"/>
        <w:gridCol w:w="1954"/>
      </w:tblGrid>
      <w:tr w14:paraId="241F9ABD">
        <w:tblPrEx>
          <w:tblCellMar>
            <w:top w:w="0" w:type="dxa"/>
            <w:left w:w="30" w:type="dxa"/>
            <w:bottom w:w="0" w:type="dxa"/>
            <w:right w:w="30" w:type="dxa"/>
          </w:tblCellMar>
        </w:tblPrEx>
        <w:trPr>
          <w:trHeight w:val="140" w:hRule="atLeast"/>
          <w:jc w:val="center"/>
        </w:trPr>
        <w:tc>
          <w:tcPr>
            <w:tcW w:w="2298"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14:paraId="4569FD86">
            <w:pPr>
              <w:widowControl/>
              <w:jc w:val="center"/>
              <w:rPr>
                <w:rFonts w:ascii="仿宋_GB2312"/>
                <w:b/>
                <w:bCs/>
                <w:kern w:val="0"/>
                <w:sz w:val="24"/>
              </w:rPr>
            </w:pPr>
            <w:r>
              <w:rPr>
                <w:b/>
                <w:bCs/>
                <w:color w:val="000000"/>
                <w:kern w:val="0"/>
                <w:sz w:val="21"/>
                <w:szCs w:val="21"/>
              </w:rPr>
              <w:t>项目支出内容</w:t>
            </w:r>
          </w:p>
        </w:tc>
        <w:tc>
          <w:tcPr>
            <w:tcW w:w="4598" w:type="dxa"/>
            <w:gridSpan w:val="3"/>
            <w:tcBorders>
              <w:top w:val="single" w:color="000000" w:sz="6" w:space="0"/>
              <w:left w:val="single" w:color="auto" w:sz="4" w:space="0"/>
              <w:bottom w:val="single" w:color="000000" w:sz="6" w:space="0"/>
              <w:right w:val="single" w:color="auto" w:sz="4" w:space="0"/>
            </w:tcBorders>
            <w:shd w:val="clear" w:color="auto" w:fill="95B3D7"/>
            <w:vAlign w:val="center"/>
          </w:tcPr>
          <w:p w14:paraId="18D46658">
            <w:pPr>
              <w:widowControl/>
              <w:jc w:val="center"/>
              <w:rPr>
                <w:rFonts w:ascii="仿宋_GB2312"/>
                <w:b/>
                <w:bCs/>
                <w:kern w:val="0"/>
                <w:sz w:val="24"/>
              </w:rPr>
            </w:pPr>
            <w:r>
              <w:rPr>
                <w:rFonts w:hint="eastAsia" w:ascii="仿宋_GB2312"/>
                <w:b/>
                <w:bCs/>
                <w:kern w:val="0"/>
                <w:sz w:val="24"/>
              </w:rPr>
              <w:t>资金情况（单位：元）</w:t>
            </w:r>
          </w:p>
        </w:tc>
        <w:tc>
          <w:tcPr>
            <w:tcW w:w="1954"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14:paraId="5EC9B641">
            <w:pPr>
              <w:widowControl/>
              <w:jc w:val="center"/>
              <w:rPr>
                <w:b/>
                <w:bCs/>
                <w:color w:val="000000"/>
                <w:kern w:val="0"/>
                <w:sz w:val="21"/>
                <w:szCs w:val="21"/>
              </w:rPr>
            </w:pPr>
            <w:r>
              <w:rPr>
                <w:b/>
                <w:bCs/>
                <w:color w:val="000000"/>
                <w:kern w:val="0"/>
                <w:sz w:val="21"/>
                <w:szCs w:val="21"/>
              </w:rPr>
              <w:t>财政资金专款</w:t>
            </w:r>
          </w:p>
          <w:p w14:paraId="72980E5F">
            <w:pPr>
              <w:widowControl/>
              <w:jc w:val="center"/>
              <w:rPr>
                <w:rFonts w:ascii="仿宋_GB2312"/>
                <w:b/>
                <w:bCs/>
                <w:kern w:val="0"/>
                <w:sz w:val="24"/>
              </w:rPr>
            </w:pPr>
            <w:r>
              <w:rPr>
                <w:b/>
                <w:bCs/>
                <w:color w:val="000000"/>
                <w:kern w:val="0"/>
                <w:sz w:val="21"/>
                <w:szCs w:val="21"/>
              </w:rPr>
              <w:t>专用数</w:t>
            </w:r>
          </w:p>
        </w:tc>
      </w:tr>
      <w:tr w14:paraId="3196407F">
        <w:tblPrEx>
          <w:tblCellMar>
            <w:top w:w="0" w:type="dxa"/>
            <w:left w:w="30" w:type="dxa"/>
            <w:bottom w:w="0" w:type="dxa"/>
            <w:right w:w="30" w:type="dxa"/>
          </w:tblCellMar>
        </w:tblPrEx>
        <w:trPr>
          <w:trHeight w:val="265" w:hRule="atLeast"/>
          <w:jc w:val="center"/>
        </w:trPr>
        <w:tc>
          <w:tcPr>
            <w:tcW w:w="2298" w:type="dxa"/>
            <w:vMerge w:val="continue"/>
            <w:tcBorders>
              <w:top w:val="single" w:color="auto" w:sz="4" w:space="0"/>
              <w:left w:val="single" w:color="auto" w:sz="4" w:space="0"/>
              <w:bottom w:val="single" w:color="auto" w:sz="4" w:space="0"/>
              <w:right w:val="single" w:color="auto" w:sz="4" w:space="0"/>
            </w:tcBorders>
            <w:shd w:val="solid" w:color="FFFFFF" w:fill="auto"/>
            <w:vAlign w:val="center"/>
          </w:tcPr>
          <w:p w14:paraId="22DED86B">
            <w:pPr>
              <w:widowControl/>
              <w:jc w:val="center"/>
              <w:rPr>
                <w:rFonts w:ascii="仿宋_GB2312"/>
                <w:b/>
                <w:bCs/>
                <w:kern w:val="0"/>
                <w:sz w:val="24"/>
              </w:rPr>
            </w:pPr>
          </w:p>
        </w:tc>
        <w:tc>
          <w:tcPr>
            <w:tcW w:w="1149" w:type="dxa"/>
            <w:tcBorders>
              <w:top w:val="single" w:color="000000" w:sz="6" w:space="0"/>
              <w:left w:val="single" w:color="auto" w:sz="4" w:space="0"/>
              <w:bottom w:val="single" w:color="000000" w:sz="6" w:space="0"/>
              <w:right w:val="single" w:color="000000" w:sz="6" w:space="0"/>
            </w:tcBorders>
            <w:shd w:val="clear" w:color="auto" w:fill="95B3D7"/>
            <w:vAlign w:val="center"/>
          </w:tcPr>
          <w:p w14:paraId="6D6CBDB6">
            <w:pPr>
              <w:widowControl/>
              <w:jc w:val="center"/>
              <w:rPr>
                <w:rFonts w:ascii="仿宋_GB2312"/>
                <w:b/>
                <w:bCs/>
                <w:kern w:val="0"/>
                <w:sz w:val="24"/>
              </w:rPr>
            </w:pPr>
            <w:r>
              <w:rPr>
                <w:b/>
                <w:bCs/>
                <w:color w:val="000000"/>
                <w:kern w:val="0"/>
                <w:sz w:val="21"/>
                <w:szCs w:val="21"/>
              </w:rPr>
              <w:t>合计</w:t>
            </w:r>
          </w:p>
        </w:tc>
        <w:tc>
          <w:tcPr>
            <w:tcW w:w="1651" w:type="dxa"/>
            <w:tcBorders>
              <w:top w:val="single" w:color="000000" w:sz="6" w:space="0"/>
              <w:left w:val="single" w:color="000000" w:sz="6" w:space="0"/>
              <w:bottom w:val="single" w:color="000000" w:sz="6" w:space="0"/>
              <w:right w:val="single" w:color="000000" w:sz="6" w:space="0"/>
            </w:tcBorders>
            <w:shd w:val="clear" w:color="auto" w:fill="95B3D7"/>
            <w:vAlign w:val="center"/>
          </w:tcPr>
          <w:p w14:paraId="16FEC7D7">
            <w:pPr>
              <w:widowControl/>
              <w:jc w:val="center"/>
              <w:rPr>
                <w:rFonts w:ascii="仿宋_GB2312"/>
                <w:b/>
                <w:bCs/>
                <w:kern w:val="0"/>
                <w:sz w:val="24"/>
              </w:rPr>
            </w:pPr>
            <w:r>
              <w:rPr>
                <w:b/>
                <w:bCs/>
                <w:color w:val="000000"/>
                <w:kern w:val="0"/>
                <w:sz w:val="21"/>
                <w:szCs w:val="21"/>
              </w:rPr>
              <w:t>财政资金支出数</w:t>
            </w:r>
          </w:p>
        </w:tc>
        <w:tc>
          <w:tcPr>
            <w:tcW w:w="1798" w:type="dxa"/>
            <w:tcBorders>
              <w:top w:val="single" w:color="000000" w:sz="6" w:space="0"/>
              <w:left w:val="single" w:color="000000" w:sz="6" w:space="0"/>
              <w:bottom w:val="single" w:color="000000" w:sz="6" w:space="0"/>
              <w:right w:val="single" w:color="000000" w:sz="6" w:space="0"/>
            </w:tcBorders>
            <w:shd w:val="clear" w:color="auto" w:fill="95B3D7"/>
            <w:vAlign w:val="center"/>
          </w:tcPr>
          <w:p w14:paraId="62219508">
            <w:pPr>
              <w:widowControl/>
              <w:jc w:val="center"/>
              <w:rPr>
                <w:rFonts w:ascii="仿宋_GB2312"/>
                <w:b/>
                <w:bCs/>
                <w:kern w:val="0"/>
                <w:sz w:val="24"/>
              </w:rPr>
            </w:pPr>
            <w:r>
              <w:rPr>
                <w:b/>
                <w:bCs/>
                <w:color w:val="000000"/>
                <w:kern w:val="0"/>
                <w:sz w:val="21"/>
                <w:szCs w:val="21"/>
              </w:rPr>
              <w:t>其他资金支出数</w:t>
            </w:r>
          </w:p>
        </w:tc>
        <w:tc>
          <w:tcPr>
            <w:tcW w:w="1954" w:type="dxa"/>
            <w:vMerge w:val="continue"/>
            <w:tcBorders>
              <w:top w:val="single" w:color="auto" w:sz="4" w:space="0"/>
              <w:left w:val="single" w:color="auto" w:sz="4" w:space="0"/>
              <w:bottom w:val="single" w:color="auto" w:sz="4" w:space="0"/>
              <w:right w:val="single" w:color="auto" w:sz="4" w:space="0"/>
            </w:tcBorders>
            <w:shd w:val="clear" w:color="auto" w:fill="95B3D7"/>
            <w:vAlign w:val="center"/>
          </w:tcPr>
          <w:p w14:paraId="45CB9C49">
            <w:pPr>
              <w:autoSpaceDE w:val="0"/>
              <w:autoSpaceDN w:val="0"/>
              <w:jc w:val="center"/>
              <w:rPr>
                <w:rFonts w:ascii="宋体" w:hAnsi="Arial" w:eastAsia="宋体" w:cs="宋体"/>
                <w:color w:val="000000"/>
                <w:kern w:val="0"/>
                <w:sz w:val="20"/>
                <w:szCs w:val="20"/>
              </w:rPr>
            </w:pPr>
          </w:p>
        </w:tc>
      </w:tr>
      <w:tr w14:paraId="631D5724">
        <w:tblPrEx>
          <w:tblCellMar>
            <w:top w:w="0" w:type="dxa"/>
            <w:left w:w="30" w:type="dxa"/>
            <w:bottom w:w="0" w:type="dxa"/>
            <w:right w:w="30" w:type="dxa"/>
          </w:tblCellMar>
        </w:tblPrEx>
        <w:trPr>
          <w:trHeight w:val="265" w:hRule="atLeast"/>
          <w:jc w:val="center"/>
        </w:trPr>
        <w:tc>
          <w:tcPr>
            <w:tcW w:w="2298" w:type="dxa"/>
            <w:tcBorders>
              <w:top w:val="single" w:color="auto" w:sz="4" w:space="0"/>
              <w:left w:val="single" w:color="auto" w:sz="4" w:space="0"/>
              <w:bottom w:val="single" w:color="auto" w:sz="4" w:space="0"/>
              <w:right w:val="single" w:color="auto" w:sz="4" w:space="0"/>
            </w:tcBorders>
            <w:vAlign w:val="center"/>
          </w:tcPr>
          <w:p w14:paraId="58BBB218">
            <w:pPr>
              <w:autoSpaceDE w:val="0"/>
              <w:autoSpaceDN w:val="0"/>
              <w:jc w:val="center"/>
              <w:rPr>
                <w:rFonts w:ascii="宋体" w:hAnsi="Arial" w:eastAsia="宋体" w:cs="宋体"/>
                <w:color w:val="000000"/>
                <w:kern w:val="0"/>
                <w:sz w:val="20"/>
                <w:szCs w:val="20"/>
              </w:rPr>
            </w:pPr>
            <w:r>
              <w:rPr>
                <w:rFonts w:hint="eastAsia" w:ascii="宋体" w:hAnsi="Arial" w:eastAsia="宋体" w:cs="宋体"/>
                <w:color w:val="000000"/>
                <w:kern w:val="0"/>
                <w:sz w:val="20"/>
                <w:szCs w:val="20"/>
              </w:rPr>
              <w:t>合计</w:t>
            </w:r>
          </w:p>
        </w:tc>
        <w:tc>
          <w:tcPr>
            <w:tcW w:w="1149" w:type="dxa"/>
            <w:tcBorders>
              <w:top w:val="single" w:color="000000" w:sz="6" w:space="0"/>
              <w:left w:val="single" w:color="auto" w:sz="4" w:space="0"/>
              <w:bottom w:val="single" w:color="000000" w:sz="6" w:space="0"/>
              <w:right w:val="single" w:color="000000" w:sz="6" w:space="0"/>
            </w:tcBorders>
            <w:vAlign w:val="center"/>
          </w:tcPr>
          <w:p w14:paraId="4C46801B">
            <w:pPr>
              <w:autoSpaceDE w:val="0"/>
              <w:autoSpaceDN w:val="0"/>
              <w:jc w:val="center"/>
              <w:rPr>
                <w:rFonts w:ascii="宋体" w:hAnsi="Arial" w:eastAsia="宋体" w:cs="宋体"/>
                <w:color w:val="000000"/>
                <w:kern w:val="0"/>
                <w:sz w:val="20"/>
                <w:szCs w:val="20"/>
              </w:rPr>
            </w:pPr>
            <w:r>
              <w:rPr>
                <w:rFonts w:ascii="宋体" w:hAnsi="Arial" w:eastAsia="宋体" w:cs="宋体"/>
                <w:color w:val="000000"/>
                <w:kern w:val="0"/>
                <w:sz w:val="20"/>
                <w:szCs w:val="20"/>
              </w:rPr>
              <w:t>200</w:t>
            </w:r>
          </w:p>
        </w:tc>
        <w:tc>
          <w:tcPr>
            <w:tcW w:w="1651" w:type="dxa"/>
            <w:tcBorders>
              <w:top w:val="single" w:color="000000" w:sz="6" w:space="0"/>
              <w:left w:val="single" w:color="000000" w:sz="6" w:space="0"/>
              <w:bottom w:val="single" w:color="000000" w:sz="6" w:space="0"/>
              <w:right w:val="single" w:color="000000" w:sz="6" w:space="0"/>
            </w:tcBorders>
            <w:vAlign w:val="center"/>
          </w:tcPr>
          <w:p w14:paraId="18B70A17">
            <w:pPr>
              <w:autoSpaceDE w:val="0"/>
              <w:autoSpaceDN w:val="0"/>
              <w:jc w:val="center"/>
              <w:rPr>
                <w:rFonts w:ascii="宋体" w:hAnsi="Arial" w:eastAsia="宋体" w:cs="宋体"/>
                <w:color w:val="000000"/>
                <w:kern w:val="0"/>
                <w:sz w:val="20"/>
                <w:szCs w:val="20"/>
              </w:rPr>
            </w:pPr>
            <w:r>
              <w:rPr>
                <w:rFonts w:ascii="宋体" w:hAnsi="Arial" w:eastAsia="宋体" w:cs="宋体"/>
                <w:color w:val="000000"/>
                <w:kern w:val="0"/>
                <w:sz w:val="20"/>
                <w:szCs w:val="20"/>
              </w:rPr>
              <w:t>200</w:t>
            </w:r>
          </w:p>
        </w:tc>
        <w:tc>
          <w:tcPr>
            <w:tcW w:w="1798" w:type="dxa"/>
            <w:tcBorders>
              <w:top w:val="single" w:color="000000" w:sz="6" w:space="0"/>
              <w:left w:val="single" w:color="000000" w:sz="6" w:space="0"/>
              <w:bottom w:val="single" w:color="000000" w:sz="6" w:space="0"/>
              <w:right w:val="single" w:color="000000" w:sz="6" w:space="0"/>
            </w:tcBorders>
            <w:vAlign w:val="center"/>
          </w:tcPr>
          <w:p w14:paraId="789548F9">
            <w:pPr>
              <w:autoSpaceDE w:val="0"/>
              <w:autoSpaceDN w:val="0"/>
              <w:jc w:val="center"/>
              <w:rPr>
                <w:rFonts w:ascii="宋体" w:hAnsi="Arial" w:eastAsia="宋体" w:cs="宋体"/>
                <w:color w:val="000000"/>
                <w:kern w:val="0"/>
                <w:sz w:val="20"/>
                <w:szCs w:val="20"/>
              </w:rPr>
            </w:pPr>
            <w:r>
              <w:rPr>
                <w:rFonts w:ascii="宋体" w:hAnsi="Arial" w:eastAsia="宋体" w:cs="宋体"/>
                <w:color w:val="000000"/>
                <w:kern w:val="0"/>
                <w:sz w:val="20"/>
                <w:szCs w:val="20"/>
              </w:rPr>
              <w:t>0</w:t>
            </w:r>
          </w:p>
        </w:tc>
        <w:tc>
          <w:tcPr>
            <w:tcW w:w="1954" w:type="dxa"/>
            <w:tcBorders>
              <w:top w:val="single" w:color="auto" w:sz="4" w:space="0"/>
              <w:left w:val="single" w:color="auto" w:sz="4" w:space="0"/>
              <w:bottom w:val="single" w:color="auto" w:sz="4" w:space="0"/>
              <w:right w:val="single" w:color="auto" w:sz="4" w:space="0"/>
            </w:tcBorders>
            <w:vAlign w:val="center"/>
          </w:tcPr>
          <w:p w14:paraId="03BD07AA">
            <w:pPr>
              <w:autoSpaceDE w:val="0"/>
              <w:autoSpaceDN w:val="0"/>
              <w:jc w:val="center"/>
              <w:rPr>
                <w:rFonts w:ascii="宋体" w:hAnsi="Arial" w:eastAsia="宋体" w:cs="宋体"/>
                <w:color w:val="000000"/>
                <w:kern w:val="0"/>
                <w:sz w:val="20"/>
                <w:szCs w:val="20"/>
              </w:rPr>
            </w:pPr>
            <w:r>
              <w:rPr>
                <w:rFonts w:ascii="宋体" w:hAnsi="Arial" w:eastAsia="宋体" w:cs="宋体"/>
                <w:color w:val="000000"/>
                <w:kern w:val="0"/>
                <w:sz w:val="20"/>
                <w:szCs w:val="20"/>
              </w:rPr>
              <w:t>200</w:t>
            </w:r>
          </w:p>
        </w:tc>
      </w:tr>
    </w:tbl>
    <w:p w14:paraId="22D0F063">
      <w:pPr>
        <w:ind w:firstLine="560"/>
      </w:pPr>
    </w:p>
    <w:p w14:paraId="212879A8">
      <w:pPr>
        <w:pStyle w:val="12"/>
        <w:ind w:firstLine="602"/>
      </w:pPr>
      <w:r>
        <w:rPr>
          <w:rFonts w:hint="eastAsia"/>
        </w:rPr>
        <w:t>（二）项目绩效目标</w:t>
      </w:r>
    </w:p>
    <w:p w14:paraId="50EB2FE1">
      <w:pPr>
        <w:pStyle w:val="12"/>
        <w:ind w:firstLine="602"/>
      </w:pPr>
      <w:r>
        <w:rPr>
          <w:rFonts w:hint="eastAsia"/>
        </w:rPr>
        <w:t>1、总体目标</w:t>
      </w:r>
    </w:p>
    <w:p w14:paraId="7E22B986">
      <w:pPr>
        <w:spacing w:line="600" w:lineRule="exact"/>
        <w:ind w:firstLine="600" w:firstLineChars="200"/>
        <w:rPr>
          <w:rFonts w:ascii="仿宋_GB2312"/>
        </w:rPr>
      </w:pPr>
      <w:r>
        <w:rPr>
          <w:rFonts w:hint="eastAsia" w:ascii="仿宋_GB2312"/>
        </w:rPr>
        <w:t>针对巴州区域战略定位和发展目标，围绕改善环境质量、提升生态安全水平两大任务，按照生态保护红线优布局、区域环境总量调结构、生态环境准入促转型的总体思路，完成巴州“三线一单”编制工作，明确巴州生态保护红线和生态空间，确定环境质量底线，划定资源利用上线，建立生态环境准入清单，提出空间、总量和准入环境管控策略，建立巴州精细化的“三线一单”管控体系，作为巴州全面加强生态环境保护、促进绿色发展、提高生态环境治理能力的有力支撑。</w:t>
      </w:r>
    </w:p>
    <w:p w14:paraId="2448F9FD">
      <w:pPr>
        <w:pStyle w:val="12"/>
        <w:ind w:firstLine="602"/>
      </w:pPr>
      <w:r>
        <w:rPr>
          <w:rFonts w:hint="eastAsia"/>
        </w:rPr>
        <w:t>2、年度绩效目标</w:t>
      </w:r>
    </w:p>
    <w:p w14:paraId="00C54CBA">
      <w:pPr>
        <w:spacing w:line="600" w:lineRule="exact"/>
        <w:ind w:firstLine="600" w:firstLineChars="200"/>
        <w:rPr>
          <w:rFonts w:ascii="仿宋_GB2312"/>
        </w:rPr>
      </w:pPr>
      <w:r>
        <w:rPr>
          <w:rFonts w:hint="eastAsia" w:ascii="仿宋_GB2312"/>
        </w:rPr>
        <w:t>提交巴州“三线一单”成果报告8份，其中三线一单文本1份、研究报告1份、专题报告6份；完成“三线一单”图件编制15幅以上；召开项目启动会、初步成果汇报会、征求意见会、成果验收会等会议5次以上；成果按自治区“三线一单”实施方案时限要求，与2019年底完成论证验收；基于“三线一单”成果不断促进巴州产业结构调整和布局优化，推进绿色发展，同时不断完善生态空间管控体系，推动环境质量持续提升。</w:t>
      </w:r>
    </w:p>
    <w:p w14:paraId="58FCA336">
      <w:pPr>
        <w:spacing w:line="600" w:lineRule="exact"/>
        <w:ind w:firstLine="600" w:firstLineChars="200"/>
        <w:rPr>
          <w:rFonts w:ascii="仿宋_GB2312"/>
        </w:rPr>
      </w:pPr>
    </w:p>
    <w:p w14:paraId="478F4E95">
      <w:pPr>
        <w:pStyle w:val="10"/>
        <w:ind w:firstLine="600"/>
      </w:pPr>
      <w:r>
        <w:rPr>
          <w:rFonts w:hint="eastAsia"/>
        </w:rPr>
        <w:t>二、绩效评价工作开展情况</w:t>
      </w:r>
    </w:p>
    <w:p w14:paraId="3086C209">
      <w:pPr>
        <w:pStyle w:val="12"/>
        <w:ind w:firstLine="602"/>
      </w:pPr>
      <w:r>
        <w:rPr>
          <w:rFonts w:hint="eastAsia"/>
        </w:rPr>
        <w:t>（一）绩效评价目的、对象和范围</w:t>
      </w:r>
    </w:p>
    <w:p w14:paraId="348B41C5">
      <w:pPr>
        <w:spacing w:line="600" w:lineRule="exact"/>
        <w:ind w:firstLine="600" w:firstLineChars="200"/>
        <w:rPr>
          <w:rFonts w:ascii="仿宋_GB2312"/>
        </w:rPr>
      </w:pPr>
      <w:r>
        <w:rPr>
          <w:rFonts w:hint="eastAsia" w:ascii="仿宋_GB2312"/>
        </w:rPr>
        <w:t>绩效评价目的是为了更好的巴音郭楞蒙古自治州区域空间生态环境评价暨“三线一单”编制的推进工作，查漏补缺，规范工作程序，强化工作管理。</w:t>
      </w:r>
    </w:p>
    <w:p w14:paraId="187F53B1">
      <w:pPr>
        <w:spacing w:line="600" w:lineRule="exact"/>
        <w:ind w:firstLine="600" w:firstLineChars="200"/>
        <w:rPr>
          <w:rFonts w:ascii="仿宋_GB2312"/>
        </w:rPr>
      </w:pPr>
      <w:r>
        <w:rPr>
          <w:rFonts w:hint="eastAsia" w:ascii="仿宋_GB2312"/>
        </w:rPr>
        <w:t>绩效评价的对象是巴音郭楞蒙古自治州区域空间生态环境评价暨“三线一单”完成进展与成效。</w:t>
      </w:r>
    </w:p>
    <w:p w14:paraId="51F5BC58">
      <w:pPr>
        <w:spacing w:line="600" w:lineRule="exact"/>
        <w:ind w:firstLine="600" w:firstLineChars="200"/>
        <w:rPr>
          <w:rFonts w:ascii="仿宋_GB2312"/>
        </w:rPr>
      </w:pPr>
      <w:r>
        <w:rPr>
          <w:rFonts w:hint="eastAsia" w:ascii="仿宋_GB2312"/>
        </w:rPr>
        <w:t>绩效评价范围包括巴州“三线一单”的管理情况、实施组织</w:t>
      </w:r>
      <w:r>
        <w:rPr>
          <w:rFonts w:hint="eastAsia" w:ascii="仿宋_GB2312"/>
          <w:lang w:eastAsia="zh-CN"/>
        </w:rPr>
        <w:t>及</w:t>
      </w:r>
      <w:bookmarkStart w:id="21" w:name="_GoBack"/>
      <w:bookmarkEnd w:id="21"/>
      <w:r>
        <w:rPr>
          <w:rFonts w:hint="eastAsia" w:ascii="仿宋_GB2312"/>
        </w:rPr>
        <w:t>成果（包括文本、研究报告、准入清单及图集）。</w:t>
      </w:r>
    </w:p>
    <w:p w14:paraId="64FEEA91">
      <w:pPr>
        <w:pStyle w:val="12"/>
        <w:ind w:firstLine="602"/>
      </w:pPr>
      <w:r>
        <w:rPr>
          <w:rFonts w:hint="eastAsia"/>
        </w:rPr>
        <w:t>（二）绩效评价原则、评价指标体系（附表说明）、评价方法、评价标准</w:t>
      </w:r>
    </w:p>
    <w:p w14:paraId="2878EDD9">
      <w:pPr>
        <w:spacing w:line="600" w:lineRule="exact"/>
        <w:ind w:firstLine="600" w:firstLineChars="200"/>
        <w:rPr>
          <w:rFonts w:ascii="仿宋_GB2312"/>
        </w:rPr>
      </w:pPr>
      <w:r>
        <w:rPr>
          <w:rFonts w:hint="eastAsia" w:ascii="仿宋_GB2312"/>
        </w:rPr>
        <w:t>绩效评价原则按照实事求是、实际工作开展的完成情况进行评价打分。</w:t>
      </w:r>
    </w:p>
    <w:p w14:paraId="2A03C80A">
      <w:pPr>
        <w:spacing w:line="600" w:lineRule="exact"/>
        <w:ind w:firstLine="600" w:firstLineChars="200"/>
        <w:rPr>
          <w:rFonts w:ascii="仿宋_GB2312"/>
        </w:rPr>
      </w:pPr>
      <w:r>
        <w:rPr>
          <w:rFonts w:hint="eastAsia" w:ascii="仿宋_GB2312"/>
        </w:rPr>
        <w:t>绩效评价指标体系产出指标、效益指标、满意度指标共计1</w:t>
      </w:r>
      <w:r>
        <w:rPr>
          <w:rFonts w:ascii="仿宋_GB2312"/>
        </w:rPr>
        <w:t>1</w:t>
      </w:r>
      <w:r>
        <w:rPr>
          <w:rFonts w:hint="eastAsia" w:ascii="仿宋_GB2312"/>
        </w:rPr>
        <w:t>项指标，具体见附表。</w:t>
      </w:r>
    </w:p>
    <w:p w14:paraId="4B12265E">
      <w:pPr>
        <w:pStyle w:val="9"/>
      </w:pPr>
      <w:r>
        <w:rPr>
          <w:rFonts w:hint="eastAsia"/>
        </w:rPr>
        <w:t>评价方法主要为比较打分法，通过对不同地区同类预算支出安排的比较，综合分析评估。由于“三线一单”属于国家近两年才开始推动编制与实施的重大政策，所以全国各地区均有序推进该项工作，其项目绩效尚未完全凸显，所以根据其他地区的预算支出安排与编制实践的对本项目进行比较评估较为合理，针对各项指标的预期指标值，比对2</w:t>
      </w:r>
      <w:r>
        <w:t>019</w:t>
      </w:r>
      <w:r>
        <w:rPr>
          <w:rFonts w:hint="eastAsia"/>
        </w:rPr>
        <w:t>年完成情况，按照完成率进行打分。</w:t>
      </w:r>
    </w:p>
    <w:p w14:paraId="263DF485">
      <w:pPr>
        <w:pStyle w:val="9"/>
      </w:pPr>
      <w:r>
        <w:rPr>
          <w:rFonts w:hint="eastAsia"/>
        </w:rPr>
        <w:t>评估标准主要以相关法律、法规、规章以及国家、自治区、自治州有关文件等为依据，按照“公开、公平、公正”的原则进行。通过规范的程序，采用定性与定量相结合的评估方法，科学、合理地进行。在评估过程中，应收集足够的相关文件及资料，为评估结论提供充分的依据支持。重点评估项目立项的合理性和预算的准确性，在开展事前绩效评估工作过程中，要注意控制成本、节约经费。</w:t>
      </w:r>
    </w:p>
    <w:p w14:paraId="4415A03D">
      <w:pPr>
        <w:pStyle w:val="12"/>
        <w:ind w:firstLine="602"/>
      </w:pPr>
      <w:r>
        <w:rPr>
          <w:rFonts w:hint="eastAsia"/>
        </w:rPr>
        <w:t>（三）绩效评价工作过程</w:t>
      </w:r>
    </w:p>
    <w:p w14:paraId="06743D8B">
      <w:pPr>
        <w:pStyle w:val="9"/>
      </w:pPr>
      <w:r>
        <w:rPr>
          <w:rFonts w:hint="eastAsia"/>
        </w:rPr>
        <w:t>目前《巴音郭楞蒙古自治州区域空间生态环境评价暨“三线一单”编制》项目委托技术支撑单位生态环境部环境规划院按照自治区政府印发的《自治区区域空间生态环评评价工作实施方案（2018-2025年）》时限要求有序的推进，从项目顺利立项，到落实项目经费，再到推进项目研究与编制，对照项目绩效评价指标，对项目支出绩效进行客观、公正的评估。</w:t>
      </w:r>
    </w:p>
    <w:p w14:paraId="4EDF5421">
      <w:pPr>
        <w:pStyle w:val="9"/>
      </w:pPr>
      <w:r>
        <w:t>2019</w:t>
      </w:r>
      <w:r>
        <w:rPr>
          <w:rFonts w:hint="eastAsia"/>
        </w:rPr>
        <w:t>年</w:t>
      </w:r>
      <w:r>
        <w:t>9</w:t>
      </w:r>
      <w:r>
        <w:rPr>
          <w:rFonts w:hint="eastAsia"/>
        </w:rPr>
        <w:t>月2</w:t>
      </w:r>
      <w:r>
        <w:t>3</w:t>
      </w:r>
      <w:r>
        <w:rPr>
          <w:rFonts w:hint="eastAsia"/>
        </w:rPr>
        <w:t>日前组织巴州生态环境局相关工作人员围绕巴州“三线一单”项目财政支出事前绩效评估报告开展评估。</w:t>
      </w:r>
    </w:p>
    <w:p w14:paraId="757F88BF">
      <w:pPr>
        <w:pStyle w:val="9"/>
      </w:pPr>
      <w:r>
        <w:t>2019</w:t>
      </w:r>
      <w:r>
        <w:rPr>
          <w:rFonts w:hint="eastAsia"/>
        </w:rPr>
        <w:t>年9月2</w:t>
      </w:r>
      <w:r>
        <w:t>5</w:t>
      </w:r>
      <w:r>
        <w:rPr>
          <w:rFonts w:hint="eastAsia"/>
        </w:rPr>
        <w:t>日前形成《巴音郭楞蒙古自治州区域空间生态环境评价暨“三线一单”编制》自治州财政支出事前绩效评估报告，作为生态环境局申报本项目预算的必备要件。</w:t>
      </w:r>
    </w:p>
    <w:p w14:paraId="2CFCE56C">
      <w:pPr>
        <w:pStyle w:val="9"/>
      </w:pPr>
      <w:r>
        <w:t>2019</w:t>
      </w:r>
      <w:r>
        <w:rPr>
          <w:rFonts w:hint="eastAsia"/>
        </w:rPr>
        <w:t>年1</w:t>
      </w:r>
      <w:r>
        <w:t>2</w:t>
      </w:r>
      <w:r>
        <w:rPr>
          <w:rFonts w:hint="eastAsia"/>
        </w:rPr>
        <w:t>月底，完成了巴音郭楞蒙古自治州区域空间生态环境评价暨“三线一单”考核自查报告，针对巴州“三线一单”项目的支出绩效开展自我评价。</w:t>
      </w:r>
    </w:p>
    <w:p w14:paraId="3297FB7C">
      <w:pPr>
        <w:pStyle w:val="9"/>
      </w:pPr>
      <w:r>
        <w:t>2020</w:t>
      </w:r>
      <w:r>
        <w:rPr>
          <w:rFonts w:hint="eastAsia"/>
        </w:rPr>
        <w:t>年初，完成巴音郭楞蒙古自治州区域空间生态环境评价暨“三线一单”编制项目支出绩效评价报告。</w:t>
      </w:r>
    </w:p>
    <w:p w14:paraId="1E79AD81">
      <w:pPr>
        <w:spacing w:line="600" w:lineRule="exact"/>
        <w:ind w:firstLine="600" w:firstLineChars="200"/>
        <w:rPr>
          <w:rFonts w:ascii="仿宋_GB2312"/>
        </w:rPr>
      </w:pPr>
    </w:p>
    <w:p w14:paraId="4C967399">
      <w:pPr>
        <w:spacing w:line="600" w:lineRule="exact"/>
        <w:ind w:firstLine="600" w:firstLineChars="200"/>
        <w:rPr>
          <w:rFonts w:ascii="仿宋_GB2312"/>
        </w:rPr>
      </w:pPr>
      <w:r>
        <w:rPr>
          <w:rFonts w:hint="eastAsia" w:ascii="黑体" w:hAnsi="黑体" w:eastAsia="黑体"/>
        </w:rPr>
        <w:t>三、综合评价情况及评价结论</w:t>
      </w:r>
      <w:r>
        <w:rPr>
          <w:rFonts w:hint="eastAsia" w:ascii="仿宋_GB2312"/>
        </w:rPr>
        <w:t>（附相关评分表）</w:t>
      </w:r>
    </w:p>
    <w:p w14:paraId="54C542D2">
      <w:pPr>
        <w:pStyle w:val="21"/>
        <w:ind w:firstLine="560"/>
      </w:pPr>
      <w:bookmarkStart w:id="19" w:name="_Hlk37342387"/>
      <w:r>
        <w:rPr>
          <w:rFonts w:hint="eastAsia"/>
        </w:rPr>
        <w:t>综合考虑投入、产出、效果、影响力等各方面因素，通过对项目实施管理及进展打分，巴音郭楞蒙古自治州区域空间生态环境评价暨“三线一单”编制项目支出绩效评价总得分</w:t>
      </w:r>
      <w:r>
        <w:t>95</w:t>
      </w:r>
      <w:r>
        <w:rPr>
          <w:rFonts w:hint="eastAsia"/>
        </w:rPr>
        <w:t>分，属于“优”。</w:t>
      </w:r>
    </w:p>
    <w:bookmarkEnd w:id="19"/>
    <w:p w14:paraId="723E8D53">
      <w:pPr>
        <w:pStyle w:val="10"/>
        <w:ind w:firstLine="600"/>
      </w:pPr>
      <w:r>
        <w:rPr>
          <w:rFonts w:hint="eastAsia"/>
        </w:rPr>
        <w:t>四、绩效评价指标分析</w:t>
      </w:r>
    </w:p>
    <w:p w14:paraId="6E4E5887">
      <w:pPr>
        <w:pStyle w:val="12"/>
        <w:ind w:firstLine="602"/>
      </w:pPr>
      <w:r>
        <w:rPr>
          <w:rFonts w:hint="eastAsia"/>
        </w:rPr>
        <w:t>（一）项目决策情况</w:t>
      </w:r>
    </w:p>
    <w:p w14:paraId="609E5B77">
      <w:pPr>
        <w:pStyle w:val="9"/>
      </w:pPr>
      <w:r>
        <w:rPr>
          <w:rFonts w:hint="eastAsia"/>
        </w:rPr>
        <w:t>（1）建立健全工作机制。自治区安排部署“三线一单”编制工作后，巴州党委、政府主要领导及时作出批示指示，要求分管领导和生态环境部门精心组织、迅速启动实施。州党政分管领导多次听取工作建议汇报，并全力协调解决编制工作中出现的重大问题。在州党委、政府的强力推动下，成立了由党政分管领导任组长、副组长的自治州区域空间生态环境评价工作领导小组，明确了各成员单位工作职责，并组织召开了编制工作座谈会，确定了编制单位和工作程序、方法及路径。同时，州党委财经委员会专题研究批复了</w:t>
      </w:r>
      <w:r>
        <w:t>390</w:t>
      </w:r>
      <w:r>
        <w:rPr>
          <w:rFonts w:hint="eastAsia"/>
        </w:rPr>
        <w:t>万元的编制经费，为“三线一单”编制工作顺利推进提供了有力保障。</w:t>
      </w:r>
    </w:p>
    <w:p w14:paraId="7BB529AC">
      <w:pPr>
        <w:pStyle w:val="9"/>
      </w:pPr>
      <w:r>
        <w:rPr>
          <w:rFonts w:hint="eastAsia"/>
        </w:rPr>
        <w:t>（2）加强对编制单位的服务保障。巴州“三线一单”编制由生态环境部环境规划院和北京大学联合组成技术指导组，生态环境部环境规划院董战峰研究员任项目组负责人，李晓亮副研究员任技术负责人，生态环境部环境规划院和北京大学近20名技术骨干共同参与编制工作。为保障编制单位顺利开展工作，领导小组多次组织召开座谈会、协调会，讨论编制大纲、协调工作需求，我局全力配合，确定一名领导负责，指派专门科室和人员服务对接编制单位的各项工作需要，协调联络各部门和县市提供各种便利条件，带领编制人员开展实地调研和资料收集等工作。截至目前，已开展了两次技术交流座谈，两轮实地调研与资料数据的收集，完成了对州发改、工信、交通、旅游、农业农村、气象、生态环境、畜牧、水利、统计、住建、自然资源、库尔勒经济技术开发区等13个州级单位及八县一市相关单位的基础资料收集工作。</w:t>
      </w:r>
    </w:p>
    <w:p w14:paraId="3A77E1F3">
      <w:pPr>
        <w:pStyle w:val="12"/>
        <w:ind w:firstLine="602"/>
      </w:pPr>
      <w:r>
        <w:rPr>
          <w:rFonts w:hint="eastAsia"/>
        </w:rPr>
        <w:t>（二）项目过程情况</w:t>
      </w:r>
    </w:p>
    <w:p w14:paraId="14067A25">
      <w:pPr>
        <w:pStyle w:val="9"/>
      </w:pPr>
      <w:r>
        <w:rPr>
          <w:rFonts w:hint="eastAsia"/>
        </w:rPr>
        <w:t>（1）完成单一来源采购招投标工作及合同签订。于10月中旬委托第三方机构开展单一来源采购程序，拟定于11月8日正式开标进行单一来源采购评审，开标评审后加快与生态环境部环境规划院正式签订巴州“三线一单”编制项目合同，由生态环境部环境规划院牵头负责技术编制内容，为今年能够顺利完成“三线一单”编制工作提供技术支撑，同时也全程负责后续自治区层面的技术对接和沟通。</w:t>
      </w:r>
    </w:p>
    <w:p w14:paraId="7DE808BE">
      <w:pPr>
        <w:pStyle w:val="9"/>
      </w:pPr>
      <w:r>
        <w:rPr>
          <w:rFonts w:hint="eastAsia"/>
        </w:rPr>
        <w:t>（2）编制工作有序顺利推进。为确保按期完成编制任务，编制单位不等不靠，在资金尚未到位之前就全面全力组织开展工作，精心制定工作方案，明确技术路线、工作目标和工作要求，组织技术力量加班加点、精益求精投入到编制工作中。目前，编制工作正按照序时要求推进，完成了生态环境基础与形势分析，初步建立了工作底图，生态保护红线方面完成了生态保护红线的划定结果矢量数据的收集。环境质量底线方面初步完成污染排放现状及气象条件分析，初步完成源解析工作；完成了水环境优先、重点、一般管控单元的初步划定，梳理了各管控单元的管控要求，明确了水质目标；划定了土壤优先管控区，重点管控企业，明确了管控要求。资源利用上线方面完成了土地资源利用现状分析，衔接了已有的土地利用规划和目标，初步划定了土地资源重点管控区；衔接了既有水资源管理制度，梳理了水资源承载能力及利用效率，划定了地下水重点管控区；衔接了既有相关能源规划、梳理了能源利用总量、结构要求，划定了高污染燃料禁燃区。完成带乡镇边界的行政区划底图的出图，生态部分、水环境等管控单元的基本划定。初步完成巴州及各县市普适性生态环境准入清单的编写。研究报告基本完成，完成综合管控单元和生态环境准入清单。</w:t>
      </w:r>
    </w:p>
    <w:p w14:paraId="477E7BB7">
      <w:pPr>
        <w:pStyle w:val="12"/>
        <w:ind w:firstLine="602"/>
      </w:pPr>
      <w:r>
        <w:rPr>
          <w:rFonts w:hint="eastAsia"/>
        </w:rPr>
        <w:t>（三）项目产出情况</w:t>
      </w:r>
    </w:p>
    <w:p w14:paraId="78F9C814">
      <w:pPr>
        <w:pStyle w:val="9"/>
      </w:pPr>
      <w:r>
        <w:rPr>
          <w:rFonts w:hint="eastAsia"/>
        </w:rPr>
        <w:t>成果产出主要包括：（1）生态环境基础；（2）编制总则；（3）生态保护红线及生态空间；（4）大气、水的环境质量底线、污染物允许排放量和重点管控区；（5）资源利用上线及重点管控区；（6）环境管控单元；（</w:t>
      </w:r>
      <w:r>
        <w:t>7</w:t>
      </w:r>
      <w:r>
        <w:rPr>
          <w:rFonts w:hint="eastAsia"/>
        </w:rPr>
        <w:t>）生态环境准入清单。同时包括相关研究报告、文本及图集。</w:t>
      </w:r>
    </w:p>
    <w:p w14:paraId="60F8A20A">
      <w:pPr>
        <w:pStyle w:val="9"/>
      </w:pPr>
      <w:r>
        <w:rPr>
          <w:rFonts w:hint="eastAsia"/>
        </w:rPr>
        <w:t>已完成成果的编写，内容包括：</w:t>
      </w:r>
    </w:p>
    <w:p w14:paraId="0A9A87A9">
      <w:pPr>
        <w:pStyle w:val="9"/>
      </w:pPr>
      <w:r>
        <w:rPr>
          <w:rFonts w:hint="eastAsia"/>
        </w:rPr>
        <w:t>（1）完成了生态环境基础与形势分析。衔接相关规划、功能区划、行动计划、战略环评等工作基础，开展了生态环境状况、资源能源禀赋、社会经济发展和区域产业布局等方面的综合分析，系统评估城镇化、工业化、农业发展、重大资源开发及对生态环境的影响，开展了区域生态、水、大气、土壤等系统评估，识别区域发展带来的生态影响、环境压力和环境风险，明确区域环评框架与重点内容。</w:t>
      </w:r>
    </w:p>
    <w:p w14:paraId="3DAE8614">
      <w:pPr>
        <w:pStyle w:val="9"/>
      </w:pPr>
      <w:r>
        <w:rPr>
          <w:rFonts w:hint="eastAsia"/>
        </w:rPr>
        <w:t>（2）完成编制总则，包括规划范围、时限、依据、思路、内容与目标。明确了巴州生态环境保护战略和目标指标。围绕美丽巴州建设，按照对标国际、领先全国要求，积极应对巴州产业发展过度依赖对石油工业的压力，统筹以库尔勒经济技术开发区为核心的产业园区（1个国家级、9个自治区级）和中巴经济走廊综合承载区“一心、一枢纽、三基地”为重点的经济发展工作，重点针对产业结构进一步优化、空气质量进一步改善、博斯腾湖等流域水质进一步提升等重点问题，完成巴州中长期生态环境保护的战略定位以及目标指标研究。</w:t>
      </w:r>
    </w:p>
    <w:p w14:paraId="53AEB141">
      <w:pPr>
        <w:pStyle w:val="9"/>
      </w:pPr>
      <w:r>
        <w:rPr>
          <w:rFonts w:hint="eastAsia"/>
        </w:rPr>
        <w:t>（3）完成了生态保护红线与生态空间的衔接，建立生态分区分类管控体系。全面衔接新疆生态保护红线巴州部分的划定成果，在已有生态保护红线研究的基础上，确定巴州生态保护红线格局，完成了管控要求研究。在生态保护红线的基础上，衔接生态服务功能重要性评价结果、生态服务功能敏感性评价结果、重要保护地（自然保护地、饮用水水源保护区、风景名胜区、湿地公园、文化自然遗产地等）与一般重要保护地（生态公益林、重要湿地、重要草原、河湖滨岸带敏感区、重要的城市绿地区域等），识别了红线外的其他生态空间，并对接相关规划，优化空间划分结果，最后合理分区分类，明确管控要求。</w:t>
      </w:r>
    </w:p>
    <w:p w14:paraId="50FF4596">
      <w:pPr>
        <w:pStyle w:val="9"/>
      </w:pPr>
      <w:r>
        <w:rPr>
          <w:rFonts w:hint="eastAsia"/>
        </w:rPr>
        <w:t>（4）完成了水气土环境质量底线的研究。按照水、气、土三要素，统筹确立了环境质量底线，测算了污染物允许排放量，构建了环境分区管控体系。一是完成了水环境质量底线确定与环境分区管控体系构建，从全州层面分析水环境基础概况，开展包括地表水和地下水在内的水环境质量现状、水质变化趋势、污染物排放情况、污染治理情况分析，评估巴州水环境质量突出问题和污染超标重点区域，完成了水环境控制单元细化研究。按照巴州环境精细化管理分区分级需求，并与水（环境）功能区衔接，细化水环境控制单元；明确了水环境质量目标确定，开展了主要水污染物允许排放量测算，划定了水环境管控分区。二是大气环境质量底线确定与环境分区管控体系的构建，模拟分析了区域三维气象流场特征，温度、湿度、风速、降水等气象参数的演变趋势，分析各气象参数与大气污染之间的相关关系；开展了区域传输影响分析，确定了大气环境质量底线目标，开展了主要污染物环境容量和大气污染物允许排放量的测算。确定了大气环境管控区划和管控要求。三是土壤环境质量底线确定与环境分区管控体系的构建，基于巴州土壤环境质量现状调查研究，建立了农用地和建设用地的污染风险管控分区。</w:t>
      </w:r>
    </w:p>
    <w:p w14:paraId="3175AFE3">
      <w:pPr>
        <w:pStyle w:val="9"/>
      </w:pPr>
      <w:r>
        <w:rPr>
          <w:rFonts w:hint="eastAsia"/>
        </w:rPr>
        <w:t>（5）开展了资源利用上线的研究。一是水资源方面，进行了重点河流生态需水量测算和生态用水重点管控区研究，基于水生态功能保障和水环境质量改善要求，估算区域生态环境需水量。衔接各部门地下水开采相关空间管控要求，将地下水严重超采区、已发生严重地面沉降等需要特殊保护的区域划为地下水开采重点管控区。二是完成了土地资源利用重点管控区研究，综合考虑对土地开发建设影响显著的因子，将生态保护红线集中、重度污染农用地或污染地块、难利用地块集中的区域确定为土地资源重点管控区。三是完成了基于空气质量改善的重点区域煤炭消费总量限值和重点管控区研究，衔接既有能源消费总量与强度控制要求，控制煤炭消耗总量，在人口密集、污染排放强度高的区域优先划定禁煤区，作为重点管控区。四是完成了水资源、土地资源、能源利用上线研究。</w:t>
      </w:r>
    </w:p>
    <w:p w14:paraId="1607F9EC">
      <w:pPr>
        <w:pStyle w:val="9"/>
      </w:pPr>
      <w:r>
        <w:rPr>
          <w:rFonts w:hint="eastAsia"/>
        </w:rPr>
        <w:t>（6）综合生态环境管控分区，初步确定了环境管控单元。根据生态保护红线、生态空间、环境质量底线、资源利用上线的分区管控要求，衔接巴州生态空间、城镇空间、工业集聚区及八县一市行政边界，初步划定了环境管控单元，明确了分类管控要求。合理确定了环境管控单元的空间尺度和空间范围，初步划分了优先保护、重点管控和一般管控三类综合管控单元。</w:t>
      </w:r>
    </w:p>
    <w:p w14:paraId="711D5ED7">
      <w:pPr>
        <w:pStyle w:val="9"/>
      </w:pPr>
      <w:r>
        <w:rPr>
          <w:rFonts w:hint="eastAsia"/>
        </w:rPr>
        <w:t>（7）统筹分区管控要求，初步建立了环境准入清单。分析环境管控单元涉及的生态保护红线、环境质量底线、资源利用上线的管控要求，从空间布局约束、污染物排放管控、环境风险防控、资源利用效率等方面，初步提出了优化布局、调整结构、控制规模等调控策略及导向性的环境治理要求，分类明确禁止和限制的环境准入要求，初步编制了生态环境准入清单。</w:t>
      </w:r>
    </w:p>
    <w:p w14:paraId="0364079C">
      <w:pPr>
        <w:pStyle w:val="12"/>
        <w:ind w:firstLine="602"/>
      </w:pPr>
      <w:r>
        <w:rPr>
          <w:rFonts w:hint="eastAsia"/>
        </w:rPr>
        <w:t>（四）项目效益情况</w:t>
      </w:r>
    </w:p>
    <w:p w14:paraId="37B6641B">
      <w:pPr>
        <w:pStyle w:val="9"/>
      </w:pPr>
      <w:bookmarkStart w:id="20" w:name="_Hlk37342094"/>
      <w:r>
        <w:rPr>
          <w:rFonts w:hint="eastAsia"/>
        </w:rPr>
        <w:t>编制巴州“三线一单”，加快构建三大红线，是环评体系改革的内在要求，是环评落地管用的客观需要，是环评管理改革的重中之重，将有效推动巴州形成节约资源和保护环境的空间格局、产业结构、生产方式、生活方式，协调好发展与底线的关系，以生态保护红线作为空间管制要求，将环境质量底线和资源利用上线作为容量管控和环境准入要求，确保巴州发展不越界、不超载、不突破底线，强化巴州生态环境保护和污染防治力度、优化国土空间开发保护制度、完善空间治理体系、优化产业布局与结构、实现绿色高质量发展。</w:t>
      </w:r>
    </w:p>
    <w:bookmarkEnd w:id="20"/>
    <w:p w14:paraId="32A79CEB">
      <w:pPr>
        <w:pStyle w:val="10"/>
        <w:ind w:firstLine="600"/>
      </w:pPr>
      <w:r>
        <w:rPr>
          <w:rFonts w:hint="eastAsia"/>
        </w:rPr>
        <w:t>五、主要经验及做法、存在的问题及原因分析</w:t>
      </w:r>
    </w:p>
    <w:p w14:paraId="0864F169">
      <w:pPr>
        <w:pStyle w:val="12"/>
        <w:ind w:firstLine="602"/>
      </w:pPr>
      <w:r>
        <w:rPr>
          <w:rFonts w:hint="eastAsia"/>
        </w:rPr>
        <w:t>（一）主要经验</w:t>
      </w:r>
    </w:p>
    <w:p w14:paraId="0D83CC48">
      <w:pPr>
        <w:pStyle w:val="9"/>
      </w:pPr>
      <w:r>
        <w:rPr>
          <w:rFonts w:hint="eastAsia"/>
        </w:rPr>
        <w:t>三相一单的编制需加强与自治区及各相关单位的联系，巴州生态环境局在开展巴州“三线一单”编制的过程中，积极开展成果衔接工作，具体包括：</w:t>
      </w:r>
    </w:p>
    <w:p w14:paraId="147764E0">
      <w:pPr>
        <w:pStyle w:val="9"/>
        <w:spacing w:line="540" w:lineRule="exact"/>
        <w:ind w:firstLine="640"/>
        <w:rPr>
          <w:szCs w:val="30"/>
        </w:rPr>
      </w:pPr>
      <w:r>
        <w:rPr>
          <w:rFonts w:hint="eastAsia"/>
          <w:sz w:val="32"/>
          <w:szCs w:val="32"/>
        </w:rPr>
        <w:t>（1）</w:t>
      </w:r>
      <w:r>
        <w:rPr>
          <w:rFonts w:hint="eastAsia"/>
          <w:szCs w:val="30"/>
        </w:rPr>
        <w:t>纵向上，积极有效地与自治区层面衔接，及时衔接自治区层面最新要求与进展，在编制技术方法、数据资料等方面进行沟通，包括生态保护红线等划定结果的对接与收集，同时按照自治区提供的最新全疆</w:t>
      </w:r>
      <w:r>
        <w:rPr>
          <w:szCs w:val="30"/>
        </w:rPr>
        <w:t>A3出图模板、框架及工作底图基础数据，</w:t>
      </w:r>
      <w:r>
        <w:rPr>
          <w:rFonts w:hint="eastAsia"/>
          <w:szCs w:val="30"/>
        </w:rPr>
        <w:t>将进一步优化和更新工作底图，进一步完善环境综合管控单元的划定和环境准入清单的编制，完成自治区要求的成果形式与格式，便于自治区最终的成果集成</w:t>
      </w:r>
      <w:r>
        <w:rPr>
          <w:szCs w:val="30"/>
        </w:rPr>
        <w:t>。</w:t>
      </w:r>
    </w:p>
    <w:p w14:paraId="58FE4EB1">
      <w:pPr>
        <w:pStyle w:val="9"/>
        <w:spacing w:line="540" w:lineRule="exact"/>
        <w:rPr>
          <w:sz w:val="32"/>
          <w:szCs w:val="32"/>
        </w:rPr>
      </w:pPr>
      <w:r>
        <w:rPr>
          <w:rFonts w:hint="eastAsia"/>
          <w:szCs w:val="30"/>
        </w:rPr>
        <w:t>（2）横向上，组织广泛座谈与资料收集，开展政府层面各委办局各县市的座谈与资料收集，同时对内也积极收集和整合环评、排污许可、环统、详查、监测等环境基础数据，积极推进“三线一单”的研究与各领域相关规划计划、政策标准和目标指标的衔接，保障“三线一单”成果科学可信，同时我局将积极推进征求意见工作，开展进一步沟通与衔接。</w:t>
      </w:r>
    </w:p>
    <w:p w14:paraId="7FCCA653">
      <w:pPr>
        <w:pStyle w:val="12"/>
        <w:ind w:firstLine="602"/>
      </w:pPr>
      <w:r>
        <w:rPr>
          <w:rFonts w:hint="eastAsia"/>
        </w:rPr>
        <w:t>（二）存在问题</w:t>
      </w:r>
    </w:p>
    <w:p w14:paraId="47FA41C0">
      <w:pPr>
        <w:pStyle w:val="9"/>
      </w:pPr>
      <w:r>
        <w:rPr>
          <w:rFonts w:hint="eastAsia"/>
        </w:rPr>
        <w:t>存在的问题主要集中在资料收集方面。生态保护红线缺少研究成果，生态空间评价难以与自治区的评价结果保持一致，希望自治区生态环境厅能给予更多的技术指导和支撑。目前工业园区和聚集区边界提供较少，需在完成初稿后协调各县市进一步核对园区边界，以完善综合管控单元的划定及生态环境准入清单的编制。</w:t>
      </w:r>
    </w:p>
    <w:p w14:paraId="408C226F">
      <w:pPr>
        <w:spacing w:line="600" w:lineRule="exact"/>
        <w:ind w:firstLine="600" w:firstLineChars="200"/>
        <w:rPr>
          <w:rFonts w:ascii="黑体" w:hAnsi="黑体" w:eastAsia="黑体"/>
        </w:rPr>
      </w:pPr>
      <w:r>
        <w:rPr>
          <w:rFonts w:hint="eastAsia" w:ascii="黑体" w:hAnsi="黑体" w:eastAsia="黑体"/>
        </w:rPr>
        <w:t>六、有关建议</w:t>
      </w:r>
    </w:p>
    <w:p w14:paraId="2FEDC4AF">
      <w:pPr>
        <w:spacing w:line="600" w:lineRule="exact"/>
        <w:ind w:firstLine="600" w:firstLineChars="200"/>
        <w:rPr>
          <w:rFonts w:ascii="黑体" w:hAnsi="黑体" w:eastAsia="黑体"/>
        </w:rPr>
      </w:pPr>
      <w:r>
        <w:rPr>
          <w:rFonts w:hint="eastAsia" w:ascii="黑体" w:hAnsi="黑体" w:eastAsia="黑体"/>
        </w:rPr>
        <w:t>无</w:t>
      </w:r>
    </w:p>
    <w:p w14:paraId="216F3586">
      <w:pPr>
        <w:spacing w:line="600" w:lineRule="exact"/>
        <w:ind w:firstLine="600" w:firstLineChars="200"/>
        <w:rPr>
          <w:rFonts w:ascii="黑体" w:hAnsi="黑体" w:eastAsia="黑体"/>
        </w:rPr>
      </w:pPr>
      <w:r>
        <w:rPr>
          <w:rFonts w:hint="eastAsia" w:ascii="黑体" w:hAnsi="黑体" w:eastAsia="黑体"/>
        </w:rPr>
        <w:t>七、其他需要说明的问题</w:t>
      </w:r>
    </w:p>
    <w:p w14:paraId="3FC82E5B">
      <w:pPr>
        <w:spacing w:line="600" w:lineRule="exact"/>
        <w:ind w:firstLine="600" w:firstLineChars="200"/>
        <w:rPr>
          <w:rFonts w:ascii="仿宋_GB2312"/>
          <w:bCs/>
          <w:sz w:val="32"/>
          <w:szCs w:val="32"/>
        </w:rPr>
      </w:pPr>
      <w:r>
        <w:rPr>
          <w:rFonts w:hint="eastAsia" w:ascii="黑体" w:hAnsi="黑体" w:eastAsia="黑体"/>
        </w:rPr>
        <w:t>无</w:t>
      </w:r>
    </w:p>
    <w:p w14:paraId="28293E10">
      <w:pPr>
        <w:sectPr>
          <w:pgSz w:w="11906" w:h="16838"/>
          <w:pgMar w:top="1928" w:right="1531" w:bottom="1701" w:left="1531" w:header="737" w:footer="851" w:gutter="0"/>
          <w:cols w:space="720" w:num="1"/>
          <w:docGrid w:type="lines" w:linePitch="408" w:charSpace="0"/>
        </w:sectPr>
      </w:pPr>
    </w:p>
    <w:p w14:paraId="1E22B699">
      <w:pPr>
        <w:pStyle w:val="2"/>
        <w:shd w:val="clear" w:color="auto" w:fill="FFFFFF" w:themeFill="background1"/>
        <w:spacing w:before="0" w:after="0" w:line="240" w:lineRule="auto"/>
        <w:jc w:val="center"/>
        <w:rPr>
          <w:rFonts w:ascii="宋体" w:hAnsi="宋体" w:eastAsia="宋体" w:cs="宋体"/>
          <w:bCs w:val="0"/>
          <w:color w:val="000000"/>
          <w:sz w:val="36"/>
          <w:szCs w:val="28"/>
        </w:rPr>
      </w:pPr>
      <w:r>
        <w:rPr>
          <w:rFonts w:hint="eastAsia" w:ascii="宋体" w:hAnsi="宋体" w:eastAsia="宋体" w:cs="宋体"/>
          <w:color w:val="000000"/>
          <w:sz w:val="36"/>
          <w:szCs w:val="28"/>
        </w:rPr>
        <w:t>项目支出绩效评价指标体系框架</w:t>
      </w:r>
    </w:p>
    <w:p w14:paraId="6656801D">
      <w:pPr>
        <w:pStyle w:val="2"/>
        <w:shd w:val="clear" w:color="auto" w:fill="FFFFFF" w:themeFill="background1"/>
        <w:spacing w:before="0" w:after="0" w:line="240" w:lineRule="auto"/>
        <w:jc w:val="center"/>
        <w:rPr>
          <w:bCs w:val="0"/>
          <w:color w:val="000000"/>
        </w:rPr>
      </w:pPr>
    </w:p>
    <w:tbl>
      <w:tblPr>
        <w:tblStyle w:val="5"/>
        <w:tblW w:w="1537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48"/>
        <w:gridCol w:w="13"/>
        <w:gridCol w:w="1297"/>
        <w:gridCol w:w="1411"/>
        <w:gridCol w:w="2790"/>
        <w:gridCol w:w="7342"/>
        <w:gridCol w:w="829"/>
        <w:gridCol w:w="12"/>
        <w:gridCol w:w="11"/>
        <w:gridCol w:w="899"/>
        <w:gridCol w:w="12"/>
        <w:gridCol w:w="11"/>
      </w:tblGrid>
      <w:tr w14:paraId="425DE8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692" w:hRule="atLeast"/>
          <w:tblHeader/>
          <w:jc w:val="center"/>
        </w:trPr>
        <w:tc>
          <w:tcPr>
            <w:tcW w:w="762" w:type="dxa"/>
            <w:gridSpan w:val="2"/>
            <w:tcBorders>
              <w:tl2br w:val="nil"/>
              <w:tr2bl w:val="nil"/>
            </w:tcBorders>
            <w:shd w:val="clear" w:color="auto" w:fill="FFFFFF" w:themeFill="background1"/>
            <w:vAlign w:val="center"/>
          </w:tcPr>
          <w:p w14:paraId="45B3D62D">
            <w:pPr>
              <w:widowControl/>
              <w:shd w:val="clear" w:color="auto" w:fill="FFFFFF" w:themeFill="background1"/>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1297" w:type="dxa"/>
            <w:tcBorders>
              <w:tl2br w:val="nil"/>
              <w:tr2bl w:val="nil"/>
            </w:tcBorders>
            <w:shd w:val="clear" w:color="auto" w:fill="FFFFFF" w:themeFill="background1"/>
            <w:vAlign w:val="center"/>
          </w:tcPr>
          <w:p w14:paraId="245B94FA">
            <w:pPr>
              <w:widowControl/>
              <w:shd w:val="clear" w:color="auto" w:fill="FFFFFF" w:themeFill="background1"/>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1411" w:type="dxa"/>
            <w:tcBorders>
              <w:tl2br w:val="nil"/>
              <w:tr2bl w:val="nil"/>
            </w:tcBorders>
            <w:shd w:val="clear" w:color="auto" w:fill="FFFFFF" w:themeFill="background1"/>
            <w:vAlign w:val="center"/>
          </w:tcPr>
          <w:p w14:paraId="6153A9CF">
            <w:pPr>
              <w:widowControl/>
              <w:shd w:val="clear" w:color="auto" w:fill="FFFFFF" w:themeFill="background1"/>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788" w:type="dxa"/>
            <w:tcBorders>
              <w:tl2br w:val="nil"/>
              <w:tr2bl w:val="nil"/>
            </w:tcBorders>
            <w:shd w:val="clear" w:color="auto" w:fill="FFFFFF" w:themeFill="background1"/>
            <w:vAlign w:val="center"/>
          </w:tcPr>
          <w:p w14:paraId="089AF790">
            <w:pPr>
              <w:widowControl/>
              <w:shd w:val="clear" w:color="auto" w:fill="FFFFFF" w:themeFill="background1"/>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7343" w:type="dxa"/>
            <w:tcBorders>
              <w:tl2br w:val="nil"/>
              <w:tr2bl w:val="nil"/>
            </w:tcBorders>
            <w:shd w:val="clear" w:color="auto" w:fill="FFFFFF" w:themeFill="background1"/>
            <w:vAlign w:val="center"/>
          </w:tcPr>
          <w:p w14:paraId="0B5520DF">
            <w:pPr>
              <w:widowControl/>
              <w:shd w:val="clear" w:color="auto" w:fill="FFFFFF" w:themeFill="background1"/>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841" w:type="dxa"/>
            <w:gridSpan w:val="2"/>
            <w:tcBorders>
              <w:top w:val="single" w:color="auto" w:sz="4" w:space="0"/>
              <w:bottom w:val="single" w:color="auto" w:sz="4" w:space="0"/>
              <w:right w:val="single" w:color="auto" w:sz="4" w:space="0"/>
            </w:tcBorders>
            <w:shd w:val="clear" w:color="auto" w:fill="FFFFFF" w:themeFill="background1"/>
            <w:vAlign w:val="center"/>
          </w:tcPr>
          <w:p w14:paraId="607D6F60">
            <w:pPr>
              <w:widowControl/>
              <w:shd w:val="clear" w:color="auto" w:fill="FFFFFF" w:themeFill="background1"/>
              <w:spacing w:line="0" w:lineRule="atLeas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分值</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AE490F0">
            <w:pPr>
              <w:widowControl/>
              <w:shd w:val="clear" w:color="auto" w:fill="FFFFFF" w:themeFill="background1"/>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评价</w:t>
            </w:r>
          </w:p>
          <w:p w14:paraId="5C409FA3">
            <w:pPr>
              <w:widowControl/>
              <w:shd w:val="clear" w:color="auto" w:fill="FFFFFF" w:themeFill="background1"/>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结果</w:t>
            </w:r>
          </w:p>
        </w:tc>
      </w:tr>
      <w:tr w14:paraId="397247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2318" w:hRule="atLeast"/>
          <w:jc w:val="center"/>
        </w:trPr>
        <w:tc>
          <w:tcPr>
            <w:tcW w:w="762" w:type="dxa"/>
            <w:gridSpan w:val="2"/>
            <w:vMerge w:val="restart"/>
            <w:tcBorders>
              <w:tl2br w:val="nil"/>
              <w:tr2bl w:val="nil"/>
            </w:tcBorders>
            <w:shd w:val="clear" w:color="auto" w:fill="FFFFFF" w:themeFill="background1"/>
            <w:vAlign w:val="center"/>
          </w:tcPr>
          <w:p w14:paraId="35C9FD1D">
            <w:pPr>
              <w:widowControl/>
              <w:shd w:val="clear" w:color="auto" w:fill="FFFFFF" w:themeFill="background1"/>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p w14:paraId="7E1E4122">
            <w:pPr>
              <w:widowControl/>
              <w:shd w:val="clear" w:color="auto" w:fill="FFFFFF" w:themeFill="background1"/>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034FBFDF">
            <w:pPr>
              <w:shd w:val="clear" w:color="auto" w:fill="FFFFFF" w:themeFill="background1"/>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297" w:type="dxa"/>
            <w:vMerge w:val="restart"/>
            <w:tcBorders>
              <w:tl2br w:val="nil"/>
              <w:tr2bl w:val="nil"/>
            </w:tcBorders>
            <w:shd w:val="clear" w:color="auto" w:fill="FFFFFF" w:themeFill="background1"/>
            <w:vAlign w:val="center"/>
          </w:tcPr>
          <w:p w14:paraId="2EBD457C">
            <w:pPr>
              <w:widowControl/>
              <w:shd w:val="clear" w:color="auto" w:fill="FFFFFF" w:themeFill="background1"/>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项目立项（5）　</w:t>
            </w:r>
          </w:p>
        </w:tc>
        <w:tc>
          <w:tcPr>
            <w:tcW w:w="1411" w:type="dxa"/>
            <w:tcBorders>
              <w:tl2br w:val="nil"/>
              <w:tr2bl w:val="nil"/>
            </w:tcBorders>
            <w:shd w:val="clear" w:color="auto" w:fill="FFFFFF" w:themeFill="background1"/>
            <w:vAlign w:val="center"/>
          </w:tcPr>
          <w:p w14:paraId="3255BF08">
            <w:pPr>
              <w:widowControl/>
              <w:shd w:val="clear" w:color="auto" w:fill="FFFFFF" w:themeFill="background1"/>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立项依据</w:t>
            </w:r>
          </w:p>
          <w:p w14:paraId="733AB04A">
            <w:pPr>
              <w:widowControl/>
              <w:shd w:val="clear" w:color="auto" w:fill="FFFFFF" w:themeFill="background1"/>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充分性</w:t>
            </w:r>
          </w:p>
        </w:tc>
        <w:tc>
          <w:tcPr>
            <w:tcW w:w="2788" w:type="dxa"/>
            <w:tcBorders>
              <w:tl2br w:val="nil"/>
              <w:tr2bl w:val="nil"/>
            </w:tcBorders>
            <w:shd w:val="clear" w:color="auto" w:fill="FFFFFF" w:themeFill="background1"/>
            <w:vAlign w:val="center"/>
          </w:tcPr>
          <w:p w14:paraId="05E3DBE3">
            <w:pPr>
              <w:widowControl/>
              <w:shd w:val="clear" w:color="auto" w:fill="FFFFFF" w:themeFill="background1"/>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7343" w:type="dxa"/>
            <w:tcBorders>
              <w:bottom w:val="single" w:color="auto" w:sz="4" w:space="0"/>
              <w:tl2br w:val="nil"/>
              <w:tr2bl w:val="nil"/>
            </w:tcBorders>
            <w:shd w:val="clear" w:color="auto" w:fill="FFFFFF" w:themeFill="background1"/>
            <w:vAlign w:val="center"/>
          </w:tcPr>
          <w:p w14:paraId="5148731C">
            <w:pPr>
              <w:widowControl/>
              <w:shd w:val="clear" w:color="auto" w:fill="FFFFFF" w:themeFill="background1"/>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①项目立项是否符合国家法律法规、国民经济发展规划和相关政策；</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②项目立项是否符合行业发展规划和政策要求；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③项目立项是否与部门职责范围相符，属于部门履职所需；</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④项目是否属于公共财政支持范围，是否符合中央、地方事权支出责任划分原则；</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⑤项目是否与相关部门同类项目或部门内部相关项目重复。</w:t>
            </w:r>
          </w:p>
        </w:tc>
        <w:tc>
          <w:tcPr>
            <w:tcW w:w="841" w:type="dxa"/>
            <w:gridSpan w:val="2"/>
            <w:tcBorders>
              <w:top w:val="single" w:color="auto" w:sz="4" w:space="0"/>
              <w:bottom w:val="single" w:color="auto" w:sz="4" w:space="0"/>
              <w:right w:val="single" w:color="auto" w:sz="4" w:space="0"/>
            </w:tcBorders>
            <w:shd w:val="clear" w:color="auto" w:fill="FFFFFF" w:themeFill="background1"/>
            <w:vAlign w:val="center"/>
          </w:tcPr>
          <w:p w14:paraId="17654C36">
            <w:pPr>
              <w:widowControl/>
              <w:shd w:val="clear" w:color="auto" w:fill="FFFFFF" w:themeFill="background1"/>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37694FE">
            <w:pPr>
              <w:widowControl/>
              <w:shd w:val="clear" w:color="auto" w:fill="FFFFFF" w:themeFill="background1"/>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r>
      <w:tr w14:paraId="7629BE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640" w:hRule="atLeast"/>
          <w:jc w:val="center"/>
        </w:trPr>
        <w:tc>
          <w:tcPr>
            <w:tcW w:w="762" w:type="dxa"/>
            <w:gridSpan w:val="2"/>
            <w:vMerge w:val="continue"/>
            <w:tcBorders>
              <w:tl2br w:val="nil"/>
              <w:tr2bl w:val="nil"/>
            </w:tcBorders>
            <w:shd w:val="clear" w:color="auto" w:fill="FFFFFF" w:themeFill="background1"/>
            <w:vAlign w:val="center"/>
          </w:tcPr>
          <w:p w14:paraId="5142CB51">
            <w:pPr>
              <w:shd w:val="clear" w:color="auto" w:fill="FFFFFF" w:themeFill="background1"/>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themeFill="background1"/>
            <w:vAlign w:val="center"/>
          </w:tcPr>
          <w:p w14:paraId="1B75C051">
            <w:pPr>
              <w:widowControl/>
              <w:shd w:val="clear" w:color="auto" w:fill="FFFFFF" w:themeFill="background1"/>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themeFill="background1"/>
            <w:vAlign w:val="center"/>
          </w:tcPr>
          <w:p w14:paraId="2EDE0335">
            <w:pPr>
              <w:widowControl/>
              <w:shd w:val="clear" w:color="auto" w:fill="FFFFFF" w:themeFill="background1"/>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立项程序</w:t>
            </w:r>
          </w:p>
          <w:p w14:paraId="34E2E853">
            <w:pPr>
              <w:widowControl/>
              <w:shd w:val="clear" w:color="auto" w:fill="FFFFFF" w:themeFill="background1"/>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规范性</w:t>
            </w:r>
          </w:p>
        </w:tc>
        <w:tc>
          <w:tcPr>
            <w:tcW w:w="2788" w:type="dxa"/>
            <w:tcBorders>
              <w:tl2br w:val="nil"/>
              <w:tr2bl w:val="nil"/>
            </w:tcBorders>
            <w:shd w:val="clear" w:color="auto" w:fill="FFFFFF" w:themeFill="background1"/>
            <w:vAlign w:val="center"/>
          </w:tcPr>
          <w:p w14:paraId="7074BCCD">
            <w:pPr>
              <w:widowControl/>
              <w:shd w:val="clear" w:color="auto" w:fill="FFFFFF" w:themeFill="background1"/>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7343" w:type="dxa"/>
            <w:tcBorders>
              <w:tl2br w:val="nil"/>
              <w:tr2bl w:val="nil"/>
            </w:tcBorders>
            <w:shd w:val="clear" w:color="auto" w:fill="FFFFFF" w:themeFill="background1"/>
            <w:vAlign w:val="center"/>
          </w:tcPr>
          <w:p w14:paraId="6810A928">
            <w:pPr>
              <w:widowControl/>
              <w:shd w:val="clear" w:color="auto" w:fill="FFFFFF" w:themeFill="background1"/>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①项目是否按照规定的程序申请设立；</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②审批文件、材料是否符合相关要求；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③事前是否已经过必要的可行性研究、专家论证、风险评估、绩效评估、集体决策。</w:t>
            </w:r>
          </w:p>
        </w:tc>
        <w:tc>
          <w:tcPr>
            <w:tcW w:w="841" w:type="dxa"/>
            <w:gridSpan w:val="2"/>
            <w:tcBorders>
              <w:top w:val="single" w:color="auto" w:sz="4" w:space="0"/>
              <w:bottom w:val="single" w:color="auto" w:sz="4" w:space="0"/>
              <w:right w:val="single" w:color="auto" w:sz="4" w:space="0"/>
            </w:tcBorders>
            <w:shd w:val="clear" w:color="auto" w:fill="FFFFFF" w:themeFill="background1"/>
            <w:vAlign w:val="center"/>
          </w:tcPr>
          <w:p w14:paraId="235E8455">
            <w:pPr>
              <w:widowControl/>
              <w:shd w:val="clear" w:color="auto" w:fill="FFFFFF" w:themeFill="background1"/>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12E9E82">
            <w:pPr>
              <w:widowControl/>
              <w:shd w:val="clear" w:color="auto" w:fill="FFFFFF" w:themeFill="background1"/>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r>
      <w:tr w14:paraId="2DCC80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19" w:hRule="atLeast"/>
          <w:jc w:val="center"/>
        </w:trPr>
        <w:tc>
          <w:tcPr>
            <w:tcW w:w="762" w:type="dxa"/>
            <w:gridSpan w:val="2"/>
            <w:vMerge w:val="continue"/>
            <w:tcBorders>
              <w:tl2br w:val="nil"/>
              <w:tr2bl w:val="nil"/>
            </w:tcBorders>
            <w:shd w:val="clear" w:color="auto" w:fill="FFFFFF" w:themeFill="background1"/>
            <w:vAlign w:val="center"/>
          </w:tcPr>
          <w:p w14:paraId="229077A6">
            <w:pPr>
              <w:shd w:val="clear" w:color="auto" w:fill="FFFFFF" w:themeFill="background1"/>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themeFill="background1"/>
            <w:vAlign w:val="center"/>
          </w:tcPr>
          <w:p w14:paraId="116CFC5B">
            <w:pPr>
              <w:widowControl/>
              <w:shd w:val="clear" w:color="auto" w:fill="FFFFFF" w:themeFill="background1"/>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绩效目标（10）　</w:t>
            </w:r>
          </w:p>
        </w:tc>
        <w:tc>
          <w:tcPr>
            <w:tcW w:w="1411" w:type="dxa"/>
            <w:tcBorders>
              <w:tl2br w:val="nil"/>
              <w:tr2bl w:val="nil"/>
            </w:tcBorders>
            <w:shd w:val="clear" w:color="auto" w:fill="FFFFFF" w:themeFill="background1"/>
            <w:vAlign w:val="center"/>
          </w:tcPr>
          <w:p w14:paraId="01FD438C">
            <w:pPr>
              <w:widowControl/>
              <w:shd w:val="clear" w:color="auto" w:fill="FFFFFF" w:themeFill="background1"/>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14:paraId="689B1F53">
            <w:pPr>
              <w:widowControl/>
              <w:shd w:val="clear" w:color="auto" w:fill="FFFFFF" w:themeFill="background1"/>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8" w:type="dxa"/>
            <w:tcBorders>
              <w:tl2br w:val="nil"/>
              <w:tr2bl w:val="nil"/>
            </w:tcBorders>
            <w:shd w:val="clear" w:color="auto" w:fill="FFFFFF" w:themeFill="background1"/>
            <w:vAlign w:val="center"/>
          </w:tcPr>
          <w:p w14:paraId="5BA61C0E">
            <w:pPr>
              <w:widowControl/>
              <w:shd w:val="clear" w:color="auto" w:fill="FFFFFF" w:themeFill="background1"/>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7343" w:type="dxa"/>
            <w:tcBorders>
              <w:tl2br w:val="nil"/>
              <w:tr2bl w:val="nil"/>
            </w:tcBorders>
            <w:shd w:val="clear" w:color="auto" w:fill="FFFFFF" w:themeFill="background1"/>
            <w:vAlign w:val="center"/>
          </w:tcPr>
          <w:p w14:paraId="70FA1A98">
            <w:pPr>
              <w:widowControl/>
              <w:shd w:val="clear" w:color="auto" w:fill="FFFFFF" w:themeFill="background1"/>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（如未设定预算绩效目标，也可考核其他工作任务目标）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①项目是否有绩效目标；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②项目绩效目标与实际工作内容是否具有相关性；</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③项目预期产出效益和效果是否符合正常的业绩水平；</w:t>
            </w:r>
          </w:p>
          <w:p w14:paraId="3865714B">
            <w:pPr>
              <w:widowControl/>
              <w:shd w:val="clear" w:color="auto" w:fill="FFFFFF" w:themeFill="background1"/>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841" w:type="dxa"/>
            <w:gridSpan w:val="2"/>
            <w:tcBorders>
              <w:top w:val="single" w:color="auto" w:sz="4" w:space="0"/>
              <w:bottom w:val="single" w:color="auto" w:sz="4" w:space="0"/>
              <w:right w:val="single" w:color="auto" w:sz="4" w:space="0"/>
            </w:tcBorders>
            <w:shd w:val="clear" w:color="auto" w:fill="FFFFFF" w:themeFill="background1"/>
            <w:vAlign w:val="center"/>
          </w:tcPr>
          <w:p w14:paraId="629842CC">
            <w:pPr>
              <w:widowControl/>
              <w:shd w:val="clear" w:color="auto" w:fill="FFFFFF" w:themeFill="background1"/>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A091DF0">
            <w:pPr>
              <w:widowControl/>
              <w:shd w:val="clear" w:color="auto" w:fill="FFFFFF" w:themeFill="background1"/>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4FE00A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64" w:hRule="atLeast"/>
          <w:jc w:val="center"/>
        </w:trPr>
        <w:tc>
          <w:tcPr>
            <w:tcW w:w="762" w:type="dxa"/>
            <w:gridSpan w:val="2"/>
            <w:vMerge w:val="restart"/>
            <w:tcBorders>
              <w:tl2br w:val="nil"/>
              <w:tr2bl w:val="nil"/>
            </w:tcBorders>
            <w:shd w:val="clear" w:color="auto" w:fill="FFFFFF" w:themeFill="background1"/>
            <w:vAlign w:val="center"/>
          </w:tcPr>
          <w:p w14:paraId="38466587">
            <w:pPr>
              <w:widowControl/>
              <w:shd w:val="clear" w:color="auto" w:fill="FFFFFF" w:themeFill="background1"/>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tc>
        <w:tc>
          <w:tcPr>
            <w:tcW w:w="1297" w:type="dxa"/>
            <w:tcBorders>
              <w:tl2br w:val="nil"/>
              <w:tr2bl w:val="nil"/>
            </w:tcBorders>
            <w:shd w:val="clear" w:color="auto" w:fill="FFFFFF" w:themeFill="background1"/>
            <w:vAlign w:val="center"/>
          </w:tcPr>
          <w:p w14:paraId="0700A651">
            <w:pPr>
              <w:widowControl/>
              <w:shd w:val="clear" w:color="auto" w:fill="FFFFFF" w:themeFill="background1"/>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1411" w:type="dxa"/>
            <w:tcBorders>
              <w:tl2br w:val="nil"/>
              <w:tr2bl w:val="nil"/>
            </w:tcBorders>
            <w:shd w:val="clear" w:color="auto" w:fill="FFFFFF" w:themeFill="background1"/>
            <w:vAlign w:val="center"/>
          </w:tcPr>
          <w:p w14:paraId="16597C55">
            <w:pPr>
              <w:widowControl/>
              <w:shd w:val="clear" w:color="auto" w:fill="FFFFFF" w:themeFill="background1"/>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14:paraId="65A42C38">
            <w:pPr>
              <w:widowControl/>
              <w:shd w:val="clear" w:color="auto" w:fill="FFFFFF" w:themeFill="background1"/>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788" w:type="dxa"/>
            <w:tcBorders>
              <w:tl2br w:val="nil"/>
              <w:tr2bl w:val="nil"/>
            </w:tcBorders>
            <w:shd w:val="clear" w:color="auto" w:fill="FFFFFF" w:themeFill="background1"/>
            <w:vAlign w:val="center"/>
          </w:tcPr>
          <w:p w14:paraId="01CB17E8">
            <w:pPr>
              <w:widowControl/>
              <w:shd w:val="clear" w:color="auto" w:fill="FFFFFF" w:themeFill="background1"/>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7343" w:type="dxa"/>
            <w:tcBorders>
              <w:tl2br w:val="nil"/>
              <w:tr2bl w:val="nil"/>
            </w:tcBorders>
            <w:shd w:val="clear" w:color="auto" w:fill="FFFFFF" w:themeFill="background1"/>
            <w:vAlign w:val="center"/>
          </w:tcPr>
          <w:p w14:paraId="61B2D21F">
            <w:pPr>
              <w:widowControl/>
              <w:shd w:val="clear" w:color="auto" w:fill="FFFFFF" w:themeFill="background1"/>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①是否将项目绩效目标细化分解为具体的绩效指标；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②是否通过清晰、可衡量的指标值予以体现；</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③是否与项目目标任务数或计划数相对应。</w:t>
            </w:r>
            <w:r>
              <w:rPr>
                <w:rFonts w:hint="eastAsia" w:ascii="宋体" w:hAnsi="宋体" w:eastAsia="宋体" w:cs="宋体"/>
                <w:color w:val="000000"/>
                <w:kern w:val="0"/>
                <w:sz w:val="22"/>
                <w:szCs w:val="22"/>
              </w:rPr>
              <w:br w:type="textWrapping"/>
            </w:r>
          </w:p>
        </w:tc>
        <w:tc>
          <w:tcPr>
            <w:tcW w:w="841" w:type="dxa"/>
            <w:gridSpan w:val="2"/>
            <w:tcBorders>
              <w:top w:val="single" w:color="auto" w:sz="4" w:space="0"/>
              <w:bottom w:val="single" w:color="auto" w:sz="4" w:space="0"/>
              <w:right w:val="single" w:color="auto" w:sz="4" w:space="0"/>
            </w:tcBorders>
            <w:shd w:val="clear" w:color="auto" w:fill="FFFFFF" w:themeFill="background1"/>
            <w:vAlign w:val="center"/>
          </w:tcPr>
          <w:p w14:paraId="4891C389">
            <w:pPr>
              <w:widowControl/>
              <w:shd w:val="clear" w:color="auto" w:fill="FFFFFF" w:themeFill="background1"/>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26D42497">
            <w:pPr>
              <w:widowControl/>
              <w:shd w:val="clear" w:color="auto" w:fill="FFFFFF" w:themeFill="background1"/>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3E5F41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42" w:hRule="atLeast"/>
          <w:jc w:val="center"/>
        </w:trPr>
        <w:tc>
          <w:tcPr>
            <w:tcW w:w="762" w:type="dxa"/>
            <w:gridSpan w:val="2"/>
            <w:vMerge w:val="continue"/>
            <w:tcBorders>
              <w:tl2br w:val="nil"/>
              <w:tr2bl w:val="nil"/>
            </w:tcBorders>
            <w:shd w:val="clear" w:color="auto" w:fill="FFFFFF" w:themeFill="background1"/>
            <w:vAlign w:val="center"/>
          </w:tcPr>
          <w:p w14:paraId="139681C8">
            <w:pPr>
              <w:shd w:val="clear" w:color="auto" w:fill="FFFFFF" w:themeFill="background1"/>
              <w:spacing w:line="0" w:lineRule="atLeast"/>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themeFill="background1"/>
            <w:vAlign w:val="center"/>
          </w:tcPr>
          <w:p w14:paraId="2E126F63">
            <w:pPr>
              <w:widowControl/>
              <w:shd w:val="clear" w:color="auto" w:fill="FFFFFF" w:themeFill="background1"/>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资金投入（5）</w:t>
            </w:r>
          </w:p>
          <w:p w14:paraId="74A47C0E">
            <w:pPr>
              <w:shd w:val="clear" w:color="auto" w:fill="FFFFFF" w:themeFill="background1"/>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themeFill="background1"/>
            <w:vAlign w:val="center"/>
          </w:tcPr>
          <w:p w14:paraId="3759C584">
            <w:pPr>
              <w:widowControl/>
              <w:shd w:val="clear" w:color="auto" w:fill="FFFFFF" w:themeFill="background1"/>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14:paraId="43BB2AA7">
            <w:pPr>
              <w:widowControl/>
              <w:shd w:val="clear" w:color="auto" w:fill="FFFFFF" w:themeFill="background1"/>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2788" w:type="dxa"/>
            <w:tcBorders>
              <w:tl2br w:val="nil"/>
              <w:tr2bl w:val="nil"/>
            </w:tcBorders>
            <w:shd w:val="clear" w:color="auto" w:fill="FFFFFF" w:themeFill="background1"/>
            <w:vAlign w:val="center"/>
          </w:tcPr>
          <w:p w14:paraId="1AC4EB48">
            <w:pPr>
              <w:widowControl/>
              <w:shd w:val="clear" w:color="auto" w:fill="FFFFFF" w:themeFill="background1"/>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7343" w:type="dxa"/>
            <w:tcBorders>
              <w:tl2br w:val="nil"/>
              <w:tr2bl w:val="nil"/>
            </w:tcBorders>
            <w:shd w:val="clear" w:color="auto" w:fill="FFFFFF" w:themeFill="background1"/>
            <w:vAlign w:val="center"/>
          </w:tcPr>
          <w:p w14:paraId="64BA984B">
            <w:pPr>
              <w:widowControl/>
              <w:shd w:val="clear" w:color="auto" w:fill="FFFFFF" w:themeFill="background1"/>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①预算编制是否经过科学论证；</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②预算内容与项目内容是否匹配；</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③预算额度测算依据是否充分，是否按照标准编制；</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④预算确定的项目投资额或资金量是否与工作任务相匹配。</w:t>
            </w:r>
          </w:p>
        </w:tc>
        <w:tc>
          <w:tcPr>
            <w:tcW w:w="841" w:type="dxa"/>
            <w:gridSpan w:val="2"/>
            <w:tcBorders>
              <w:top w:val="single" w:color="auto" w:sz="4" w:space="0"/>
              <w:bottom w:val="single" w:color="auto" w:sz="4" w:space="0"/>
              <w:right w:val="single" w:color="auto" w:sz="4" w:space="0"/>
            </w:tcBorders>
            <w:shd w:val="clear" w:color="auto" w:fill="FFFFFF" w:themeFill="background1"/>
            <w:vAlign w:val="center"/>
          </w:tcPr>
          <w:p w14:paraId="53ECA182">
            <w:pPr>
              <w:widowControl/>
              <w:shd w:val="clear" w:color="auto" w:fill="FFFFFF" w:themeFill="background1"/>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c>
          <w:tcPr>
            <w:tcW w:w="922" w:type="dxa"/>
            <w:gridSpan w:val="3"/>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45AADF3E">
            <w:pPr>
              <w:widowControl/>
              <w:shd w:val="clear" w:color="auto" w:fill="FFFFFF" w:themeFill="background1"/>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r>
      <w:tr w14:paraId="6C09B4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706" w:hRule="atLeast"/>
          <w:jc w:val="center"/>
        </w:trPr>
        <w:tc>
          <w:tcPr>
            <w:tcW w:w="762" w:type="dxa"/>
            <w:gridSpan w:val="2"/>
            <w:vMerge w:val="continue"/>
            <w:tcBorders>
              <w:tl2br w:val="nil"/>
              <w:tr2bl w:val="nil"/>
            </w:tcBorders>
            <w:shd w:val="clear" w:color="auto" w:fill="FFFFFF" w:themeFill="background1"/>
            <w:vAlign w:val="center"/>
          </w:tcPr>
          <w:p w14:paraId="59135637">
            <w:pPr>
              <w:widowControl/>
              <w:shd w:val="clear" w:color="auto" w:fill="FFFFFF" w:themeFill="background1"/>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themeFill="background1"/>
            <w:vAlign w:val="center"/>
          </w:tcPr>
          <w:p w14:paraId="251E32CD">
            <w:pPr>
              <w:widowControl/>
              <w:shd w:val="clear" w:color="auto" w:fill="FFFFFF" w:themeFill="background1"/>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themeFill="background1"/>
            <w:vAlign w:val="center"/>
          </w:tcPr>
          <w:p w14:paraId="02B2784B">
            <w:pPr>
              <w:widowControl/>
              <w:shd w:val="clear" w:color="auto" w:fill="FFFFFF" w:themeFill="background1"/>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14:paraId="381F35BD">
            <w:pPr>
              <w:widowControl/>
              <w:shd w:val="clear" w:color="auto" w:fill="FFFFFF" w:themeFill="background1"/>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8" w:type="dxa"/>
            <w:tcBorders>
              <w:tl2br w:val="nil"/>
              <w:tr2bl w:val="nil"/>
            </w:tcBorders>
            <w:shd w:val="clear" w:color="auto" w:fill="FFFFFF" w:themeFill="background1"/>
            <w:vAlign w:val="center"/>
          </w:tcPr>
          <w:p w14:paraId="7809B353">
            <w:pPr>
              <w:widowControl/>
              <w:shd w:val="clear" w:color="auto" w:fill="FFFFFF" w:themeFill="background1"/>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7343" w:type="dxa"/>
            <w:tcBorders>
              <w:bottom w:val="single" w:color="auto" w:sz="4" w:space="0"/>
              <w:tl2br w:val="nil"/>
              <w:tr2bl w:val="nil"/>
            </w:tcBorders>
            <w:shd w:val="clear" w:color="auto" w:fill="FFFFFF" w:themeFill="background1"/>
            <w:vAlign w:val="center"/>
          </w:tcPr>
          <w:p w14:paraId="482B52E9">
            <w:pPr>
              <w:widowControl/>
              <w:shd w:val="clear" w:color="auto" w:fill="FFFFFF" w:themeFill="background1"/>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①预算资金分配依据是否充分；</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②资金分配额度是否合理，与项目单位或地方实际是否相适应。</w:t>
            </w:r>
          </w:p>
        </w:tc>
        <w:tc>
          <w:tcPr>
            <w:tcW w:w="841" w:type="dxa"/>
            <w:gridSpan w:val="2"/>
            <w:tcBorders>
              <w:top w:val="single" w:color="auto" w:sz="4" w:space="0"/>
              <w:bottom w:val="single" w:color="auto" w:sz="4" w:space="0"/>
              <w:right w:val="single" w:color="auto" w:sz="4" w:space="0"/>
            </w:tcBorders>
            <w:shd w:val="clear" w:color="auto" w:fill="FFFFFF" w:themeFill="background1"/>
            <w:vAlign w:val="center"/>
          </w:tcPr>
          <w:p w14:paraId="28B83923">
            <w:pPr>
              <w:widowControl/>
              <w:shd w:val="clear" w:color="auto" w:fill="FFFFFF" w:themeFill="background1"/>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c>
          <w:tcPr>
            <w:tcW w:w="922" w:type="dxa"/>
            <w:gridSpan w:val="3"/>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0469CFFE">
            <w:pPr>
              <w:widowControl/>
              <w:shd w:val="clear" w:color="auto" w:fill="FFFFFF" w:themeFill="background1"/>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r>
      <w:tr w14:paraId="30BD06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15" w:hRule="atLeast"/>
          <w:jc w:val="center"/>
        </w:trPr>
        <w:tc>
          <w:tcPr>
            <w:tcW w:w="762" w:type="dxa"/>
            <w:gridSpan w:val="2"/>
            <w:vMerge w:val="restart"/>
            <w:tcBorders>
              <w:tl2br w:val="nil"/>
              <w:tr2bl w:val="nil"/>
            </w:tcBorders>
            <w:shd w:val="clear" w:color="auto" w:fill="FFFFFF" w:themeFill="background1"/>
            <w:vAlign w:val="center"/>
          </w:tcPr>
          <w:p w14:paraId="54958380">
            <w:pPr>
              <w:shd w:val="clear" w:color="auto" w:fill="FFFFFF" w:themeFill="background1"/>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w:t>
            </w:r>
          </w:p>
        </w:tc>
        <w:tc>
          <w:tcPr>
            <w:tcW w:w="1297" w:type="dxa"/>
            <w:vMerge w:val="restart"/>
            <w:tcBorders>
              <w:tl2br w:val="nil"/>
              <w:tr2bl w:val="nil"/>
            </w:tcBorders>
            <w:shd w:val="clear" w:color="auto" w:fill="FFFFFF" w:themeFill="background1"/>
            <w:vAlign w:val="center"/>
          </w:tcPr>
          <w:p w14:paraId="66F40706">
            <w:pPr>
              <w:widowControl/>
              <w:shd w:val="clear" w:color="auto" w:fill="FFFFFF" w:themeFill="background1"/>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资金管理（10）</w:t>
            </w:r>
          </w:p>
        </w:tc>
        <w:tc>
          <w:tcPr>
            <w:tcW w:w="1411" w:type="dxa"/>
            <w:tcBorders>
              <w:tl2br w:val="nil"/>
              <w:tr2bl w:val="nil"/>
            </w:tcBorders>
            <w:shd w:val="clear" w:color="auto" w:fill="FFFFFF" w:themeFill="background1"/>
            <w:vAlign w:val="center"/>
          </w:tcPr>
          <w:p w14:paraId="7BBABCDD">
            <w:pPr>
              <w:widowControl/>
              <w:shd w:val="clear" w:color="auto" w:fill="FFFFFF" w:themeFill="background1"/>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788" w:type="dxa"/>
            <w:tcBorders>
              <w:tl2br w:val="nil"/>
              <w:tr2bl w:val="nil"/>
            </w:tcBorders>
            <w:shd w:val="clear" w:color="auto" w:fill="FFFFFF" w:themeFill="background1"/>
            <w:vAlign w:val="center"/>
          </w:tcPr>
          <w:p w14:paraId="48B13856">
            <w:pPr>
              <w:widowControl/>
              <w:shd w:val="clear" w:color="auto" w:fill="FFFFFF" w:themeFill="background1"/>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7343" w:type="dxa"/>
            <w:tcBorders>
              <w:tl2br w:val="nil"/>
              <w:tr2bl w:val="nil"/>
            </w:tcBorders>
            <w:shd w:val="clear" w:color="auto" w:fill="FFFFFF" w:themeFill="background1"/>
            <w:vAlign w:val="center"/>
          </w:tcPr>
          <w:p w14:paraId="1CC1430F">
            <w:pPr>
              <w:widowControl/>
              <w:shd w:val="clear" w:color="auto" w:fill="FFFFFF" w:themeFill="background1"/>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资金到位率=（实际到位资金/预算资金）×100%。</w:t>
            </w:r>
          </w:p>
          <w:p w14:paraId="6D63FCF6">
            <w:pPr>
              <w:widowControl/>
              <w:shd w:val="clear" w:color="auto" w:fill="FFFFFF" w:themeFill="background1"/>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14:paraId="483E2941">
            <w:pPr>
              <w:widowControl/>
              <w:shd w:val="clear" w:color="auto" w:fill="FFFFFF" w:themeFill="background1"/>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841" w:type="dxa"/>
            <w:gridSpan w:val="2"/>
            <w:tcBorders>
              <w:top w:val="single" w:color="auto" w:sz="4" w:space="0"/>
              <w:bottom w:val="single" w:color="auto" w:sz="4" w:space="0"/>
              <w:right w:val="single" w:color="auto" w:sz="4" w:space="0"/>
            </w:tcBorders>
            <w:shd w:val="clear" w:color="auto" w:fill="FFFFFF" w:themeFill="background1"/>
            <w:vAlign w:val="center"/>
          </w:tcPr>
          <w:p w14:paraId="07CBE51B">
            <w:pPr>
              <w:widowControl/>
              <w:shd w:val="clear" w:color="auto" w:fill="FFFFFF" w:themeFill="background1"/>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28EE2C0C">
            <w:pPr>
              <w:widowControl/>
              <w:shd w:val="clear" w:color="auto" w:fill="FFFFFF" w:themeFill="background1"/>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r>
      <w:tr w14:paraId="02034B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320" w:hRule="atLeast"/>
          <w:jc w:val="center"/>
        </w:trPr>
        <w:tc>
          <w:tcPr>
            <w:tcW w:w="762" w:type="dxa"/>
            <w:gridSpan w:val="2"/>
            <w:vMerge w:val="continue"/>
            <w:tcBorders>
              <w:tl2br w:val="nil"/>
              <w:tr2bl w:val="nil"/>
            </w:tcBorders>
            <w:shd w:val="clear" w:color="auto" w:fill="FFFFFF" w:themeFill="background1"/>
            <w:vAlign w:val="center"/>
          </w:tcPr>
          <w:p w14:paraId="22E05E76">
            <w:pPr>
              <w:shd w:val="clear" w:color="auto" w:fill="FFFFFF" w:themeFill="background1"/>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themeFill="background1"/>
            <w:vAlign w:val="center"/>
          </w:tcPr>
          <w:p w14:paraId="353B7EEC">
            <w:pPr>
              <w:shd w:val="clear" w:color="auto" w:fill="FFFFFF" w:themeFill="background1"/>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themeFill="background1"/>
            <w:vAlign w:val="center"/>
          </w:tcPr>
          <w:p w14:paraId="54BA1CD0">
            <w:pPr>
              <w:widowControl/>
              <w:shd w:val="clear" w:color="auto" w:fill="FFFFFF" w:themeFill="background1"/>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788" w:type="dxa"/>
            <w:tcBorders>
              <w:tl2br w:val="nil"/>
              <w:tr2bl w:val="nil"/>
            </w:tcBorders>
            <w:shd w:val="clear" w:color="auto" w:fill="FFFFFF" w:themeFill="background1"/>
            <w:vAlign w:val="center"/>
          </w:tcPr>
          <w:p w14:paraId="26C9445A">
            <w:pPr>
              <w:widowControl/>
              <w:shd w:val="clear" w:color="auto" w:fill="FFFFFF" w:themeFill="background1"/>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7343" w:type="dxa"/>
            <w:tcBorders>
              <w:tl2br w:val="nil"/>
              <w:tr2bl w:val="nil"/>
            </w:tcBorders>
            <w:shd w:val="clear" w:color="auto" w:fill="FFFFFF" w:themeFill="background1"/>
            <w:vAlign w:val="center"/>
          </w:tcPr>
          <w:p w14:paraId="2E9241F6">
            <w:pPr>
              <w:widowControl/>
              <w:shd w:val="clear" w:color="auto" w:fill="FFFFFF" w:themeFill="background1"/>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预算执行率=（实际支出资金/实际到位资金）×100%。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实际支出资金：一定时期（本年度或项目期）内项目实际拨付的资金。</w:t>
            </w:r>
          </w:p>
        </w:tc>
        <w:tc>
          <w:tcPr>
            <w:tcW w:w="841" w:type="dxa"/>
            <w:gridSpan w:val="2"/>
            <w:tcBorders>
              <w:top w:val="single" w:color="auto" w:sz="4" w:space="0"/>
              <w:bottom w:val="single" w:color="auto" w:sz="4" w:space="0"/>
              <w:right w:val="single" w:color="auto" w:sz="4" w:space="0"/>
            </w:tcBorders>
            <w:shd w:val="clear" w:color="auto" w:fill="FFFFFF" w:themeFill="background1"/>
            <w:vAlign w:val="center"/>
          </w:tcPr>
          <w:p w14:paraId="70080CB6">
            <w:pPr>
              <w:widowControl/>
              <w:shd w:val="clear" w:color="auto" w:fill="FFFFFF" w:themeFill="background1"/>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c>
          <w:tcPr>
            <w:tcW w:w="922" w:type="dxa"/>
            <w:gridSpan w:val="3"/>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624B53B1">
            <w:pPr>
              <w:widowControl/>
              <w:shd w:val="clear" w:color="auto" w:fill="FFFFFF" w:themeFill="background1"/>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r>
      <w:tr w14:paraId="32B8FA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2076" w:hRule="atLeast"/>
          <w:jc w:val="center"/>
        </w:trPr>
        <w:tc>
          <w:tcPr>
            <w:tcW w:w="762" w:type="dxa"/>
            <w:gridSpan w:val="2"/>
            <w:vMerge w:val="restart"/>
            <w:tcBorders>
              <w:tl2br w:val="nil"/>
              <w:tr2bl w:val="nil"/>
            </w:tcBorders>
            <w:shd w:val="clear" w:color="auto" w:fill="FFFFFF" w:themeFill="background1"/>
            <w:vAlign w:val="center"/>
          </w:tcPr>
          <w:p w14:paraId="4FE383DF">
            <w:pPr>
              <w:widowControl/>
              <w:shd w:val="clear" w:color="auto" w:fill="FFFFFF" w:themeFill="background1"/>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05D16B95">
            <w:pPr>
              <w:shd w:val="clear" w:color="auto" w:fill="FFFFFF" w:themeFill="background1"/>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　</w:t>
            </w:r>
          </w:p>
        </w:tc>
        <w:tc>
          <w:tcPr>
            <w:tcW w:w="1297" w:type="dxa"/>
            <w:tcBorders>
              <w:tl2br w:val="nil"/>
              <w:tr2bl w:val="nil"/>
            </w:tcBorders>
            <w:shd w:val="clear" w:color="auto" w:fill="FFFFFF" w:themeFill="background1"/>
            <w:vAlign w:val="center"/>
          </w:tcPr>
          <w:p w14:paraId="376357B0">
            <w:pPr>
              <w:widowControl/>
              <w:shd w:val="clear" w:color="auto" w:fill="FFFFFF" w:themeFill="background1"/>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1411" w:type="dxa"/>
            <w:tcBorders>
              <w:tl2br w:val="nil"/>
              <w:tr2bl w:val="nil"/>
            </w:tcBorders>
            <w:shd w:val="clear" w:color="auto" w:fill="FFFFFF" w:themeFill="background1"/>
            <w:vAlign w:val="center"/>
          </w:tcPr>
          <w:p w14:paraId="3BBA990B">
            <w:pPr>
              <w:widowControl/>
              <w:shd w:val="clear" w:color="auto" w:fill="FFFFFF" w:themeFill="background1"/>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14:paraId="1EB25E37">
            <w:pPr>
              <w:widowControl/>
              <w:shd w:val="clear" w:color="auto" w:fill="FFFFFF" w:themeFill="background1"/>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2788" w:type="dxa"/>
            <w:tcBorders>
              <w:tl2br w:val="nil"/>
              <w:tr2bl w:val="nil"/>
            </w:tcBorders>
            <w:shd w:val="clear" w:color="auto" w:fill="FFFFFF" w:themeFill="background1"/>
            <w:vAlign w:val="center"/>
          </w:tcPr>
          <w:p w14:paraId="07338E2F">
            <w:pPr>
              <w:widowControl/>
              <w:shd w:val="clear" w:color="auto" w:fill="FFFFFF" w:themeFill="background1"/>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7343" w:type="dxa"/>
            <w:tcBorders>
              <w:bottom w:val="single" w:color="auto" w:sz="4" w:space="0"/>
              <w:tl2br w:val="nil"/>
              <w:tr2bl w:val="nil"/>
            </w:tcBorders>
            <w:shd w:val="clear" w:color="auto" w:fill="FFFFFF" w:themeFill="background1"/>
            <w:vAlign w:val="center"/>
          </w:tcPr>
          <w:p w14:paraId="4963E42D">
            <w:pPr>
              <w:widowControl/>
              <w:shd w:val="clear" w:color="auto" w:fill="FFFFFF" w:themeFill="background1"/>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①是否符合国家财经法规和财务管理制度以及有关专项资金管理办法的规定；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②资金的拨付是否有完整的审批程序和手续；</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③是否符合项目预算批复或合同规定的用途；</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④是否存在截留、挤占、挪用、虚列支出等情况。</w:t>
            </w:r>
          </w:p>
        </w:tc>
        <w:tc>
          <w:tcPr>
            <w:tcW w:w="829" w:type="dxa"/>
            <w:tcBorders>
              <w:top w:val="single" w:color="auto" w:sz="4" w:space="0"/>
              <w:bottom w:val="single" w:color="auto" w:sz="4" w:space="0"/>
              <w:right w:val="single" w:color="auto" w:sz="4" w:space="0"/>
            </w:tcBorders>
            <w:shd w:val="clear" w:color="auto" w:fill="FFFFFF" w:themeFill="background1"/>
            <w:vAlign w:val="center"/>
          </w:tcPr>
          <w:p w14:paraId="7367BC8C">
            <w:pPr>
              <w:widowControl/>
              <w:shd w:val="clear" w:color="auto" w:fill="FFFFFF" w:themeFill="background1"/>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c>
          <w:tcPr>
            <w:tcW w:w="922" w:type="dxa"/>
            <w:gridSpan w:val="3"/>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58A0D676">
            <w:pPr>
              <w:widowControl/>
              <w:shd w:val="clear" w:color="auto" w:fill="FFFFFF" w:themeFill="background1"/>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r>
      <w:tr w14:paraId="14ABB6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97" w:hRule="atLeast"/>
          <w:jc w:val="center"/>
        </w:trPr>
        <w:tc>
          <w:tcPr>
            <w:tcW w:w="762" w:type="dxa"/>
            <w:gridSpan w:val="2"/>
            <w:vMerge w:val="continue"/>
            <w:tcBorders>
              <w:tl2br w:val="nil"/>
              <w:tr2bl w:val="nil"/>
            </w:tcBorders>
            <w:shd w:val="clear" w:color="auto" w:fill="FFFFFF"/>
            <w:vAlign w:val="center"/>
          </w:tcPr>
          <w:p w14:paraId="3043E796">
            <w:pPr>
              <w:shd w:val="clear" w:color="auto" w:fill="FFFFFF" w:themeFill="background1"/>
              <w:spacing w:line="0" w:lineRule="atLeast"/>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themeFill="background1"/>
            <w:vAlign w:val="center"/>
          </w:tcPr>
          <w:p w14:paraId="065AC849">
            <w:pPr>
              <w:widowControl/>
              <w:shd w:val="clear" w:color="auto" w:fill="FFFFFF" w:themeFill="background1"/>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组织实施（10）</w:t>
            </w:r>
          </w:p>
          <w:p w14:paraId="6FF0EBF6">
            <w:pPr>
              <w:shd w:val="clear" w:color="auto" w:fill="FFFFFF" w:themeFill="background1"/>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themeFill="background1"/>
            <w:vAlign w:val="center"/>
          </w:tcPr>
          <w:p w14:paraId="21DF03B6">
            <w:pPr>
              <w:widowControl/>
              <w:shd w:val="clear" w:color="auto" w:fill="FFFFFF" w:themeFill="background1"/>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14:paraId="3716741B">
            <w:pPr>
              <w:widowControl/>
              <w:shd w:val="clear" w:color="auto" w:fill="FFFFFF" w:themeFill="background1"/>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2788" w:type="dxa"/>
            <w:tcBorders>
              <w:tl2br w:val="nil"/>
              <w:tr2bl w:val="nil"/>
            </w:tcBorders>
            <w:shd w:val="clear" w:color="auto" w:fill="FFFFFF" w:themeFill="background1"/>
            <w:vAlign w:val="center"/>
          </w:tcPr>
          <w:p w14:paraId="225087CB">
            <w:pPr>
              <w:widowControl/>
              <w:shd w:val="clear" w:color="auto" w:fill="FFFFFF" w:themeFill="background1"/>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7343" w:type="dxa"/>
            <w:tcBorders>
              <w:tl2br w:val="nil"/>
              <w:tr2bl w:val="nil"/>
            </w:tcBorders>
            <w:shd w:val="clear" w:color="auto" w:fill="FFFFFF" w:themeFill="background1"/>
            <w:vAlign w:val="center"/>
          </w:tcPr>
          <w:p w14:paraId="1A5E475B">
            <w:pPr>
              <w:widowControl/>
              <w:shd w:val="clear" w:color="auto" w:fill="FFFFFF" w:themeFill="background1"/>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①是否已制定或具有相应的财务和业务管理制度；</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②财务和业务管理制度是否合法、合规、完整。</w:t>
            </w:r>
          </w:p>
        </w:tc>
        <w:tc>
          <w:tcPr>
            <w:tcW w:w="829" w:type="dxa"/>
            <w:tcBorders>
              <w:top w:val="single" w:color="auto" w:sz="4" w:space="0"/>
              <w:bottom w:val="single" w:color="auto" w:sz="4" w:space="0"/>
              <w:right w:val="single" w:color="auto" w:sz="4" w:space="0"/>
            </w:tcBorders>
            <w:shd w:val="clear" w:color="auto" w:fill="auto"/>
            <w:vAlign w:val="center"/>
          </w:tcPr>
          <w:p w14:paraId="396EECC4">
            <w:pPr>
              <w:widowControl/>
              <w:shd w:val="clear" w:color="auto" w:fill="FFFFFF" w:themeFill="background1"/>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5F602F9">
            <w:pPr>
              <w:widowControl/>
              <w:shd w:val="clear" w:color="auto" w:fill="FFFFFF" w:themeFill="background1"/>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5F6B95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69" w:hRule="atLeast"/>
          <w:jc w:val="center"/>
        </w:trPr>
        <w:tc>
          <w:tcPr>
            <w:tcW w:w="762" w:type="dxa"/>
            <w:gridSpan w:val="2"/>
            <w:vMerge w:val="continue"/>
            <w:tcBorders>
              <w:tl2br w:val="nil"/>
              <w:tr2bl w:val="nil"/>
            </w:tcBorders>
            <w:shd w:val="clear" w:color="auto" w:fill="FFFFFF"/>
            <w:vAlign w:val="center"/>
          </w:tcPr>
          <w:p w14:paraId="489EF994">
            <w:pPr>
              <w:widowControl/>
              <w:shd w:val="clear" w:color="auto" w:fill="FFFFFF" w:themeFill="background1"/>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themeFill="background1"/>
            <w:vAlign w:val="center"/>
          </w:tcPr>
          <w:p w14:paraId="21935739">
            <w:pPr>
              <w:widowControl/>
              <w:shd w:val="clear" w:color="auto" w:fill="FFFFFF" w:themeFill="background1"/>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themeFill="background1"/>
            <w:vAlign w:val="center"/>
          </w:tcPr>
          <w:p w14:paraId="319432F2">
            <w:pPr>
              <w:widowControl/>
              <w:shd w:val="clear" w:color="auto" w:fill="FFFFFF" w:themeFill="background1"/>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14:paraId="4473B18A">
            <w:pPr>
              <w:widowControl/>
              <w:shd w:val="clear" w:color="auto" w:fill="FFFFFF" w:themeFill="background1"/>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2788" w:type="dxa"/>
            <w:tcBorders>
              <w:tl2br w:val="nil"/>
              <w:tr2bl w:val="nil"/>
            </w:tcBorders>
            <w:shd w:val="clear" w:color="auto" w:fill="FFFFFF" w:themeFill="background1"/>
            <w:vAlign w:val="center"/>
          </w:tcPr>
          <w:p w14:paraId="20C38954">
            <w:pPr>
              <w:widowControl/>
              <w:shd w:val="clear" w:color="auto" w:fill="FFFFFF" w:themeFill="background1"/>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7343" w:type="dxa"/>
            <w:tcBorders>
              <w:tl2br w:val="nil"/>
              <w:tr2bl w:val="nil"/>
            </w:tcBorders>
            <w:shd w:val="clear" w:color="auto" w:fill="FFFFFF" w:themeFill="background1"/>
            <w:vAlign w:val="center"/>
          </w:tcPr>
          <w:p w14:paraId="3EE5DD2E">
            <w:pPr>
              <w:widowControl/>
              <w:shd w:val="clear" w:color="auto" w:fill="FFFFFF" w:themeFill="background1"/>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①是否遵守相关法律法规和相关管理规定；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②项目调整及支出调整手续是否完备；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③项目合同书、验收报告、技术鉴定等资料是否齐全并及时归档；</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④项目实施的人员条件、场地设备、信息支撑等是否落实到位。</w:t>
            </w:r>
          </w:p>
        </w:tc>
        <w:tc>
          <w:tcPr>
            <w:tcW w:w="829" w:type="dxa"/>
            <w:tcBorders>
              <w:top w:val="single" w:color="auto" w:sz="4" w:space="0"/>
              <w:bottom w:val="single" w:color="auto" w:sz="4" w:space="0"/>
              <w:right w:val="single" w:color="auto" w:sz="4" w:space="0"/>
            </w:tcBorders>
            <w:shd w:val="clear" w:color="auto" w:fill="auto"/>
            <w:vAlign w:val="center"/>
          </w:tcPr>
          <w:p w14:paraId="40958609">
            <w:pPr>
              <w:widowControl/>
              <w:shd w:val="clear" w:color="auto" w:fill="FFFFFF" w:themeFill="background1"/>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AD1B80C">
            <w:pPr>
              <w:widowControl/>
              <w:shd w:val="clear" w:color="auto" w:fill="FFFFFF" w:themeFill="background1"/>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6018C3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917" w:hRule="atLeast"/>
          <w:jc w:val="center"/>
        </w:trPr>
        <w:tc>
          <w:tcPr>
            <w:tcW w:w="762" w:type="dxa"/>
            <w:gridSpan w:val="2"/>
            <w:tcBorders>
              <w:tl2br w:val="nil"/>
              <w:tr2bl w:val="nil"/>
            </w:tcBorders>
            <w:shd w:val="clear" w:color="auto" w:fill="FFFFFF" w:themeFill="background1"/>
            <w:vAlign w:val="center"/>
          </w:tcPr>
          <w:p w14:paraId="05AC256B">
            <w:pPr>
              <w:widowControl/>
              <w:shd w:val="clear" w:color="auto" w:fill="FFFFFF" w:themeFill="background1"/>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shd w:val="clear" w:color="auto" w:fill="FFFFFF" w:themeFill="background1"/>
              </w:rPr>
              <w:t>产出（30分）</w:t>
            </w:r>
          </w:p>
        </w:tc>
        <w:tc>
          <w:tcPr>
            <w:tcW w:w="1297" w:type="dxa"/>
            <w:tcBorders>
              <w:tl2br w:val="nil"/>
              <w:tr2bl w:val="nil"/>
            </w:tcBorders>
            <w:shd w:val="clear" w:color="auto" w:fill="FFFFFF" w:themeFill="background1"/>
            <w:vAlign w:val="center"/>
          </w:tcPr>
          <w:p w14:paraId="1553E038">
            <w:pPr>
              <w:widowControl/>
              <w:shd w:val="clear" w:color="auto" w:fill="FFFFFF" w:themeFill="background1"/>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产出数量（10分）</w:t>
            </w:r>
          </w:p>
        </w:tc>
        <w:tc>
          <w:tcPr>
            <w:tcW w:w="1411" w:type="dxa"/>
            <w:tcBorders>
              <w:tl2br w:val="nil"/>
              <w:tr2bl w:val="nil"/>
            </w:tcBorders>
            <w:shd w:val="clear" w:color="auto" w:fill="FFFFFF" w:themeFill="background1"/>
            <w:vAlign w:val="center"/>
          </w:tcPr>
          <w:p w14:paraId="4C1E628F">
            <w:pPr>
              <w:widowControl/>
              <w:shd w:val="clear" w:color="auto" w:fill="FFFFFF" w:themeFill="background1"/>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w:t>
            </w:r>
          </w:p>
        </w:tc>
        <w:tc>
          <w:tcPr>
            <w:tcW w:w="2788" w:type="dxa"/>
            <w:tcBorders>
              <w:tl2br w:val="nil"/>
              <w:tr2bl w:val="nil"/>
            </w:tcBorders>
            <w:shd w:val="clear" w:color="auto" w:fill="FFFFFF" w:themeFill="background1"/>
            <w:vAlign w:val="center"/>
          </w:tcPr>
          <w:p w14:paraId="5F604DC7">
            <w:pPr>
              <w:widowControl/>
              <w:shd w:val="clear" w:color="auto" w:fill="FFFFFF" w:themeFill="background1"/>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343" w:type="dxa"/>
            <w:tcBorders>
              <w:tl2br w:val="nil"/>
              <w:tr2bl w:val="nil"/>
            </w:tcBorders>
            <w:shd w:val="clear" w:color="auto" w:fill="FFFFFF" w:themeFill="background1"/>
            <w:vAlign w:val="center"/>
          </w:tcPr>
          <w:p w14:paraId="2363EA65">
            <w:pPr>
              <w:widowControl/>
              <w:shd w:val="clear" w:color="auto" w:fill="FFFFFF" w:themeFill="background1"/>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实际完成率=（实际产出数/计划产出数）×100%。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实际产出数：一定时期（本年度或项目期）内项目实际产出的产品或提供的服务数量。</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829" w:type="dxa"/>
            <w:tcBorders>
              <w:top w:val="single" w:color="auto" w:sz="4" w:space="0"/>
              <w:bottom w:val="single" w:color="auto" w:sz="4" w:space="0"/>
              <w:right w:val="single" w:color="auto" w:sz="4" w:space="0"/>
            </w:tcBorders>
            <w:shd w:val="clear" w:color="auto" w:fill="auto"/>
            <w:vAlign w:val="center"/>
          </w:tcPr>
          <w:p w14:paraId="4D52FB4D">
            <w:pPr>
              <w:widowControl/>
              <w:shd w:val="clear" w:color="auto" w:fill="FFFFFF" w:themeFill="background1"/>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82B4DC2">
            <w:pPr>
              <w:widowControl/>
              <w:shd w:val="clear" w:color="auto" w:fill="FFFFFF" w:themeFill="background1"/>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9.3</w:t>
            </w:r>
          </w:p>
        </w:tc>
      </w:tr>
      <w:tr w14:paraId="3BB25F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54" w:hRule="atLeast"/>
          <w:jc w:val="center"/>
        </w:trPr>
        <w:tc>
          <w:tcPr>
            <w:tcW w:w="762" w:type="dxa"/>
            <w:gridSpan w:val="2"/>
            <w:vMerge w:val="restart"/>
            <w:tcBorders>
              <w:tl2br w:val="nil"/>
              <w:tr2bl w:val="nil"/>
            </w:tcBorders>
            <w:shd w:val="clear" w:color="auto" w:fill="FFFFFF" w:themeFill="background1"/>
            <w:vAlign w:val="center"/>
          </w:tcPr>
          <w:p w14:paraId="36F7CCB2">
            <w:pPr>
              <w:widowControl/>
              <w:shd w:val="clear" w:color="auto" w:fill="FFFFFF" w:themeFill="background1"/>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tcBorders>
              <w:tl2br w:val="nil"/>
              <w:tr2bl w:val="nil"/>
            </w:tcBorders>
            <w:shd w:val="clear" w:color="auto" w:fill="FFFFFF" w:themeFill="background1"/>
            <w:vAlign w:val="center"/>
          </w:tcPr>
          <w:p w14:paraId="563900F9">
            <w:pPr>
              <w:widowControl/>
              <w:shd w:val="clear" w:color="auto" w:fill="FFFFFF" w:themeFill="background1"/>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产出质量（10分）</w:t>
            </w:r>
          </w:p>
        </w:tc>
        <w:tc>
          <w:tcPr>
            <w:tcW w:w="1411" w:type="dxa"/>
            <w:tcBorders>
              <w:tl2br w:val="nil"/>
              <w:tr2bl w:val="nil"/>
            </w:tcBorders>
            <w:shd w:val="clear" w:color="auto" w:fill="FFFFFF" w:themeFill="background1"/>
            <w:vAlign w:val="center"/>
          </w:tcPr>
          <w:p w14:paraId="3FF4DD9B">
            <w:pPr>
              <w:widowControl/>
              <w:shd w:val="clear" w:color="auto" w:fill="FFFFFF" w:themeFill="background1"/>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w:t>
            </w:r>
          </w:p>
        </w:tc>
        <w:tc>
          <w:tcPr>
            <w:tcW w:w="2788" w:type="dxa"/>
            <w:tcBorders>
              <w:tl2br w:val="nil"/>
              <w:tr2bl w:val="nil"/>
            </w:tcBorders>
            <w:shd w:val="clear" w:color="auto" w:fill="FFFFFF" w:themeFill="background1"/>
            <w:vAlign w:val="center"/>
          </w:tcPr>
          <w:p w14:paraId="574FF43B">
            <w:pPr>
              <w:widowControl/>
              <w:shd w:val="clear" w:color="auto" w:fill="FFFFFF" w:themeFill="background1"/>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项目完成的质量达标产出数与实际产出数的比率，用以反映和考核项目产出质量目标的实现程度。</w:t>
            </w:r>
          </w:p>
        </w:tc>
        <w:tc>
          <w:tcPr>
            <w:tcW w:w="7343" w:type="dxa"/>
            <w:tcBorders>
              <w:bottom w:val="single" w:color="auto" w:sz="4" w:space="0"/>
              <w:tl2br w:val="nil"/>
              <w:tr2bl w:val="nil"/>
            </w:tcBorders>
            <w:shd w:val="clear" w:color="auto" w:fill="FFFFFF" w:themeFill="background1"/>
            <w:vAlign w:val="center"/>
          </w:tcPr>
          <w:p w14:paraId="507A0429">
            <w:pPr>
              <w:widowControl/>
              <w:shd w:val="clear" w:color="auto" w:fill="FFFFFF" w:themeFill="background1"/>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p w14:paraId="769F83FD">
            <w:pPr>
              <w:widowControl/>
              <w:shd w:val="clear" w:color="auto" w:fill="FFFFFF" w:themeFill="background1"/>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color="auto" w:sz="4" w:space="0"/>
              <w:bottom w:val="single" w:color="auto" w:sz="4" w:space="0"/>
              <w:right w:val="single" w:color="auto" w:sz="4" w:space="0"/>
            </w:tcBorders>
            <w:shd w:val="clear" w:color="auto" w:fill="auto"/>
            <w:vAlign w:val="center"/>
          </w:tcPr>
          <w:p w14:paraId="2D0455E8">
            <w:pPr>
              <w:widowControl/>
              <w:shd w:val="clear" w:color="auto" w:fill="FFFFFF" w:themeFill="background1"/>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482B253">
            <w:pPr>
              <w:widowControl/>
              <w:shd w:val="clear" w:color="auto" w:fill="FFFFFF" w:themeFill="background1"/>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r>
      <w:tr w14:paraId="7A57CB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12" w:hRule="atLeast"/>
          <w:jc w:val="center"/>
        </w:trPr>
        <w:tc>
          <w:tcPr>
            <w:tcW w:w="762" w:type="dxa"/>
            <w:gridSpan w:val="2"/>
            <w:vMerge w:val="continue"/>
            <w:tcBorders>
              <w:tl2br w:val="nil"/>
              <w:tr2bl w:val="nil"/>
            </w:tcBorders>
            <w:shd w:val="clear" w:color="auto" w:fill="FFFFFF" w:themeFill="background1"/>
            <w:vAlign w:val="center"/>
          </w:tcPr>
          <w:p w14:paraId="76CE47E2">
            <w:pPr>
              <w:shd w:val="clear" w:color="auto" w:fill="FFFFFF" w:themeFill="background1"/>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themeFill="background1"/>
            <w:vAlign w:val="center"/>
          </w:tcPr>
          <w:p w14:paraId="1430DB5C">
            <w:pPr>
              <w:shd w:val="clear" w:color="auto" w:fill="FFFFFF" w:themeFill="background1"/>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产出时效（5分）</w:t>
            </w:r>
          </w:p>
        </w:tc>
        <w:tc>
          <w:tcPr>
            <w:tcW w:w="1411" w:type="dxa"/>
            <w:tcBorders>
              <w:tl2br w:val="nil"/>
              <w:tr2bl w:val="nil"/>
            </w:tcBorders>
            <w:shd w:val="clear" w:color="auto" w:fill="FFFFFF" w:themeFill="background1"/>
            <w:vAlign w:val="center"/>
          </w:tcPr>
          <w:p w14:paraId="6155D23A">
            <w:pPr>
              <w:widowControl/>
              <w:shd w:val="clear" w:color="auto" w:fill="FFFFFF" w:themeFill="background1"/>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完成及时性</w:t>
            </w:r>
          </w:p>
        </w:tc>
        <w:tc>
          <w:tcPr>
            <w:tcW w:w="2788" w:type="dxa"/>
            <w:tcBorders>
              <w:tl2br w:val="nil"/>
              <w:tr2bl w:val="nil"/>
            </w:tcBorders>
            <w:shd w:val="clear" w:color="auto" w:fill="FFFFFF" w:themeFill="background1"/>
            <w:vAlign w:val="center"/>
          </w:tcPr>
          <w:p w14:paraId="1929A435">
            <w:pPr>
              <w:widowControl/>
              <w:shd w:val="clear" w:color="auto" w:fill="FFFFFF" w:themeFill="background1"/>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7343" w:type="dxa"/>
            <w:tcBorders>
              <w:tl2br w:val="nil"/>
              <w:tr2bl w:val="nil"/>
            </w:tcBorders>
            <w:shd w:val="clear" w:color="auto" w:fill="FFFFFF" w:themeFill="background1"/>
            <w:vAlign w:val="center"/>
          </w:tcPr>
          <w:p w14:paraId="4FF80698">
            <w:pPr>
              <w:widowControl/>
              <w:shd w:val="clear" w:color="auto" w:fill="FFFFFF" w:themeFill="background1"/>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实际完成时间：项目实施单位完成该项目实际所耗用的时间。</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计划完成时间：按照项目实施计划或相关规定完成该项目所需的时间。</w:t>
            </w:r>
          </w:p>
        </w:tc>
        <w:tc>
          <w:tcPr>
            <w:tcW w:w="852" w:type="dxa"/>
            <w:gridSpan w:val="3"/>
            <w:tcBorders>
              <w:top w:val="single" w:color="auto" w:sz="4" w:space="0"/>
              <w:bottom w:val="single" w:color="auto" w:sz="4" w:space="0"/>
              <w:right w:val="single" w:color="auto" w:sz="4" w:space="0"/>
            </w:tcBorders>
            <w:shd w:val="clear" w:color="auto" w:fill="auto"/>
            <w:vAlign w:val="center"/>
          </w:tcPr>
          <w:p w14:paraId="2AC9328E">
            <w:pPr>
              <w:widowControl/>
              <w:shd w:val="clear" w:color="auto" w:fill="FFFFFF" w:themeFill="background1"/>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D8927E3">
            <w:pPr>
              <w:widowControl/>
              <w:shd w:val="clear" w:color="auto" w:fill="FFFFFF" w:themeFill="background1"/>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0FFF05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58" w:hRule="atLeast"/>
          <w:jc w:val="center"/>
        </w:trPr>
        <w:tc>
          <w:tcPr>
            <w:tcW w:w="762" w:type="dxa"/>
            <w:gridSpan w:val="2"/>
            <w:vMerge w:val="continue"/>
            <w:tcBorders>
              <w:tl2br w:val="nil"/>
              <w:tr2bl w:val="nil"/>
            </w:tcBorders>
            <w:shd w:val="clear" w:color="auto" w:fill="FFFFFF" w:themeFill="background1"/>
            <w:vAlign w:val="center"/>
          </w:tcPr>
          <w:p w14:paraId="48159EF3">
            <w:pPr>
              <w:widowControl/>
              <w:shd w:val="clear" w:color="auto" w:fill="FFFFFF" w:themeFill="background1"/>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themeFill="background1"/>
            <w:vAlign w:val="center"/>
          </w:tcPr>
          <w:p w14:paraId="273668D1">
            <w:pPr>
              <w:widowControl/>
              <w:shd w:val="clear" w:color="auto" w:fill="FFFFFF" w:themeFill="background1"/>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产出成本（5分）</w:t>
            </w:r>
          </w:p>
        </w:tc>
        <w:tc>
          <w:tcPr>
            <w:tcW w:w="1411" w:type="dxa"/>
            <w:tcBorders>
              <w:tl2br w:val="nil"/>
              <w:tr2bl w:val="nil"/>
            </w:tcBorders>
            <w:shd w:val="clear" w:color="auto" w:fill="FFFFFF" w:themeFill="background1"/>
            <w:vAlign w:val="center"/>
          </w:tcPr>
          <w:p w14:paraId="20446817">
            <w:pPr>
              <w:widowControl/>
              <w:shd w:val="clear" w:color="auto" w:fill="FFFFFF" w:themeFill="background1"/>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成本节约率</w:t>
            </w:r>
          </w:p>
        </w:tc>
        <w:tc>
          <w:tcPr>
            <w:tcW w:w="2788" w:type="dxa"/>
            <w:tcBorders>
              <w:tl2br w:val="nil"/>
              <w:tr2bl w:val="nil"/>
            </w:tcBorders>
            <w:shd w:val="clear" w:color="auto" w:fill="FFFFFF" w:themeFill="background1"/>
            <w:vAlign w:val="center"/>
          </w:tcPr>
          <w:p w14:paraId="167FDB6F">
            <w:pPr>
              <w:widowControl/>
              <w:shd w:val="clear" w:color="auto" w:fill="FFFFFF" w:themeFill="background1"/>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343" w:type="dxa"/>
            <w:tcBorders>
              <w:tl2br w:val="nil"/>
              <w:tr2bl w:val="nil"/>
            </w:tcBorders>
            <w:shd w:val="clear" w:color="auto" w:fill="FFFFFF" w:themeFill="background1"/>
            <w:vAlign w:val="center"/>
          </w:tcPr>
          <w:p w14:paraId="69CC21CD">
            <w:pPr>
              <w:widowControl/>
              <w:shd w:val="clear" w:color="auto" w:fill="FFFFFF" w:themeFill="background1"/>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成本节约率=[（计划成本-实际成本）/计划成本]×100%。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实际成本：项目实施单位如期、保质、保量完成既定工作目标实际所耗费的支出。</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计划成本：项目实施单位为完成工作目标计划安排的支出，一般以项目预算为参考。</w:t>
            </w:r>
          </w:p>
        </w:tc>
        <w:tc>
          <w:tcPr>
            <w:tcW w:w="852" w:type="dxa"/>
            <w:gridSpan w:val="3"/>
            <w:tcBorders>
              <w:top w:val="single" w:color="auto" w:sz="4" w:space="0"/>
              <w:bottom w:val="single" w:color="auto" w:sz="4" w:space="0"/>
              <w:right w:val="single" w:color="auto" w:sz="4" w:space="0"/>
            </w:tcBorders>
            <w:shd w:val="clear" w:color="auto" w:fill="auto"/>
            <w:vAlign w:val="center"/>
          </w:tcPr>
          <w:p w14:paraId="120DF30C">
            <w:pPr>
              <w:widowControl/>
              <w:shd w:val="clear" w:color="auto" w:fill="FFFFFF" w:themeFill="background1"/>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7E50331">
            <w:pPr>
              <w:widowControl/>
              <w:shd w:val="clear" w:color="auto" w:fill="FFFFFF" w:themeFill="background1"/>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09D4A6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762" w:type="dxa"/>
            <w:gridSpan w:val="2"/>
            <w:vMerge w:val="restart"/>
            <w:tcBorders>
              <w:tl2br w:val="nil"/>
              <w:tr2bl w:val="nil"/>
            </w:tcBorders>
            <w:shd w:val="clear" w:color="auto" w:fill="FFFFFF" w:themeFill="background1"/>
            <w:vAlign w:val="center"/>
          </w:tcPr>
          <w:p w14:paraId="0A9026DB">
            <w:pPr>
              <w:widowControl/>
              <w:shd w:val="clear" w:color="auto" w:fill="FFFFFF" w:themeFill="background1"/>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效益（30分）　</w:t>
            </w:r>
          </w:p>
        </w:tc>
        <w:tc>
          <w:tcPr>
            <w:tcW w:w="1297" w:type="dxa"/>
            <w:vMerge w:val="restart"/>
            <w:tcBorders>
              <w:right w:val="single" w:color="auto" w:sz="4" w:space="0"/>
              <w:tl2br w:val="nil"/>
              <w:tr2bl w:val="nil"/>
            </w:tcBorders>
            <w:shd w:val="clear" w:color="auto" w:fill="FFFFFF" w:themeFill="background1"/>
            <w:vAlign w:val="center"/>
          </w:tcPr>
          <w:p w14:paraId="54D30867">
            <w:pPr>
              <w:widowControl/>
              <w:shd w:val="clear" w:color="auto" w:fill="FFFFFF" w:themeFill="background1"/>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项目效益（30分）　</w:t>
            </w:r>
          </w:p>
        </w:tc>
        <w:tc>
          <w:tcPr>
            <w:tcW w:w="1411" w:type="dxa"/>
            <w:tcBorders>
              <w:left w:val="single" w:color="auto" w:sz="4" w:space="0"/>
              <w:tl2br w:val="nil"/>
              <w:tr2bl w:val="nil"/>
            </w:tcBorders>
            <w:shd w:val="clear" w:color="auto" w:fill="FFFFFF" w:themeFill="background1"/>
            <w:vAlign w:val="center"/>
          </w:tcPr>
          <w:p w14:paraId="2433EC25">
            <w:pPr>
              <w:widowControl/>
              <w:shd w:val="clear" w:color="auto" w:fill="FFFFFF" w:themeFill="background1"/>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实施效益</w:t>
            </w:r>
          </w:p>
        </w:tc>
        <w:tc>
          <w:tcPr>
            <w:tcW w:w="2788" w:type="dxa"/>
            <w:tcBorders>
              <w:tl2br w:val="nil"/>
              <w:tr2bl w:val="nil"/>
            </w:tcBorders>
            <w:shd w:val="clear" w:color="auto" w:fill="FFFFFF" w:themeFill="background1"/>
            <w:vAlign w:val="center"/>
          </w:tcPr>
          <w:p w14:paraId="554235C3">
            <w:pPr>
              <w:widowControl/>
              <w:shd w:val="clear" w:color="auto" w:fill="FFFFFF" w:themeFill="background1"/>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项目实施所产生的效益。</w:t>
            </w:r>
          </w:p>
        </w:tc>
        <w:tc>
          <w:tcPr>
            <w:tcW w:w="7343" w:type="dxa"/>
            <w:tcBorders>
              <w:tl2br w:val="nil"/>
              <w:tr2bl w:val="nil"/>
            </w:tcBorders>
            <w:shd w:val="clear" w:color="auto" w:fill="FFFFFF" w:themeFill="background1"/>
            <w:vAlign w:val="center"/>
          </w:tcPr>
          <w:p w14:paraId="07334BFD">
            <w:pPr>
              <w:widowControl/>
              <w:shd w:val="clear" w:color="auto" w:fill="FFFFFF" w:themeFill="background1"/>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color="auto" w:sz="4" w:space="0"/>
              <w:bottom w:val="single" w:color="auto" w:sz="4" w:space="0"/>
              <w:right w:val="single" w:color="auto" w:sz="4" w:space="0"/>
            </w:tcBorders>
            <w:shd w:val="clear" w:color="auto" w:fill="auto"/>
            <w:vAlign w:val="center"/>
          </w:tcPr>
          <w:p w14:paraId="007D6395">
            <w:pPr>
              <w:widowControl/>
              <w:shd w:val="clear" w:color="auto" w:fill="FFFFFF" w:themeFill="background1"/>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20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75AFA33">
            <w:pPr>
              <w:widowControl/>
              <w:shd w:val="clear" w:color="auto" w:fill="FFFFFF" w:themeFill="background1"/>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18.5</w:t>
            </w:r>
          </w:p>
        </w:tc>
      </w:tr>
      <w:tr w14:paraId="5F46ED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38" w:hRule="atLeast"/>
          <w:jc w:val="center"/>
        </w:trPr>
        <w:tc>
          <w:tcPr>
            <w:tcW w:w="762" w:type="dxa"/>
            <w:gridSpan w:val="2"/>
            <w:vMerge w:val="continue"/>
            <w:tcBorders>
              <w:tl2br w:val="nil"/>
              <w:tr2bl w:val="nil"/>
            </w:tcBorders>
            <w:shd w:val="clear" w:color="auto" w:fill="FFFFFF" w:themeFill="background1"/>
            <w:vAlign w:val="center"/>
          </w:tcPr>
          <w:p w14:paraId="22324B21">
            <w:pPr>
              <w:widowControl/>
              <w:shd w:val="clear" w:color="auto" w:fill="FFFFFF" w:themeFill="background1"/>
              <w:spacing w:line="0" w:lineRule="atLeast"/>
              <w:jc w:val="center"/>
              <w:rPr>
                <w:rFonts w:ascii="宋体" w:hAnsi="宋体" w:eastAsia="宋体" w:cs="宋体"/>
                <w:color w:val="000000"/>
                <w:kern w:val="0"/>
                <w:sz w:val="22"/>
                <w:szCs w:val="22"/>
              </w:rPr>
            </w:pPr>
          </w:p>
        </w:tc>
        <w:tc>
          <w:tcPr>
            <w:tcW w:w="1297" w:type="dxa"/>
            <w:vMerge w:val="continue"/>
            <w:tcBorders>
              <w:right w:val="single" w:color="auto" w:sz="4" w:space="0"/>
              <w:tl2br w:val="nil"/>
              <w:tr2bl w:val="nil"/>
            </w:tcBorders>
            <w:shd w:val="clear" w:color="auto" w:fill="FFFFFF" w:themeFill="background1"/>
            <w:vAlign w:val="center"/>
          </w:tcPr>
          <w:p w14:paraId="61C8B0EB">
            <w:pPr>
              <w:widowControl/>
              <w:shd w:val="clear" w:color="auto" w:fill="FFFFFF" w:themeFill="background1"/>
              <w:spacing w:line="0" w:lineRule="atLeast"/>
              <w:jc w:val="center"/>
              <w:rPr>
                <w:rFonts w:ascii="宋体" w:hAnsi="宋体" w:eastAsia="宋体" w:cs="宋体"/>
                <w:color w:val="000000"/>
                <w:kern w:val="0"/>
                <w:sz w:val="22"/>
                <w:szCs w:val="22"/>
              </w:rPr>
            </w:pPr>
          </w:p>
        </w:tc>
        <w:tc>
          <w:tcPr>
            <w:tcW w:w="1411" w:type="dxa"/>
            <w:tcBorders>
              <w:left w:val="single" w:color="auto" w:sz="4" w:space="0"/>
              <w:right w:val="single" w:color="auto" w:sz="4" w:space="0"/>
              <w:tl2br w:val="nil"/>
              <w:tr2bl w:val="nil"/>
            </w:tcBorders>
            <w:shd w:val="clear" w:color="auto" w:fill="FFFFFF" w:themeFill="background1"/>
            <w:vAlign w:val="center"/>
          </w:tcPr>
          <w:p w14:paraId="325D21C2">
            <w:pPr>
              <w:widowControl/>
              <w:shd w:val="clear" w:color="auto" w:fill="FFFFFF" w:themeFill="background1"/>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满意度</w:t>
            </w:r>
          </w:p>
        </w:tc>
        <w:tc>
          <w:tcPr>
            <w:tcW w:w="2788" w:type="dxa"/>
            <w:tcBorders>
              <w:left w:val="single" w:color="auto" w:sz="4" w:space="0"/>
              <w:right w:val="single" w:color="auto" w:sz="4" w:space="0"/>
              <w:tl2br w:val="nil"/>
              <w:tr2bl w:val="nil"/>
            </w:tcBorders>
            <w:shd w:val="clear" w:color="auto" w:fill="FFFFFF" w:themeFill="background1"/>
            <w:vAlign w:val="center"/>
          </w:tcPr>
          <w:p w14:paraId="3BAAB2A4">
            <w:pPr>
              <w:widowControl/>
              <w:shd w:val="clear" w:color="auto" w:fill="FFFFFF" w:themeFill="background1"/>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社会公众或服务对象对项目实施效果的满意程度。</w:t>
            </w:r>
          </w:p>
        </w:tc>
        <w:tc>
          <w:tcPr>
            <w:tcW w:w="7343" w:type="dxa"/>
            <w:tcBorders>
              <w:left w:val="single" w:color="auto" w:sz="4" w:space="0"/>
              <w:tl2br w:val="nil"/>
              <w:tr2bl w:val="nil"/>
            </w:tcBorders>
            <w:shd w:val="clear" w:color="auto" w:fill="FFFFFF" w:themeFill="background1"/>
            <w:vAlign w:val="center"/>
          </w:tcPr>
          <w:p w14:paraId="11F5503B">
            <w:pPr>
              <w:widowControl/>
              <w:shd w:val="clear" w:color="auto" w:fill="FFFFFF" w:themeFill="background1"/>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c>
          <w:tcPr>
            <w:tcW w:w="852" w:type="dxa"/>
            <w:gridSpan w:val="3"/>
            <w:tcBorders>
              <w:top w:val="single" w:color="auto" w:sz="4" w:space="0"/>
              <w:bottom w:val="single" w:color="auto" w:sz="4" w:space="0"/>
              <w:right w:val="single" w:color="auto" w:sz="4" w:space="0"/>
            </w:tcBorders>
            <w:shd w:val="clear" w:color="auto" w:fill="auto"/>
            <w:vAlign w:val="center"/>
          </w:tcPr>
          <w:p w14:paraId="5B3F091A">
            <w:pPr>
              <w:widowControl/>
              <w:shd w:val="clear" w:color="auto" w:fill="FFFFFF" w:themeFill="background1"/>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F33B0E9">
            <w:pPr>
              <w:widowControl/>
              <w:shd w:val="clear" w:color="auto" w:fill="FFFFFF" w:themeFill="background1"/>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r>
      <w:tr w14:paraId="497A29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38" w:hRule="atLeast"/>
          <w:jc w:val="center"/>
        </w:trPr>
        <w:tc>
          <w:tcPr>
            <w:tcW w:w="749" w:type="dxa"/>
            <w:tcBorders>
              <w:right w:val="single" w:color="auto" w:sz="4" w:space="0"/>
              <w:tl2br w:val="nil"/>
              <w:tr2bl w:val="nil"/>
            </w:tcBorders>
            <w:shd w:val="clear" w:color="auto" w:fill="FFFFFF" w:themeFill="background1"/>
            <w:vAlign w:val="center"/>
          </w:tcPr>
          <w:p w14:paraId="324506A3">
            <w:pPr>
              <w:widowControl/>
              <w:shd w:val="clear" w:color="auto" w:fill="FFFFFF" w:themeFill="background1"/>
              <w:spacing w:line="0" w:lineRule="atLeast"/>
              <w:jc w:val="center"/>
              <w:rPr>
                <w:rFonts w:ascii="宋体" w:hAnsi="宋体" w:eastAsia="宋体" w:cs="宋体"/>
                <w:color w:val="000000"/>
                <w:kern w:val="0"/>
                <w:sz w:val="22"/>
                <w:szCs w:val="22"/>
              </w:rPr>
            </w:pPr>
          </w:p>
        </w:tc>
        <w:tc>
          <w:tcPr>
            <w:tcW w:w="1310" w:type="dxa"/>
            <w:gridSpan w:val="2"/>
            <w:tcBorders>
              <w:left w:val="single" w:color="auto" w:sz="4" w:space="0"/>
              <w:right w:val="single" w:color="auto" w:sz="4" w:space="0"/>
              <w:tl2br w:val="nil"/>
              <w:tr2bl w:val="nil"/>
            </w:tcBorders>
            <w:shd w:val="clear" w:color="auto" w:fill="FFFFFF" w:themeFill="background1"/>
            <w:vAlign w:val="center"/>
          </w:tcPr>
          <w:p w14:paraId="522EEAAB">
            <w:pPr>
              <w:widowControl/>
              <w:shd w:val="clear" w:color="auto" w:fill="FFFFFF" w:themeFill="background1"/>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合计总分</w:t>
            </w:r>
          </w:p>
        </w:tc>
        <w:tc>
          <w:tcPr>
            <w:tcW w:w="1411" w:type="dxa"/>
            <w:tcBorders>
              <w:left w:val="single" w:color="auto" w:sz="4" w:space="0"/>
              <w:right w:val="single" w:color="auto" w:sz="4" w:space="0"/>
              <w:tl2br w:val="nil"/>
              <w:tr2bl w:val="nil"/>
            </w:tcBorders>
            <w:shd w:val="clear" w:color="auto" w:fill="FFFFFF" w:themeFill="background1"/>
            <w:vAlign w:val="center"/>
          </w:tcPr>
          <w:p w14:paraId="66879799">
            <w:pPr>
              <w:widowControl/>
              <w:shd w:val="clear" w:color="auto" w:fill="FFFFFF" w:themeFill="background1"/>
              <w:spacing w:line="0" w:lineRule="atLeast"/>
              <w:jc w:val="center"/>
              <w:rPr>
                <w:rFonts w:ascii="宋体" w:hAnsi="宋体" w:eastAsia="宋体" w:cs="宋体"/>
                <w:color w:val="000000"/>
                <w:kern w:val="0"/>
                <w:sz w:val="22"/>
                <w:szCs w:val="22"/>
              </w:rPr>
            </w:pPr>
          </w:p>
        </w:tc>
        <w:tc>
          <w:tcPr>
            <w:tcW w:w="2790" w:type="dxa"/>
            <w:tcBorders>
              <w:left w:val="single" w:color="auto" w:sz="4" w:space="0"/>
              <w:right w:val="single" w:color="auto" w:sz="4" w:space="0"/>
              <w:tl2br w:val="nil"/>
              <w:tr2bl w:val="nil"/>
            </w:tcBorders>
            <w:shd w:val="clear" w:color="auto" w:fill="FFFFFF" w:themeFill="background1"/>
            <w:vAlign w:val="center"/>
          </w:tcPr>
          <w:p w14:paraId="7D36D886">
            <w:pPr>
              <w:widowControl/>
              <w:shd w:val="clear" w:color="auto" w:fill="FFFFFF" w:themeFill="background1"/>
              <w:spacing w:line="0" w:lineRule="atLeast"/>
              <w:jc w:val="center"/>
              <w:rPr>
                <w:rFonts w:ascii="宋体" w:hAnsi="宋体" w:eastAsia="宋体" w:cs="宋体"/>
                <w:color w:val="000000"/>
                <w:kern w:val="0"/>
                <w:sz w:val="22"/>
                <w:szCs w:val="22"/>
              </w:rPr>
            </w:pPr>
          </w:p>
        </w:tc>
        <w:tc>
          <w:tcPr>
            <w:tcW w:w="7341" w:type="dxa"/>
            <w:tcBorders>
              <w:left w:val="single" w:color="auto" w:sz="4" w:space="0"/>
              <w:tl2br w:val="nil"/>
              <w:tr2bl w:val="nil"/>
            </w:tcBorders>
            <w:shd w:val="clear" w:color="auto" w:fill="FFFFFF" w:themeFill="background1"/>
            <w:vAlign w:val="center"/>
          </w:tcPr>
          <w:p w14:paraId="51FC5457">
            <w:pPr>
              <w:widowControl/>
              <w:shd w:val="clear" w:color="auto" w:fill="FFFFFF" w:themeFill="background1"/>
              <w:spacing w:line="0" w:lineRule="atLeast"/>
              <w:jc w:val="center"/>
              <w:rPr>
                <w:rFonts w:ascii="宋体" w:hAnsi="宋体" w:eastAsia="宋体" w:cs="宋体"/>
                <w:color w:val="000000"/>
                <w:kern w:val="0"/>
                <w:sz w:val="22"/>
                <w:szCs w:val="22"/>
              </w:rPr>
            </w:pPr>
          </w:p>
        </w:tc>
        <w:tc>
          <w:tcPr>
            <w:tcW w:w="852" w:type="dxa"/>
            <w:gridSpan w:val="3"/>
            <w:tcBorders>
              <w:top w:val="single" w:color="auto" w:sz="4" w:space="0"/>
              <w:bottom w:val="single" w:color="auto" w:sz="4" w:space="0"/>
              <w:right w:val="single" w:color="auto" w:sz="4" w:space="0"/>
            </w:tcBorders>
            <w:shd w:val="clear" w:color="auto" w:fill="auto"/>
            <w:vAlign w:val="center"/>
          </w:tcPr>
          <w:p w14:paraId="6857C2AC">
            <w:pPr>
              <w:widowControl/>
              <w:shd w:val="clear" w:color="auto" w:fill="FFFFFF" w:themeFill="background1"/>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100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9341C70">
            <w:pPr>
              <w:widowControl/>
              <w:shd w:val="clear" w:color="auto" w:fill="FFFFFF" w:themeFill="background1"/>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95.3</w:t>
            </w:r>
          </w:p>
        </w:tc>
      </w:tr>
    </w:tbl>
    <w:p w14:paraId="67F53B50"/>
    <w:sectPr>
      <w:pgSz w:w="16838" w:h="11906" w:orient="landscape"/>
      <w:pgMar w:top="1531" w:right="1928" w:bottom="1531" w:left="170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B8EE31F-9773-4BCB-A767-AD7FE193049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DDD28E23-B839-4957-B197-6C38BD8CB093}"/>
  </w:font>
  <w:font w:name="仿宋_GB2312">
    <w:altName w:val="仿宋"/>
    <w:panose1 w:val="02010609030101010101"/>
    <w:charset w:val="86"/>
    <w:family w:val="modern"/>
    <w:pitch w:val="default"/>
    <w:sig w:usb0="00000000" w:usb1="00000000" w:usb2="00000010" w:usb3="00000000" w:csb0="00040000" w:csb1="00000000"/>
    <w:embedRegular r:id="rId3" w:fontKey="{C37C7EB3-E28A-4B92-8634-BD04541D3972}"/>
  </w:font>
  <w:font w:name="Arial Unicode MS">
    <w:panose1 w:val="020B0604020202020204"/>
    <w:charset w:val="86"/>
    <w:family w:val="auto"/>
    <w:pitch w:val="default"/>
    <w:sig w:usb0="F7FFAEFF" w:usb1="F9DFFFFF" w:usb2="0000007F" w:usb3="00000000" w:csb0="203F01FF" w:csb1="DFFF0000"/>
  </w:font>
  <w:font w:name="等线 Light">
    <w:panose1 w:val="02010600030101010101"/>
    <w:charset w:val="86"/>
    <w:family w:val="auto"/>
    <w:pitch w:val="default"/>
    <w:sig w:usb0="A00002BF" w:usb1="38CF7CFA" w:usb2="00000016" w:usb3="00000000" w:csb0="0004000F" w:csb1="00000000"/>
  </w:font>
  <w:font w:name="方正小标宋_GBK">
    <w:panose1 w:val="02000000000000000000"/>
    <w:charset w:val="86"/>
    <w:family w:val="script"/>
    <w:pitch w:val="default"/>
    <w:sig w:usb0="A00002BF" w:usb1="38CF7CFA" w:usb2="00082016" w:usb3="00000000" w:csb0="00040001" w:csb1="00000000"/>
    <w:embedRegular r:id="rId4" w:fontKey="{8E653CDE-2C53-4091-AA6D-B622D57D905F}"/>
  </w:font>
  <w:font w:name="华文中宋">
    <w:panose1 w:val="02010600040101010101"/>
    <w:charset w:val="86"/>
    <w:family w:val="auto"/>
    <w:pitch w:val="default"/>
    <w:sig w:usb0="00000287" w:usb1="080F0000" w:usb2="00000000" w:usb3="00000000" w:csb0="0004009F" w:csb1="DFD70000"/>
    <w:embedRegular r:id="rId5" w:fontKey="{1FA70789-FF49-4488-A502-721C487DE394}"/>
  </w:font>
  <w:font w:name="Arial">
    <w:panose1 w:val="020B0604020202020204"/>
    <w:charset w:val="00"/>
    <w:family w:val="swiss"/>
    <w:pitch w:val="default"/>
    <w:sig w:usb0="E0002EFF" w:usb1="C000785B" w:usb2="00000009" w:usb3="00000000" w:csb0="400001FF" w:csb1="FFFF0000"/>
    <w:embedRegular r:id="rId6" w:fontKey="{D9DA3B49-2224-43D6-93E4-776C5E2AD2B6}"/>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50"/>
  <w:drawingGridVerticalSpacing w:val="20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84F3A"/>
    <w:rsid w:val="00052D4F"/>
    <w:rsid w:val="00057102"/>
    <w:rsid w:val="000A6902"/>
    <w:rsid w:val="00117465"/>
    <w:rsid w:val="0017503D"/>
    <w:rsid w:val="001D6534"/>
    <w:rsid w:val="001E47BF"/>
    <w:rsid w:val="001E5393"/>
    <w:rsid w:val="002665BA"/>
    <w:rsid w:val="00367CC1"/>
    <w:rsid w:val="003D49AC"/>
    <w:rsid w:val="00424B9D"/>
    <w:rsid w:val="00484F3A"/>
    <w:rsid w:val="00577A18"/>
    <w:rsid w:val="006000EB"/>
    <w:rsid w:val="006D517C"/>
    <w:rsid w:val="007002A6"/>
    <w:rsid w:val="007D1ED7"/>
    <w:rsid w:val="007F6EA0"/>
    <w:rsid w:val="008823B2"/>
    <w:rsid w:val="008C74BF"/>
    <w:rsid w:val="00911727"/>
    <w:rsid w:val="009A7AF9"/>
    <w:rsid w:val="009C62CC"/>
    <w:rsid w:val="00A75AF9"/>
    <w:rsid w:val="00A82C60"/>
    <w:rsid w:val="00AC3E59"/>
    <w:rsid w:val="00AE1BD5"/>
    <w:rsid w:val="00B0508C"/>
    <w:rsid w:val="00B41039"/>
    <w:rsid w:val="00BC6F66"/>
    <w:rsid w:val="00C42D79"/>
    <w:rsid w:val="00C44293"/>
    <w:rsid w:val="00C577CA"/>
    <w:rsid w:val="00CD7040"/>
    <w:rsid w:val="00D242DE"/>
    <w:rsid w:val="00DF30EC"/>
    <w:rsid w:val="00E815A9"/>
    <w:rsid w:val="00EA17A8"/>
    <w:rsid w:val="00ED7A1C"/>
    <w:rsid w:val="00FA71C4"/>
    <w:rsid w:val="2CEC4D66"/>
    <w:rsid w:val="7F131A9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2"/>
    <w:basedOn w:val="1"/>
    <w:next w:val="1"/>
    <w:link w:val="23"/>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uiPriority w:val="99"/>
    <w:rPr>
      <w:sz w:val="18"/>
      <w:szCs w:val="18"/>
    </w:rPr>
  </w:style>
  <w:style w:type="paragraph" w:customStyle="1" w:styleId="9">
    <w:name w:val="样式1正文"/>
    <w:basedOn w:val="1"/>
    <w:link w:val="11"/>
    <w:qFormat/>
    <w:uiPriority w:val="0"/>
    <w:pPr>
      <w:spacing w:line="600" w:lineRule="exact"/>
      <w:ind w:firstLine="600" w:firstLineChars="200"/>
    </w:pPr>
    <w:rPr>
      <w:rFonts w:ascii="仿宋_GB2312"/>
    </w:rPr>
  </w:style>
  <w:style w:type="paragraph" w:customStyle="1" w:styleId="10">
    <w:name w:val="样式1标题1"/>
    <w:basedOn w:val="1"/>
    <w:link w:val="13"/>
    <w:qFormat/>
    <w:uiPriority w:val="0"/>
    <w:pPr>
      <w:spacing w:line="600" w:lineRule="exact"/>
      <w:ind w:firstLine="200" w:firstLineChars="200"/>
      <w:outlineLvl w:val="0"/>
    </w:pPr>
    <w:rPr>
      <w:rFonts w:ascii="黑体" w:hAnsi="黑体" w:eastAsia="黑体"/>
    </w:rPr>
  </w:style>
  <w:style w:type="character" w:customStyle="1" w:styleId="11">
    <w:name w:val="样式1正文 字符"/>
    <w:basedOn w:val="6"/>
    <w:link w:val="9"/>
    <w:qFormat/>
    <w:uiPriority w:val="0"/>
    <w:rPr>
      <w:rFonts w:ascii="仿宋_GB2312" w:hAnsi="Times New Roman" w:eastAsia="仿宋_GB2312" w:cs="Times New Roman"/>
      <w:sz w:val="30"/>
      <w:szCs w:val="24"/>
    </w:rPr>
  </w:style>
  <w:style w:type="paragraph" w:customStyle="1" w:styleId="12">
    <w:name w:val="样式1标题2"/>
    <w:basedOn w:val="1"/>
    <w:link w:val="15"/>
    <w:qFormat/>
    <w:uiPriority w:val="0"/>
    <w:pPr>
      <w:spacing w:line="600" w:lineRule="exact"/>
      <w:ind w:firstLine="600" w:firstLineChars="200"/>
      <w:outlineLvl w:val="1"/>
    </w:pPr>
    <w:rPr>
      <w:rFonts w:ascii="仿宋_GB2312"/>
      <w:b/>
    </w:rPr>
  </w:style>
  <w:style w:type="character" w:customStyle="1" w:styleId="13">
    <w:name w:val="样式1标题1 字符"/>
    <w:basedOn w:val="6"/>
    <w:link w:val="10"/>
    <w:uiPriority w:val="0"/>
    <w:rPr>
      <w:rFonts w:ascii="黑体" w:hAnsi="黑体" w:eastAsia="黑体" w:cs="Times New Roman"/>
      <w:sz w:val="30"/>
      <w:szCs w:val="24"/>
    </w:rPr>
  </w:style>
  <w:style w:type="paragraph" w:customStyle="1" w:styleId="14">
    <w:name w:val="样式1标题3"/>
    <w:basedOn w:val="9"/>
    <w:link w:val="16"/>
    <w:uiPriority w:val="0"/>
    <w:pPr>
      <w:spacing w:beforeLines="50" w:afterLines="50" w:line="240" w:lineRule="auto"/>
      <w:ind w:firstLine="643"/>
      <w:outlineLvl w:val="2"/>
    </w:pPr>
    <w:rPr>
      <w:rFonts w:ascii="Times New Roman"/>
      <w:b/>
      <w:bCs/>
      <w:color w:val="333333"/>
      <w:sz w:val="32"/>
      <w:szCs w:val="32"/>
    </w:rPr>
  </w:style>
  <w:style w:type="character" w:customStyle="1" w:styleId="15">
    <w:name w:val="样式1标题2 字符"/>
    <w:basedOn w:val="6"/>
    <w:link w:val="12"/>
    <w:uiPriority w:val="0"/>
    <w:rPr>
      <w:rFonts w:ascii="仿宋_GB2312" w:hAnsi="Times New Roman" w:eastAsia="仿宋_GB2312" w:cs="Times New Roman"/>
      <w:b/>
      <w:sz w:val="30"/>
      <w:szCs w:val="24"/>
    </w:rPr>
  </w:style>
  <w:style w:type="character" w:customStyle="1" w:styleId="16">
    <w:name w:val="样式1标题3 字符"/>
    <w:basedOn w:val="11"/>
    <w:link w:val="14"/>
    <w:uiPriority w:val="0"/>
    <w:rPr>
      <w:rFonts w:ascii="Times New Roman" w:hAnsi="Times New Roman" w:eastAsia="仿宋_GB2312" w:cs="Times New Roman"/>
      <w:b/>
      <w:bCs/>
      <w:color w:val="333333"/>
      <w:sz w:val="32"/>
      <w:szCs w:val="32"/>
    </w:rPr>
  </w:style>
  <w:style w:type="character" w:customStyle="1" w:styleId="17">
    <w:name w:val="闻政-正文三级标题 Char"/>
    <w:link w:val="18"/>
    <w:uiPriority w:val="3"/>
    <w:rPr>
      <w:rFonts w:ascii="Times New Roman" w:hAnsi="Times New Roman" w:eastAsia="仿宋_GB2312"/>
      <w:b/>
      <w:sz w:val="28"/>
      <w:szCs w:val="28"/>
    </w:rPr>
  </w:style>
  <w:style w:type="paragraph" w:customStyle="1" w:styleId="18">
    <w:name w:val="闻政-正文三级标题"/>
    <w:basedOn w:val="1"/>
    <w:next w:val="1"/>
    <w:link w:val="17"/>
    <w:qFormat/>
    <w:uiPriority w:val="3"/>
    <w:pPr>
      <w:widowControl/>
      <w:spacing w:before="120" w:after="60" w:line="500" w:lineRule="exact"/>
      <w:ind w:left="200" w:leftChars="200"/>
    </w:pPr>
    <w:rPr>
      <w:rFonts w:cstheme="minorBidi"/>
      <w:b/>
      <w:sz w:val="28"/>
      <w:szCs w:val="28"/>
    </w:rPr>
  </w:style>
  <w:style w:type="character" w:customStyle="1" w:styleId="19">
    <w:name w:val="闻政-正文二级标题 Char"/>
    <w:link w:val="20"/>
    <w:uiPriority w:val="3"/>
    <w:rPr>
      <w:rFonts w:ascii="Times New Roman" w:hAnsi="Times New Roman" w:eastAsia="仿宋_GB2312"/>
      <w:b/>
      <w:bCs/>
      <w:sz w:val="28"/>
      <w:szCs w:val="32"/>
    </w:rPr>
  </w:style>
  <w:style w:type="paragraph" w:customStyle="1" w:styleId="20">
    <w:name w:val="闻政-正文二级标题"/>
    <w:basedOn w:val="2"/>
    <w:next w:val="21"/>
    <w:link w:val="19"/>
    <w:qFormat/>
    <w:uiPriority w:val="3"/>
    <w:pPr>
      <w:spacing w:before="120" w:after="60" w:line="500" w:lineRule="exact"/>
      <w:ind w:left="200" w:leftChars="200"/>
      <w:jc w:val="left"/>
    </w:pPr>
    <w:rPr>
      <w:rFonts w:ascii="Times New Roman" w:hAnsi="Times New Roman" w:eastAsia="仿宋_GB2312" w:cstheme="minorBidi"/>
      <w:sz w:val="28"/>
    </w:rPr>
  </w:style>
  <w:style w:type="paragraph" w:customStyle="1" w:styleId="21">
    <w:name w:val="闻政-正文段落文字"/>
    <w:basedOn w:val="1"/>
    <w:link w:val="22"/>
    <w:qFormat/>
    <w:uiPriority w:val="3"/>
    <w:pPr>
      <w:spacing w:line="500" w:lineRule="exact"/>
      <w:ind w:firstLine="200" w:firstLineChars="200"/>
    </w:pPr>
    <w:rPr>
      <w:rFonts w:cstheme="minorBidi"/>
      <w:sz w:val="28"/>
      <w:szCs w:val="28"/>
    </w:rPr>
  </w:style>
  <w:style w:type="character" w:customStyle="1" w:styleId="22">
    <w:name w:val="闻政-正文段落文字 Char"/>
    <w:link w:val="21"/>
    <w:uiPriority w:val="3"/>
    <w:rPr>
      <w:rFonts w:ascii="Times New Roman" w:hAnsi="Times New Roman" w:eastAsia="仿宋_GB2312"/>
      <w:sz w:val="28"/>
      <w:szCs w:val="28"/>
    </w:rPr>
  </w:style>
  <w:style w:type="character" w:customStyle="1" w:styleId="23">
    <w:name w:val="标题 2 Char"/>
    <w:basedOn w:val="6"/>
    <w:link w:val="2"/>
    <w:qFormat/>
    <w:uiPriority w:val="0"/>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21608-07F6-4736-A07C-03833200893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14540</Words>
  <Characters>14907</Characters>
  <Lines>110</Lines>
  <Paragraphs>31</Paragraphs>
  <TotalTime>109</TotalTime>
  <ScaleCrop>false</ScaleCrop>
  <LinksUpToDate>false</LinksUpToDate>
  <CharactersWithSpaces>14956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2020-04-07T09:49:00Z</dcterms:created>
  <dc:creator>1</dc:creator>
  <cp:lastModifiedBy>Qxb</cp:lastModifiedBy>
  <dcterms:modified xsi:type="dcterms:W3CDTF">2025-02-07T05:12:26Z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eyJoZGlkIjoiNjhiMzgzMWJiNDVmMjc4YmZhYzYxZmZlMGEwZTI0MDIiLCJ1c2VySWQiOiIxMDczMzg0NjQwIn0=</vt:lpwstr>
  </property>
  <property fmtid="{D5CDD505-2E9C-101B-9397-08002B2CF9AE}" pid="4" name="ICV">
    <vt:lpwstr>471B2A393BB04C83982A4B57BF12CB94_12</vt:lpwstr>
  </property>
</Properties>
</file>