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BBB095">
      <w:pPr>
        <w:rPr>
          <w:rFonts w:ascii="黑体" w:eastAsia="黑体"/>
        </w:rPr>
      </w:pPr>
      <w:r>
        <w:rPr>
          <w:rFonts w:hint="eastAsia" w:ascii="黑体" w:eastAsia="黑体"/>
        </w:rPr>
        <w:t>附</w:t>
      </w:r>
      <w:r>
        <w:rPr>
          <w:rFonts w:ascii="黑体" w:eastAsia="黑体"/>
        </w:rPr>
        <w:t>2</w:t>
      </w:r>
    </w:p>
    <w:p w14:paraId="41F44E24">
      <w:pPr>
        <w:jc w:val="center"/>
        <w:rPr>
          <w:rFonts w:ascii="Arial" w:hAnsi="Arial" w:eastAsia="宋体" w:cs="Arial"/>
          <w:b/>
          <w:bCs/>
          <w:sz w:val="36"/>
          <w:szCs w:val="36"/>
        </w:rPr>
      </w:pPr>
      <w:r>
        <w:rPr>
          <w:rFonts w:hint="eastAsia" w:ascii="宋体" w:eastAsia="宋体" w:cs="Arial"/>
          <w:b/>
          <w:bCs/>
          <w:sz w:val="36"/>
          <w:szCs w:val="36"/>
        </w:rPr>
        <w:t>项目支出绩效评价报告</w:t>
      </w:r>
    </w:p>
    <w:p w14:paraId="1D214E00">
      <w:pPr>
        <w:rPr>
          <w:rFonts w:ascii="仿宋_GB2312"/>
        </w:rPr>
      </w:pPr>
    </w:p>
    <w:p w14:paraId="3EE23D0D">
      <w:pPr>
        <w:spacing w:line="580" w:lineRule="exact"/>
        <w:ind w:firstLine="620" w:firstLineChars="200"/>
        <w:rPr>
          <w:rFonts w:ascii="黑体" w:eastAsia="黑体"/>
          <w:sz w:val="31"/>
        </w:rPr>
      </w:pPr>
      <w:r>
        <w:rPr>
          <w:rFonts w:hint="eastAsia" w:ascii="黑体" w:eastAsia="黑体"/>
          <w:sz w:val="31"/>
        </w:rPr>
        <w:t>一、基本情况</w:t>
      </w:r>
    </w:p>
    <w:p w14:paraId="1AB062C1">
      <w:pPr>
        <w:spacing w:line="580" w:lineRule="exact"/>
        <w:ind w:firstLine="620" w:firstLineChars="200"/>
        <w:outlineLvl w:val="0"/>
        <w:rPr>
          <w:rFonts w:ascii="楷体" w:hAnsi="楷体" w:eastAsia="楷体"/>
          <w:sz w:val="31"/>
        </w:rPr>
      </w:pPr>
      <w:r>
        <w:rPr>
          <w:rFonts w:hint="eastAsia" w:ascii="楷体" w:hAnsi="楷体" w:eastAsia="楷体"/>
          <w:sz w:val="31"/>
        </w:rPr>
        <w:t>（一）项目概况</w:t>
      </w:r>
    </w:p>
    <w:p w14:paraId="2B326210">
      <w:pPr>
        <w:spacing w:line="580" w:lineRule="exact"/>
        <w:ind w:firstLine="595" w:firstLineChars="192"/>
        <w:rPr>
          <w:rFonts w:ascii="仿宋" w:hAnsi="仿宋" w:eastAsia="仿宋"/>
          <w:sz w:val="31"/>
          <w:szCs w:val="32"/>
        </w:rPr>
      </w:pPr>
      <w:r>
        <w:rPr>
          <w:rFonts w:ascii="仿宋" w:hAnsi="仿宋" w:eastAsia="仿宋"/>
          <w:sz w:val="31"/>
          <w:szCs w:val="32"/>
        </w:rPr>
        <w:t>1</w:t>
      </w:r>
      <w:r>
        <w:rPr>
          <w:rFonts w:hint="eastAsia" w:ascii="仿宋" w:hAnsi="仿宋" w:eastAsia="仿宋"/>
          <w:sz w:val="31"/>
          <w:szCs w:val="32"/>
        </w:rPr>
        <w:t>、项目背景</w:t>
      </w:r>
    </w:p>
    <w:p w14:paraId="462B6091">
      <w:pPr>
        <w:spacing w:line="580" w:lineRule="exact"/>
        <w:ind w:firstLine="595" w:firstLineChars="192"/>
        <w:rPr>
          <w:rFonts w:ascii="仿宋" w:hAnsi="仿宋" w:eastAsia="仿宋"/>
          <w:sz w:val="31"/>
          <w:szCs w:val="32"/>
        </w:rPr>
      </w:pPr>
      <w:r>
        <w:rPr>
          <w:rFonts w:hint="eastAsia" w:ascii="仿宋" w:hAnsi="仿宋" w:eastAsia="仿宋"/>
          <w:sz w:val="31"/>
          <w:szCs w:val="32"/>
        </w:rPr>
        <w:t>《巴音郭楞日报》（民文版）是巴音郭楞蒙古自治州党委机关报，是国家一类地州级党报。巴音郭楞日报社是州党委直属的正县级新闻机构，全额事业单位。《巴音郭楞日报》（民文版）的承印单位是新疆巴音郭楞日报社印刷厂，是独立核算的自收自支事业单位。</w:t>
      </w:r>
    </w:p>
    <w:p w14:paraId="7246D0CF">
      <w:pPr>
        <w:spacing w:line="580" w:lineRule="exact"/>
        <w:ind w:firstLine="595" w:firstLineChars="192"/>
        <w:rPr>
          <w:rFonts w:ascii="仿宋" w:hAnsi="仿宋" w:eastAsia="仿宋"/>
          <w:sz w:val="31"/>
          <w:szCs w:val="32"/>
        </w:rPr>
      </w:pPr>
      <w:r>
        <w:rPr>
          <w:rFonts w:ascii="仿宋" w:hAnsi="仿宋" w:eastAsia="仿宋"/>
          <w:sz w:val="31"/>
          <w:szCs w:val="32"/>
        </w:rPr>
        <w:t>1984</w:t>
      </w:r>
      <w:r>
        <w:rPr>
          <w:rFonts w:hint="eastAsia" w:ascii="仿宋" w:hAnsi="仿宋" w:eastAsia="仿宋"/>
          <w:sz w:val="31"/>
          <w:szCs w:val="32"/>
        </w:rPr>
        <w:t>年下半年，巴音郭楞报社恢复成立，</w:t>
      </w:r>
      <w:r>
        <w:rPr>
          <w:rFonts w:ascii="仿宋" w:hAnsi="仿宋" w:eastAsia="仿宋"/>
          <w:sz w:val="31"/>
          <w:szCs w:val="32"/>
        </w:rPr>
        <w:t>1985</w:t>
      </w:r>
      <w:r>
        <w:rPr>
          <w:rFonts w:hint="eastAsia" w:ascii="仿宋" w:hAnsi="仿宋" w:eastAsia="仿宋"/>
          <w:sz w:val="31"/>
          <w:szCs w:val="32"/>
        </w:rPr>
        <w:t>年</w:t>
      </w:r>
      <w:r>
        <w:rPr>
          <w:rFonts w:ascii="仿宋" w:hAnsi="仿宋" w:eastAsia="仿宋"/>
          <w:sz w:val="31"/>
          <w:szCs w:val="32"/>
        </w:rPr>
        <w:t>1</w:t>
      </w:r>
      <w:r>
        <w:rPr>
          <w:rFonts w:hint="eastAsia" w:ascii="仿宋" w:hAnsi="仿宋" w:eastAsia="仿宋"/>
          <w:sz w:val="31"/>
          <w:szCs w:val="32"/>
        </w:rPr>
        <w:t>月</w:t>
      </w:r>
      <w:r>
        <w:rPr>
          <w:rFonts w:ascii="仿宋" w:hAnsi="仿宋" w:eastAsia="仿宋"/>
          <w:sz w:val="31"/>
          <w:szCs w:val="32"/>
        </w:rPr>
        <w:t>1</w:t>
      </w:r>
      <w:r>
        <w:rPr>
          <w:rFonts w:hint="eastAsia" w:ascii="仿宋" w:hAnsi="仿宋" w:eastAsia="仿宋"/>
          <w:sz w:val="31"/>
          <w:szCs w:val="32"/>
        </w:rPr>
        <w:t>日《巴音郭楞报》复刊（试刊），蒙文版、维文版出版，每周一期。</w:t>
      </w:r>
    </w:p>
    <w:p w14:paraId="5CE84BAC">
      <w:pPr>
        <w:spacing w:line="580" w:lineRule="exact"/>
        <w:ind w:firstLine="595" w:firstLineChars="192"/>
        <w:rPr>
          <w:rFonts w:ascii="仿宋" w:hAnsi="仿宋" w:eastAsia="仿宋"/>
          <w:sz w:val="31"/>
          <w:szCs w:val="32"/>
        </w:rPr>
      </w:pPr>
      <w:r>
        <w:rPr>
          <w:rFonts w:ascii="仿宋" w:hAnsi="仿宋" w:eastAsia="仿宋"/>
          <w:sz w:val="31"/>
          <w:szCs w:val="32"/>
        </w:rPr>
        <w:t>2007</w:t>
      </w:r>
      <w:r>
        <w:rPr>
          <w:rFonts w:hint="eastAsia" w:ascii="仿宋" w:hAnsi="仿宋" w:eastAsia="仿宋"/>
          <w:sz w:val="31"/>
          <w:szCs w:val="32"/>
        </w:rPr>
        <w:t>年</w:t>
      </w:r>
      <w:r>
        <w:rPr>
          <w:rFonts w:ascii="仿宋" w:hAnsi="仿宋" w:eastAsia="仿宋"/>
          <w:sz w:val="31"/>
          <w:szCs w:val="32"/>
        </w:rPr>
        <w:t>1</w:t>
      </w:r>
      <w:r>
        <w:rPr>
          <w:rFonts w:hint="eastAsia" w:ascii="仿宋" w:hAnsi="仿宋" w:eastAsia="仿宋"/>
          <w:sz w:val="31"/>
          <w:szCs w:val="32"/>
        </w:rPr>
        <w:t>月</w:t>
      </w:r>
      <w:r>
        <w:rPr>
          <w:rFonts w:ascii="仿宋" w:hAnsi="仿宋" w:eastAsia="仿宋"/>
          <w:sz w:val="31"/>
          <w:szCs w:val="32"/>
        </w:rPr>
        <w:t>1</w:t>
      </w:r>
      <w:r>
        <w:rPr>
          <w:rFonts w:hint="eastAsia" w:ascii="仿宋" w:hAnsi="仿宋" w:eastAsia="仿宋"/>
          <w:sz w:val="31"/>
          <w:szCs w:val="32"/>
        </w:rPr>
        <w:t>日，经州党委同意，《巴音郭楞报》（蒙古文版、维吾尔文版）更名为《巴音郭楞日报》由周三刊改出周五刊，彩报，四开四版。</w:t>
      </w:r>
    </w:p>
    <w:p w14:paraId="7420F002">
      <w:pPr>
        <w:spacing w:line="580" w:lineRule="exact"/>
        <w:ind w:firstLine="595" w:firstLineChars="192"/>
        <w:rPr>
          <w:rFonts w:ascii="仿宋" w:hAnsi="仿宋" w:eastAsia="仿宋"/>
          <w:sz w:val="31"/>
          <w:szCs w:val="32"/>
        </w:rPr>
      </w:pPr>
      <w:r>
        <w:rPr>
          <w:rFonts w:ascii="仿宋" w:hAnsi="仿宋" w:eastAsia="仿宋"/>
          <w:sz w:val="31"/>
          <w:szCs w:val="32"/>
        </w:rPr>
        <w:t>2015</w:t>
      </w:r>
      <w:r>
        <w:rPr>
          <w:rFonts w:hint="eastAsia" w:ascii="仿宋" w:hAnsi="仿宋" w:eastAsia="仿宋"/>
          <w:sz w:val="31"/>
          <w:szCs w:val="32"/>
        </w:rPr>
        <w:t>年</w:t>
      </w:r>
      <w:r>
        <w:rPr>
          <w:rFonts w:ascii="仿宋" w:hAnsi="仿宋" w:eastAsia="仿宋"/>
          <w:sz w:val="31"/>
          <w:szCs w:val="32"/>
        </w:rPr>
        <w:t>5</w:t>
      </w:r>
      <w:r>
        <w:rPr>
          <w:rFonts w:hint="eastAsia" w:ascii="仿宋" w:hAnsi="仿宋" w:eastAsia="仿宋"/>
          <w:sz w:val="31"/>
          <w:szCs w:val="32"/>
        </w:rPr>
        <w:t>月</w:t>
      </w:r>
      <w:r>
        <w:rPr>
          <w:rFonts w:ascii="仿宋" w:hAnsi="仿宋" w:eastAsia="仿宋"/>
          <w:sz w:val="31"/>
          <w:szCs w:val="32"/>
        </w:rPr>
        <w:t>1</w:t>
      </w:r>
      <w:r>
        <w:rPr>
          <w:rFonts w:hint="eastAsia" w:ascii="仿宋" w:hAnsi="仿宋" w:eastAsia="仿宋"/>
          <w:sz w:val="31"/>
          <w:szCs w:val="32"/>
        </w:rPr>
        <w:t>日，经州党委同意，《巴音郭楞日报》（蒙古文版、维吾尔文版）由周五刊四开四版改出周五刊四开八版。</w:t>
      </w:r>
    </w:p>
    <w:p w14:paraId="679BF710">
      <w:pPr>
        <w:spacing w:line="580" w:lineRule="exact"/>
        <w:ind w:firstLine="595" w:firstLineChars="192"/>
        <w:rPr>
          <w:rFonts w:ascii="仿宋" w:hAnsi="仿宋" w:eastAsia="仿宋"/>
          <w:sz w:val="31"/>
          <w:szCs w:val="32"/>
        </w:rPr>
      </w:pPr>
      <w:r>
        <w:rPr>
          <w:rFonts w:ascii="仿宋" w:hAnsi="仿宋" w:eastAsia="仿宋"/>
          <w:sz w:val="31"/>
          <w:szCs w:val="32"/>
        </w:rPr>
        <w:t>2018</w:t>
      </w:r>
      <w:r>
        <w:rPr>
          <w:rFonts w:hint="eastAsia" w:ascii="仿宋" w:hAnsi="仿宋" w:eastAsia="仿宋"/>
          <w:sz w:val="31"/>
          <w:szCs w:val="32"/>
        </w:rPr>
        <w:t>年，蒙古文版、维吾尔文版为周五期，每期为四开</w:t>
      </w:r>
      <w:r>
        <w:rPr>
          <w:rFonts w:ascii="仿宋" w:hAnsi="仿宋" w:eastAsia="仿宋"/>
          <w:sz w:val="31"/>
          <w:szCs w:val="32"/>
        </w:rPr>
        <w:t>8</w:t>
      </w:r>
      <w:r>
        <w:rPr>
          <w:rFonts w:hint="eastAsia" w:ascii="仿宋" w:hAnsi="仿宋" w:eastAsia="仿宋"/>
          <w:sz w:val="31"/>
          <w:szCs w:val="32"/>
        </w:rPr>
        <w:t>个版，蒙古文版每期发行量约</w:t>
      </w:r>
      <w:r>
        <w:rPr>
          <w:rFonts w:ascii="仿宋" w:hAnsi="仿宋" w:eastAsia="仿宋"/>
          <w:sz w:val="31"/>
          <w:szCs w:val="32"/>
        </w:rPr>
        <w:t>3000</w:t>
      </w:r>
      <w:r>
        <w:rPr>
          <w:rFonts w:hint="eastAsia" w:ascii="仿宋" w:hAnsi="仿宋" w:eastAsia="仿宋"/>
          <w:sz w:val="31"/>
          <w:szCs w:val="32"/>
        </w:rPr>
        <w:t>余份，维吾尔文版每期发行量约</w:t>
      </w:r>
      <w:r>
        <w:rPr>
          <w:rFonts w:ascii="仿宋" w:hAnsi="仿宋" w:eastAsia="仿宋"/>
          <w:sz w:val="31"/>
          <w:szCs w:val="32"/>
        </w:rPr>
        <w:t>10000</w:t>
      </w:r>
      <w:r>
        <w:rPr>
          <w:rFonts w:hint="eastAsia" w:ascii="仿宋" w:hAnsi="仿宋" w:eastAsia="仿宋"/>
          <w:sz w:val="31"/>
          <w:szCs w:val="32"/>
        </w:rPr>
        <w:t>余份。</w:t>
      </w:r>
    </w:p>
    <w:p w14:paraId="4C8949CA">
      <w:pPr>
        <w:spacing w:line="580" w:lineRule="exact"/>
        <w:ind w:firstLine="595" w:firstLineChars="192"/>
        <w:rPr>
          <w:rFonts w:ascii="仿宋" w:hAnsi="仿宋" w:eastAsia="仿宋"/>
          <w:sz w:val="31"/>
          <w:szCs w:val="32"/>
        </w:rPr>
      </w:pPr>
      <w:r>
        <w:rPr>
          <w:rFonts w:ascii="仿宋" w:hAnsi="仿宋" w:eastAsia="仿宋"/>
          <w:sz w:val="31"/>
          <w:szCs w:val="32"/>
        </w:rPr>
        <w:t>2</w:t>
      </w:r>
      <w:r>
        <w:rPr>
          <w:rFonts w:hint="eastAsia" w:ascii="仿宋" w:hAnsi="仿宋" w:eastAsia="仿宋"/>
          <w:sz w:val="31"/>
          <w:szCs w:val="32"/>
        </w:rPr>
        <w:t>、主要内容和实施情况</w:t>
      </w:r>
    </w:p>
    <w:p w14:paraId="0B714082">
      <w:pPr>
        <w:spacing w:line="580" w:lineRule="exact"/>
        <w:ind w:firstLine="595" w:firstLineChars="192"/>
        <w:rPr>
          <w:rFonts w:ascii="仿宋" w:hAnsi="仿宋" w:eastAsia="仿宋"/>
          <w:sz w:val="31"/>
          <w:szCs w:val="32"/>
        </w:rPr>
      </w:pPr>
      <w:r>
        <w:rPr>
          <w:rFonts w:hint="eastAsia" w:ascii="仿宋" w:hAnsi="仿宋" w:eastAsia="仿宋"/>
          <w:sz w:val="31"/>
          <w:szCs w:val="32"/>
        </w:rPr>
        <w:t>本项目是《巴音郭楞日报》蒙文版、维文版两种报纸印刷补贴项目。</w:t>
      </w:r>
    </w:p>
    <w:p w14:paraId="2481A145">
      <w:pPr>
        <w:spacing w:line="580" w:lineRule="exact"/>
        <w:ind w:firstLine="595" w:firstLineChars="192"/>
        <w:rPr>
          <w:rFonts w:ascii="仿宋" w:hAnsi="仿宋" w:eastAsia="仿宋" w:cs="宋体"/>
          <w:bCs/>
          <w:sz w:val="31"/>
          <w:szCs w:val="32"/>
        </w:rPr>
      </w:pPr>
      <w:r>
        <w:rPr>
          <w:rFonts w:ascii="仿宋" w:hAnsi="仿宋" w:eastAsia="仿宋" w:cs="宋体"/>
          <w:bCs/>
          <w:sz w:val="31"/>
          <w:szCs w:val="32"/>
        </w:rPr>
        <w:t>2019</w:t>
      </w:r>
      <w:r>
        <w:rPr>
          <w:rFonts w:hint="eastAsia" w:ascii="仿宋" w:hAnsi="仿宋" w:eastAsia="仿宋" w:cs="宋体"/>
          <w:bCs/>
          <w:sz w:val="31"/>
          <w:szCs w:val="32"/>
        </w:rPr>
        <w:t>年，</w:t>
      </w:r>
      <w:r>
        <w:rPr>
          <w:rFonts w:hint="eastAsia" w:ascii="仿宋" w:hAnsi="仿宋" w:eastAsia="仿宋" w:cs="宋体"/>
          <w:bCs/>
          <w:snapToGrid w:val="0"/>
          <w:sz w:val="31"/>
          <w:szCs w:val="32"/>
        </w:rPr>
        <w:t>在自治州党委的正确领导下，牢牢把握正确的舆论导向，《巴音郭楞日报》民文版紧紧围绕巴州党委、政府的重点工作，</w:t>
      </w:r>
      <w:r>
        <w:rPr>
          <w:rFonts w:hint="eastAsia" w:ascii="仿宋" w:hAnsi="仿宋" w:eastAsia="仿宋" w:cs="宋体"/>
          <w:bCs/>
          <w:sz w:val="31"/>
          <w:szCs w:val="32"/>
        </w:rPr>
        <w:t>把握舆论重点，认真履行新闻舆论职责使命，</w:t>
      </w:r>
      <w:r>
        <w:rPr>
          <w:rFonts w:hint="eastAsia" w:ascii="仿宋" w:hAnsi="仿宋" w:eastAsia="仿宋" w:cs="宋体"/>
          <w:bCs/>
          <w:snapToGrid w:val="0"/>
          <w:sz w:val="31"/>
          <w:szCs w:val="32"/>
        </w:rPr>
        <w:t>弘扬主旋律，传播正能量，刊发了一批有深度、有分量的新闻报道</w:t>
      </w:r>
      <w:r>
        <w:rPr>
          <w:rFonts w:hint="eastAsia" w:ascii="仿宋" w:hAnsi="仿宋" w:eastAsia="仿宋" w:cs="宋体"/>
          <w:bCs/>
          <w:sz w:val="31"/>
          <w:szCs w:val="32"/>
        </w:rPr>
        <w:t>。</w:t>
      </w:r>
      <w:r>
        <w:rPr>
          <w:rFonts w:hint="eastAsia" w:ascii="仿宋" w:hAnsi="仿宋" w:eastAsia="仿宋"/>
          <w:sz w:val="31"/>
          <w:szCs w:val="32"/>
        </w:rPr>
        <w:t>开辟了：“在习近平新时代中国特色社会主义思想指引下</w:t>
      </w:r>
      <w:r>
        <w:rPr>
          <w:rFonts w:ascii="仿宋" w:hAnsi="仿宋" w:eastAsia="仿宋"/>
          <w:sz w:val="31"/>
          <w:szCs w:val="32"/>
        </w:rPr>
        <w:t>——</w:t>
      </w:r>
      <w:r>
        <w:rPr>
          <w:rFonts w:hint="eastAsia" w:ascii="仿宋" w:hAnsi="仿宋" w:eastAsia="仿宋"/>
          <w:sz w:val="31"/>
          <w:szCs w:val="32"/>
        </w:rPr>
        <w:t>新时代新作为新篇章”、</w:t>
      </w:r>
      <w:r>
        <w:rPr>
          <w:rFonts w:ascii="仿宋" w:hAnsi="仿宋" w:eastAsia="仿宋"/>
          <w:sz w:val="31"/>
          <w:szCs w:val="32"/>
        </w:rPr>
        <w:t xml:space="preserve"> </w:t>
      </w:r>
      <w:r>
        <w:rPr>
          <w:rFonts w:hint="eastAsia" w:ascii="仿宋" w:hAnsi="仿宋" w:eastAsia="仿宋"/>
          <w:sz w:val="31"/>
          <w:szCs w:val="32"/>
        </w:rPr>
        <w:t>“</w:t>
      </w:r>
      <w:r>
        <w:rPr>
          <w:rFonts w:ascii="仿宋" w:hAnsi="仿宋" w:eastAsia="仿宋"/>
          <w:sz w:val="31"/>
          <w:szCs w:val="32"/>
        </w:rPr>
        <w:t xml:space="preserve"> </w:t>
      </w:r>
      <w:r>
        <w:rPr>
          <w:rFonts w:hint="eastAsia" w:ascii="仿宋" w:hAnsi="仿宋" w:eastAsia="仿宋"/>
          <w:sz w:val="31"/>
          <w:szCs w:val="32"/>
        </w:rPr>
        <w:t>庆祝中国共产党成立</w:t>
      </w:r>
      <w:r>
        <w:rPr>
          <w:rFonts w:ascii="仿宋" w:hAnsi="仿宋" w:eastAsia="仿宋"/>
          <w:sz w:val="31"/>
          <w:szCs w:val="32"/>
        </w:rPr>
        <w:t>98</w:t>
      </w:r>
      <w:r>
        <w:rPr>
          <w:rFonts w:hint="eastAsia" w:ascii="仿宋" w:hAnsi="仿宋" w:eastAsia="仿宋"/>
          <w:sz w:val="31"/>
          <w:szCs w:val="32"/>
        </w:rPr>
        <w:t>周年”、</w:t>
      </w:r>
      <w:r>
        <w:rPr>
          <w:rFonts w:ascii="仿宋" w:hAnsi="仿宋" w:eastAsia="仿宋" w:cs="仿宋_GB2312"/>
          <w:sz w:val="31"/>
          <w:szCs w:val="32"/>
        </w:rPr>
        <w:t xml:space="preserve"> </w:t>
      </w:r>
      <w:r>
        <w:rPr>
          <w:rFonts w:hint="eastAsia" w:ascii="仿宋" w:hAnsi="仿宋" w:eastAsia="仿宋" w:cs="仿宋_GB2312"/>
          <w:sz w:val="31"/>
          <w:szCs w:val="32"/>
          <w:lang w:eastAsia="zh-CN"/>
        </w:rPr>
        <w:t>“不忘初心、牢记使命”</w:t>
      </w:r>
      <w:r>
        <w:rPr>
          <w:rFonts w:hint="eastAsia" w:ascii="仿宋" w:hAnsi="仿宋" w:eastAsia="仿宋" w:cs="仿宋_GB2312"/>
          <w:sz w:val="31"/>
          <w:szCs w:val="32"/>
        </w:rPr>
        <w:t>、“庆祝中华人民共和国成立</w:t>
      </w:r>
      <w:r>
        <w:rPr>
          <w:rFonts w:ascii="仿宋" w:hAnsi="仿宋" w:eastAsia="仿宋" w:cs="仿宋_GB2312"/>
          <w:sz w:val="31"/>
          <w:szCs w:val="32"/>
        </w:rPr>
        <w:t>70</w:t>
      </w:r>
      <w:r>
        <w:rPr>
          <w:rFonts w:hint="eastAsia" w:ascii="仿宋" w:hAnsi="仿宋" w:eastAsia="仿宋" w:cs="仿宋_GB2312"/>
          <w:sz w:val="31"/>
          <w:szCs w:val="32"/>
        </w:rPr>
        <w:t>周年”、“深入学习贯彻党的十九届四中全会精神”、</w:t>
      </w:r>
      <w:r>
        <w:rPr>
          <w:rFonts w:hint="eastAsia" w:ascii="仿宋" w:hAnsi="仿宋" w:eastAsia="仿宋"/>
          <w:sz w:val="31"/>
          <w:szCs w:val="32"/>
        </w:rPr>
        <w:t>“聚集总目标</w:t>
      </w:r>
      <w:r>
        <w:rPr>
          <w:rFonts w:ascii="仿宋" w:hAnsi="仿宋" w:eastAsia="仿宋"/>
          <w:sz w:val="31"/>
          <w:szCs w:val="32"/>
        </w:rPr>
        <w:t xml:space="preserve"> </w:t>
      </w:r>
      <w:r>
        <w:rPr>
          <w:rFonts w:hint="eastAsia" w:ascii="仿宋" w:hAnsi="仿宋" w:eastAsia="仿宋"/>
          <w:sz w:val="31"/>
          <w:szCs w:val="32"/>
        </w:rPr>
        <w:t>打好三大攻坚战”、“民族团结一家亲”等专栏</w:t>
      </w:r>
      <w:r>
        <w:rPr>
          <w:rFonts w:ascii="仿宋" w:hAnsi="仿宋" w:eastAsia="仿宋"/>
          <w:sz w:val="31"/>
          <w:szCs w:val="32"/>
        </w:rPr>
        <w:t>20</w:t>
      </w:r>
      <w:r>
        <w:rPr>
          <w:rFonts w:hint="eastAsia" w:ascii="仿宋" w:hAnsi="仿宋" w:eastAsia="仿宋"/>
          <w:sz w:val="31"/>
          <w:szCs w:val="32"/>
        </w:rPr>
        <w:t>余个；围绕自治州党委中心工作，按照</w:t>
      </w:r>
      <w:r>
        <w:rPr>
          <w:rFonts w:ascii="仿宋" w:hAnsi="仿宋" w:eastAsia="仿宋"/>
          <w:sz w:val="31"/>
          <w:szCs w:val="32"/>
        </w:rPr>
        <w:t xml:space="preserve"> </w:t>
      </w:r>
      <w:r>
        <w:rPr>
          <w:rFonts w:hint="eastAsia" w:ascii="仿宋" w:hAnsi="仿宋" w:eastAsia="仿宋"/>
          <w:sz w:val="31"/>
          <w:szCs w:val="32"/>
        </w:rPr>
        <w:t>“</w:t>
      </w:r>
      <w:r>
        <w:rPr>
          <w:rFonts w:ascii="仿宋" w:hAnsi="仿宋" w:eastAsia="仿宋"/>
          <w:sz w:val="31"/>
          <w:szCs w:val="32"/>
        </w:rPr>
        <w:t>1+3+3+</w:t>
      </w:r>
      <w:r>
        <w:rPr>
          <w:rFonts w:hint="eastAsia" w:ascii="仿宋" w:hAnsi="仿宋" w:eastAsia="仿宋"/>
          <w:sz w:val="31"/>
          <w:szCs w:val="32"/>
        </w:rPr>
        <w:t>改革开放”工作部署</w:t>
      </w:r>
      <w:r>
        <w:rPr>
          <w:rFonts w:ascii="仿宋" w:hAnsi="仿宋" w:eastAsia="仿宋"/>
          <w:sz w:val="31"/>
          <w:szCs w:val="32"/>
        </w:rPr>
        <w:t xml:space="preserve"> </w:t>
      </w:r>
      <w:r>
        <w:rPr>
          <w:rFonts w:hint="eastAsia" w:ascii="仿宋" w:hAnsi="仿宋" w:eastAsia="仿宋"/>
          <w:sz w:val="31"/>
          <w:szCs w:val="32"/>
        </w:rPr>
        <w:t>，开设了“扫黑除恶专项斗争在行动”、“巴州脱贫攻坚在行动”、“中央环保督察进行时”、</w:t>
      </w:r>
      <w:r>
        <w:rPr>
          <w:rFonts w:ascii="仿宋" w:hAnsi="仿宋" w:eastAsia="仿宋"/>
          <w:sz w:val="31"/>
          <w:szCs w:val="32"/>
        </w:rPr>
        <w:t xml:space="preserve"> </w:t>
      </w:r>
      <w:r>
        <w:rPr>
          <w:rFonts w:hint="eastAsia" w:ascii="仿宋" w:hAnsi="仿宋" w:eastAsia="仿宋"/>
          <w:sz w:val="31"/>
          <w:szCs w:val="32"/>
        </w:rPr>
        <w:t>“全面深化改革进行时”等专栏</w:t>
      </w:r>
      <w:r>
        <w:rPr>
          <w:rFonts w:ascii="仿宋" w:hAnsi="仿宋" w:eastAsia="仿宋"/>
          <w:sz w:val="31"/>
          <w:szCs w:val="32"/>
        </w:rPr>
        <w:t>10</w:t>
      </w:r>
      <w:r>
        <w:rPr>
          <w:rFonts w:hint="eastAsia" w:ascii="仿宋" w:hAnsi="仿宋" w:eastAsia="仿宋"/>
          <w:sz w:val="31"/>
          <w:szCs w:val="32"/>
        </w:rPr>
        <w:t>余个，刊发各类专栏稿件共计</w:t>
      </w:r>
      <w:r>
        <w:rPr>
          <w:rFonts w:ascii="仿宋" w:hAnsi="仿宋" w:eastAsia="仿宋"/>
          <w:sz w:val="31"/>
          <w:szCs w:val="32"/>
        </w:rPr>
        <w:t>1200</w:t>
      </w:r>
      <w:r>
        <w:rPr>
          <w:rFonts w:hint="eastAsia" w:ascii="仿宋" w:hAnsi="仿宋" w:eastAsia="仿宋"/>
          <w:sz w:val="31"/>
          <w:szCs w:val="32"/>
        </w:rPr>
        <w:t>余篇，形成正确舆论导向，</w:t>
      </w:r>
      <w:r>
        <w:rPr>
          <w:rFonts w:hint="eastAsia" w:ascii="仿宋" w:hAnsi="仿宋" w:eastAsia="仿宋" w:cs="仿宋_GB2312"/>
          <w:snapToGrid w:val="0"/>
          <w:sz w:val="31"/>
          <w:szCs w:val="32"/>
        </w:rPr>
        <w:t>发挥了党报上传下达、凝聚力量、引领导向的作用，</w:t>
      </w:r>
      <w:r>
        <w:rPr>
          <w:rFonts w:hint="eastAsia" w:ascii="仿宋" w:hAnsi="仿宋" w:eastAsia="仿宋"/>
          <w:snapToGrid w:val="0"/>
          <w:sz w:val="31"/>
          <w:szCs w:val="32"/>
        </w:rPr>
        <w:t>为自治州社会稳定和长治久安提供了强有力的思想保证。</w:t>
      </w:r>
    </w:p>
    <w:p w14:paraId="36A5C059">
      <w:pPr>
        <w:spacing w:line="580" w:lineRule="exact"/>
        <w:ind w:firstLine="595" w:firstLineChars="192"/>
        <w:rPr>
          <w:rFonts w:ascii="仿宋" w:hAnsi="仿宋" w:eastAsia="仿宋"/>
          <w:sz w:val="31"/>
          <w:szCs w:val="32"/>
        </w:rPr>
      </w:pPr>
      <w:r>
        <w:rPr>
          <w:rFonts w:ascii="仿宋" w:hAnsi="仿宋" w:eastAsia="仿宋" w:cs="宋体"/>
          <w:bCs/>
          <w:sz w:val="31"/>
          <w:szCs w:val="32"/>
        </w:rPr>
        <w:t>2019</w:t>
      </w:r>
      <w:r>
        <w:rPr>
          <w:rFonts w:hint="eastAsia" w:ascii="仿宋" w:hAnsi="仿宋" w:eastAsia="仿宋" w:cs="宋体"/>
          <w:bCs/>
          <w:sz w:val="31"/>
          <w:szCs w:val="32"/>
        </w:rPr>
        <w:t>年，蒙古文版、维吾尔文版为周五期，每期为四开</w:t>
      </w:r>
      <w:r>
        <w:rPr>
          <w:rFonts w:ascii="仿宋" w:hAnsi="仿宋" w:eastAsia="仿宋" w:cs="宋体"/>
          <w:bCs/>
          <w:sz w:val="31"/>
          <w:szCs w:val="32"/>
        </w:rPr>
        <w:t>8</w:t>
      </w:r>
      <w:r>
        <w:rPr>
          <w:rFonts w:hint="eastAsia" w:ascii="仿宋" w:hAnsi="仿宋" w:eastAsia="仿宋" w:cs="宋体"/>
          <w:bCs/>
          <w:sz w:val="31"/>
          <w:szCs w:val="32"/>
        </w:rPr>
        <w:t>个版，蒙古文版每期发行量约</w:t>
      </w:r>
      <w:r>
        <w:rPr>
          <w:rFonts w:ascii="仿宋" w:hAnsi="仿宋" w:eastAsia="仿宋" w:cs="宋体"/>
          <w:bCs/>
          <w:sz w:val="31"/>
          <w:szCs w:val="32"/>
        </w:rPr>
        <w:t>3000</w:t>
      </w:r>
      <w:r>
        <w:rPr>
          <w:rFonts w:hint="eastAsia" w:ascii="仿宋" w:hAnsi="仿宋" w:eastAsia="仿宋" w:cs="宋体"/>
          <w:bCs/>
          <w:sz w:val="31"/>
          <w:szCs w:val="32"/>
        </w:rPr>
        <w:t>余份，维吾尔文版每期发行量约</w:t>
      </w:r>
      <w:r>
        <w:rPr>
          <w:rFonts w:ascii="仿宋" w:hAnsi="仿宋" w:eastAsia="仿宋" w:cs="宋体"/>
          <w:bCs/>
          <w:sz w:val="31"/>
          <w:szCs w:val="32"/>
        </w:rPr>
        <w:t>10000</w:t>
      </w:r>
      <w:r>
        <w:rPr>
          <w:rFonts w:hint="eastAsia" w:ascii="仿宋" w:hAnsi="仿宋" w:eastAsia="仿宋" w:cs="宋体"/>
          <w:bCs/>
          <w:sz w:val="31"/>
          <w:szCs w:val="32"/>
        </w:rPr>
        <w:t>余份。报纸印刷全部由报社印刷厂承接，确保了报纸印刷质量和及时性，保证了报纸的正常出版发行。</w:t>
      </w:r>
    </w:p>
    <w:p w14:paraId="11715A7F">
      <w:pPr>
        <w:spacing w:line="580" w:lineRule="exact"/>
        <w:ind w:firstLine="595" w:firstLineChars="192"/>
        <w:rPr>
          <w:rFonts w:ascii="仿宋" w:hAnsi="仿宋" w:eastAsia="仿宋"/>
          <w:sz w:val="31"/>
          <w:szCs w:val="32"/>
        </w:rPr>
      </w:pPr>
      <w:r>
        <w:rPr>
          <w:rFonts w:ascii="仿宋" w:hAnsi="仿宋" w:eastAsia="仿宋"/>
          <w:sz w:val="31"/>
          <w:szCs w:val="32"/>
        </w:rPr>
        <w:t>3</w:t>
      </w:r>
      <w:r>
        <w:rPr>
          <w:rFonts w:hint="eastAsia" w:ascii="仿宋" w:hAnsi="仿宋" w:eastAsia="仿宋"/>
          <w:sz w:val="31"/>
          <w:szCs w:val="32"/>
        </w:rPr>
        <w:t>、资金投入和使用情况</w:t>
      </w:r>
    </w:p>
    <w:p w14:paraId="58D61C44">
      <w:pPr>
        <w:spacing w:line="580" w:lineRule="exact"/>
        <w:ind w:firstLine="595" w:firstLineChars="192"/>
        <w:rPr>
          <w:rFonts w:ascii="仿宋" w:hAnsi="仿宋" w:eastAsia="仿宋" w:cs="方正仿宋_GBK"/>
          <w:sz w:val="31"/>
          <w:szCs w:val="32"/>
        </w:rPr>
      </w:pPr>
      <w:r>
        <w:rPr>
          <w:rFonts w:hint="eastAsia" w:ascii="仿宋" w:hAnsi="仿宋" w:eastAsia="仿宋"/>
          <w:sz w:val="31"/>
          <w:szCs w:val="32"/>
        </w:rPr>
        <w:t>项目实际到位资金</w:t>
      </w:r>
      <w:r>
        <w:rPr>
          <w:rFonts w:ascii="仿宋" w:hAnsi="仿宋" w:eastAsia="仿宋"/>
          <w:sz w:val="31"/>
          <w:szCs w:val="32"/>
        </w:rPr>
        <w:t>140</w:t>
      </w:r>
      <w:r>
        <w:rPr>
          <w:rFonts w:hint="eastAsia" w:ascii="仿宋" w:hAnsi="仿宋" w:eastAsia="仿宋"/>
          <w:sz w:val="31"/>
          <w:szCs w:val="32"/>
        </w:rPr>
        <w:t>万元，均为财政资金，资金到位率</w:t>
      </w:r>
      <w:r>
        <w:rPr>
          <w:rFonts w:ascii="仿宋" w:hAnsi="仿宋" w:eastAsia="仿宋"/>
          <w:sz w:val="31"/>
          <w:szCs w:val="32"/>
        </w:rPr>
        <w:t>100</w:t>
      </w:r>
      <w:r>
        <w:rPr>
          <w:rFonts w:hint="eastAsia" w:ascii="仿宋" w:hAnsi="仿宋" w:eastAsia="仿宋"/>
          <w:sz w:val="31"/>
          <w:szCs w:val="32"/>
        </w:rPr>
        <w:t>％。项目实际使用资金</w:t>
      </w:r>
      <w:r>
        <w:rPr>
          <w:rFonts w:ascii="仿宋" w:hAnsi="仿宋" w:eastAsia="仿宋"/>
          <w:sz w:val="31"/>
          <w:szCs w:val="32"/>
        </w:rPr>
        <w:t>140</w:t>
      </w:r>
      <w:r>
        <w:rPr>
          <w:rFonts w:hint="eastAsia" w:ascii="仿宋" w:hAnsi="仿宋" w:eastAsia="仿宋"/>
          <w:sz w:val="31"/>
          <w:szCs w:val="32"/>
        </w:rPr>
        <w:t>万元，资金使用率</w:t>
      </w:r>
      <w:r>
        <w:rPr>
          <w:rFonts w:ascii="仿宋" w:hAnsi="仿宋" w:eastAsia="仿宋"/>
          <w:sz w:val="31"/>
          <w:szCs w:val="32"/>
        </w:rPr>
        <w:t>100</w:t>
      </w:r>
      <w:r>
        <w:rPr>
          <w:rFonts w:hint="eastAsia" w:ascii="仿宋" w:hAnsi="仿宋" w:eastAsia="仿宋"/>
          <w:sz w:val="31"/>
          <w:szCs w:val="32"/>
        </w:rPr>
        <w:t>％。</w:t>
      </w:r>
    </w:p>
    <w:p w14:paraId="28A418CE">
      <w:pPr>
        <w:spacing w:line="580" w:lineRule="exact"/>
        <w:ind w:firstLine="620" w:firstLineChars="200"/>
        <w:outlineLvl w:val="0"/>
        <w:rPr>
          <w:rFonts w:ascii="楷体" w:hAnsi="楷体" w:eastAsia="楷体"/>
          <w:sz w:val="31"/>
        </w:rPr>
      </w:pPr>
      <w:r>
        <w:rPr>
          <w:rFonts w:hint="eastAsia" w:ascii="楷体" w:hAnsi="楷体" w:eastAsia="楷体"/>
          <w:sz w:val="31"/>
        </w:rPr>
        <w:t>（二）项目绩效目标</w:t>
      </w:r>
    </w:p>
    <w:p w14:paraId="0C1F9E64">
      <w:pPr>
        <w:spacing w:line="580" w:lineRule="exact"/>
        <w:ind w:firstLine="595" w:firstLineChars="192"/>
        <w:rPr>
          <w:rFonts w:ascii="仿宋" w:hAnsi="仿宋" w:eastAsia="仿宋"/>
          <w:sz w:val="31"/>
          <w:szCs w:val="32"/>
        </w:rPr>
      </w:pPr>
      <w:r>
        <w:rPr>
          <w:rFonts w:ascii="仿宋" w:hAnsi="仿宋" w:eastAsia="仿宋"/>
          <w:sz w:val="31"/>
          <w:szCs w:val="32"/>
        </w:rPr>
        <w:t>1</w:t>
      </w:r>
      <w:r>
        <w:rPr>
          <w:rFonts w:hint="eastAsia" w:ascii="仿宋" w:hAnsi="仿宋" w:eastAsia="仿宋"/>
          <w:sz w:val="31"/>
          <w:szCs w:val="32"/>
        </w:rPr>
        <w:t>、总体目标</w:t>
      </w:r>
    </w:p>
    <w:p w14:paraId="7ED15535">
      <w:pPr>
        <w:spacing w:line="580" w:lineRule="exact"/>
        <w:ind w:firstLine="595" w:firstLineChars="192"/>
        <w:rPr>
          <w:rFonts w:ascii="仿宋" w:hAnsi="仿宋" w:eastAsia="仿宋"/>
          <w:sz w:val="31"/>
          <w:szCs w:val="32"/>
        </w:rPr>
      </w:pPr>
      <w:r>
        <w:rPr>
          <w:rFonts w:hint="eastAsia" w:ascii="仿宋" w:hAnsi="仿宋" w:eastAsia="仿宋"/>
          <w:sz w:val="31"/>
          <w:szCs w:val="32"/>
        </w:rPr>
        <w:t>《巴音郭楞日报》作为巴州党委机关报，把党和政府的声音送到千家万户是党报义不容辞的责任。今后，报社将紧紧围绕社会稳定和长治久安总目标，围绕巴州党委、政府的中心工作，走进基层、贴近群众，宣传党的主张、反映群众心声。进一步筑牢政治家办报思想，紧跟新时代媒体变革步伐，认真履行举旗帜、聚人心、育新人、兴文化、展形象的使命任务，充分发挥党报的舆论引导作用，为自治州经济社会稳定发展提供了强有力的舆论支撑。</w:t>
      </w:r>
    </w:p>
    <w:p w14:paraId="2191789F">
      <w:pPr>
        <w:spacing w:line="580" w:lineRule="exact"/>
        <w:ind w:firstLine="595" w:firstLineChars="192"/>
        <w:rPr>
          <w:rFonts w:ascii="仿宋" w:hAnsi="仿宋" w:eastAsia="仿宋"/>
          <w:sz w:val="31"/>
          <w:szCs w:val="32"/>
        </w:rPr>
      </w:pPr>
      <w:r>
        <w:rPr>
          <w:rFonts w:ascii="仿宋" w:hAnsi="仿宋" w:eastAsia="仿宋"/>
          <w:sz w:val="31"/>
          <w:szCs w:val="32"/>
        </w:rPr>
        <w:t>2</w:t>
      </w:r>
      <w:r>
        <w:rPr>
          <w:rFonts w:hint="eastAsia" w:ascii="仿宋" w:hAnsi="仿宋" w:eastAsia="仿宋"/>
          <w:sz w:val="31"/>
          <w:szCs w:val="32"/>
        </w:rPr>
        <w:t>、阶段性目标</w:t>
      </w:r>
    </w:p>
    <w:p w14:paraId="35B34552">
      <w:pPr>
        <w:spacing w:line="580" w:lineRule="exact"/>
        <w:ind w:firstLine="595" w:firstLineChars="192"/>
        <w:rPr>
          <w:rFonts w:ascii="仿宋" w:hAnsi="仿宋" w:eastAsia="仿宋"/>
          <w:sz w:val="31"/>
          <w:szCs w:val="32"/>
        </w:rPr>
      </w:pPr>
      <w:r>
        <w:rPr>
          <w:rFonts w:hint="eastAsia" w:ascii="仿宋" w:hAnsi="仿宋" w:eastAsia="仿宋"/>
          <w:sz w:val="31"/>
          <w:szCs w:val="32"/>
        </w:rPr>
        <w:t>该项目为当年项目，无阶段性目标</w:t>
      </w:r>
    </w:p>
    <w:p w14:paraId="17E180F5">
      <w:pPr>
        <w:spacing w:line="580" w:lineRule="exact"/>
        <w:ind w:firstLine="620" w:firstLineChars="200"/>
        <w:rPr>
          <w:rFonts w:ascii="黑体" w:eastAsia="黑体"/>
          <w:sz w:val="31"/>
        </w:rPr>
      </w:pPr>
      <w:r>
        <w:rPr>
          <w:rFonts w:hint="eastAsia" w:ascii="黑体" w:eastAsia="黑体"/>
          <w:sz w:val="31"/>
        </w:rPr>
        <w:t>二、绩效评价工作开展情况</w:t>
      </w:r>
    </w:p>
    <w:p w14:paraId="063978B9">
      <w:pPr>
        <w:spacing w:line="580" w:lineRule="exact"/>
        <w:ind w:firstLine="620" w:firstLineChars="200"/>
        <w:outlineLvl w:val="0"/>
        <w:rPr>
          <w:rFonts w:ascii="楷体" w:hAnsi="楷体" w:eastAsia="楷体" w:cs="仿宋_GB2312"/>
          <w:sz w:val="31"/>
        </w:rPr>
      </w:pPr>
      <w:r>
        <w:rPr>
          <w:rFonts w:hint="eastAsia" w:ascii="楷体" w:hAnsi="楷体" w:eastAsia="楷体" w:cs="仿宋_GB2312"/>
          <w:sz w:val="31"/>
        </w:rPr>
        <w:t>（一）绩效评价目的、对象和范围</w:t>
      </w:r>
    </w:p>
    <w:p w14:paraId="30898A43">
      <w:pPr>
        <w:spacing w:line="580" w:lineRule="exact"/>
        <w:ind w:firstLine="595" w:firstLineChars="192"/>
        <w:rPr>
          <w:rFonts w:ascii="仿宋" w:hAnsi="仿宋" w:eastAsia="仿宋"/>
          <w:sz w:val="31"/>
          <w:szCs w:val="32"/>
        </w:rPr>
      </w:pPr>
      <w:r>
        <w:rPr>
          <w:rFonts w:ascii="仿宋" w:hAnsi="仿宋" w:eastAsia="仿宋"/>
          <w:sz w:val="31"/>
          <w:szCs w:val="32"/>
        </w:rPr>
        <w:t>1</w:t>
      </w:r>
      <w:r>
        <w:rPr>
          <w:rFonts w:hint="eastAsia" w:ascii="仿宋" w:hAnsi="仿宋" w:eastAsia="仿宋"/>
          <w:sz w:val="31"/>
          <w:szCs w:val="32"/>
        </w:rPr>
        <w:t>、绩效评价目的</w:t>
      </w:r>
    </w:p>
    <w:p w14:paraId="219EBC17">
      <w:pPr>
        <w:spacing w:line="580" w:lineRule="exact"/>
        <w:ind w:firstLine="595" w:firstLineChars="192"/>
        <w:rPr>
          <w:rFonts w:ascii="仿宋" w:hAnsi="仿宋" w:eastAsia="仿宋"/>
          <w:sz w:val="31"/>
          <w:szCs w:val="32"/>
        </w:rPr>
      </w:pPr>
      <w:r>
        <w:rPr>
          <w:rFonts w:hint="eastAsia" w:ascii="仿宋" w:hAnsi="仿宋" w:eastAsia="仿宋"/>
          <w:sz w:val="31"/>
          <w:szCs w:val="32"/>
        </w:rPr>
        <w:t>根据《中华人民共和国预算法》、财政部《项目支出绩效评价管理办法》（财预</w:t>
      </w:r>
      <w:r>
        <w:rPr>
          <w:rFonts w:ascii="仿宋" w:hAnsi="仿宋" w:eastAsia="仿宋"/>
          <w:sz w:val="31"/>
          <w:szCs w:val="32"/>
        </w:rPr>
        <w:t>[2020]10</w:t>
      </w:r>
      <w:r>
        <w:rPr>
          <w:rFonts w:hint="eastAsia" w:ascii="仿宋" w:hAnsi="仿宋" w:eastAsia="仿宋"/>
          <w:sz w:val="31"/>
          <w:szCs w:val="32"/>
        </w:rPr>
        <w:t>号）、《自治州财政支出绩效评价管理暂行办法》（巴财预〔</w:t>
      </w:r>
      <w:r>
        <w:rPr>
          <w:rFonts w:ascii="仿宋" w:hAnsi="仿宋" w:eastAsia="仿宋"/>
          <w:sz w:val="31"/>
          <w:szCs w:val="32"/>
        </w:rPr>
        <w:t>2019</w:t>
      </w:r>
      <w:r>
        <w:rPr>
          <w:rFonts w:hint="eastAsia" w:ascii="仿宋" w:hAnsi="仿宋" w:eastAsia="仿宋"/>
          <w:sz w:val="31"/>
          <w:szCs w:val="32"/>
        </w:rPr>
        <w:t>〕</w:t>
      </w:r>
      <w:r>
        <w:rPr>
          <w:rFonts w:ascii="仿宋" w:hAnsi="仿宋" w:eastAsia="仿宋"/>
          <w:sz w:val="31"/>
          <w:szCs w:val="32"/>
        </w:rPr>
        <w:t>82</w:t>
      </w:r>
      <w:r>
        <w:rPr>
          <w:rFonts w:hint="eastAsia" w:ascii="仿宋" w:hAnsi="仿宋" w:eastAsia="仿宋"/>
          <w:sz w:val="31"/>
          <w:szCs w:val="32"/>
        </w:rPr>
        <w:t>号）等文件精神及要求开展绩效评价工作，州报社开展绩效评价具体目的如下：</w:t>
      </w:r>
    </w:p>
    <w:p w14:paraId="0B4DC199">
      <w:pPr>
        <w:spacing w:line="580" w:lineRule="exact"/>
        <w:ind w:firstLine="595" w:firstLineChars="192"/>
        <w:rPr>
          <w:rFonts w:ascii="仿宋" w:hAnsi="仿宋" w:eastAsia="仿宋"/>
          <w:sz w:val="31"/>
          <w:szCs w:val="32"/>
        </w:rPr>
      </w:pPr>
      <w:r>
        <w:rPr>
          <w:rFonts w:hint="eastAsia" w:ascii="仿宋" w:hAnsi="仿宋" w:eastAsia="仿宋"/>
          <w:sz w:val="31"/>
          <w:szCs w:val="32"/>
        </w:rPr>
        <w:t>一是通过绩效评价，形成真实完整、数据准确、分析透彻、逻辑清晰、客观公正的绩效评价结论，为后期州科协强化预算绩效管理提供重要依据。通过绩效评价，可以从效率的角度分析，准确掌握项目年度绩效目标的完成情况、资金安排使用的运行情况、政策措施落实情况等，发现目标与现实之间的差异程度，总结项目管理中的经验和教训，为后续项目管理提供有益借鉴。</w:t>
      </w:r>
    </w:p>
    <w:p w14:paraId="3F659E0C">
      <w:pPr>
        <w:spacing w:line="580" w:lineRule="exact"/>
        <w:ind w:firstLine="595" w:firstLineChars="192"/>
        <w:rPr>
          <w:rFonts w:ascii="仿宋" w:hAnsi="仿宋" w:eastAsia="仿宋"/>
          <w:sz w:val="31"/>
          <w:szCs w:val="32"/>
        </w:rPr>
      </w:pPr>
      <w:r>
        <w:rPr>
          <w:rFonts w:hint="eastAsia" w:ascii="仿宋" w:hAnsi="仿宋" w:eastAsia="仿宋"/>
          <w:sz w:val="31"/>
          <w:szCs w:val="32"/>
        </w:rPr>
        <w:t>二是通过对项目绩效评价，督促项目实施单位加快项目实施进度，提升项目实施水平。一方面通过考核项目绩效目标的完成程度，增强项目实施单位对财政资金使用的责任感，规范资金管理，确保资金安全、使用效益明显。另一方面考核评价项目管理工作的运行绩效，考察和反映项目资金产生的实际效益，分析资金使用后对自治州科技事业发展的影响，对后续项目提供及时、有效的信息和决策依据；通过对预算资金的产出和结果进行评价，发现预算执行、资金使用管理中存在的问题，优化资金资源，提高资金使用效率，为下一年度预算安排提供参考依据。</w:t>
      </w:r>
    </w:p>
    <w:p w14:paraId="41DEF645">
      <w:pPr>
        <w:spacing w:line="580" w:lineRule="exact"/>
        <w:ind w:firstLine="595" w:firstLineChars="192"/>
        <w:rPr>
          <w:rFonts w:ascii="仿宋" w:hAnsi="仿宋" w:eastAsia="仿宋"/>
          <w:sz w:val="31"/>
          <w:szCs w:val="32"/>
        </w:rPr>
      </w:pPr>
      <w:r>
        <w:rPr>
          <w:rFonts w:ascii="仿宋" w:hAnsi="仿宋" w:eastAsia="仿宋"/>
          <w:sz w:val="31"/>
          <w:szCs w:val="32"/>
        </w:rPr>
        <w:t>2</w:t>
      </w:r>
      <w:r>
        <w:rPr>
          <w:rFonts w:hint="eastAsia" w:ascii="仿宋" w:hAnsi="仿宋" w:eastAsia="仿宋"/>
          <w:sz w:val="31"/>
          <w:szCs w:val="32"/>
        </w:rPr>
        <w:t>、绩效评价对象</w:t>
      </w:r>
    </w:p>
    <w:p w14:paraId="1EA38B1C">
      <w:pPr>
        <w:spacing w:line="580" w:lineRule="exact"/>
        <w:ind w:firstLine="595" w:firstLineChars="192"/>
        <w:rPr>
          <w:rFonts w:ascii="仿宋" w:hAnsi="仿宋" w:eastAsia="仿宋"/>
          <w:sz w:val="31"/>
          <w:szCs w:val="32"/>
        </w:rPr>
      </w:pPr>
      <w:r>
        <w:rPr>
          <w:rFonts w:hint="eastAsia" w:ascii="仿宋" w:hAnsi="仿宋" w:eastAsia="仿宋"/>
          <w:sz w:val="31"/>
          <w:szCs w:val="32"/>
        </w:rPr>
        <w:t>《巴音郭楞日报》民文版报纸印刷补贴项目支出。</w:t>
      </w:r>
    </w:p>
    <w:p w14:paraId="1E8836B9">
      <w:pPr>
        <w:spacing w:line="580" w:lineRule="exact"/>
        <w:ind w:firstLine="595" w:firstLineChars="192"/>
        <w:rPr>
          <w:rFonts w:ascii="仿宋" w:hAnsi="仿宋" w:eastAsia="仿宋"/>
          <w:sz w:val="31"/>
          <w:szCs w:val="32"/>
        </w:rPr>
      </w:pPr>
      <w:r>
        <w:rPr>
          <w:rFonts w:ascii="仿宋" w:hAnsi="仿宋" w:eastAsia="仿宋"/>
          <w:sz w:val="31"/>
          <w:szCs w:val="32"/>
        </w:rPr>
        <w:t>3</w:t>
      </w:r>
      <w:r>
        <w:rPr>
          <w:rFonts w:hint="eastAsia" w:ascii="仿宋" w:hAnsi="仿宋" w:eastAsia="仿宋"/>
          <w:sz w:val="31"/>
          <w:szCs w:val="32"/>
        </w:rPr>
        <w:t>、绩效评价范围</w:t>
      </w:r>
    </w:p>
    <w:p w14:paraId="5BD6C90F">
      <w:pPr>
        <w:spacing w:line="580" w:lineRule="exact"/>
        <w:ind w:firstLine="595" w:firstLineChars="192"/>
        <w:rPr>
          <w:rFonts w:ascii="仿宋" w:hAnsi="仿宋" w:eastAsia="仿宋"/>
          <w:sz w:val="31"/>
          <w:szCs w:val="32"/>
        </w:rPr>
      </w:pPr>
      <w:r>
        <w:rPr>
          <w:rFonts w:hint="eastAsia" w:ascii="仿宋" w:hAnsi="仿宋" w:eastAsia="仿宋"/>
          <w:sz w:val="31"/>
          <w:szCs w:val="32"/>
        </w:rPr>
        <w:t>主要包括</w:t>
      </w:r>
      <w:r>
        <w:rPr>
          <w:rFonts w:ascii="仿宋" w:hAnsi="仿宋" w:eastAsia="仿宋"/>
          <w:sz w:val="31"/>
          <w:szCs w:val="32"/>
        </w:rPr>
        <w:t>2019</w:t>
      </w:r>
      <w:r>
        <w:rPr>
          <w:rFonts w:hint="eastAsia" w:ascii="仿宋" w:hAnsi="仿宋" w:eastAsia="仿宋"/>
          <w:sz w:val="31"/>
          <w:szCs w:val="32"/>
        </w:rPr>
        <w:t>年度《巴音郭楞日报》民文版报纸印刷补贴项目总体绩效目标、各项绩效指标完成情况以及预算执行情况等。</w:t>
      </w:r>
    </w:p>
    <w:p w14:paraId="4F3582AD">
      <w:pPr>
        <w:spacing w:line="580" w:lineRule="exact"/>
        <w:ind w:firstLine="620" w:firstLineChars="200"/>
        <w:outlineLvl w:val="0"/>
        <w:rPr>
          <w:rFonts w:ascii="楷体" w:hAnsi="楷体" w:eastAsia="楷体" w:cs="仿宋_GB2312"/>
          <w:sz w:val="31"/>
        </w:rPr>
      </w:pPr>
      <w:r>
        <w:rPr>
          <w:rFonts w:hint="eastAsia" w:ascii="楷体" w:hAnsi="楷体" w:eastAsia="楷体" w:cs="仿宋_GB2312"/>
          <w:sz w:val="31"/>
        </w:rPr>
        <w:t>（二）绩效评价原则、评价指标体系（附表说明）、评价方法、评价标准等。</w:t>
      </w:r>
    </w:p>
    <w:p w14:paraId="45D9EAF1">
      <w:pPr>
        <w:spacing w:line="580" w:lineRule="exact"/>
        <w:ind w:firstLine="595" w:firstLineChars="192"/>
        <w:rPr>
          <w:rFonts w:ascii="仿宋" w:hAnsi="仿宋" w:eastAsia="仿宋"/>
          <w:sz w:val="31"/>
          <w:szCs w:val="32"/>
        </w:rPr>
      </w:pPr>
      <w:r>
        <w:rPr>
          <w:rFonts w:ascii="仿宋" w:hAnsi="仿宋" w:eastAsia="仿宋"/>
          <w:sz w:val="31"/>
          <w:szCs w:val="32"/>
        </w:rPr>
        <w:t>1</w:t>
      </w:r>
      <w:r>
        <w:rPr>
          <w:rFonts w:hint="eastAsia" w:ascii="仿宋" w:hAnsi="仿宋" w:eastAsia="仿宋"/>
          <w:sz w:val="31"/>
          <w:szCs w:val="32"/>
        </w:rPr>
        <w:t>、绩效评价原则</w:t>
      </w:r>
    </w:p>
    <w:p w14:paraId="57FE8FE5">
      <w:pPr>
        <w:spacing w:line="580" w:lineRule="exact"/>
        <w:ind w:firstLine="595" w:firstLineChars="192"/>
        <w:rPr>
          <w:rFonts w:ascii="仿宋" w:hAnsi="仿宋" w:eastAsia="仿宋"/>
          <w:sz w:val="31"/>
          <w:szCs w:val="32"/>
        </w:rPr>
      </w:pPr>
      <w:r>
        <w:rPr>
          <w:rFonts w:hint="eastAsia" w:ascii="仿宋" w:hAnsi="仿宋" w:eastAsia="仿宋"/>
          <w:sz w:val="31"/>
          <w:szCs w:val="32"/>
        </w:rPr>
        <w:t>根据财政部《项目支出绩效评价管理办法》（财预﹝</w:t>
      </w:r>
      <w:r>
        <w:rPr>
          <w:rFonts w:ascii="仿宋" w:hAnsi="仿宋" w:eastAsia="仿宋"/>
          <w:sz w:val="31"/>
          <w:szCs w:val="32"/>
        </w:rPr>
        <w:t>2020</w:t>
      </w:r>
      <w:r>
        <w:rPr>
          <w:rFonts w:hint="eastAsia" w:ascii="仿宋" w:hAnsi="仿宋" w:eastAsia="仿宋"/>
          <w:sz w:val="31"/>
          <w:szCs w:val="32"/>
        </w:rPr>
        <w:t>﹞</w:t>
      </w:r>
      <w:r>
        <w:rPr>
          <w:rFonts w:ascii="仿宋" w:hAnsi="仿宋" w:eastAsia="仿宋"/>
          <w:sz w:val="31"/>
          <w:szCs w:val="32"/>
        </w:rPr>
        <w:t>10</w:t>
      </w:r>
      <w:r>
        <w:rPr>
          <w:rFonts w:hint="eastAsia" w:ascii="仿宋" w:hAnsi="仿宋" w:eastAsia="仿宋"/>
          <w:sz w:val="31"/>
          <w:szCs w:val="32"/>
        </w:rPr>
        <w:t>号）文件精神严格按照“科学公正、统筹兼顾、激励约束、公开透明”的原则，州报社对</w:t>
      </w:r>
      <w:r>
        <w:rPr>
          <w:rFonts w:ascii="仿宋" w:hAnsi="仿宋" w:eastAsia="仿宋"/>
          <w:sz w:val="31"/>
          <w:szCs w:val="32"/>
        </w:rPr>
        <w:t>2019</w:t>
      </w:r>
      <w:r>
        <w:rPr>
          <w:rFonts w:hint="eastAsia" w:ascii="仿宋" w:hAnsi="仿宋" w:eastAsia="仿宋"/>
          <w:sz w:val="31"/>
          <w:szCs w:val="32"/>
        </w:rPr>
        <w:t>年度《巴音郭楞日报》民文版报纸印刷补贴项目进行自评。</w:t>
      </w:r>
    </w:p>
    <w:p w14:paraId="02DA7482">
      <w:pPr>
        <w:spacing w:line="580" w:lineRule="exact"/>
        <w:ind w:firstLine="595" w:firstLineChars="192"/>
        <w:rPr>
          <w:rFonts w:ascii="仿宋" w:hAnsi="仿宋" w:eastAsia="仿宋"/>
          <w:sz w:val="31"/>
          <w:szCs w:val="32"/>
        </w:rPr>
      </w:pPr>
      <w:r>
        <w:rPr>
          <w:rFonts w:hint="eastAsia" w:ascii="仿宋" w:hAnsi="仿宋" w:eastAsia="仿宋"/>
          <w:sz w:val="31"/>
          <w:szCs w:val="32"/>
        </w:rPr>
        <w:t>评价指标体系（附表说明）</w:t>
      </w:r>
    </w:p>
    <w:p w14:paraId="4192AAB8">
      <w:pPr>
        <w:spacing w:line="580" w:lineRule="exact"/>
        <w:ind w:firstLine="595" w:firstLineChars="192"/>
        <w:rPr>
          <w:rFonts w:ascii="仿宋" w:hAnsi="仿宋" w:eastAsia="仿宋"/>
          <w:sz w:val="31"/>
          <w:szCs w:val="32"/>
        </w:rPr>
      </w:pPr>
      <w:r>
        <w:rPr>
          <w:rFonts w:hint="eastAsia" w:ascii="仿宋" w:hAnsi="仿宋" w:eastAsia="仿宋"/>
          <w:sz w:val="31"/>
          <w:szCs w:val="32"/>
        </w:rPr>
        <w:t>《巴音郭楞日报》民文版报纸印刷补贴项目绩效评价指标体系的设计参照财政部《项目支出绩效评价指标体系框架》决策和过程在此框架的基础上结合项目的特点适当进行完善，产出和效益根据项目特点进行了细化。</w:t>
      </w:r>
    </w:p>
    <w:p w14:paraId="33E21DC1">
      <w:pPr>
        <w:spacing w:line="580" w:lineRule="exact"/>
        <w:ind w:firstLine="595" w:firstLineChars="192"/>
        <w:rPr>
          <w:rFonts w:ascii="仿宋" w:hAnsi="仿宋" w:eastAsia="仿宋"/>
          <w:sz w:val="31"/>
          <w:szCs w:val="32"/>
        </w:rPr>
      </w:pPr>
      <w:r>
        <w:rPr>
          <w:rFonts w:ascii="仿宋" w:hAnsi="仿宋" w:eastAsia="仿宋"/>
          <w:sz w:val="31"/>
          <w:szCs w:val="32"/>
        </w:rPr>
        <w:t>2</w:t>
      </w:r>
      <w:r>
        <w:rPr>
          <w:rFonts w:hint="eastAsia" w:ascii="仿宋" w:hAnsi="仿宋" w:eastAsia="仿宋"/>
          <w:sz w:val="31"/>
          <w:szCs w:val="32"/>
        </w:rPr>
        <w:t>、绩效评价指标体系</w:t>
      </w:r>
    </w:p>
    <w:p w14:paraId="29FD8546">
      <w:pPr>
        <w:spacing w:line="580" w:lineRule="exact"/>
        <w:ind w:firstLine="595" w:firstLineChars="192"/>
        <w:rPr>
          <w:rFonts w:ascii="仿宋" w:hAnsi="仿宋" w:eastAsia="仿宋"/>
          <w:sz w:val="31"/>
          <w:szCs w:val="32"/>
        </w:rPr>
      </w:pPr>
      <w:r>
        <w:rPr>
          <w:rFonts w:hint="eastAsia" w:ascii="仿宋" w:hAnsi="仿宋" w:eastAsia="仿宋"/>
          <w:sz w:val="31"/>
          <w:szCs w:val="32"/>
        </w:rPr>
        <w:t>（</w:t>
      </w:r>
      <w:r>
        <w:rPr>
          <w:rFonts w:ascii="仿宋" w:hAnsi="仿宋" w:eastAsia="仿宋"/>
          <w:sz w:val="31"/>
          <w:szCs w:val="32"/>
        </w:rPr>
        <w:t>1</w:t>
      </w:r>
      <w:r>
        <w:rPr>
          <w:rFonts w:hint="eastAsia" w:ascii="仿宋" w:hAnsi="仿宋" w:eastAsia="仿宋"/>
          <w:sz w:val="31"/>
          <w:szCs w:val="32"/>
        </w:rPr>
        <w:t>）评价指标</w:t>
      </w:r>
    </w:p>
    <w:p w14:paraId="32259DFD">
      <w:pPr>
        <w:spacing w:line="580" w:lineRule="exact"/>
        <w:ind w:firstLine="595" w:firstLineChars="192"/>
        <w:rPr>
          <w:rFonts w:ascii="仿宋" w:hAnsi="仿宋" w:eastAsia="仿宋"/>
          <w:sz w:val="31"/>
          <w:szCs w:val="32"/>
        </w:rPr>
      </w:pPr>
      <w:r>
        <w:rPr>
          <w:rFonts w:hint="eastAsia" w:ascii="仿宋" w:hAnsi="仿宋" w:eastAsia="仿宋"/>
          <w:sz w:val="31"/>
          <w:szCs w:val="32"/>
        </w:rPr>
        <w:t>第一步，采用层次分析法，建立评价指标库。绩效评价将指标分为决策、过程、产出和效益四个层次，最终形成一个由多个相互联系的指标组成的多层次指标体系。</w:t>
      </w:r>
    </w:p>
    <w:p w14:paraId="45DC1021">
      <w:pPr>
        <w:spacing w:line="580" w:lineRule="exact"/>
        <w:ind w:firstLine="595" w:firstLineChars="192"/>
        <w:rPr>
          <w:rFonts w:ascii="仿宋" w:hAnsi="仿宋" w:eastAsia="仿宋"/>
          <w:sz w:val="31"/>
          <w:szCs w:val="32"/>
        </w:rPr>
      </w:pPr>
      <w:r>
        <w:rPr>
          <w:rFonts w:hint="eastAsia" w:ascii="仿宋" w:hAnsi="仿宋" w:eastAsia="仿宋"/>
          <w:sz w:val="31"/>
          <w:szCs w:val="32"/>
        </w:rPr>
        <w:t>第二步，采用集体决策法，确定评价指标。评价指标体系建立后，科协党组对指标库中的指标进行分析、权衡、补充、选择，最后确定评价指标。在些基础上最终形成全民科学素质项目绩效评价指标体系，设置了</w:t>
      </w:r>
      <w:r>
        <w:rPr>
          <w:rFonts w:ascii="仿宋" w:hAnsi="仿宋" w:eastAsia="仿宋"/>
          <w:sz w:val="31"/>
          <w:szCs w:val="32"/>
        </w:rPr>
        <w:t>4</w:t>
      </w:r>
      <w:r>
        <w:rPr>
          <w:rFonts w:hint="eastAsia" w:ascii="仿宋" w:hAnsi="仿宋" w:eastAsia="仿宋"/>
          <w:sz w:val="31"/>
          <w:szCs w:val="32"/>
        </w:rPr>
        <w:t>个一级指标、</w:t>
      </w:r>
      <w:r>
        <w:rPr>
          <w:rFonts w:ascii="仿宋" w:hAnsi="仿宋" w:eastAsia="仿宋"/>
          <w:sz w:val="31"/>
          <w:szCs w:val="32"/>
        </w:rPr>
        <w:t>13</w:t>
      </w:r>
      <w:r>
        <w:rPr>
          <w:rFonts w:hint="eastAsia" w:ascii="仿宋" w:hAnsi="仿宋" w:eastAsia="仿宋"/>
          <w:sz w:val="31"/>
          <w:szCs w:val="32"/>
        </w:rPr>
        <w:t>个二级指标、</w:t>
      </w:r>
      <w:r>
        <w:rPr>
          <w:rFonts w:ascii="仿宋" w:hAnsi="仿宋" w:eastAsia="仿宋"/>
          <w:sz w:val="31"/>
          <w:szCs w:val="32"/>
        </w:rPr>
        <w:t>23</w:t>
      </w:r>
      <w:r>
        <w:rPr>
          <w:rFonts w:hint="eastAsia" w:ascii="仿宋" w:hAnsi="仿宋" w:eastAsia="仿宋"/>
          <w:sz w:val="31"/>
          <w:szCs w:val="32"/>
        </w:rPr>
        <w:t>个三级指标。指标设置具体情况如下：</w:t>
      </w:r>
    </w:p>
    <w:p w14:paraId="1D2E9159">
      <w:pPr>
        <w:spacing w:line="580" w:lineRule="exact"/>
        <w:ind w:firstLine="595" w:firstLineChars="192"/>
        <w:rPr>
          <w:rFonts w:ascii="仿宋" w:hAnsi="仿宋" w:eastAsia="仿宋"/>
          <w:sz w:val="31"/>
          <w:szCs w:val="32"/>
        </w:rPr>
      </w:pPr>
      <w:r>
        <w:rPr>
          <w:rFonts w:hint="eastAsia" w:ascii="仿宋" w:hAnsi="仿宋" w:eastAsia="仿宋"/>
          <w:sz w:val="31"/>
          <w:szCs w:val="32"/>
        </w:rPr>
        <w:t>一是决策指标设置项目立项、资金落实两个二级指标，三级指标设置如下图：</w:t>
      </w:r>
      <w:r>
        <w:rPr>
          <w:rFonts w:ascii="仿宋" w:hAnsi="仿宋" w:eastAsia="仿宋"/>
          <w:sz w:val="31"/>
          <w:szCs w:val="32"/>
        </w:rPr>
        <w:t xml:space="preserve"> </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00"/>
        <w:gridCol w:w="3000"/>
        <w:gridCol w:w="3000"/>
      </w:tblGrid>
      <w:tr w14:paraId="60BA6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000" w:type="dxa"/>
            <w:vAlign w:val="center"/>
          </w:tcPr>
          <w:p w14:paraId="4FD1BB79">
            <w:pPr>
              <w:spacing w:line="580" w:lineRule="exact"/>
              <w:ind w:firstLine="620" w:firstLineChars="200"/>
              <w:outlineLvl w:val="0"/>
              <w:rPr>
                <w:rFonts w:ascii="仿宋_GB2312"/>
                <w:sz w:val="31"/>
              </w:rPr>
            </w:pPr>
            <w:r>
              <w:rPr>
                <w:rFonts w:hint="eastAsia" w:ascii="仿宋_GB2312"/>
                <w:sz w:val="31"/>
              </w:rPr>
              <w:t>一级指标</w:t>
            </w:r>
          </w:p>
        </w:tc>
        <w:tc>
          <w:tcPr>
            <w:tcW w:w="3000" w:type="dxa"/>
            <w:vAlign w:val="center"/>
          </w:tcPr>
          <w:p w14:paraId="60C221C9">
            <w:pPr>
              <w:spacing w:line="580" w:lineRule="exact"/>
              <w:ind w:firstLine="620" w:firstLineChars="200"/>
              <w:outlineLvl w:val="0"/>
              <w:rPr>
                <w:rFonts w:ascii="仿宋_GB2312"/>
                <w:sz w:val="31"/>
              </w:rPr>
            </w:pPr>
            <w:r>
              <w:rPr>
                <w:rFonts w:hint="eastAsia" w:ascii="仿宋_GB2312"/>
                <w:sz w:val="31"/>
              </w:rPr>
              <w:t>二级指标</w:t>
            </w:r>
          </w:p>
        </w:tc>
        <w:tc>
          <w:tcPr>
            <w:tcW w:w="3000" w:type="dxa"/>
            <w:vAlign w:val="center"/>
          </w:tcPr>
          <w:p w14:paraId="006CEF1A">
            <w:pPr>
              <w:spacing w:line="580" w:lineRule="exact"/>
              <w:ind w:firstLine="620" w:firstLineChars="200"/>
              <w:outlineLvl w:val="0"/>
              <w:rPr>
                <w:rFonts w:ascii="仿宋_GB2312"/>
                <w:sz w:val="31"/>
              </w:rPr>
            </w:pPr>
            <w:r>
              <w:rPr>
                <w:rFonts w:hint="eastAsia" w:ascii="仿宋_GB2312"/>
                <w:sz w:val="31"/>
              </w:rPr>
              <w:t>三级指标</w:t>
            </w:r>
          </w:p>
        </w:tc>
      </w:tr>
      <w:tr w14:paraId="27524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000" w:type="dxa"/>
            <w:vMerge w:val="restart"/>
            <w:vAlign w:val="center"/>
          </w:tcPr>
          <w:p w14:paraId="6B17CDF2">
            <w:pPr>
              <w:spacing w:line="580" w:lineRule="exact"/>
              <w:ind w:firstLine="620" w:firstLineChars="200"/>
              <w:outlineLvl w:val="0"/>
              <w:rPr>
                <w:rFonts w:ascii="仿宋_GB2312"/>
                <w:sz w:val="31"/>
              </w:rPr>
            </w:pPr>
            <w:r>
              <w:rPr>
                <w:rFonts w:hint="eastAsia" w:ascii="仿宋_GB2312"/>
                <w:sz w:val="31"/>
              </w:rPr>
              <w:t>决策</w:t>
            </w:r>
          </w:p>
        </w:tc>
        <w:tc>
          <w:tcPr>
            <w:tcW w:w="3000" w:type="dxa"/>
            <w:vMerge w:val="restart"/>
            <w:vAlign w:val="center"/>
          </w:tcPr>
          <w:p w14:paraId="4C5E9AE7">
            <w:pPr>
              <w:spacing w:line="580" w:lineRule="exact"/>
              <w:ind w:firstLine="620" w:firstLineChars="200"/>
              <w:outlineLvl w:val="0"/>
              <w:rPr>
                <w:rFonts w:ascii="仿宋_GB2312"/>
                <w:sz w:val="31"/>
              </w:rPr>
            </w:pPr>
            <w:r>
              <w:rPr>
                <w:rFonts w:hint="eastAsia" w:ascii="仿宋_GB2312"/>
                <w:sz w:val="31"/>
              </w:rPr>
              <w:t>项目立项</w:t>
            </w:r>
          </w:p>
        </w:tc>
        <w:tc>
          <w:tcPr>
            <w:tcW w:w="3000" w:type="dxa"/>
            <w:vAlign w:val="center"/>
          </w:tcPr>
          <w:p w14:paraId="5611E7A4">
            <w:pPr>
              <w:spacing w:line="580" w:lineRule="exact"/>
              <w:ind w:firstLine="620" w:firstLineChars="200"/>
              <w:outlineLvl w:val="0"/>
              <w:rPr>
                <w:rFonts w:ascii="仿宋_GB2312"/>
                <w:sz w:val="31"/>
              </w:rPr>
            </w:pPr>
            <w:r>
              <w:rPr>
                <w:rFonts w:hint="eastAsia" w:ascii="仿宋_GB2312"/>
                <w:sz w:val="31"/>
              </w:rPr>
              <w:t>依据充分性</w:t>
            </w:r>
          </w:p>
        </w:tc>
      </w:tr>
      <w:tr w14:paraId="37FF1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000" w:type="dxa"/>
            <w:vMerge w:val="continue"/>
            <w:vAlign w:val="center"/>
          </w:tcPr>
          <w:p w14:paraId="47D3DD07"/>
        </w:tc>
        <w:tc>
          <w:tcPr>
            <w:tcW w:w="3000" w:type="dxa"/>
            <w:vMerge w:val="continue"/>
            <w:vAlign w:val="center"/>
          </w:tcPr>
          <w:p w14:paraId="69BEDA98"/>
        </w:tc>
        <w:tc>
          <w:tcPr>
            <w:tcW w:w="3000" w:type="dxa"/>
            <w:vAlign w:val="center"/>
          </w:tcPr>
          <w:p w14:paraId="025CFCCE">
            <w:pPr>
              <w:spacing w:line="580" w:lineRule="exact"/>
              <w:ind w:firstLine="620" w:firstLineChars="200"/>
              <w:outlineLvl w:val="0"/>
              <w:rPr>
                <w:rFonts w:ascii="仿宋_GB2312"/>
                <w:sz w:val="31"/>
              </w:rPr>
            </w:pPr>
            <w:r>
              <w:rPr>
                <w:rFonts w:hint="eastAsia" w:ascii="仿宋_GB2312"/>
                <w:sz w:val="31"/>
              </w:rPr>
              <w:t>目标合理性</w:t>
            </w:r>
          </w:p>
        </w:tc>
      </w:tr>
      <w:tr w14:paraId="23EC5C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000" w:type="dxa"/>
            <w:vMerge w:val="continue"/>
            <w:vAlign w:val="center"/>
          </w:tcPr>
          <w:p w14:paraId="5872E6CE"/>
        </w:tc>
        <w:tc>
          <w:tcPr>
            <w:tcW w:w="3000" w:type="dxa"/>
            <w:vMerge w:val="restart"/>
            <w:vAlign w:val="center"/>
          </w:tcPr>
          <w:p w14:paraId="723749E7">
            <w:pPr>
              <w:spacing w:line="580" w:lineRule="exact"/>
              <w:ind w:firstLine="620" w:firstLineChars="200"/>
              <w:outlineLvl w:val="0"/>
              <w:rPr>
                <w:rFonts w:ascii="仿宋_GB2312"/>
                <w:sz w:val="31"/>
              </w:rPr>
            </w:pPr>
            <w:r>
              <w:rPr>
                <w:rFonts w:hint="eastAsia" w:ascii="仿宋_GB2312"/>
                <w:sz w:val="31"/>
              </w:rPr>
              <w:t>资金落实</w:t>
            </w:r>
          </w:p>
        </w:tc>
        <w:tc>
          <w:tcPr>
            <w:tcW w:w="3000" w:type="dxa"/>
            <w:vAlign w:val="center"/>
          </w:tcPr>
          <w:p w14:paraId="249604BD">
            <w:pPr>
              <w:spacing w:line="580" w:lineRule="exact"/>
              <w:ind w:firstLine="620" w:firstLineChars="200"/>
              <w:outlineLvl w:val="0"/>
              <w:rPr>
                <w:rFonts w:ascii="仿宋_GB2312"/>
                <w:sz w:val="31"/>
              </w:rPr>
            </w:pPr>
            <w:r>
              <w:rPr>
                <w:rFonts w:hint="eastAsia" w:ascii="仿宋_GB2312"/>
                <w:sz w:val="31"/>
              </w:rPr>
              <w:t>资金到位率</w:t>
            </w:r>
          </w:p>
        </w:tc>
      </w:tr>
      <w:tr w14:paraId="19491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000" w:type="dxa"/>
            <w:vMerge w:val="continue"/>
            <w:vAlign w:val="center"/>
          </w:tcPr>
          <w:p w14:paraId="52E598FC"/>
        </w:tc>
        <w:tc>
          <w:tcPr>
            <w:tcW w:w="3000" w:type="dxa"/>
            <w:vMerge w:val="continue"/>
            <w:vAlign w:val="center"/>
          </w:tcPr>
          <w:p w14:paraId="360FB9C3"/>
        </w:tc>
        <w:tc>
          <w:tcPr>
            <w:tcW w:w="3000" w:type="dxa"/>
            <w:vAlign w:val="center"/>
          </w:tcPr>
          <w:p w14:paraId="6BE7BD85">
            <w:pPr>
              <w:spacing w:line="580" w:lineRule="exact"/>
              <w:ind w:firstLine="620" w:firstLineChars="200"/>
              <w:outlineLvl w:val="0"/>
              <w:rPr>
                <w:rFonts w:ascii="仿宋_GB2312"/>
                <w:sz w:val="31"/>
              </w:rPr>
            </w:pPr>
            <w:r>
              <w:rPr>
                <w:rFonts w:hint="eastAsia" w:ascii="仿宋_GB2312"/>
                <w:sz w:val="31"/>
              </w:rPr>
              <w:t>到位及时率</w:t>
            </w:r>
          </w:p>
        </w:tc>
      </w:tr>
    </w:tbl>
    <w:p w14:paraId="2735B37A">
      <w:pPr>
        <w:spacing w:line="580" w:lineRule="exact"/>
        <w:ind w:firstLine="595" w:firstLineChars="192"/>
        <w:rPr>
          <w:rFonts w:ascii="仿宋" w:hAnsi="仿宋" w:eastAsia="仿宋"/>
          <w:sz w:val="31"/>
          <w:szCs w:val="32"/>
        </w:rPr>
      </w:pPr>
      <w:r>
        <w:rPr>
          <w:rFonts w:hint="eastAsia" w:ascii="仿宋" w:hAnsi="仿宋" w:eastAsia="仿宋"/>
          <w:sz w:val="31"/>
          <w:szCs w:val="32"/>
        </w:rPr>
        <w:t>二是过程指标设置项目管理和财务管理两个二级指标，三级指标设置如下图：</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84"/>
        <w:gridCol w:w="2719"/>
        <w:gridCol w:w="3597"/>
      </w:tblGrid>
      <w:tr w14:paraId="38E24E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684" w:type="dxa"/>
            <w:vAlign w:val="center"/>
          </w:tcPr>
          <w:p w14:paraId="4C525663">
            <w:pPr>
              <w:spacing w:line="580" w:lineRule="exact"/>
              <w:ind w:firstLine="620" w:firstLineChars="200"/>
              <w:outlineLvl w:val="0"/>
              <w:rPr>
                <w:rFonts w:ascii="仿宋_GB2312"/>
                <w:sz w:val="31"/>
              </w:rPr>
            </w:pPr>
            <w:r>
              <w:rPr>
                <w:rFonts w:hint="eastAsia" w:ascii="仿宋_GB2312"/>
                <w:sz w:val="31"/>
              </w:rPr>
              <w:t>一级指标</w:t>
            </w:r>
          </w:p>
        </w:tc>
        <w:tc>
          <w:tcPr>
            <w:tcW w:w="2719" w:type="dxa"/>
            <w:vAlign w:val="center"/>
          </w:tcPr>
          <w:p w14:paraId="1E3CB8A5">
            <w:pPr>
              <w:spacing w:line="580" w:lineRule="exact"/>
              <w:ind w:firstLine="620" w:firstLineChars="200"/>
              <w:outlineLvl w:val="0"/>
              <w:rPr>
                <w:rFonts w:ascii="仿宋_GB2312"/>
                <w:sz w:val="31"/>
              </w:rPr>
            </w:pPr>
            <w:r>
              <w:rPr>
                <w:rFonts w:hint="eastAsia" w:ascii="仿宋_GB2312"/>
                <w:sz w:val="31"/>
              </w:rPr>
              <w:t>二级指标</w:t>
            </w:r>
          </w:p>
        </w:tc>
        <w:tc>
          <w:tcPr>
            <w:tcW w:w="3597" w:type="dxa"/>
            <w:vAlign w:val="center"/>
          </w:tcPr>
          <w:p w14:paraId="28D7DCAC">
            <w:pPr>
              <w:spacing w:line="580" w:lineRule="exact"/>
              <w:ind w:firstLine="620" w:firstLineChars="200"/>
              <w:outlineLvl w:val="0"/>
              <w:rPr>
                <w:rFonts w:ascii="仿宋_GB2312"/>
                <w:sz w:val="31"/>
              </w:rPr>
            </w:pPr>
            <w:r>
              <w:rPr>
                <w:rFonts w:hint="eastAsia" w:ascii="仿宋_GB2312"/>
                <w:sz w:val="31"/>
              </w:rPr>
              <w:t>三级指标</w:t>
            </w:r>
          </w:p>
        </w:tc>
      </w:tr>
      <w:tr w14:paraId="4B640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684" w:type="dxa"/>
            <w:vMerge w:val="restart"/>
            <w:vAlign w:val="center"/>
          </w:tcPr>
          <w:p w14:paraId="08561D82">
            <w:pPr>
              <w:spacing w:line="580" w:lineRule="exact"/>
              <w:ind w:firstLine="620" w:firstLineChars="200"/>
              <w:outlineLvl w:val="0"/>
              <w:rPr>
                <w:rFonts w:ascii="仿宋_GB2312"/>
                <w:sz w:val="31"/>
              </w:rPr>
            </w:pPr>
            <w:r>
              <w:rPr>
                <w:rFonts w:hint="eastAsia" w:ascii="仿宋_GB2312"/>
                <w:sz w:val="31"/>
              </w:rPr>
              <w:t>过程</w:t>
            </w:r>
          </w:p>
        </w:tc>
        <w:tc>
          <w:tcPr>
            <w:tcW w:w="2719" w:type="dxa"/>
            <w:vMerge w:val="restart"/>
            <w:vAlign w:val="center"/>
          </w:tcPr>
          <w:p w14:paraId="5D5B972A">
            <w:pPr>
              <w:spacing w:line="580" w:lineRule="exact"/>
              <w:ind w:firstLine="620" w:firstLineChars="200"/>
              <w:outlineLvl w:val="0"/>
              <w:rPr>
                <w:rFonts w:ascii="仿宋_GB2312"/>
                <w:sz w:val="31"/>
              </w:rPr>
            </w:pPr>
            <w:r>
              <w:rPr>
                <w:rFonts w:hint="eastAsia" w:ascii="仿宋_GB2312"/>
                <w:sz w:val="31"/>
              </w:rPr>
              <w:t>项目管理</w:t>
            </w:r>
          </w:p>
          <w:p w14:paraId="03FA15BA">
            <w:pPr>
              <w:spacing w:line="580" w:lineRule="exact"/>
              <w:ind w:firstLine="620" w:firstLineChars="200"/>
              <w:outlineLvl w:val="0"/>
              <w:rPr>
                <w:rFonts w:ascii="仿宋_GB2312"/>
                <w:sz w:val="31"/>
              </w:rPr>
            </w:pPr>
          </w:p>
        </w:tc>
        <w:tc>
          <w:tcPr>
            <w:tcW w:w="3597" w:type="dxa"/>
            <w:vAlign w:val="center"/>
          </w:tcPr>
          <w:p w14:paraId="0DFA4DDC">
            <w:pPr>
              <w:spacing w:line="580" w:lineRule="exact"/>
              <w:ind w:firstLine="620" w:firstLineChars="200"/>
              <w:outlineLvl w:val="0"/>
              <w:rPr>
                <w:rFonts w:ascii="仿宋_GB2312"/>
                <w:sz w:val="31"/>
              </w:rPr>
            </w:pPr>
            <w:r>
              <w:rPr>
                <w:rFonts w:hint="eastAsia" w:ascii="仿宋_GB2312"/>
                <w:sz w:val="31"/>
              </w:rPr>
              <w:t>管理制度健全性</w:t>
            </w:r>
          </w:p>
        </w:tc>
      </w:tr>
      <w:tr w14:paraId="0927C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684" w:type="dxa"/>
            <w:vMerge w:val="continue"/>
            <w:vAlign w:val="center"/>
          </w:tcPr>
          <w:p w14:paraId="55DBED17"/>
        </w:tc>
        <w:tc>
          <w:tcPr>
            <w:tcW w:w="2719" w:type="dxa"/>
            <w:vMerge w:val="continue"/>
            <w:vAlign w:val="center"/>
          </w:tcPr>
          <w:p w14:paraId="76C46F49"/>
        </w:tc>
        <w:tc>
          <w:tcPr>
            <w:tcW w:w="3597" w:type="dxa"/>
            <w:vAlign w:val="center"/>
          </w:tcPr>
          <w:p w14:paraId="45E1ABA4">
            <w:pPr>
              <w:spacing w:line="580" w:lineRule="exact"/>
              <w:ind w:firstLine="620" w:firstLineChars="200"/>
              <w:outlineLvl w:val="0"/>
              <w:rPr>
                <w:rFonts w:ascii="仿宋_GB2312"/>
                <w:sz w:val="31"/>
              </w:rPr>
            </w:pPr>
            <w:r>
              <w:rPr>
                <w:rFonts w:hint="eastAsia" w:ascii="仿宋_GB2312"/>
                <w:sz w:val="31"/>
              </w:rPr>
              <w:t>制度执行有效性</w:t>
            </w:r>
          </w:p>
        </w:tc>
      </w:tr>
      <w:tr w14:paraId="2BC44E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684" w:type="dxa"/>
            <w:vMerge w:val="continue"/>
            <w:vAlign w:val="center"/>
          </w:tcPr>
          <w:p w14:paraId="702D728E"/>
        </w:tc>
        <w:tc>
          <w:tcPr>
            <w:tcW w:w="2719" w:type="dxa"/>
            <w:vMerge w:val="continue"/>
            <w:vAlign w:val="center"/>
          </w:tcPr>
          <w:p w14:paraId="21F9810E"/>
        </w:tc>
        <w:tc>
          <w:tcPr>
            <w:tcW w:w="3597" w:type="dxa"/>
            <w:vAlign w:val="center"/>
          </w:tcPr>
          <w:p w14:paraId="416AE1B4">
            <w:pPr>
              <w:spacing w:line="580" w:lineRule="exact"/>
              <w:ind w:firstLine="620" w:firstLineChars="200"/>
              <w:outlineLvl w:val="0"/>
              <w:rPr>
                <w:rFonts w:ascii="仿宋_GB2312"/>
                <w:sz w:val="31"/>
              </w:rPr>
            </w:pPr>
            <w:r>
              <w:rPr>
                <w:rFonts w:hint="eastAsia" w:ascii="仿宋_GB2312"/>
                <w:sz w:val="31"/>
              </w:rPr>
              <w:t>项目质量可控性</w:t>
            </w:r>
          </w:p>
        </w:tc>
      </w:tr>
      <w:tr w14:paraId="20ED5A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684" w:type="dxa"/>
            <w:vMerge w:val="continue"/>
            <w:vAlign w:val="center"/>
          </w:tcPr>
          <w:p w14:paraId="00BF283C"/>
        </w:tc>
        <w:tc>
          <w:tcPr>
            <w:tcW w:w="2719" w:type="dxa"/>
            <w:vMerge w:val="restart"/>
            <w:vAlign w:val="center"/>
          </w:tcPr>
          <w:p w14:paraId="62F1C3F7">
            <w:pPr>
              <w:spacing w:line="580" w:lineRule="exact"/>
              <w:ind w:firstLine="620" w:firstLineChars="200"/>
              <w:outlineLvl w:val="0"/>
              <w:rPr>
                <w:rFonts w:ascii="仿宋_GB2312"/>
                <w:sz w:val="31"/>
              </w:rPr>
            </w:pPr>
            <w:r>
              <w:rPr>
                <w:rFonts w:hint="eastAsia" w:ascii="仿宋_GB2312"/>
                <w:sz w:val="31"/>
              </w:rPr>
              <w:t>财务管理</w:t>
            </w:r>
          </w:p>
          <w:p w14:paraId="38F5AA56">
            <w:pPr>
              <w:spacing w:line="580" w:lineRule="exact"/>
              <w:ind w:firstLine="620" w:firstLineChars="200"/>
              <w:outlineLvl w:val="0"/>
              <w:rPr>
                <w:rFonts w:ascii="仿宋_GB2312"/>
                <w:sz w:val="31"/>
              </w:rPr>
            </w:pPr>
          </w:p>
        </w:tc>
        <w:tc>
          <w:tcPr>
            <w:tcW w:w="3597" w:type="dxa"/>
            <w:vAlign w:val="center"/>
          </w:tcPr>
          <w:p w14:paraId="27C88795">
            <w:pPr>
              <w:spacing w:line="580" w:lineRule="exact"/>
              <w:ind w:firstLine="620" w:firstLineChars="200"/>
              <w:outlineLvl w:val="0"/>
              <w:rPr>
                <w:rFonts w:ascii="仿宋_GB2312"/>
                <w:sz w:val="31"/>
              </w:rPr>
            </w:pPr>
            <w:r>
              <w:rPr>
                <w:rFonts w:hint="eastAsia" w:ascii="仿宋_GB2312"/>
                <w:sz w:val="31"/>
              </w:rPr>
              <w:t>管理制度健全性</w:t>
            </w:r>
          </w:p>
        </w:tc>
      </w:tr>
      <w:tr w14:paraId="2C76A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684" w:type="dxa"/>
            <w:vMerge w:val="continue"/>
            <w:vAlign w:val="center"/>
          </w:tcPr>
          <w:p w14:paraId="7EF2C174"/>
        </w:tc>
        <w:tc>
          <w:tcPr>
            <w:tcW w:w="2719" w:type="dxa"/>
            <w:vMerge w:val="continue"/>
            <w:vAlign w:val="center"/>
          </w:tcPr>
          <w:p w14:paraId="2411DFCF"/>
        </w:tc>
        <w:tc>
          <w:tcPr>
            <w:tcW w:w="3597" w:type="dxa"/>
            <w:vAlign w:val="center"/>
          </w:tcPr>
          <w:p w14:paraId="1B0D6F54">
            <w:pPr>
              <w:spacing w:line="580" w:lineRule="exact"/>
              <w:ind w:firstLine="620" w:firstLineChars="200"/>
              <w:outlineLvl w:val="0"/>
              <w:rPr>
                <w:rFonts w:ascii="仿宋_GB2312"/>
                <w:sz w:val="31"/>
              </w:rPr>
            </w:pPr>
            <w:r>
              <w:rPr>
                <w:rFonts w:hint="eastAsia" w:ascii="仿宋_GB2312"/>
                <w:sz w:val="31"/>
              </w:rPr>
              <w:t>资金使用合规性</w:t>
            </w:r>
          </w:p>
        </w:tc>
      </w:tr>
      <w:tr w14:paraId="174C7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684" w:type="dxa"/>
            <w:vMerge w:val="continue"/>
            <w:vAlign w:val="center"/>
          </w:tcPr>
          <w:p w14:paraId="5EE01EE2"/>
        </w:tc>
        <w:tc>
          <w:tcPr>
            <w:tcW w:w="2719" w:type="dxa"/>
            <w:vMerge w:val="continue"/>
            <w:vAlign w:val="center"/>
          </w:tcPr>
          <w:p w14:paraId="2FB77826"/>
        </w:tc>
        <w:tc>
          <w:tcPr>
            <w:tcW w:w="3597" w:type="dxa"/>
            <w:vAlign w:val="center"/>
          </w:tcPr>
          <w:p w14:paraId="3230412E">
            <w:pPr>
              <w:spacing w:line="580" w:lineRule="exact"/>
              <w:ind w:firstLine="620" w:firstLineChars="200"/>
              <w:outlineLvl w:val="0"/>
              <w:rPr>
                <w:rFonts w:ascii="仿宋_GB2312"/>
                <w:sz w:val="31"/>
              </w:rPr>
            </w:pPr>
            <w:r>
              <w:rPr>
                <w:rFonts w:hint="eastAsia" w:ascii="仿宋_GB2312"/>
                <w:sz w:val="31"/>
              </w:rPr>
              <w:t>财务监控有效性</w:t>
            </w:r>
          </w:p>
        </w:tc>
      </w:tr>
      <w:tr w14:paraId="5D0A66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684" w:type="dxa"/>
            <w:vMerge w:val="continue"/>
            <w:vAlign w:val="center"/>
          </w:tcPr>
          <w:p w14:paraId="4AF8382B"/>
        </w:tc>
        <w:tc>
          <w:tcPr>
            <w:tcW w:w="2719" w:type="dxa"/>
            <w:vMerge w:val="continue"/>
            <w:vAlign w:val="center"/>
          </w:tcPr>
          <w:p w14:paraId="5CDA987D"/>
        </w:tc>
        <w:tc>
          <w:tcPr>
            <w:tcW w:w="3597" w:type="dxa"/>
            <w:vAlign w:val="center"/>
          </w:tcPr>
          <w:p w14:paraId="6212FC9C">
            <w:pPr>
              <w:spacing w:line="580" w:lineRule="exact"/>
              <w:ind w:firstLine="620" w:firstLineChars="200"/>
              <w:outlineLvl w:val="0"/>
              <w:rPr>
                <w:rFonts w:ascii="仿宋_GB2312"/>
                <w:sz w:val="31"/>
              </w:rPr>
            </w:pPr>
            <w:r>
              <w:rPr>
                <w:rFonts w:hint="eastAsia" w:ascii="仿宋_GB2312"/>
                <w:sz w:val="31"/>
              </w:rPr>
              <w:t>财务管理有效性</w:t>
            </w:r>
          </w:p>
        </w:tc>
      </w:tr>
    </w:tbl>
    <w:p w14:paraId="212F474A">
      <w:pPr>
        <w:spacing w:line="580" w:lineRule="exact"/>
        <w:ind w:firstLine="595" w:firstLineChars="192"/>
        <w:rPr>
          <w:rFonts w:ascii="仿宋" w:hAnsi="仿宋" w:eastAsia="仿宋"/>
          <w:sz w:val="31"/>
          <w:szCs w:val="32"/>
        </w:rPr>
      </w:pPr>
      <w:r>
        <w:rPr>
          <w:rFonts w:hint="eastAsia" w:ascii="仿宋" w:hAnsi="仿宋" w:eastAsia="仿宋"/>
          <w:sz w:val="31"/>
          <w:szCs w:val="32"/>
        </w:rPr>
        <w:t>三是产出指标设置实际完成率、完成及时率、质量达标率、产出成本、资金使用率五个二级指标，三级指标设置如下图：</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1"/>
        <w:gridCol w:w="2803"/>
        <w:gridCol w:w="3616"/>
      </w:tblGrid>
      <w:tr w14:paraId="67B31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581" w:type="dxa"/>
            <w:vAlign w:val="center"/>
          </w:tcPr>
          <w:p w14:paraId="1C917508">
            <w:pPr>
              <w:spacing w:line="580" w:lineRule="exact"/>
              <w:ind w:firstLine="620" w:firstLineChars="200"/>
              <w:outlineLvl w:val="0"/>
              <w:rPr>
                <w:rFonts w:ascii="仿宋_GB2312"/>
                <w:sz w:val="31"/>
              </w:rPr>
            </w:pPr>
            <w:r>
              <w:rPr>
                <w:rFonts w:hint="eastAsia" w:ascii="仿宋_GB2312"/>
                <w:sz w:val="31"/>
              </w:rPr>
              <w:t>一级指标</w:t>
            </w:r>
          </w:p>
        </w:tc>
        <w:tc>
          <w:tcPr>
            <w:tcW w:w="2803" w:type="dxa"/>
            <w:vAlign w:val="center"/>
          </w:tcPr>
          <w:p w14:paraId="1C340477">
            <w:pPr>
              <w:spacing w:line="580" w:lineRule="exact"/>
              <w:ind w:firstLine="620" w:firstLineChars="200"/>
              <w:outlineLvl w:val="0"/>
              <w:rPr>
                <w:rFonts w:ascii="仿宋_GB2312"/>
                <w:sz w:val="31"/>
              </w:rPr>
            </w:pPr>
            <w:r>
              <w:rPr>
                <w:rFonts w:hint="eastAsia" w:ascii="仿宋_GB2312"/>
                <w:sz w:val="31"/>
              </w:rPr>
              <w:t>二级指标</w:t>
            </w:r>
          </w:p>
        </w:tc>
        <w:tc>
          <w:tcPr>
            <w:tcW w:w="3616" w:type="dxa"/>
            <w:vAlign w:val="center"/>
          </w:tcPr>
          <w:p w14:paraId="635EA377">
            <w:pPr>
              <w:spacing w:line="580" w:lineRule="exact"/>
              <w:ind w:firstLine="620" w:firstLineChars="200"/>
              <w:outlineLvl w:val="0"/>
              <w:rPr>
                <w:rFonts w:ascii="仿宋_GB2312"/>
                <w:sz w:val="31"/>
              </w:rPr>
            </w:pPr>
            <w:r>
              <w:rPr>
                <w:rFonts w:hint="eastAsia" w:ascii="仿宋_GB2312"/>
                <w:sz w:val="31"/>
              </w:rPr>
              <w:t>三级指标</w:t>
            </w:r>
          </w:p>
        </w:tc>
      </w:tr>
      <w:tr w14:paraId="2B608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581" w:type="dxa"/>
            <w:vMerge w:val="restart"/>
            <w:vAlign w:val="center"/>
          </w:tcPr>
          <w:p w14:paraId="353E97E2">
            <w:pPr>
              <w:spacing w:line="580" w:lineRule="exact"/>
              <w:ind w:firstLine="620" w:firstLineChars="200"/>
              <w:outlineLvl w:val="0"/>
              <w:rPr>
                <w:rFonts w:ascii="仿宋_GB2312"/>
                <w:sz w:val="31"/>
              </w:rPr>
            </w:pPr>
            <w:r>
              <w:rPr>
                <w:rFonts w:hint="eastAsia" w:ascii="仿宋_GB2312"/>
                <w:sz w:val="31"/>
              </w:rPr>
              <w:t>产出</w:t>
            </w:r>
          </w:p>
          <w:p w14:paraId="5D57DC2C">
            <w:pPr>
              <w:spacing w:line="580" w:lineRule="exact"/>
              <w:ind w:firstLine="620" w:firstLineChars="200"/>
              <w:outlineLvl w:val="0"/>
              <w:rPr>
                <w:rFonts w:ascii="仿宋_GB2312"/>
                <w:sz w:val="31"/>
              </w:rPr>
            </w:pPr>
          </w:p>
        </w:tc>
        <w:tc>
          <w:tcPr>
            <w:tcW w:w="2803" w:type="dxa"/>
            <w:vMerge w:val="restart"/>
            <w:vAlign w:val="center"/>
          </w:tcPr>
          <w:p w14:paraId="4E619797">
            <w:pPr>
              <w:spacing w:line="580" w:lineRule="exact"/>
              <w:ind w:firstLine="620" w:firstLineChars="200"/>
              <w:outlineLvl w:val="0"/>
              <w:rPr>
                <w:rFonts w:ascii="仿宋_GB2312"/>
                <w:sz w:val="31"/>
              </w:rPr>
            </w:pPr>
            <w:r>
              <w:rPr>
                <w:rFonts w:hint="eastAsia" w:ascii="仿宋_GB2312"/>
                <w:sz w:val="31"/>
              </w:rPr>
              <w:t>实际完成率</w:t>
            </w:r>
          </w:p>
          <w:p w14:paraId="27F42BC3">
            <w:pPr>
              <w:spacing w:line="580" w:lineRule="exact"/>
              <w:ind w:firstLine="620" w:firstLineChars="200"/>
              <w:outlineLvl w:val="0"/>
              <w:rPr>
                <w:rFonts w:ascii="仿宋_GB2312"/>
                <w:sz w:val="31"/>
              </w:rPr>
            </w:pPr>
          </w:p>
        </w:tc>
        <w:tc>
          <w:tcPr>
            <w:tcW w:w="3616" w:type="dxa"/>
            <w:vAlign w:val="center"/>
          </w:tcPr>
          <w:p w14:paraId="76119EAB">
            <w:pPr>
              <w:spacing w:line="580" w:lineRule="exact"/>
              <w:outlineLvl w:val="0"/>
              <w:rPr>
                <w:rFonts w:ascii="仿宋_GB2312"/>
                <w:sz w:val="31"/>
              </w:rPr>
            </w:pPr>
            <w:r>
              <w:rPr>
                <w:rFonts w:hint="eastAsia" w:ascii="仿宋_GB2312"/>
                <w:sz w:val="31"/>
              </w:rPr>
              <w:t>报纸开设重大宣传报道专题专栏数</w:t>
            </w:r>
          </w:p>
        </w:tc>
      </w:tr>
      <w:tr w14:paraId="4292A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581" w:type="dxa"/>
            <w:vMerge w:val="continue"/>
            <w:vAlign w:val="center"/>
          </w:tcPr>
          <w:p w14:paraId="41279FE2"/>
        </w:tc>
        <w:tc>
          <w:tcPr>
            <w:tcW w:w="2803" w:type="dxa"/>
            <w:vMerge w:val="continue"/>
            <w:vAlign w:val="center"/>
          </w:tcPr>
          <w:p w14:paraId="011E2B96"/>
        </w:tc>
        <w:tc>
          <w:tcPr>
            <w:tcW w:w="3616" w:type="dxa"/>
            <w:vAlign w:val="center"/>
          </w:tcPr>
          <w:p w14:paraId="69DF1655">
            <w:pPr>
              <w:spacing w:line="580" w:lineRule="exact"/>
              <w:outlineLvl w:val="0"/>
              <w:rPr>
                <w:rFonts w:ascii="仿宋_GB2312"/>
                <w:sz w:val="31"/>
              </w:rPr>
            </w:pPr>
            <w:r>
              <w:rPr>
                <w:rFonts w:hint="eastAsia" w:ascii="仿宋_GB2312"/>
                <w:sz w:val="31"/>
              </w:rPr>
              <w:t>巴州地区报纸订阅覆盖率</w:t>
            </w:r>
          </w:p>
        </w:tc>
      </w:tr>
      <w:tr w14:paraId="5C9DF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581" w:type="dxa"/>
            <w:vMerge w:val="continue"/>
            <w:vAlign w:val="center"/>
          </w:tcPr>
          <w:p w14:paraId="7DAF304B"/>
        </w:tc>
        <w:tc>
          <w:tcPr>
            <w:tcW w:w="2803" w:type="dxa"/>
            <w:vMerge w:val="continue"/>
            <w:vAlign w:val="center"/>
          </w:tcPr>
          <w:p w14:paraId="1CD6DA50"/>
        </w:tc>
        <w:tc>
          <w:tcPr>
            <w:tcW w:w="3616" w:type="dxa"/>
            <w:vAlign w:val="center"/>
          </w:tcPr>
          <w:p w14:paraId="76AF8CC2">
            <w:pPr>
              <w:spacing w:line="580" w:lineRule="exact"/>
              <w:outlineLvl w:val="0"/>
              <w:rPr>
                <w:rFonts w:ascii="仿宋_GB2312"/>
                <w:sz w:val="31"/>
              </w:rPr>
            </w:pPr>
            <w:r>
              <w:rPr>
                <w:rFonts w:hint="eastAsia" w:ascii="仿宋_GB2312"/>
                <w:sz w:val="31"/>
              </w:rPr>
              <w:t>报纸实际印刷发行数量</w:t>
            </w:r>
          </w:p>
        </w:tc>
      </w:tr>
      <w:tr w14:paraId="2EC5A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581" w:type="dxa"/>
            <w:vMerge w:val="continue"/>
            <w:vAlign w:val="center"/>
          </w:tcPr>
          <w:p w14:paraId="7A72FD17"/>
        </w:tc>
        <w:tc>
          <w:tcPr>
            <w:tcW w:w="2803" w:type="dxa"/>
            <w:vAlign w:val="center"/>
          </w:tcPr>
          <w:p w14:paraId="4137069A">
            <w:pPr>
              <w:spacing w:line="580" w:lineRule="exact"/>
              <w:ind w:firstLine="620" w:firstLineChars="200"/>
              <w:outlineLvl w:val="0"/>
              <w:rPr>
                <w:rFonts w:ascii="仿宋_GB2312"/>
                <w:sz w:val="31"/>
              </w:rPr>
            </w:pPr>
            <w:r>
              <w:rPr>
                <w:rFonts w:hint="eastAsia" w:ascii="仿宋_GB2312"/>
                <w:sz w:val="31"/>
              </w:rPr>
              <w:t>完成及时率</w:t>
            </w:r>
          </w:p>
        </w:tc>
        <w:tc>
          <w:tcPr>
            <w:tcW w:w="3616" w:type="dxa"/>
            <w:vAlign w:val="center"/>
          </w:tcPr>
          <w:p w14:paraId="1AD585A8">
            <w:pPr>
              <w:spacing w:line="580" w:lineRule="exact"/>
              <w:outlineLvl w:val="0"/>
              <w:rPr>
                <w:rFonts w:ascii="仿宋_GB2312"/>
                <w:sz w:val="31"/>
              </w:rPr>
            </w:pPr>
            <w:r>
              <w:rPr>
                <w:rFonts w:hint="eastAsia" w:ascii="仿宋_GB2312"/>
                <w:sz w:val="31"/>
              </w:rPr>
              <w:t>项目完成及时率</w:t>
            </w:r>
          </w:p>
        </w:tc>
      </w:tr>
      <w:tr w14:paraId="233B4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581" w:type="dxa"/>
            <w:vMerge w:val="continue"/>
            <w:vAlign w:val="center"/>
          </w:tcPr>
          <w:p w14:paraId="10478989"/>
        </w:tc>
        <w:tc>
          <w:tcPr>
            <w:tcW w:w="2803" w:type="dxa"/>
            <w:vAlign w:val="center"/>
          </w:tcPr>
          <w:p w14:paraId="688DA0C4">
            <w:pPr>
              <w:spacing w:line="580" w:lineRule="exact"/>
              <w:ind w:firstLine="620" w:firstLineChars="200"/>
              <w:outlineLvl w:val="0"/>
              <w:rPr>
                <w:rFonts w:ascii="仿宋_GB2312"/>
                <w:sz w:val="31"/>
              </w:rPr>
            </w:pPr>
            <w:r>
              <w:rPr>
                <w:rFonts w:hint="eastAsia" w:ascii="仿宋_GB2312"/>
                <w:sz w:val="31"/>
              </w:rPr>
              <w:t>质量达标率</w:t>
            </w:r>
          </w:p>
        </w:tc>
        <w:tc>
          <w:tcPr>
            <w:tcW w:w="3616" w:type="dxa"/>
            <w:vAlign w:val="center"/>
          </w:tcPr>
          <w:p w14:paraId="47C1344F">
            <w:pPr>
              <w:spacing w:line="580" w:lineRule="exact"/>
              <w:outlineLvl w:val="0"/>
              <w:rPr>
                <w:rFonts w:ascii="仿宋_GB2312"/>
                <w:sz w:val="31"/>
              </w:rPr>
            </w:pPr>
            <w:r>
              <w:rPr>
                <w:rFonts w:hint="eastAsia" w:ascii="仿宋_GB2312"/>
                <w:sz w:val="31"/>
              </w:rPr>
              <w:t>报纸出版验收合格率</w:t>
            </w:r>
          </w:p>
        </w:tc>
      </w:tr>
      <w:tr w14:paraId="7E639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581" w:type="dxa"/>
            <w:vMerge w:val="continue"/>
            <w:vAlign w:val="center"/>
          </w:tcPr>
          <w:p w14:paraId="2E41AF15"/>
        </w:tc>
        <w:tc>
          <w:tcPr>
            <w:tcW w:w="2803" w:type="dxa"/>
            <w:vAlign w:val="center"/>
          </w:tcPr>
          <w:p w14:paraId="10171BA6">
            <w:pPr>
              <w:spacing w:line="580" w:lineRule="exact"/>
              <w:ind w:firstLine="620" w:firstLineChars="200"/>
              <w:outlineLvl w:val="0"/>
              <w:rPr>
                <w:rFonts w:ascii="仿宋_GB2312"/>
                <w:sz w:val="31"/>
              </w:rPr>
            </w:pPr>
            <w:r>
              <w:rPr>
                <w:rFonts w:hint="eastAsia" w:ascii="仿宋_GB2312"/>
                <w:sz w:val="31"/>
              </w:rPr>
              <w:t>产出成本</w:t>
            </w:r>
          </w:p>
        </w:tc>
        <w:tc>
          <w:tcPr>
            <w:tcW w:w="3616" w:type="dxa"/>
            <w:vAlign w:val="center"/>
          </w:tcPr>
          <w:p w14:paraId="5380DEEA">
            <w:pPr>
              <w:spacing w:line="580" w:lineRule="exact"/>
              <w:outlineLvl w:val="0"/>
              <w:rPr>
                <w:rFonts w:ascii="仿宋_GB2312"/>
                <w:sz w:val="31"/>
              </w:rPr>
            </w:pPr>
            <w:r>
              <w:rPr>
                <w:rFonts w:hint="eastAsia" w:ascii="仿宋_GB2312"/>
                <w:sz w:val="31"/>
              </w:rPr>
              <w:t>报纸出版成本节约率</w:t>
            </w:r>
          </w:p>
        </w:tc>
      </w:tr>
      <w:tr w14:paraId="5D63C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581" w:type="dxa"/>
            <w:vMerge w:val="continue"/>
          </w:tcPr>
          <w:p w14:paraId="7F2338C7"/>
        </w:tc>
        <w:tc>
          <w:tcPr>
            <w:tcW w:w="2803" w:type="dxa"/>
            <w:vAlign w:val="center"/>
          </w:tcPr>
          <w:p w14:paraId="37638AC4">
            <w:pPr>
              <w:spacing w:line="580" w:lineRule="exact"/>
              <w:ind w:firstLine="620" w:firstLineChars="200"/>
              <w:outlineLvl w:val="0"/>
              <w:rPr>
                <w:rFonts w:ascii="仿宋_GB2312"/>
                <w:sz w:val="31"/>
              </w:rPr>
            </w:pPr>
            <w:r>
              <w:rPr>
                <w:rFonts w:hint="eastAsia" w:ascii="仿宋_GB2312"/>
                <w:sz w:val="31"/>
              </w:rPr>
              <w:t>资金使用率</w:t>
            </w:r>
          </w:p>
        </w:tc>
        <w:tc>
          <w:tcPr>
            <w:tcW w:w="3616" w:type="dxa"/>
            <w:vAlign w:val="center"/>
          </w:tcPr>
          <w:p w14:paraId="52954E20">
            <w:pPr>
              <w:spacing w:line="580" w:lineRule="exact"/>
              <w:outlineLvl w:val="0"/>
              <w:rPr>
                <w:rFonts w:ascii="仿宋_GB2312"/>
                <w:sz w:val="31"/>
              </w:rPr>
            </w:pPr>
            <w:r>
              <w:rPr>
                <w:rFonts w:hint="eastAsia" w:ascii="仿宋_GB2312"/>
                <w:sz w:val="31"/>
              </w:rPr>
              <w:t>资金使用率</w:t>
            </w:r>
          </w:p>
        </w:tc>
      </w:tr>
    </w:tbl>
    <w:p w14:paraId="0D7E14B4">
      <w:pPr>
        <w:spacing w:line="580" w:lineRule="exact"/>
        <w:ind w:firstLine="595" w:firstLineChars="192"/>
        <w:rPr>
          <w:rFonts w:ascii="仿宋" w:hAnsi="仿宋" w:eastAsia="仿宋"/>
          <w:sz w:val="31"/>
          <w:szCs w:val="32"/>
        </w:rPr>
      </w:pPr>
      <w:r>
        <w:rPr>
          <w:rFonts w:hint="eastAsia" w:ascii="仿宋" w:hAnsi="仿宋" w:eastAsia="仿宋"/>
          <w:sz w:val="31"/>
          <w:szCs w:val="32"/>
        </w:rPr>
        <w:t>四是效果指标设置经济效益、社会效益、可持续发展和服务对象满意度四个二级指标，三级指标设置如下图：</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4"/>
        <w:gridCol w:w="1725"/>
        <w:gridCol w:w="5871"/>
      </w:tblGrid>
      <w:tr w14:paraId="4E943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464" w:type="dxa"/>
            <w:vAlign w:val="center"/>
          </w:tcPr>
          <w:p w14:paraId="012DF99E">
            <w:pPr>
              <w:spacing w:line="580" w:lineRule="exact"/>
              <w:outlineLvl w:val="0"/>
              <w:rPr>
                <w:rFonts w:ascii="仿宋_GB2312"/>
                <w:sz w:val="31"/>
              </w:rPr>
            </w:pPr>
            <w:r>
              <w:rPr>
                <w:rFonts w:hint="eastAsia" w:ascii="仿宋_GB2312"/>
                <w:sz w:val="31"/>
              </w:rPr>
              <w:t>一级指标</w:t>
            </w:r>
          </w:p>
        </w:tc>
        <w:tc>
          <w:tcPr>
            <w:tcW w:w="1725" w:type="dxa"/>
            <w:vAlign w:val="center"/>
          </w:tcPr>
          <w:p w14:paraId="2958CEB6">
            <w:pPr>
              <w:spacing w:line="580" w:lineRule="exact"/>
              <w:outlineLvl w:val="0"/>
              <w:rPr>
                <w:rFonts w:ascii="仿宋_GB2312"/>
                <w:sz w:val="31"/>
              </w:rPr>
            </w:pPr>
            <w:r>
              <w:rPr>
                <w:rFonts w:hint="eastAsia" w:ascii="仿宋_GB2312"/>
                <w:sz w:val="31"/>
              </w:rPr>
              <w:t>二级指标</w:t>
            </w:r>
          </w:p>
        </w:tc>
        <w:tc>
          <w:tcPr>
            <w:tcW w:w="5871" w:type="dxa"/>
            <w:vAlign w:val="center"/>
          </w:tcPr>
          <w:p w14:paraId="29F5D7F1">
            <w:pPr>
              <w:spacing w:line="580" w:lineRule="exact"/>
              <w:ind w:firstLine="620" w:firstLineChars="200"/>
              <w:outlineLvl w:val="0"/>
              <w:rPr>
                <w:rFonts w:ascii="仿宋_GB2312"/>
                <w:sz w:val="31"/>
              </w:rPr>
            </w:pPr>
            <w:r>
              <w:rPr>
                <w:rFonts w:hint="eastAsia" w:ascii="仿宋_GB2312"/>
                <w:sz w:val="31"/>
              </w:rPr>
              <w:t>三级指标</w:t>
            </w:r>
          </w:p>
        </w:tc>
      </w:tr>
      <w:tr w14:paraId="25111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464" w:type="dxa"/>
            <w:vMerge w:val="restart"/>
            <w:vAlign w:val="center"/>
          </w:tcPr>
          <w:p w14:paraId="5BBC0700">
            <w:pPr>
              <w:spacing w:line="580" w:lineRule="exact"/>
              <w:ind w:firstLine="620" w:firstLineChars="200"/>
              <w:outlineLvl w:val="0"/>
              <w:rPr>
                <w:rFonts w:ascii="仿宋_GB2312"/>
                <w:sz w:val="31"/>
              </w:rPr>
            </w:pPr>
            <w:r>
              <w:rPr>
                <w:rFonts w:hint="eastAsia" w:ascii="仿宋_GB2312"/>
                <w:sz w:val="31"/>
              </w:rPr>
              <w:t>效益</w:t>
            </w:r>
          </w:p>
          <w:p w14:paraId="41C0E1E7">
            <w:pPr>
              <w:spacing w:line="580" w:lineRule="exact"/>
              <w:ind w:firstLine="620" w:firstLineChars="200"/>
              <w:outlineLvl w:val="0"/>
              <w:rPr>
                <w:rFonts w:ascii="仿宋_GB2312"/>
                <w:sz w:val="31"/>
              </w:rPr>
            </w:pPr>
          </w:p>
        </w:tc>
        <w:tc>
          <w:tcPr>
            <w:tcW w:w="1725" w:type="dxa"/>
            <w:vAlign w:val="center"/>
          </w:tcPr>
          <w:p w14:paraId="17DBF916">
            <w:pPr>
              <w:spacing w:line="580" w:lineRule="exact"/>
              <w:outlineLvl w:val="0"/>
              <w:rPr>
                <w:rFonts w:ascii="仿宋_GB2312"/>
                <w:sz w:val="31"/>
              </w:rPr>
            </w:pPr>
            <w:r>
              <w:rPr>
                <w:rFonts w:hint="eastAsia" w:ascii="仿宋_GB2312"/>
                <w:sz w:val="31"/>
              </w:rPr>
              <w:t>经济效益</w:t>
            </w:r>
          </w:p>
        </w:tc>
        <w:tc>
          <w:tcPr>
            <w:tcW w:w="5871" w:type="dxa"/>
            <w:vAlign w:val="center"/>
          </w:tcPr>
          <w:p w14:paraId="6FF94152">
            <w:pPr>
              <w:spacing w:line="580" w:lineRule="exact"/>
              <w:outlineLvl w:val="0"/>
              <w:rPr>
                <w:rFonts w:ascii="仿宋_GB2312"/>
                <w:sz w:val="31"/>
              </w:rPr>
            </w:pPr>
            <w:r>
              <w:rPr>
                <w:rFonts w:hint="eastAsia" w:ascii="仿宋_GB2312"/>
                <w:sz w:val="31"/>
              </w:rPr>
              <w:t>年度实现报纸发行收入</w:t>
            </w:r>
          </w:p>
        </w:tc>
      </w:tr>
      <w:tr w14:paraId="3BAF67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464" w:type="dxa"/>
            <w:vMerge w:val="continue"/>
            <w:vAlign w:val="center"/>
          </w:tcPr>
          <w:p w14:paraId="0EAFE7CB"/>
        </w:tc>
        <w:tc>
          <w:tcPr>
            <w:tcW w:w="1725" w:type="dxa"/>
            <w:vMerge w:val="restart"/>
            <w:vAlign w:val="center"/>
          </w:tcPr>
          <w:p w14:paraId="18492D62">
            <w:pPr>
              <w:spacing w:line="580" w:lineRule="exact"/>
              <w:outlineLvl w:val="0"/>
              <w:rPr>
                <w:rFonts w:ascii="仿宋_GB2312"/>
                <w:sz w:val="31"/>
              </w:rPr>
            </w:pPr>
            <w:r>
              <w:rPr>
                <w:rFonts w:hint="eastAsia" w:ascii="仿宋_GB2312"/>
                <w:sz w:val="31"/>
              </w:rPr>
              <w:t>社会效益</w:t>
            </w:r>
          </w:p>
        </w:tc>
        <w:tc>
          <w:tcPr>
            <w:tcW w:w="5871" w:type="dxa"/>
            <w:vAlign w:val="center"/>
          </w:tcPr>
          <w:p w14:paraId="70C348EB">
            <w:pPr>
              <w:spacing w:line="580" w:lineRule="exact"/>
              <w:outlineLvl w:val="0"/>
              <w:rPr>
                <w:rFonts w:ascii="仿宋_GB2312"/>
                <w:sz w:val="31"/>
              </w:rPr>
            </w:pPr>
            <w:r>
              <w:rPr>
                <w:rFonts w:hint="eastAsia" w:ascii="仿宋_GB2312"/>
                <w:sz w:val="31"/>
              </w:rPr>
              <w:t>围绕巴州党委重点工作，做好宣传报道，为全州经济社会发展提供强有力的舆论支撑</w:t>
            </w:r>
          </w:p>
        </w:tc>
      </w:tr>
      <w:tr w14:paraId="067C9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464" w:type="dxa"/>
            <w:vMerge w:val="continue"/>
          </w:tcPr>
          <w:p w14:paraId="615180D0"/>
        </w:tc>
        <w:tc>
          <w:tcPr>
            <w:tcW w:w="1725" w:type="dxa"/>
            <w:vMerge w:val="continue"/>
          </w:tcPr>
          <w:p w14:paraId="3C39A84D"/>
        </w:tc>
        <w:tc>
          <w:tcPr>
            <w:tcW w:w="5871" w:type="dxa"/>
            <w:vAlign w:val="center"/>
          </w:tcPr>
          <w:p w14:paraId="5D8D7793">
            <w:pPr>
              <w:spacing w:line="580" w:lineRule="exact"/>
              <w:outlineLvl w:val="0"/>
              <w:rPr>
                <w:rFonts w:ascii="仿宋_GB2312"/>
                <w:sz w:val="31"/>
              </w:rPr>
            </w:pPr>
            <w:r>
              <w:rPr>
                <w:rFonts w:hint="eastAsia" w:ascii="仿宋_GB2312"/>
                <w:sz w:val="31"/>
              </w:rPr>
              <w:t>筑牢政治家办报思想，紧跟新时代媒体变革步伐，提升党报影响力</w:t>
            </w:r>
          </w:p>
        </w:tc>
      </w:tr>
      <w:tr w14:paraId="3DA12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464" w:type="dxa"/>
            <w:vMerge w:val="continue"/>
          </w:tcPr>
          <w:p w14:paraId="393EFF7B"/>
        </w:tc>
        <w:tc>
          <w:tcPr>
            <w:tcW w:w="1725" w:type="dxa"/>
            <w:vAlign w:val="center"/>
          </w:tcPr>
          <w:p w14:paraId="135182BA">
            <w:pPr>
              <w:spacing w:line="580" w:lineRule="exact"/>
              <w:outlineLvl w:val="0"/>
              <w:rPr>
                <w:rFonts w:ascii="仿宋_GB2312"/>
                <w:sz w:val="31"/>
              </w:rPr>
            </w:pPr>
            <w:r>
              <w:rPr>
                <w:rFonts w:hint="eastAsia" w:ascii="仿宋_GB2312"/>
                <w:sz w:val="31"/>
              </w:rPr>
              <w:t>可持续发展</w:t>
            </w:r>
          </w:p>
        </w:tc>
        <w:tc>
          <w:tcPr>
            <w:tcW w:w="5871" w:type="dxa"/>
            <w:vAlign w:val="center"/>
          </w:tcPr>
          <w:p w14:paraId="17BC525F">
            <w:pPr>
              <w:spacing w:line="580" w:lineRule="exact"/>
              <w:outlineLvl w:val="0"/>
              <w:rPr>
                <w:rFonts w:ascii="仿宋_GB2312"/>
                <w:sz w:val="31"/>
              </w:rPr>
            </w:pPr>
            <w:r>
              <w:rPr>
                <w:rFonts w:hint="eastAsia" w:ascii="仿宋_GB2312"/>
                <w:sz w:val="31"/>
              </w:rPr>
              <w:t>大力培养新媒体人才</w:t>
            </w:r>
          </w:p>
        </w:tc>
      </w:tr>
      <w:tr w14:paraId="267F2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464" w:type="dxa"/>
            <w:vMerge w:val="continue"/>
          </w:tcPr>
          <w:p w14:paraId="53D492BA"/>
        </w:tc>
        <w:tc>
          <w:tcPr>
            <w:tcW w:w="1725" w:type="dxa"/>
            <w:vAlign w:val="center"/>
          </w:tcPr>
          <w:p w14:paraId="45BF81A3">
            <w:pPr>
              <w:spacing w:line="580" w:lineRule="exact"/>
              <w:outlineLvl w:val="0"/>
              <w:rPr>
                <w:rFonts w:ascii="仿宋_GB2312"/>
                <w:sz w:val="31"/>
              </w:rPr>
            </w:pPr>
            <w:r>
              <w:rPr>
                <w:rFonts w:hint="eastAsia" w:ascii="仿宋_GB2312"/>
                <w:sz w:val="31"/>
              </w:rPr>
              <w:t>服务对象满意度</w:t>
            </w:r>
          </w:p>
        </w:tc>
        <w:tc>
          <w:tcPr>
            <w:tcW w:w="5871" w:type="dxa"/>
            <w:vAlign w:val="center"/>
          </w:tcPr>
          <w:p w14:paraId="25D2856F">
            <w:pPr>
              <w:spacing w:line="580" w:lineRule="exact"/>
              <w:outlineLvl w:val="0"/>
              <w:rPr>
                <w:rFonts w:ascii="仿宋_GB2312"/>
                <w:sz w:val="31"/>
              </w:rPr>
            </w:pPr>
            <w:r>
              <w:rPr>
                <w:rFonts w:hint="eastAsia" w:ascii="仿宋_GB2312"/>
                <w:sz w:val="31"/>
              </w:rPr>
              <w:t>读者满意度指标</w:t>
            </w:r>
          </w:p>
        </w:tc>
      </w:tr>
    </w:tbl>
    <w:p w14:paraId="174E7C6E">
      <w:pPr>
        <w:spacing w:line="580" w:lineRule="exact"/>
        <w:ind w:firstLine="595" w:firstLineChars="192"/>
        <w:rPr>
          <w:rFonts w:ascii="仿宋" w:hAnsi="仿宋" w:eastAsia="仿宋"/>
          <w:sz w:val="31"/>
          <w:szCs w:val="32"/>
        </w:rPr>
      </w:pPr>
      <w:r>
        <w:rPr>
          <w:rFonts w:hint="eastAsia" w:ascii="仿宋" w:hAnsi="仿宋" w:eastAsia="仿宋"/>
          <w:sz w:val="31"/>
          <w:szCs w:val="32"/>
        </w:rPr>
        <w:t>（</w:t>
      </w:r>
      <w:r>
        <w:rPr>
          <w:rFonts w:ascii="仿宋" w:hAnsi="仿宋" w:eastAsia="仿宋"/>
          <w:sz w:val="31"/>
          <w:szCs w:val="32"/>
        </w:rPr>
        <w:t>2</w:t>
      </w:r>
      <w:r>
        <w:rPr>
          <w:rFonts w:hint="eastAsia" w:ascii="仿宋" w:hAnsi="仿宋" w:eastAsia="仿宋"/>
          <w:sz w:val="31"/>
          <w:szCs w:val="32"/>
        </w:rPr>
        <w:t>）权重</w:t>
      </w:r>
    </w:p>
    <w:p w14:paraId="24D3280A">
      <w:pPr>
        <w:spacing w:line="580" w:lineRule="exact"/>
        <w:ind w:firstLine="595" w:firstLineChars="192"/>
        <w:rPr>
          <w:rFonts w:ascii="仿宋" w:hAnsi="仿宋" w:eastAsia="仿宋"/>
          <w:sz w:val="31"/>
          <w:szCs w:val="32"/>
        </w:rPr>
      </w:pPr>
      <w:r>
        <w:rPr>
          <w:rFonts w:hint="eastAsia" w:ascii="仿宋" w:hAnsi="仿宋" w:eastAsia="仿宋"/>
          <w:sz w:val="31"/>
          <w:szCs w:val="32"/>
        </w:rPr>
        <w:t>根据本项目特点及各指标维度、类别考评内容，采用集中决策进行权重估计，并参考了党组领导及绩效评价小组的意见，最终确定各个指标相对于项目总体绩效的权重分值。最终确的项目决策权重为</w:t>
      </w:r>
      <w:r>
        <w:rPr>
          <w:rFonts w:ascii="仿宋" w:hAnsi="仿宋" w:eastAsia="仿宋"/>
          <w:sz w:val="31"/>
          <w:szCs w:val="32"/>
        </w:rPr>
        <w:t>12%</w:t>
      </w:r>
      <w:r>
        <w:rPr>
          <w:rFonts w:hint="eastAsia" w:ascii="仿宋" w:hAnsi="仿宋" w:eastAsia="仿宋"/>
          <w:sz w:val="31"/>
          <w:szCs w:val="32"/>
        </w:rPr>
        <w:t>，项目过程权重值占</w:t>
      </w:r>
      <w:r>
        <w:rPr>
          <w:rFonts w:ascii="仿宋" w:hAnsi="仿宋" w:eastAsia="仿宋"/>
          <w:sz w:val="31"/>
          <w:szCs w:val="32"/>
        </w:rPr>
        <w:t>24%</w:t>
      </w:r>
      <w:r>
        <w:rPr>
          <w:rFonts w:hint="eastAsia" w:ascii="仿宋" w:hAnsi="仿宋" w:eastAsia="仿宋"/>
          <w:sz w:val="31"/>
          <w:szCs w:val="32"/>
        </w:rPr>
        <w:t>，项目产出权重值占</w:t>
      </w:r>
      <w:r>
        <w:rPr>
          <w:rFonts w:ascii="仿宋" w:hAnsi="仿宋" w:eastAsia="仿宋"/>
          <w:sz w:val="31"/>
          <w:szCs w:val="32"/>
        </w:rPr>
        <w:t>34%</w:t>
      </w:r>
      <w:r>
        <w:rPr>
          <w:rFonts w:hint="eastAsia" w:ascii="仿宋" w:hAnsi="仿宋" w:eastAsia="仿宋"/>
          <w:sz w:val="31"/>
          <w:szCs w:val="32"/>
        </w:rPr>
        <w:t>，项目效益权重值占</w:t>
      </w:r>
      <w:r>
        <w:rPr>
          <w:rFonts w:ascii="仿宋" w:hAnsi="仿宋" w:eastAsia="仿宋"/>
          <w:sz w:val="31"/>
          <w:szCs w:val="32"/>
        </w:rPr>
        <w:t>30%</w:t>
      </w:r>
      <w:r>
        <w:rPr>
          <w:rFonts w:hint="eastAsia" w:ascii="仿宋" w:hAnsi="仿宋" w:eastAsia="仿宋"/>
          <w:sz w:val="31"/>
          <w:szCs w:val="32"/>
        </w:rPr>
        <w:t>。</w:t>
      </w:r>
    </w:p>
    <w:p w14:paraId="0616F6CD">
      <w:pPr>
        <w:spacing w:line="580" w:lineRule="exact"/>
        <w:ind w:firstLine="595" w:firstLineChars="192"/>
        <w:rPr>
          <w:rFonts w:ascii="仿宋" w:hAnsi="仿宋" w:eastAsia="仿宋"/>
          <w:sz w:val="31"/>
          <w:szCs w:val="32"/>
        </w:rPr>
      </w:pPr>
      <w:r>
        <w:rPr>
          <w:rFonts w:hint="eastAsia" w:ascii="仿宋" w:hAnsi="仿宋" w:eastAsia="仿宋"/>
          <w:sz w:val="31"/>
          <w:szCs w:val="32"/>
        </w:rPr>
        <w:t>（</w:t>
      </w:r>
      <w:r>
        <w:rPr>
          <w:rFonts w:ascii="仿宋" w:hAnsi="仿宋" w:eastAsia="仿宋"/>
          <w:sz w:val="31"/>
          <w:szCs w:val="32"/>
        </w:rPr>
        <w:t>3</w:t>
      </w:r>
      <w:r>
        <w:rPr>
          <w:rFonts w:hint="eastAsia" w:ascii="仿宋" w:hAnsi="仿宋" w:eastAsia="仿宋"/>
          <w:sz w:val="31"/>
          <w:szCs w:val="32"/>
        </w:rPr>
        <w:t>）指标解释</w:t>
      </w:r>
    </w:p>
    <w:p w14:paraId="019707C8">
      <w:pPr>
        <w:spacing w:line="580" w:lineRule="exact"/>
        <w:ind w:firstLine="595" w:firstLineChars="192"/>
        <w:rPr>
          <w:rFonts w:ascii="仿宋" w:hAnsi="仿宋" w:eastAsia="仿宋"/>
          <w:sz w:val="31"/>
          <w:szCs w:val="32"/>
        </w:rPr>
      </w:pPr>
      <w:r>
        <w:rPr>
          <w:rFonts w:hint="eastAsia" w:ascii="仿宋" w:hAnsi="仿宋" w:eastAsia="仿宋"/>
          <w:sz w:val="31"/>
          <w:szCs w:val="32"/>
        </w:rPr>
        <w:t>《巴音郭楞日报》民文版报纸印刷补贴项目绩效评价指标体系指标解释详细说明了</w:t>
      </w:r>
      <w:r>
        <w:rPr>
          <w:rFonts w:ascii="仿宋" w:hAnsi="仿宋" w:eastAsia="仿宋"/>
          <w:sz w:val="31"/>
          <w:szCs w:val="32"/>
        </w:rPr>
        <w:t>23</w:t>
      </w:r>
      <w:r>
        <w:rPr>
          <w:rFonts w:hint="eastAsia" w:ascii="仿宋" w:hAnsi="仿宋" w:eastAsia="仿宋"/>
          <w:sz w:val="31"/>
          <w:szCs w:val="32"/>
        </w:rPr>
        <w:t>个三级指标设置的目的，指导三级指标评价的方向。</w:t>
      </w:r>
    </w:p>
    <w:p w14:paraId="1F25C285">
      <w:pPr>
        <w:spacing w:line="580" w:lineRule="exact"/>
        <w:ind w:firstLine="595" w:firstLineChars="192"/>
        <w:rPr>
          <w:rFonts w:ascii="仿宋" w:hAnsi="仿宋" w:eastAsia="仿宋"/>
          <w:sz w:val="31"/>
          <w:szCs w:val="32"/>
        </w:rPr>
      </w:pPr>
      <w:r>
        <w:rPr>
          <w:rFonts w:hint="eastAsia" w:ascii="仿宋" w:hAnsi="仿宋" w:eastAsia="仿宋"/>
          <w:sz w:val="31"/>
          <w:szCs w:val="32"/>
        </w:rPr>
        <w:t>（</w:t>
      </w:r>
      <w:r>
        <w:rPr>
          <w:rFonts w:ascii="仿宋" w:hAnsi="仿宋" w:eastAsia="仿宋"/>
          <w:sz w:val="31"/>
          <w:szCs w:val="32"/>
        </w:rPr>
        <w:t>4</w:t>
      </w:r>
      <w:r>
        <w:rPr>
          <w:rFonts w:hint="eastAsia" w:ascii="仿宋" w:hAnsi="仿宋" w:eastAsia="仿宋"/>
          <w:sz w:val="31"/>
          <w:szCs w:val="32"/>
        </w:rPr>
        <w:t>）指标说明</w:t>
      </w:r>
    </w:p>
    <w:p w14:paraId="00C3A17C">
      <w:pPr>
        <w:spacing w:line="580" w:lineRule="exact"/>
        <w:ind w:firstLine="595" w:firstLineChars="192"/>
        <w:rPr>
          <w:rFonts w:ascii="仿宋" w:hAnsi="仿宋" w:eastAsia="仿宋"/>
          <w:sz w:val="31"/>
          <w:szCs w:val="32"/>
        </w:rPr>
      </w:pPr>
      <w:r>
        <w:rPr>
          <w:rFonts w:hint="eastAsia" w:ascii="仿宋" w:hAnsi="仿宋" w:eastAsia="仿宋"/>
          <w:sz w:val="31"/>
          <w:szCs w:val="32"/>
        </w:rPr>
        <w:t>《巴音郭楞日报》民文版报纸印刷补贴项目绩效评价指标体系指标说明确定了三级指标评分的要点，指出定性指标的评价核心，定量指标的指标实现值的计算公式、数据口径。</w:t>
      </w:r>
    </w:p>
    <w:p w14:paraId="370C34AB">
      <w:pPr>
        <w:spacing w:line="580" w:lineRule="exact"/>
        <w:ind w:firstLine="595" w:firstLineChars="192"/>
        <w:rPr>
          <w:rFonts w:ascii="仿宋" w:hAnsi="仿宋" w:eastAsia="仿宋"/>
          <w:sz w:val="31"/>
          <w:szCs w:val="32"/>
        </w:rPr>
      </w:pPr>
      <w:r>
        <w:rPr>
          <w:rFonts w:hint="eastAsia" w:ascii="仿宋" w:hAnsi="仿宋" w:eastAsia="仿宋"/>
          <w:sz w:val="31"/>
          <w:szCs w:val="32"/>
        </w:rPr>
        <w:t>（</w:t>
      </w:r>
      <w:r>
        <w:rPr>
          <w:rFonts w:ascii="仿宋" w:hAnsi="仿宋" w:eastAsia="仿宋"/>
          <w:sz w:val="31"/>
          <w:szCs w:val="32"/>
        </w:rPr>
        <w:t>5</w:t>
      </w:r>
      <w:r>
        <w:rPr>
          <w:rFonts w:hint="eastAsia" w:ascii="仿宋" w:hAnsi="仿宋" w:eastAsia="仿宋"/>
          <w:sz w:val="31"/>
          <w:szCs w:val="32"/>
        </w:rPr>
        <w:t>）评分细则</w:t>
      </w:r>
    </w:p>
    <w:p w14:paraId="60C2DE7E">
      <w:pPr>
        <w:spacing w:line="580" w:lineRule="exact"/>
        <w:ind w:firstLine="595" w:firstLineChars="192"/>
        <w:rPr>
          <w:rFonts w:ascii="仿宋" w:hAnsi="仿宋" w:eastAsia="仿宋"/>
          <w:sz w:val="31"/>
          <w:szCs w:val="32"/>
        </w:rPr>
      </w:pPr>
      <w:r>
        <w:rPr>
          <w:rFonts w:hint="eastAsia" w:ascii="仿宋" w:hAnsi="仿宋" w:eastAsia="仿宋"/>
          <w:sz w:val="31"/>
          <w:szCs w:val="32"/>
        </w:rPr>
        <w:t>依据科学素质行动计划项目绩效评价指标体系中三级指标评量化是在指标说明中的评分要点的基础上进行的，定性指标对评分要点分段量化得分，定量指标按量化量直接评分。通过各类总结、科普活动总结、财务资料进行检查，结合实地考察情况，评价小组对项目的实施进展情况对每个指标进行独立评价和打分，在此基础上形成项目的整体得分。</w:t>
      </w:r>
    </w:p>
    <w:p w14:paraId="071D0A9A">
      <w:pPr>
        <w:spacing w:line="580" w:lineRule="exact"/>
        <w:ind w:firstLine="595" w:firstLineChars="192"/>
        <w:rPr>
          <w:rFonts w:ascii="仿宋" w:hAnsi="仿宋" w:eastAsia="仿宋"/>
          <w:sz w:val="31"/>
          <w:szCs w:val="32"/>
        </w:rPr>
      </w:pPr>
      <w:r>
        <w:rPr>
          <w:rFonts w:hint="eastAsia" w:ascii="仿宋" w:hAnsi="仿宋" w:eastAsia="仿宋"/>
          <w:sz w:val="31"/>
          <w:szCs w:val="32"/>
        </w:rPr>
        <w:t>绩效评价总分值</w:t>
      </w:r>
      <w:r>
        <w:rPr>
          <w:rFonts w:ascii="仿宋" w:hAnsi="仿宋" w:eastAsia="仿宋"/>
          <w:sz w:val="31"/>
          <w:szCs w:val="32"/>
        </w:rPr>
        <w:t>100</w:t>
      </w:r>
      <w:r>
        <w:rPr>
          <w:rFonts w:hint="eastAsia" w:ascii="仿宋" w:hAnsi="仿宋" w:eastAsia="仿宋"/>
          <w:sz w:val="31"/>
          <w:szCs w:val="32"/>
        </w:rPr>
        <w:t>分，根据综合评分结果，</w:t>
      </w:r>
      <w:r>
        <w:rPr>
          <w:rFonts w:ascii="仿宋" w:hAnsi="仿宋" w:eastAsia="仿宋"/>
          <w:sz w:val="31"/>
          <w:szCs w:val="32"/>
        </w:rPr>
        <w:t>90</w:t>
      </w:r>
      <w:r>
        <w:rPr>
          <w:rFonts w:hint="eastAsia" w:ascii="仿宋" w:hAnsi="仿宋" w:eastAsia="仿宋"/>
          <w:sz w:val="31"/>
          <w:szCs w:val="32"/>
        </w:rPr>
        <w:t>分以上的为优秀、</w:t>
      </w:r>
      <w:r>
        <w:rPr>
          <w:rFonts w:ascii="仿宋" w:hAnsi="仿宋" w:eastAsia="仿宋"/>
          <w:sz w:val="31"/>
          <w:szCs w:val="32"/>
        </w:rPr>
        <w:t>80-90</w:t>
      </w:r>
      <w:r>
        <w:rPr>
          <w:rFonts w:hint="eastAsia" w:ascii="仿宋" w:hAnsi="仿宋" w:eastAsia="仿宋"/>
          <w:sz w:val="31"/>
          <w:szCs w:val="32"/>
        </w:rPr>
        <w:t>（不含</w:t>
      </w:r>
      <w:r>
        <w:rPr>
          <w:rFonts w:ascii="仿宋" w:hAnsi="仿宋" w:eastAsia="仿宋"/>
          <w:sz w:val="31"/>
          <w:szCs w:val="32"/>
        </w:rPr>
        <w:t>90</w:t>
      </w:r>
      <w:r>
        <w:rPr>
          <w:rFonts w:hint="eastAsia" w:ascii="仿宋" w:hAnsi="仿宋" w:eastAsia="仿宋"/>
          <w:sz w:val="31"/>
          <w:szCs w:val="32"/>
        </w:rPr>
        <w:t>）分为良好，</w:t>
      </w:r>
      <w:r>
        <w:rPr>
          <w:rFonts w:ascii="仿宋" w:hAnsi="仿宋" w:eastAsia="仿宋"/>
          <w:sz w:val="31"/>
          <w:szCs w:val="32"/>
        </w:rPr>
        <w:t>60-80</w:t>
      </w:r>
      <w:r>
        <w:rPr>
          <w:rFonts w:hint="eastAsia" w:ascii="仿宋" w:hAnsi="仿宋" w:eastAsia="仿宋"/>
          <w:sz w:val="31"/>
          <w:szCs w:val="32"/>
        </w:rPr>
        <w:t>（不含</w:t>
      </w:r>
      <w:r>
        <w:rPr>
          <w:rFonts w:ascii="仿宋" w:hAnsi="仿宋" w:eastAsia="仿宋"/>
          <w:sz w:val="31"/>
          <w:szCs w:val="32"/>
        </w:rPr>
        <w:t>80</w:t>
      </w:r>
      <w:r>
        <w:rPr>
          <w:rFonts w:hint="eastAsia" w:ascii="仿宋" w:hAnsi="仿宋" w:eastAsia="仿宋"/>
          <w:sz w:val="31"/>
          <w:szCs w:val="32"/>
        </w:rPr>
        <w:t>）分为中等，</w:t>
      </w:r>
      <w:r>
        <w:rPr>
          <w:rFonts w:ascii="仿宋" w:hAnsi="仿宋" w:eastAsia="仿宋"/>
          <w:sz w:val="31"/>
          <w:szCs w:val="32"/>
        </w:rPr>
        <w:t>60</w:t>
      </w:r>
      <w:r>
        <w:rPr>
          <w:rFonts w:hint="eastAsia" w:ascii="仿宋" w:hAnsi="仿宋" w:eastAsia="仿宋"/>
          <w:sz w:val="31"/>
          <w:szCs w:val="32"/>
        </w:rPr>
        <w:t>分以下为差。</w:t>
      </w:r>
    </w:p>
    <w:p w14:paraId="11E5E95F">
      <w:pPr>
        <w:spacing w:line="580" w:lineRule="exact"/>
        <w:ind w:firstLine="595" w:firstLineChars="192"/>
        <w:rPr>
          <w:rFonts w:ascii="仿宋" w:hAnsi="仿宋" w:eastAsia="仿宋"/>
          <w:sz w:val="31"/>
          <w:szCs w:val="32"/>
        </w:rPr>
      </w:pPr>
      <w:r>
        <w:rPr>
          <w:rFonts w:ascii="仿宋" w:hAnsi="仿宋" w:eastAsia="仿宋"/>
          <w:sz w:val="31"/>
          <w:szCs w:val="32"/>
        </w:rPr>
        <w:t>3.</w:t>
      </w:r>
      <w:r>
        <w:rPr>
          <w:rFonts w:hint="eastAsia" w:ascii="仿宋" w:hAnsi="仿宋" w:eastAsia="仿宋"/>
          <w:sz w:val="31"/>
          <w:szCs w:val="32"/>
        </w:rPr>
        <w:t>绩效评价方法</w:t>
      </w:r>
    </w:p>
    <w:p w14:paraId="0FECD7E1">
      <w:pPr>
        <w:spacing w:line="580" w:lineRule="exact"/>
        <w:ind w:firstLine="595" w:firstLineChars="192"/>
        <w:rPr>
          <w:rFonts w:ascii="仿宋" w:hAnsi="仿宋" w:eastAsia="仿宋"/>
          <w:sz w:val="31"/>
          <w:szCs w:val="32"/>
        </w:rPr>
      </w:pPr>
      <w:r>
        <w:rPr>
          <w:rFonts w:hint="eastAsia" w:ascii="仿宋" w:hAnsi="仿宋" w:eastAsia="仿宋"/>
          <w:sz w:val="31"/>
          <w:szCs w:val="32"/>
        </w:rPr>
        <w:t>基于项目的特点，在评价过程中我们采用了如下方法：</w:t>
      </w:r>
    </w:p>
    <w:p w14:paraId="58734340">
      <w:pPr>
        <w:spacing w:line="580" w:lineRule="exact"/>
        <w:ind w:firstLine="595" w:firstLineChars="192"/>
        <w:rPr>
          <w:rFonts w:ascii="仿宋" w:hAnsi="仿宋" w:eastAsia="仿宋"/>
          <w:sz w:val="31"/>
          <w:szCs w:val="32"/>
        </w:rPr>
      </w:pPr>
      <w:r>
        <w:rPr>
          <w:rFonts w:hint="eastAsia" w:ascii="仿宋" w:hAnsi="仿宋" w:eastAsia="仿宋"/>
          <w:sz w:val="31"/>
          <w:szCs w:val="32"/>
        </w:rPr>
        <w:t>（</w:t>
      </w:r>
      <w:r>
        <w:rPr>
          <w:rFonts w:ascii="仿宋" w:hAnsi="仿宋" w:eastAsia="仿宋"/>
          <w:sz w:val="31"/>
          <w:szCs w:val="32"/>
        </w:rPr>
        <w:t>1</w:t>
      </w:r>
      <w:r>
        <w:rPr>
          <w:rFonts w:hint="eastAsia" w:ascii="仿宋" w:hAnsi="仿宋" w:eastAsia="仿宋"/>
          <w:sz w:val="31"/>
          <w:szCs w:val="32"/>
        </w:rPr>
        <w:t>）成本效益分析法。评价小组对《巴音郭楞日报》民文版报纸印刷补贴项目经费收支明细账进行分析，了解项目经费收支情况和资金使用的合规性，将其各项明细投入投入与产出、效益进行关联性分析评价。</w:t>
      </w:r>
      <w:r>
        <w:rPr>
          <w:rFonts w:ascii="仿宋" w:hAnsi="仿宋" w:eastAsia="仿宋"/>
          <w:sz w:val="31"/>
          <w:szCs w:val="32"/>
        </w:rPr>
        <w:t xml:space="preserve"> </w:t>
      </w:r>
    </w:p>
    <w:p w14:paraId="385A3FE0">
      <w:pPr>
        <w:spacing w:line="580" w:lineRule="exact"/>
        <w:ind w:firstLine="595" w:firstLineChars="192"/>
        <w:rPr>
          <w:rFonts w:ascii="仿宋" w:hAnsi="仿宋" w:eastAsia="仿宋"/>
          <w:sz w:val="31"/>
          <w:szCs w:val="32"/>
        </w:rPr>
      </w:pPr>
      <w:r>
        <w:rPr>
          <w:rFonts w:hint="eastAsia" w:ascii="仿宋" w:hAnsi="仿宋" w:eastAsia="仿宋"/>
          <w:sz w:val="31"/>
          <w:szCs w:val="32"/>
        </w:rPr>
        <w:t>（</w:t>
      </w:r>
      <w:r>
        <w:rPr>
          <w:rFonts w:ascii="仿宋" w:hAnsi="仿宋" w:eastAsia="仿宋"/>
          <w:sz w:val="31"/>
          <w:szCs w:val="32"/>
        </w:rPr>
        <w:t>2</w:t>
      </w:r>
      <w:r>
        <w:rPr>
          <w:rFonts w:hint="eastAsia" w:ascii="仿宋" w:hAnsi="仿宋" w:eastAsia="仿宋"/>
          <w:sz w:val="31"/>
          <w:szCs w:val="32"/>
        </w:rPr>
        <w:t>）比较法。评价小组对《巴音郭楞日报》民文版报纸的印刷补贴项目实施情况与其绩效目标、历史情况、不同部门和地区同类支出情况进行比较，形成绩效评价结果。</w:t>
      </w:r>
    </w:p>
    <w:p w14:paraId="445FC9DF">
      <w:pPr>
        <w:spacing w:line="580" w:lineRule="exact"/>
        <w:ind w:firstLine="595" w:firstLineChars="192"/>
        <w:rPr>
          <w:rFonts w:ascii="仿宋" w:hAnsi="仿宋" w:eastAsia="仿宋"/>
          <w:sz w:val="31"/>
          <w:szCs w:val="32"/>
        </w:rPr>
      </w:pPr>
      <w:r>
        <w:rPr>
          <w:rFonts w:hint="eastAsia" w:ascii="仿宋" w:hAnsi="仿宋" w:eastAsia="仿宋"/>
          <w:sz w:val="31"/>
          <w:szCs w:val="32"/>
        </w:rPr>
        <w:t>（</w:t>
      </w:r>
      <w:r>
        <w:rPr>
          <w:rFonts w:ascii="仿宋" w:hAnsi="仿宋" w:eastAsia="仿宋"/>
          <w:sz w:val="31"/>
          <w:szCs w:val="32"/>
        </w:rPr>
        <w:t>3</w:t>
      </w:r>
      <w:r>
        <w:rPr>
          <w:rFonts w:hint="eastAsia" w:ascii="仿宋" w:hAnsi="仿宋" w:eastAsia="仿宋"/>
          <w:sz w:val="31"/>
          <w:szCs w:val="32"/>
        </w:rPr>
        <w:t>）公众评判法。本次现场评价主要采取座谈、询查、复核等方式，对《巴音郭楞日报》民文版报纸印刷补贴项目的有关情况进行核实，并对所掌握的有关信息资料进行分类、整理和分析，提出考评意见。</w:t>
      </w:r>
    </w:p>
    <w:p w14:paraId="01D10F46">
      <w:pPr>
        <w:spacing w:line="580" w:lineRule="exact"/>
        <w:ind w:firstLine="595" w:firstLineChars="192"/>
        <w:rPr>
          <w:rFonts w:ascii="仿宋" w:hAnsi="仿宋" w:eastAsia="仿宋"/>
          <w:sz w:val="31"/>
          <w:szCs w:val="32"/>
        </w:rPr>
      </w:pPr>
      <w:r>
        <w:rPr>
          <w:rFonts w:ascii="仿宋" w:hAnsi="仿宋" w:eastAsia="仿宋"/>
          <w:sz w:val="31"/>
          <w:szCs w:val="32"/>
        </w:rPr>
        <w:t>4</w:t>
      </w:r>
      <w:r>
        <w:rPr>
          <w:rFonts w:hint="eastAsia" w:ascii="仿宋" w:hAnsi="仿宋" w:eastAsia="仿宋"/>
          <w:sz w:val="31"/>
          <w:szCs w:val="32"/>
        </w:rPr>
        <w:t>、绩效评价标准</w:t>
      </w:r>
    </w:p>
    <w:p w14:paraId="28DB1423">
      <w:pPr>
        <w:spacing w:line="580" w:lineRule="exact"/>
        <w:ind w:firstLine="595" w:firstLineChars="192"/>
        <w:rPr>
          <w:rFonts w:ascii="仿宋" w:hAnsi="仿宋" w:eastAsia="仿宋"/>
          <w:sz w:val="31"/>
          <w:szCs w:val="32"/>
        </w:rPr>
      </w:pPr>
      <w:r>
        <w:rPr>
          <w:rFonts w:hint="eastAsia" w:ascii="仿宋" w:hAnsi="仿宋" w:eastAsia="仿宋"/>
          <w:sz w:val="31"/>
          <w:szCs w:val="32"/>
        </w:rPr>
        <w:t>财政项目资金绩效评价，是以结果为导向的财政支出管理模式，绩效评价标准主要有计划标准、历史标准、其他标准等，结合项目的特点，确定此次绩效评价指标标准为行业标准和计划标准。财务管理采用国家财务相关法律法规，产出和效果指标《巴音郭楞日报》民文版报纸印刷补贴项目申报文本中的指标值作为绩效评价标准。</w:t>
      </w:r>
    </w:p>
    <w:p w14:paraId="6D9AC9B4">
      <w:pPr>
        <w:spacing w:line="580" w:lineRule="exact"/>
        <w:ind w:firstLine="620" w:firstLineChars="200"/>
        <w:outlineLvl w:val="0"/>
        <w:rPr>
          <w:rFonts w:ascii="方正楷体_GBK" w:eastAsia="方正楷体_GBK" w:cs="仿宋_GB2312"/>
          <w:sz w:val="31"/>
        </w:rPr>
      </w:pPr>
      <w:r>
        <w:rPr>
          <w:rFonts w:hint="eastAsia" w:ascii="楷体" w:hAnsi="楷体" w:eastAsia="楷体" w:cs="仿宋_GB2312"/>
          <w:sz w:val="31"/>
        </w:rPr>
        <w:t>（三）绩效评价工作过程</w:t>
      </w:r>
    </w:p>
    <w:p w14:paraId="4E6823C9">
      <w:pPr>
        <w:spacing w:line="580" w:lineRule="exact"/>
        <w:ind w:firstLine="595" w:firstLineChars="192"/>
        <w:rPr>
          <w:rFonts w:ascii="仿宋" w:hAnsi="仿宋" w:eastAsia="仿宋"/>
          <w:sz w:val="31"/>
          <w:szCs w:val="32"/>
        </w:rPr>
      </w:pPr>
      <w:r>
        <w:rPr>
          <w:rFonts w:ascii="仿宋" w:hAnsi="仿宋" w:eastAsia="仿宋"/>
          <w:sz w:val="31"/>
          <w:szCs w:val="32"/>
        </w:rPr>
        <w:t>1</w:t>
      </w:r>
      <w:r>
        <w:rPr>
          <w:rFonts w:hint="eastAsia" w:ascii="仿宋" w:hAnsi="仿宋" w:eastAsia="仿宋"/>
          <w:sz w:val="31"/>
          <w:szCs w:val="32"/>
        </w:rPr>
        <w:t>、前期准备工作</w:t>
      </w:r>
    </w:p>
    <w:p w14:paraId="1A8D6400">
      <w:pPr>
        <w:spacing w:line="580" w:lineRule="exact"/>
        <w:ind w:firstLine="595" w:firstLineChars="192"/>
        <w:rPr>
          <w:rFonts w:ascii="仿宋" w:hAnsi="仿宋" w:eastAsia="仿宋"/>
          <w:sz w:val="31"/>
          <w:szCs w:val="32"/>
        </w:rPr>
      </w:pPr>
      <w:r>
        <w:rPr>
          <w:rFonts w:hint="eastAsia" w:ascii="仿宋" w:hAnsi="仿宋" w:eastAsia="仿宋"/>
          <w:sz w:val="31"/>
          <w:szCs w:val="32"/>
        </w:rPr>
        <w:t>在明确评价目的、评价对象、范围及项目内容的基础上，根据绩效评价规范的要求和本次评价的实际情况，参考州财政局《关于近期预算绩效工作安排》的文件要求，组成本项目评价工作小组并参照财政部“项目支出绩效评价指标体系框架”，制定了绩效评价方案。</w:t>
      </w:r>
    </w:p>
    <w:p w14:paraId="19A756AC">
      <w:pPr>
        <w:spacing w:line="580" w:lineRule="exact"/>
        <w:ind w:firstLine="595" w:firstLineChars="192"/>
        <w:rPr>
          <w:rFonts w:ascii="仿宋" w:hAnsi="仿宋" w:eastAsia="仿宋"/>
          <w:sz w:val="31"/>
          <w:szCs w:val="32"/>
        </w:rPr>
      </w:pPr>
      <w:r>
        <w:rPr>
          <w:rFonts w:hint="eastAsia" w:ascii="仿宋" w:hAnsi="仿宋" w:eastAsia="仿宋"/>
          <w:sz w:val="31"/>
          <w:szCs w:val="32"/>
        </w:rPr>
        <w:t>此次评价工作，在收集并熟悉了项目实施、管理及其他文件资料后，全面了解此次绩效评价的内容、方法和要求。之后</w:t>
      </w:r>
      <w:r>
        <w:rPr>
          <w:rFonts w:ascii="仿宋" w:hAnsi="仿宋" w:eastAsia="仿宋"/>
          <w:sz w:val="31"/>
          <w:szCs w:val="32"/>
        </w:rPr>
        <w:t>,</w:t>
      </w:r>
      <w:r>
        <w:rPr>
          <w:rFonts w:hint="eastAsia" w:ascii="仿宋" w:hAnsi="仿宋" w:eastAsia="仿宋"/>
          <w:sz w:val="31"/>
          <w:szCs w:val="32"/>
        </w:rPr>
        <w:t>评价小组收集了项目立项文件、项目预算资金材料、项目工作总结，完成了项目基础信息表并形成绩效评价框架，指导具体的绩效评价工作。</w:t>
      </w:r>
    </w:p>
    <w:p w14:paraId="4B4A2389">
      <w:pPr>
        <w:spacing w:line="580" w:lineRule="exact"/>
        <w:ind w:firstLine="595" w:firstLineChars="192"/>
        <w:rPr>
          <w:rFonts w:ascii="仿宋" w:hAnsi="仿宋" w:eastAsia="仿宋"/>
          <w:sz w:val="31"/>
          <w:szCs w:val="32"/>
        </w:rPr>
      </w:pPr>
      <w:r>
        <w:rPr>
          <w:rFonts w:ascii="仿宋" w:hAnsi="仿宋" w:eastAsia="仿宋"/>
          <w:sz w:val="31"/>
          <w:szCs w:val="32"/>
        </w:rPr>
        <w:t>2</w:t>
      </w:r>
      <w:r>
        <w:rPr>
          <w:rFonts w:hint="eastAsia" w:ascii="仿宋" w:hAnsi="仿宋" w:eastAsia="仿宋"/>
          <w:sz w:val="31"/>
          <w:szCs w:val="32"/>
        </w:rPr>
        <w:t>、组织实施过程内容</w:t>
      </w:r>
    </w:p>
    <w:p w14:paraId="688E174D">
      <w:pPr>
        <w:spacing w:line="580" w:lineRule="exact"/>
        <w:ind w:firstLine="595" w:firstLineChars="192"/>
        <w:rPr>
          <w:rFonts w:ascii="仿宋" w:hAnsi="仿宋" w:eastAsia="仿宋"/>
          <w:sz w:val="31"/>
          <w:szCs w:val="32"/>
        </w:rPr>
      </w:pPr>
      <w:r>
        <w:rPr>
          <w:rFonts w:hint="eastAsia" w:ascii="仿宋" w:hAnsi="仿宋" w:eastAsia="仿宋"/>
          <w:sz w:val="31"/>
          <w:szCs w:val="32"/>
        </w:rPr>
        <w:t>按照绩效评价规范要求，绩效评价小组在搜集准备了有关资料，对所有资料进行核实、验证。通过案卷研究、集中座谈、随机抽样等方式，对被评价项目的相关资料信息进行收集、整理、分析，以评价该项目在项目决策、项目管理上是否依法依规，在项目绩效方面是否高效可持续。</w:t>
      </w:r>
    </w:p>
    <w:p w14:paraId="28693634">
      <w:pPr>
        <w:spacing w:line="580" w:lineRule="exact"/>
        <w:ind w:firstLine="595" w:firstLineChars="192"/>
        <w:rPr>
          <w:rFonts w:ascii="仿宋" w:hAnsi="仿宋" w:eastAsia="仿宋"/>
          <w:sz w:val="31"/>
          <w:szCs w:val="32"/>
        </w:rPr>
      </w:pPr>
      <w:r>
        <w:rPr>
          <w:rFonts w:hint="eastAsia" w:ascii="仿宋" w:hAnsi="仿宋" w:eastAsia="仿宋"/>
          <w:sz w:val="31"/>
          <w:szCs w:val="32"/>
        </w:rPr>
        <w:t>一是收集了项目决策、过程、产出及效益相关资料。</w:t>
      </w:r>
    </w:p>
    <w:p w14:paraId="300E3D79">
      <w:pPr>
        <w:spacing w:line="580" w:lineRule="exact"/>
        <w:ind w:firstLine="595" w:firstLineChars="192"/>
        <w:rPr>
          <w:rFonts w:ascii="仿宋" w:hAnsi="仿宋" w:eastAsia="仿宋"/>
          <w:sz w:val="31"/>
          <w:szCs w:val="32"/>
        </w:rPr>
      </w:pPr>
      <w:r>
        <w:rPr>
          <w:rFonts w:hint="eastAsia" w:ascii="仿宋" w:hAnsi="仿宋" w:eastAsia="仿宋"/>
          <w:sz w:val="31"/>
          <w:szCs w:val="32"/>
        </w:rPr>
        <w:t>二是通过与项目实施人员、财务人员进行座谈听取取得的成果和存在的问题，针对存在的问题进行探讨，给出相关建议。</w:t>
      </w:r>
    </w:p>
    <w:p w14:paraId="10E05C35">
      <w:pPr>
        <w:spacing w:line="580" w:lineRule="exact"/>
        <w:ind w:firstLine="595" w:firstLineChars="192"/>
        <w:rPr>
          <w:rFonts w:ascii="仿宋" w:hAnsi="仿宋" w:eastAsia="仿宋"/>
          <w:sz w:val="31"/>
          <w:szCs w:val="32"/>
        </w:rPr>
      </w:pPr>
      <w:r>
        <w:rPr>
          <w:rFonts w:hint="eastAsia" w:ascii="仿宋" w:hAnsi="仿宋" w:eastAsia="仿宋"/>
          <w:sz w:val="31"/>
          <w:szCs w:val="32"/>
        </w:rPr>
        <w:t>三是查阅账本、凭证，包括单位的总账、明细账及辅助账等进行核查，对项目的资金来源及去向进行分类整理。</w:t>
      </w:r>
    </w:p>
    <w:p w14:paraId="709D3509">
      <w:pPr>
        <w:spacing w:line="580" w:lineRule="exact"/>
        <w:ind w:firstLine="595" w:firstLineChars="192"/>
        <w:rPr>
          <w:rFonts w:ascii="仿宋" w:hAnsi="仿宋" w:eastAsia="仿宋"/>
          <w:sz w:val="31"/>
          <w:szCs w:val="32"/>
        </w:rPr>
      </w:pPr>
      <w:r>
        <w:rPr>
          <w:rFonts w:hint="eastAsia" w:ascii="仿宋" w:hAnsi="仿宋" w:eastAsia="仿宋"/>
          <w:sz w:val="31"/>
          <w:szCs w:val="32"/>
        </w:rPr>
        <w:t>四是查阅项目档案</w:t>
      </w:r>
      <w:r>
        <w:rPr>
          <w:rFonts w:ascii="仿宋" w:hAnsi="仿宋" w:eastAsia="仿宋"/>
          <w:sz w:val="31"/>
          <w:szCs w:val="32"/>
        </w:rPr>
        <w:t>,</w:t>
      </w:r>
      <w:r>
        <w:rPr>
          <w:rFonts w:hint="eastAsia" w:ascii="仿宋" w:hAnsi="仿宋" w:eastAsia="仿宋"/>
          <w:sz w:val="31"/>
          <w:szCs w:val="32"/>
        </w:rPr>
        <w:t>包括项目的分析报告等文件。</w:t>
      </w:r>
    </w:p>
    <w:p w14:paraId="027B0E3D">
      <w:pPr>
        <w:spacing w:line="580" w:lineRule="exact"/>
        <w:ind w:firstLine="595" w:firstLineChars="192"/>
        <w:rPr>
          <w:rFonts w:ascii="仿宋" w:hAnsi="仿宋" w:eastAsia="仿宋"/>
          <w:sz w:val="31"/>
          <w:szCs w:val="32"/>
        </w:rPr>
      </w:pPr>
      <w:r>
        <w:rPr>
          <w:rFonts w:hint="eastAsia" w:ascii="仿宋" w:hAnsi="仿宋" w:eastAsia="仿宋"/>
          <w:sz w:val="31"/>
          <w:szCs w:val="32"/>
        </w:rPr>
        <w:t>五是</w:t>
      </w:r>
      <w:bookmarkStart w:id="0" w:name="_Toc454729246"/>
      <w:bookmarkStart w:id="1" w:name="_Toc403599257"/>
      <w:r>
        <w:rPr>
          <w:rFonts w:hint="eastAsia" w:ascii="仿宋" w:hAnsi="仿宋" w:eastAsia="仿宋"/>
          <w:sz w:val="31"/>
          <w:szCs w:val="32"/>
        </w:rPr>
        <w:t>在实地调研的各县市随机选取</w:t>
      </w:r>
      <w:r>
        <w:rPr>
          <w:rFonts w:ascii="仿宋" w:hAnsi="仿宋" w:eastAsia="仿宋"/>
          <w:sz w:val="31"/>
          <w:szCs w:val="32"/>
        </w:rPr>
        <w:t>100</w:t>
      </w:r>
      <w:r>
        <w:rPr>
          <w:rFonts w:hint="eastAsia" w:ascii="仿宋" w:hAnsi="仿宋" w:eastAsia="仿宋"/>
          <w:sz w:val="31"/>
          <w:szCs w:val="32"/>
        </w:rPr>
        <w:t>名《巴音郭楞日报》读者随访</w:t>
      </w:r>
      <w:bookmarkStart w:id="2" w:name="_Toc5831"/>
      <w:r>
        <w:rPr>
          <w:rFonts w:hint="eastAsia" w:ascii="仿宋" w:hAnsi="仿宋" w:eastAsia="仿宋"/>
          <w:sz w:val="31"/>
          <w:szCs w:val="32"/>
        </w:rPr>
        <w:t>了解社会公众对党报发行出版的满意度。</w:t>
      </w:r>
      <w:bookmarkEnd w:id="0"/>
      <w:bookmarkEnd w:id="2"/>
    </w:p>
    <w:p w14:paraId="7350DD1A">
      <w:pPr>
        <w:spacing w:line="580" w:lineRule="exact"/>
        <w:ind w:firstLine="595" w:firstLineChars="192"/>
        <w:rPr>
          <w:rFonts w:ascii="仿宋" w:hAnsi="仿宋" w:eastAsia="仿宋"/>
          <w:sz w:val="31"/>
          <w:szCs w:val="32"/>
        </w:rPr>
      </w:pPr>
      <w:r>
        <w:rPr>
          <w:rFonts w:ascii="仿宋" w:hAnsi="仿宋" w:eastAsia="仿宋"/>
          <w:sz w:val="31"/>
          <w:szCs w:val="32"/>
        </w:rPr>
        <w:t>3</w:t>
      </w:r>
      <w:r>
        <w:rPr>
          <w:rFonts w:hint="eastAsia" w:ascii="仿宋" w:hAnsi="仿宋" w:eastAsia="仿宋"/>
          <w:sz w:val="31"/>
          <w:szCs w:val="32"/>
        </w:rPr>
        <w:t>、绩效评价分析阶段</w:t>
      </w:r>
      <w:bookmarkEnd w:id="1"/>
    </w:p>
    <w:p w14:paraId="09722981">
      <w:pPr>
        <w:spacing w:line="580" w:lineRule="exact"/>
        <w:ind w:firstLine="595" w:firstLineChars="192"/>
        <w:rPr>
          <w:rFonts w:ascii="仿宋" w:hAnsi="仿宋" w:eastAsia="仿宋"/>
          <w:sz w:val="31"/>
          <w:szCs w:val="32"/>
        </w:rPr>
      </w:pPr>
      <w:r>
        <w:rPr>
          <w:rFonts w:hint="eastAsia" w:ascii="仿宋" w:hAnsi="仿宋" w:eastAsia="仿宋"/>
          <w:sz w:val="31"/>
          <w:szCs w:val="32"/>
        </w:rPr>
        <w:t>经过对收集到的资料、电话随访结果进行比对和交叉验证后，确定用于继续分析和评价的证据，通过比较指标的实际情况与预期数据对应程度，最终确认评价结果。</w:t>
      </w:r>
    </w:p>
    <w:p w14:paraId="6281A580">
      <w:pPr>
        <w:spacing w:line="580" w:lineRule="exact"/>
        <w:ind w:firstLine="595" w:firstLineChars="192"/>
        <w:rPr>
          <w:rFonts w:ascii="仿宋" w:hAnsi="仿宋" w:eastAsia="仿宋"/>
          <w:sz w:val="31"/>
          <w:szCs w:val="32"/>
        </w:rPr>
      </w:pPr>
      <w:r>
        <w:rPr>
          <w:rFonts w:hint="eastAsia" w:ascii="仿宋" w:hAnsi="仿宋" w:eastAsia="仿宋"/>
          <w:sz w:val="31"/>
          <w:szCs w:val="32"/>
        </w:rPr>
        <w:t>绩效应当评价坚持科学公正、统筹兼顾、激励约束、公开透明的原则，按照规范的程序，对项目绩效进行客观、公正的反映。</w:t>
      </w:r>
    </w:p>
    <w:p w14:paraId="20CF7C0E">
      <w:pPr>
        <w:spacing w:line="580" w:lineRule="exact"/>
        <w:ind w:firstLine="595" w:firstLineChars="192"/>
        <w:rPr>
          <w:rFonts w:ascii="仿宋" w:hAnsi="仿宋" w:eastAsia="仿宋"/>
          <w:sz w:val="31"/>
          <w:szCs w:val="32"/>
        </w:rPr>
      </w:pPr>
      <w:r>
        <w:rPr>
          <w:rFonts w:hint="eastAsia" w:ascii="仿宋" w:hAnsi="仿宋" w:eastAsia="仿宋"/>
          <w:sz w:val="31"/>
          <w:szCs w:val="32"/>
        </w:rPr>
        <w:t>采用定量与定性评价相结合的比较法，总分由各项指标得分汇总形成。以预先制定的目标、计划、预算、定额等作为评价标准。</w:t>
      </w:r>
    </w:p>
    <w:p w14:paraId="1470C297">
      <w:pPr>
        <w:spacing w:line="580" w:lineRule="exact"/>
        <w:ind w:firstLine="620" w:firstLineChars="200"/>
        <w:rPr>
          <w:rFonts w:ascii="仿宋_GB2312"/>
          <w:sz w:val="31"/>
        </w:rPr>
      </w:pPr>
      <w:r>
        <w:rPr>
          <w:rFonts w:hint="eastAsia" w:ascii="黑体" w:eastAsia="黑体"/>
          <w:sz w:val="31"/>
        </w:rPr>
        <w:t>三、综合评价情况及评价结论</w:t>
      </w:r>
      <w:r>
        <w:rPr>
          <w:rFonts w:hint="eastAsia" w:ascii="仿宋_GB2312"/>
          <w:sz w:val="31"/>
        </w:rPr>
        <w:t>（附相关评分表）</w:t>
      </w:r>
    </w:p>
    <w:p w14:paraId="249C067C">
      <w:pPr>
        <w:spacing w:line="580" w:lineRule="exact"/>
        <w:ind w:firstLine="595" w:firstLineChars="192"/>
        <w:rPr>
          <w:rFonts w:ascii="仿宋" w:hAnsi="仿宋" w:eastAsia="仿宋"/>
          <w:sz w:val="31"/>
          <w:szCs w:val="32"/>
        </w:rPr>
      </w:pPr>
      <w:r>
        <w:rPr>
          <w:rFonts w:hint="eastAsia" w:ascii="仿宋" w:hAnsi="仿宋" w:eastAsia="仿宋"/>
          <w:sz w:val="31"/>
          <w:szCs w:val="32"/>
        </w:rPr>
        <w:t>《巴音郭楞日报》民文版印刷补贴项目资金</w:t>
      </w:r>
      <w:r>
        <w:rPr>
          <w:rFonts w:ascii="仿宋" w:hAnsi="仿宋" w:eastAsia="仿宋"/>
          <w:sz w:val="31"/>
          <w:szCs w:val="32"/>
        </w:rPr>
        <w:t>140</w:t>
      </w:r>
      <w:r>
        <w:rPr>
          <w:rFonts w:hint="eastAsia" w:ascii="仿宋" w:hAnsi="仿宋" w:eastAsia="仿宋"/>
          <w:sz w:val="31"/>
          <w:szCs w:val="32"/>
        </w:rPr>
        <w:t>万元，作为巴音郭楞日报（民文版）印刷费，通过国库全部支付给巴音郭楞日报社印刷厂。严格按照项目资金使用规定，专款专用，坚决不挪用，通过国库支付方式划拨给巴音郭楞日报社印刷厂，用于购买新闻纸等开支。</w:t>
      </w:r>
    </w:p>
    <w:p w14:paraId="558E25F4">
      <w:pPr>
        <w:spacing w:line="580" w:lineRule="exact"/>
        <w:ind w:firstLine="595" w:firstLineChars="192"/>
        <w:rPr>
          <w:rFonts w:ascii="仿宋" w:hAnsi="仿宋" w:eastAsia="仿宋"/>
          <w:sz w:val="31"/>
          <w:szCs w:val="32"/>
        </w:rPr>
      </w:pPr>
      <w:r>
        <w:rPr>
          <w:rFonts w:hint="eastAsia" w:ascii="仿宋" w:hAnsi="仿宋" w:eastAsia="仿宋"/>
          <w:sz w:val="31"/>
          <w:szCs w:val="32"/>
        </w:rPr>
        <w:t>《巴音郭楞日报》民文版印刷补贴项目支出</w:t>
      </w:r>
      <w:r>
        <w:rPr>
          <w:rFonts w:ascii="仿宋" w:hAnsi="仿宋" w:eastAsia="仿宋"/>
          <w:sz w:val="31"/>
          <w:szCs w:val="32"/>
        </w:rPr>
        <w:t>140</w:t>
      </w:r>
      <w:r>
        <w:rPr>
          <w:rFonts w:hint="eastAsia" w:ascii="仿宋" w:hAnsi="仿宋" w:eastAsia="仿宋"/>
          <w:sz w:val="31"/>
          <w:szCs w:val="32"/>
        </w:rPr>
        <w:t>万元，年末项目完成，没有结余，完成预算的</w:t>
      </w:r>
      <w:r>
        <w:rPr>
          <w:rFonts w:ascii="仿宋" w:hAnsi="仿宋" w:eastAsia="仿宋"/>
          <w:sz w:val="31"/>
          <w:szCs w:val="32"/>
        </w:rPr>
        <w:t>100%</w:t>
      </w:r>
      <w:r>
        <w:rPr>
          <w:rFonts w:hint="eastAsia" w:ascii="仿宋" w:hAnsi="仿宋" w:eastAsia="仿宋"/>
          <w:sz w:val="31"/>
          <w:szCs w:val="32"/>
        </w:rPr>
        <w:t>。主要产出和效果：确保了报纸印刷质量和及时性，保证了报纸的正常出版发行。综合评价结果得分</w:t>
      </w:r>
      <w:r>
        <w:rPr>
          <w:rFonts w:ascii="仿宋" w:hAnsi="仿宋" w:eastAsia="仿宋"/>
          <w:sz w:val="31"/>
          <w:szCs w:val="32"/>
        </w:rPr>
        <w:t>100</w:t>
      </w:r>
      <w:r>
        <w:rPr>
          <w:rFonts w:hint="eastAsia" w:ascii="仿宋" w:hAnsi="仿宋" w:eastAsia="仿宋"/>
          <w:sz w:val="31"/>
          <w:szCs w:val="32"/>
        </w:rPr>
        <w:t>分，等级为优。</w:t>
      </w:r>
    </w:p>
    <w:p w14:paraId="493EABE8">
      <w:pPr>
        <w:spacing w:line="580" w:lineRule="exact"/>
        <w:ind w:firstLine="620" w:firstLineChars="200"/>
        <w:rPr>
          <w:rFonts w:ascii="黑体" w:eastAsia="黑体"/>
          <w:sz w:val="31"/>
        </w:rPr>
      </w:pPr>
      <w:r>
        <w:rPr>
          <w:rFonts w:hint="eastAsia" w:ascii="黑体" w:eastAsia="黑体"/>
          <w:sz w:val="31"/>
        </w:rPr>
        <w:t>四、绩效评价指标分析</w:t>
      </w:r>
    </w:p>
    <w:p w14:paraId="761D71C1">
      <w:pPr>
        <w:spacing w:line="580" w:lineRule="exact"/>
        <w:ind w:firstLine="620" w:firstLineChars="200"/>
        <w:outlineLvl w:val="0"/>
        <w:rPr>
          <w:rFonts w:ascii="楷体" w:hAnsi="楷体" w:eastAsia="楷体" w:cs="仿宋_GB2312"/>
          <w:sz w:val="31"/>
        </w:rPr>
      </w:pPr>
      <w:r>
        <w:rPr>
          <w:rFonts w:hint="eastAsia" w:ascii="楷体" w:hAnsi="楷体" w:eastAsia="楷体" w:cs="仿宋_GB2312"/>
          <w:sz w:val="31"/>
        </w:rPr>
        <w:t>（一）项目决策情况</w:t>
      </w:r>
    </w:p>
    <w:p w14:paraId="59E4B5EE">
      <w:pPr>
        <w:spacing w:line="580" w:lineRule="exact"/>
        <w:ind w:firstLine="595" w:firstLineChars="192"/>
        <w:rPr>
          <w:rFonts w:ascii="仿宋" w:hAnsi="仿宋" w:eastAsia="仿宋"/>
          <w:sz w:val="31"/>
          <w:szCs w:val="32"/>
        </w:rPr>
      </w:pPr>
      <w:r>
        <w:rPr>
          <w:rFonts w:hint="eastAsia" w:ascii="仿宋" w:hAnsi="仿宋" w:eastAsia="仿宋"/>
          <w:sz w:val="31"/>
          <w:szCs w:val="32"/>
        </w:rPr>
        <w:t>根据评价指标所得出的结果，</w:t>
      </w:r>
      <w:r>
        <w:rPr>
          <w:rFonts w:ascii="仿宋" w:hAnsi="仿宋" w:eastAsia="仿宋"/>
          <w:sz w:val="31"/>
          <w:szCs w:val="32"/>
        </w:rPr>
        <w:t>2019</w:t>
      </w:r>
      <w:r>
        <w:rPr>
          <w:rFonts w:hint="eastAsia" w:ascii="仿宋" w:hAnsi="仿宋" w:eastAsia="仿宋"/>
          <w:sz w:val="31"/>
          <w:szCs w:val="32"/>
        </w:rPr>
        <w:t>年《巴音郭楞日报》民文版印刷补贴项目立项依据充分，立项申请符合规定，内容完整，编制科学、实事求是；绩效目标明确，绩效评价指标设计比较科学合理，设定长期目标、年度目标和绩效指标，绩效目标与完成情况对比认为设立的绩效目标是合理的，绩效指标具有可测性；项目资金及时到位，资金使用率较高。本项指标总分为</w:t>
      </w:r>
      <w:r>
        <w:rPr>
          <w:rFonts w:ascii="仿宋" w:hAnsi="仿宋" w:eastAsia="仿宋"/>
          <w:sz w:val="31"/>
          <w:szCs w:val="32"/>
        </w:rPr>
        <w:t>12</w:t>
      </w:r>
      <w:r>
        <w:rPr>
          <w:rFonts w:hint="eastAsia" w:ascii="仿宋" w:hAnsi="仿宋" w:eastAsia="仿宋"/>
          <w:sz w:val="31"/>
          <w:szCs w:val="32"/>
        </w:rPr>
        <w:t>分，实际得</w:t>
      </w:r>
      <w:r>
        <w:rPr>
          <w:rFonts w:ascii="仿宋" w:hAnsi="仿宋" w:eastAsia="仿宋"/>
          <w:sz w:val="31"/>
          <w:szCs w:val="32"/>
        </w:rPr>
        <w:t>12</w:t>
      </w:r>
      <w:r>
        <w:rPr>
          <w:rFonts w:hint="eastAsia" w:ascii="仿宋" w:hAnsi="仿宋" w:eastAsia="仿宋"/>
          <w:sz w:val="31"/>
          <w:szCs w:val="32"/>
        </w:rPr>
        <w:t>分，项目投入具体评价如下：</w:t>
      </w:r>
    </w:p>
    <w:p w14:paraId="766EA80C">
      <w:pPr>
        <w:spacing w:line="580" w:lineRule="exact"/>
        <w:ind w:firstLine="595" w:firstLineChars="192"/>
        <w:rPr>
          <w:rFonts w:ascii="仿宋" w:hAnsi="仿宋" w:eastAsia="仿宋"/>
          <w:sz w:val="31"/>
          <w:szCs w:val="32"/>
        </w:rPr>
      </w:pPr>
      <w:r>
        <w:rPr>
          <w:rFonts w:ascii="仿宋" w:hAnsi="仿宋" w:eastAsia="仿宋"/>
          <w:sz w:val="31"/>
          <w:szCs w:val="32"/>
        </w:rPr>
        <w:t>1</w:t>
      </w:r>
      <w:r>
        <w:rPr>
          <w:rFonts w:hint="eastAsia" w:ascii="仿宋" w:hAnsi="仿宋" w:eastAsia="仿宋"/>
          <w:sz w:val="31"/>
          <w:szCs w:val="32"/>
        </w:rPr>
        <w:t>、项目立项依据充分性</w:t>
      </w:r>
    </w:p>
    <w:p w14:paraId="7C63F49E">
      <w:pPr>
        <w:spacing w:line="580" w:lineRule="exact"/>
        <w:ind w:firstLine="595" w:firstLineChars="192"/>
        <w:rPr>
          <w:rFonts w:ascii="仿宋" w:hAnsi="仿宋" w:eastAsia="仿宋"/>
          <w:sz w:val="31"/>
          <w:szCs w:val="32"/>
        </w:rPr>
      </w:pPr>
      <w:r>
        <w:rPr>
          <w:rFonts w:hint="eastAsia" w:ascii="仿宋" w:hAnsi="仿宋" w:eastAsia="仿宋"/>
          <w:sz w:val="31"/>
          <w:szCs w:val="32"/>
        </w:rPr>
        <w:t>《关于下达</w:t>
      </w:r>
      <w:r>
        <w:rPr>
          <w:rFonts w:ascii="仿宋" w:hAnsi="仿宋" w:eastAsia="仿宋"/>
          <w:sz w:val="31"/>
          <w:szCs w:val="32"/>
        </w:rPr>
        <w:t>2005</w:t>
      </w:r>
      <w:r>
        <w:rPr>
          <w:rFonts w:hint="eastAsia" w:ascii="仿宋" w:hAnsi="仿宋" w:eastAsia="仿宋"/>
          <w:sz w:val="31"/>
          <w:szCs w:val="32"/>
        </w:rPr>
        <w:t>年部门预算的通知》（巴财预〔</w:t>
      </w:r>
      <w:r>
        <w:rPr>
          <w:rFonts w:ascii="仿宋" w:hAnsi="仿宋" w:eastAsia="仿宋"/>
          <w:sz w:val="31"/>
          <w:szCs w:val="32"/>
        </w:rPr>
        <w:t>2005</w:t>
      </w:r>
      <w:r>
        <w:rPr>
          <w:rFonts w:hint="eastAsia" w:ascii="仿宋" w:hAnsi="仿宋" w:eastAsia="仿宋"/>
          <w:sz w:val="31"/>
          <w:szCs w:val="32"/>
        </w:rPr>
        <w:t>〕</w:t>
      </w:r>
      <w:r>
        <w:rPr>
          <w:rFonts w:ascii="仿宋" w:hAnsi="仿宋" w:eastAsia="仿宋"/>
          <w:sz w:val="31"/>
          <w:szCs w:val="32"/>
        </w:rPr>
        <w:t>76</w:t>
      </w:r>
      <w:r>
        <w:rPr>
          <w:rFonts w:hint="eastAsia" w:ascii="仿宋" w:hAnsi="仿宋" w:eastAsia="仿宋"/>
          <w:sz w:val="31"/>
          <w:szCs w:val="32"/>
        </w:rPr>
        <w:t>号）业务补贴</w:t>
      </w:r>
      <w:r>
        <w:rPr>
          <w:rFonts w:ascii="仿宋" w:hAnsi="仿宋" w:eastAsia="仿宋"/>
          <w:sz w:val="31"/>
          <w:szCs w:val="32"/>
        </w:rPr>
        <w:t>20</w:t>
      </w:r>
      <w:r>
        <w:rPr>
          <w:rFonts w:hint="eastAsia" w:ascii="仿宋" w:hAnsi="仿宋" w:eastAsia="仿宋"/>
          <w:sz w:val="31"/>
          <w:szCs w:val="32"/>
        </w:rPr>
        <w:t>万、《中央巴音郭楞蒙古自治州委员会第四次党委会议纪要》（巴党常〔</w:t>
      </w:r>
      <w:r>
        <w:rPr>
          <w:rFonts w:ascii="仿宋" w:hAnsi="仿宋" w:eastAsia="仿宋"/>
          <w:sz w:val="31"/>
          <w:szCs w:val="32"/>
        </w:rPr>
        <w:t>2006</w:t>
      </w:r>
      <w:r>
        <w:rPr>
          <w:rFonts w:hint="eastAsia" w:ascii="仿宋" w:hAnsi="仿宋" w:eastAsia="仿宋"/>
          <w:sz w:val="31"/>
          <w:szCs w:val="32"/>
        </w:rPr>
        <w:t>〕</w:t>
      </w:r>
      <w:r>
        <w:rPr>
          <w:rFonts w:ascii="仿宋" w:hAnsi="仿宋" w:eastAsia="仿宋"/>
          <w:sz w:val="31"/>
          <w:szCs w:val="32"/>
        </w:rPr>
        <w:t>15</w:t>
      </w:r>
      <w:r>
        <w:rPr>
          <w:rFonts w:hint="eastAsia" w:ascii="仿宋" w:hAnsi="仿宋" w:eastAsia="仿宋"/>
          <w:sz w:val="31"/>
          <w:szCs w:val="32"/>
        </w:rPr>
        <w:t>号）：“</w:t>
      </w:r>
      <w:r>
        <w:rPr>
          <w:rFonts w:ascii="仿宋" w:hAnsi="仿宋" w:eastAsia="仿宋"/>
          <w:sz w:val="31"/>
          <w:szCs w:val="32"/>
        </w:rPr>
        <w:t>4.</w:t>
      </w:r>
      <w:r>
        <w:rPr>
          <w:rFonts w:hint="eastAsia" w:ascii="仿宋" w:hAnsi="仿宋" w:eastAsia="仿宋"/>
          <w:sz w:val="31"/>
          <w:szCs w:val="32"/>
        </w:rPr>
        <w:t>从</w:t>
      </w:r>
      <w:r>
        <w:rPr>
          <w:rFonts w:ascii="仿宋" w:hAnsi="仿宋" w:eastAsia="仿宋"/>
          <w:sz w:val="31"/>
          <w:szCs w:val="32"/>
        </w:rPr>
        <w:t>2007</w:t>
      </w:r>
      <w:r>
        <w:rPr>
          <w:rFonts w:hint="eastAsia" w:ascii="仿宋" w:hAnsi="仿宋" w:eastAsia="仿宋"/>
          <w:sz w:val="31"/>
          <w:szCs w:val="32"/>
        </w:rPr>
        <w:t>年起，州财政每年给巴音郭楞日报社补助</w:t>
      </w:r>
      <w:r>
        <w:rPr>
          <w:rFonts w:ascii="仿宋" w:hAnsi="仿宋" w:eastAsia="仿宋"/>
          <w:sz w:val="31"/>
          <w:szCs w:val="32"/>
        </w:rPr>
        <w:t>40</w:t>
      </w:r>
      <w:r>
        <w:rPr>
          <w:rFonts w:hint="eastAsia" w:ascii="仿宋" w:hAnsi="仿宋" w:eastAsia="仿宋"/>
          <w:sz w:val="31"/>
          <w:szCs w:val="32"/>
        </w:rPr>
        <w:t>万元用于抵扣巴音传媒有限责任公司每年支持巴音郭楞日报民文版发展的</w:t>
      </w:r>
      <w:r>
        <w:rPr>
          <w:rFonts w:ascii="仿宋" w:hAnsi="仿宋" w:eastAsia="仿宋"/>
          <w:sz w:val="31"/>
          <w:szCs w:val="32"/>
        </w:rPr>
        <w:t>40</w:t>
      </w:r>
      <w:r>
        <w:rPr>
          <w:rFonts w:hint="eastAsia" w:ascii="仿宋" w:hAnsi="仿宋" w:eastAsia="仿宋"/>
          <w:sz w:val="31"/>
          <w:szCs w:val="32"/>
        </w:rPr>
        <w:t>万元款项。”、《九届州委财经领导小组第十三次会议纪要（摘要）》（巴党财〔</w:t>
      </w:r>
      <w:r>
        <w:rPr>
          <w:rFonts w:ascii="仿宋" w:hAnsi="仿宋" w:eastAsia="仿宋"/>
          <w:sz w:val="31"/>
          <w:szCs w:val="32"/>
        </w:rPr>
        <w:t>2015</w:t>
      </w:r>
      <w:r>
        <w:rPr>
          <w:rFonts w:hint="eastAsia" w:ascii="仿宋" w:hAnsi="仿宋" w:eastAsia="仿宋"/>
          <w:sz w:val="31"/>
          <w:szCs w:val="32"/>
        </w:rPr>
        <w:t>〕</w:t>
      </w:r>
      <w:r>
        <w:rPr>
          <w:rFonts w:ascii="仿宋" w:hAnsi="仿宋" w:eastAsia="仿宋"/>
          <w:sz w:val="31"/>
          <w:szCs w:val="32"/>
        </w:rPr>
        <w:t>1</w:t>
      </w:r>
      <w:r>
        <w:rPr>
          <w:rFonts w:hint="eastAsia" w:ascii="仿宋" w:hAnsi="仿宋" w:eastAsia="仿宋"/>
          <w:sz w:val="31"/>
          <w:szCs w:val="32"/>
        </w:rPr>
        <w:t>号）：“二、同意给《巴音郭楞日报社》蒙文版和维文版各增加补贴</w:t>
      </w:r>
      <w:r>
        <w:rPr>
          <w:rFonts w:ascii="仿宋" w:hAnsi="仿宋" w:eastAsia="仿宋"/>
          <w:sz w:val="31"/>
          <w:szCs w:val="32"/>
        </w:rPr>
        <w:t>40</w:t>
      </w:r>
      <w:r>
        <w:rPr>
          <w:rFonts w:hint="eastAsia" w:ascii="仿宋" w:hAnsi="仿宋" w:eastAsia="仿宋"/>
          <w:sz w:val="31"/>
          <w:szCs w:val="32"/>
        </w:rPr>
        <w:t>万元，蒙文版和维文版由各县市根据需要，统一征订，免费发放。”</w:t>
      </w:r>
    </w:p>
    <w:p w14:paraId="3DE96BBA">
      <w:pPr>
        <w:spacing w:line="580" w:lineRule="exact"/>
        <w:ind w:firstLine="595" w:firstLineChars="192"/>
        <w:rPr>
          <w:rFonts w:ascii="仿宋" w:hAnsi="仿宋" w:eastAsia="仿宋"/>
          <w:sz w:val="31"/>
          <w:szCs w:val="32"/>
        </w:rPr>
      </w:pPr>
      <w:r>
        <w:rPr>
          <w:rFonts w:ascii="仿宋" w:hAnsi="仿宋" w:eastAsia="仿宋"/>
          <w:sz w:val="31"/>
          <w:szCs w:val="32"/>
        </w:rPr>
        <w:t>2</w:t>
      </w:r>
      <w:r>
        <w:rPr>
          <w:rFonts w:hint="eastAsia" w:ascii="仿宋" w:hAnsi="仿宋" w:eastAsia="仿宋"/>
          <w:sz w:val="31"/>
          <w:szCs w:val="32"/>
        </w:rPr>
        <w:t>、绩效目标合理性</w:t>
      </w:r>
    </w:p>
    <w:p w14:paraId="71E3077C">
      <w:pPr>
        <w:spacing w:line="580" w:lineRule="exact"/>
        <w:ind w:firstLine="595" w:firstLineChars="192"/>
        <w:rPr>
          <w:rFonts w:ascii="仿宋" w:hAnsi="仿宋" w:eastAsia="仿宋"/>
          <w:sz w:val="31"/>
          <w:szCs w:val="32"/>
        </w:rPr>
      </w:pPr>
      <w:r>
        <w:rPr>
          <w:rFonts w:hint="eastAsia" w:ascii="仿宋" w:hAnsi="仿宋" w:eastAsia="仿宋"/>
          <w:sz w:val="31"/>
          <w:szCs w:val="32"/>
        </w:rPr>
        <w:t>我们认为，项目符合国家相关法律法规、国民经济发展规划和党委政府决策，与项目实施单位职责密切相关，为促进新闻宣传事业发展所必需，项目预期产出效益和效果符合正常的业绩水平。《巴音郭楞日报》民文版印刷补贴项目预算经自评，支出合规具体，具有明确的预算支出方向，资金预算编制按照财政编制口径编制，支出事由清晰，预算支出安排具体，与对应的用途和事项相关联，支出方式符合规定要求。项目总体目标符合国家相关法律法规、国民经济发展规划和党委政府决策，各项目实施单位绩效目标与职责密切相关，也符合项目发展的总体规划要求。</w:t>
      </w:r>
    </w:p>
    <w:p w14:paraId="37890A90">
      <w:pPr>
        <w:spacing w:line="580" w:lineRule="exact"/>
        <w:ind w:firstLine="595" w:firstLineChars="192"/>
        <w:rPr>
          <w:rFonts w:ascii="仿宋" w:hAnsi="仿宋" w:eastAsia="仿宋"/>
          <w:sz w:val="31"/>
          <w:szCs w:val="32"/>
        </w:rPr>
      </w:pPr>
      <w:r>
        <w:rPr>
          <w:rFonts w:ascii="仿宋" w:hAnsi="仿宋" w:eastAsia="仿宋"/>
          <w:sz w:val="31"/>
          <w:szCs w:val="32"/>
        </w:rPr>
        <w:t>3</w:t>
      </w:r>
      <w:r>
        <w:rPr>
          <w:rFonts w:hint="eastAsia" w:ascii="仿宋" w:hAnsi="仿宋" w:eastAsia="仿宋"/>
          <w:sz w:val="31"/>
          <w:szCs w:val="32"/>
        </w:rPr>
        <w:t>、资金到位率</w:t>
      </w:r>
    </w:p>
    <w:p w14:paraId="2BA579D9">
      <w:pPr>
        <w:spacing w:line="580" w:lineRule="exact"/>
        <w:ind w:firstLine="595" w:firstLineChars="192"/>
        <w:rPr>
          <w:rFonts w:ascii="仿宋" w:hAnsi="仿宋" w:eastAsia="仿宋"/>
          <w:sz w:val="31"/>
          <w:szCs w:val="32"/>
        </w:rPr>
      </w:pPr>
      <w:r>
        <w:rPr>
          <w:rFonts w:hint="eastAsia" w:ascii="仿宋" w:hAnsi="仿宋" w:eastAsia="仿宋"/>
          <w:sz w:val="31"/>
          <w:szCs w:val="32"/>
        </w:rPr>
        <w:t>《巴音郭楞日报》民文版印刷补贴项目资金到位率</w:t>
      </w:r>
      <w:r>
        <w:rPr>
          <w:rFonts w:ascii="仿宋" w:hAnsi="仿宋" w:eastAsia="仿宋"/>
          <w:sz w:val="31"/>
          <w:szCs w:val="32"/>
        </w:rPr>
        <w:t>100%</w:t>
      </w:r>
      <w:r>
        <w:rPr>
          <w:rFonts w:hint="eastAsia" w:ascii="仿宋" w:hAnsi="仿宋" w:eastAsia="仿宋"/>
          <w:sz w:val="31"/>
          <w:szCs w:val="32"/>
        </w:rPr>
        <w:t>，截止</w:t>
      </w:r>
      <w:r>
        <w:rPr>
          <w:rFonts w:ascii="仿宋" w:hAnsi="仿宋" w:eastAsia="仿宋"/>
          <w:sz w:val="31"/>
          <w:szCs w:val="32"/>
        </w:rPr>
        <w:t>2019</w:t>
      </w:r>
      <w:r>
        <w:rPr>
          <w:rFonts w:hint="eastAsia" w:ascii="仿宋" w:hAnsi="仿宋" w:eastAsia="仿宋"/>
          <w:sz w:val="31"/>
          <w:szCs w:val="32"/>
        </w:rPr>
        <w:t>年</w:t>
      </w:r>
      <w:r>
        <w:rPr>
          <w:rFonts w:ascii="仿宋" w:hAnsi="仿宋" w:eastAsia="仿宋"/>
          <w:sz w:val="31"/>
          <w:szCs w:val="32"/>
        </w:rPr>
        <w:t>12</w:t>
      </w:r>
      <w:r>
        <w:rPr>
          <w:rFonts w:hint="eastAsia" w:ascii="仿宋" w:hAnsi="仿宋" w:eastAsia="仿宋"/>
          <w:sz w:val="31"/>
          <w:szCs w:val="32"/>
        </w:rPr>
        <w:t>月</w:t>
      </w:r>
      <w:r>
        <w:rPr>
          <w:rFonts w:ascii="仿宋" w:hAnsi="仿宋" w:eastAsia="仿宋"/>
          <w:sz w:val="31"/>
          <w:szCs w:val="32"/>
        </w:rPr>
        <w:t>31</w:t>
      </w:r>
      <w:r>
        <w:rPr>
          <w:rFonts w:hint="eastAsia" w:ascii="仿宋" w:hAnsi="仿宋" w:eastAsia="仿宋"/>
          <w:sz w:val="31"/>
          <w:szCs w:val="32"/>
        </w:rPr>
        <w:t>日，财政累计下达资金指标</w:t>
      </w:r>
      <w:r>
        <w:rPr>
          <w:rFonts w:ascii="仿宋" w:hAnsi="仿宋" w:eastAsia="仿宋"/>
          <w:sz w:val="31"/>
          <w:szCs w:val="32"/>
        </w:rPr>
        <w:t>140</w:t>
      </w:r>
      <w:r>
        <w:rPr>
          <w:rFonts w:hint="eastAsia" w:ascii="仿宋" w:hAnsi="仿宋" w:eastAsia="仿宋"/>
          <w:sz w:val="31"/>
          <w:szCs w:val="32"/>
        </w:rPr>
        <w:t>万元，资金到位率</w:t>
      </w:r>
      <w:r>
        <w:rPr>
          <w:rFonts w:ascii="仿宋" w:hAnsi="仿宋" w:eastAsia="仿宋"/>
          <w:sz w:val="31"/>
          <w:szCs w:val="32"/>
        </w:rPr>
        <w:t>100%</w:t>
      </w:r>
      <w:r>
        <w:rPr>
          <w:rFonts w:hint="eastAsia" w:ascii="仿宋" w:hAnsi="仿宋" w:eastAsia="仿宋"/>
          <w:sz w:val="31"/>
          <w:szCs w:val="32"/>
        </w:rPr>
        <w:t>。</w:t>
      </w:r>
    </w:p>
    <w:p w14:paraId="72BE2FDA">
      <w:pPr>
        <w:spacing w:line="580" w:lineRule="exact"/>
        <w:ind w:firstLine="595" w:firstLineChars="192"/>
        <w:rPr>
          <w:rFonts w:ascii="仿宋" w:hAnsi="仿宋" w:eastAsia="仿宋"/>
          <w:sz w:val="31"/>
          <w:szCs w:val="32"/>
        </w:rPr>
      </w:pPr>
      <w:r>
        <w:rPr>
          <w:rFonts w:ascii="仿宋" w:hAnsi="仿宋" w:eastAsia="仿宋"/>
          <w:sz w:val="31"/>
          <w:szCs w:val="32"/>
        </w:rPr>
        <w:t>4</w:t>
      </w:r>
      <w:r>
        <w:rPr>
          <w:rFonts w:hint="eastAsia" w:ascii="仿宋" w:hAnsi="仿宋" w:eastAsia="仿宋"/>
          <w:sz w:val="31"/>
          <w:szCs w:val="32"/>
        </w:rPr>
        <w:t>、到位及时率</w:t>
      </w:r>
    </w:p>
    <w:p w14:paraId="5129FFD6">
      <w:pPr>
        <w:spacing w:line="580" w:lineRule="exact"/>
        <w:ind w:firstLine="595" w:firstLineChars="192"/>
        <w:rPr>
          <w:rFonts w:ascii="仿宋" w:hAnsi="仿宋" w:eastAsia="仿宋"/>
          <w:sz w:val="31"/>
          <w:szCs w:val="32"/>
        </w:rPr>
      </w:pPr>
      <w:r>
        <w:rPr>
          <w:rFonts w:hint="eastAsia" w:ascii="仿宋" w:hAnsi="仿宋" w:eastAsia="仿宋"/>
          <w:sz w:val="31"/>
          <w:szCs w:val="32"/>
        </w:rPr>
        <w:t>截止</w:t>
      </w:r>
      <w:r>
        <w:rPr>
          <w:rFonts w:ascii="仿宋" w:hAnsi="仿宋" w:eastAsia="仿宋"/>
          <w:sz w:val="31"/>
          <w:szCs w:val="32"/>
        </w:rPr>
        <w:t>2019</w:t>
      </w:r>
      <w:r>
        <w:rPr>
          <w:rFonts w:hint="eastAsia" w:ascii="仿宋" w:hAnsi="仿宋" w:eastAsia="仿宋"/>
          <w:sz w:val="31"/>
          <w:szCs w:val="32"/>
        </w:rPr>
        <w:t>年</w:t>
      </w:r>
      <w:r>
        <w:rPr>
          <w:rFonts w:ascii="仿宋" w:hAnsi="仿宋" w:eastAsia="仿宋"/>
          <w:sz w:val="31"/>
          <w:szCs w:val="32"/>
        </w:rPr>
        <w:t>12</w:t>
      </w:r>
      <w:r>
        <w:rPr>
          <w:rFonts w:hint="eastAsia" w:ascii="仿宋" w:hAnsi="仿宋" w:eastAsia="仿宋"/>
          <w:sz w:val="31"/>
          <w:szCs w:val="32"/>
        </w:rPr>
        <w:t>月</w:t>
      </w:r>
      <w:r>
        <w:rPr>
          <w:rFonts w:ascii="仿宋" w:hAnsi="仿宋" w:eastAsia="仿宋"/>
          <w:sz w:val="31"/>
          <w:szCs w:val="32"/>
        </w:rPr>
        <w:t>31</w:t>
      </w:r>
      <w:r>
        <w:rPr>
          <w:rFonts w:hint="eastAsia" w:ascii="仿宋" w:hAnsi="仿宋" w:eastAsia="仿宋"/>
          <w:sz w:val="31"/>
          <w:szCs w:val="32"/>
        </w:rPr>
        <w:t>日下达资金指标</w:t>
      </w:r>
      <w:r>
        <w:rPr>
          <w:rFonts w:ascii="仿宋" w:hAnsi="仿宋" w:eastAsia="仿宋"/>
          <w:sz w:val="31"/>
          <w:szCs w:val="32"/>
        </w:rPr>
        <w:t>140</w:t>
      </w:r>
      <w:r>
        <w:rPr>
          <w:rFonts w:hint="eastAsia" w:ascii="仿宋" w:hAnsi="仿宋" w:eastAsia="仿宋"/>
          <w:sz w:val="31"/>
          <w:szCs w:val="32"/>
        </w:rPr>
        <w:t>万元</w:t>
      </w:r>
      <w:r>
        <w:rPr>
          <w:rFonts w:ascii="仿宋" w:hAnsi="仿宋" w:eastAsia="仿宋"/>
          <w:sz w:val="31"/>
          <w:szCs w:val="32"/>
        </w:rPr>
        <w:t>,</w:t>
      </w:r>
      <w:r>
        <w:rPr>
          <w:rFonts w:hint="eastAsia" w:ascii="仿宋" w:hAnsi="仿宋" w:eastAsia="仿宋"/>
          <w:sz w:val="31"/>
          <w:szCs w:val="32"/>
        </w:rPr>
        <w:t>实际使用</w:t>
      </w:r>
      <w:r>
        <w:rPr>
          <w:rFonts w:ascii="仿宋" w:hAnsi="仿宋" w:eastAsia="仿宋"/>
          <w:sz w:val="31"/>
          <w:szCs w:val="32"/>
        </w:rPr>
        <w:t>140</w:t>
      </w:r>
      <w:r>
        <w:rPr>
          <w:rFonts w:hint="eastAsia" w:ascii="仿宋" w:hAnsi="仿宋" w:eastAsia="仿宋"/>
          <w:sz w:val="31"/>
          <w:szCs w:val="32"/>
        </w:rPr>
        <w:t>万元</w:t>
      </w:r>
      <w:r>
        <w:rPr>
          <w:rFonts w:ascii="仿宋" w:hAnsi="仿宋" w:eastAsia="仿宋"/>
          <w:sz w:val="31"/>
          <w:szCs w:val="32"/>
        </w:rPr>
        <w:t>,</w:t>
      </w:r>
      <w:r>
        <w:rPr>
          <w:rFonts w:hint="eastAsia" w:ascii="仿宋" w:hAnsi="仿宋" w:eastAsia="仿宋"/>
          <w:sz w:val="31"/>
          <w:szCs w:val="32"/>
        </w:rPr>
        <w:t>项目资金能够及时到位</w:t>
      </w:r>
      <w:r>
        <w:rPr>
          <w:rFonts w:ascii="仿宋" w:hAnsi="仿宋" w:eastAsia="仿宋"/>
          <w:sz w:val="31"/>
          <w:szCs w:val="32"/>
        </w:rPr>
        <w:t>,</w:t>
      </w:r>
      <w:r>
        <w:rPr>
          <w:rFonts w:hint="eastAsia" w:ascii="仿宋" w:hAnsi="仿宋" w:eastAsia="仿宋"/>
          <w:sz w:val="31"/>
          <w:szCs w:val="32"/>
        </w:rPr>
        <w:t>资金到位及时率</w:t>
      </w:r>
      <w:r>
        <w:rPr>
          <w:rFonts w:ascii="仿宋" w:hAnsi="仿宋" w:eastAsia="仿宋"/>
          <w:sz w:val="31"/>
          <w:szCs w:val="32"/>
        </w:rPr>
        <w:t>100%</w:t>
      </w:r>
      <w:r>
        <w:rPr>
          <w:rFonts w:hint="eastAsia" w:ascii="仿宋" w:hAnsi="仿宋" w:eastAsia="仿宋"/>
          <w:sz w:val="31"/>
          <w:szCs w:val="32"/>
        </w:rPr>
        <w:t>。</w:t>
      </w:r>
    </w:p>
    <w:p w14:paraId="556C5AD3">
      <w:pPr>
        <w:spacing w:line="580" w:lineRule="exact"/>
        <w:ind w:firstLine="620" w:firstLineChars="200"/>
        <w:outlineLvl w:val="0"/>
        <w:rPr>
          <w:rFonts w:ascii="楷体" w:hAnsi="楷体" w:eastAsia="楷体" w:cs="仿宋_GB2312"/>
          <w:bCs/>
          <w:sz w:val="31"/>
        </w:rPr>
      </w:pPr>
      <w:r>
        <w:rPr>
          <w:rFonts w:hint="eastAsia" w:ascii="楷体" w:hAnsi="楷体" w:eastAsia="楷体" w:cs="仿宋_GB2312"/>
          <w:bCs/>
          <w:sz w:val="31"/>
        </w:rPr>
        <w:t>（二）项目过程情况</w:t>
      </w:r>
    </w:p>
    <w:p w14:paraId="621F05A6">
      <w:pPr>
        <w:spacing w:line="580" w:lineRule="exact"/>
        <w:ind w:firstLine="595" w:firstLineChars="192"/>
        <w:rPr>
          <w:rFonts w:ascii="仿宋" w:hAnsi="仿宋" w:eastAsia="仿宋"/>
          <w:sz w:val="31"/>
          <w:szCs w:val="32"/>
        </w:rPr>
      </w:pPr>
      <w:r>
        <w:rPr>
          <w:rFonts w:ascii="仿宋" w:hAnsi="仿宋" w:eastAsia="仿宋"/>
          <w:sz w:val="31"/>
          <w:szCs w:val="32"/>
        </w:rPr>
        <w:t>2019</w:t>
      </w:r>
      <w:r>
        <w:rPr>
          <w:rFonts w:hint="eastAsia" w:ascii="仿宋" w:hAnsi="仿宋" w:eastAsia="仿宋"/>
          <w:sz w:val="31"/>
          <w:szCs w:val="32"/>
        </w:rPr>
        <w:t>年《巴音郭楞日报》民文版印刷补贴项目管理所需人员、设备设施等条件落实到位。资金使用按照预算执行，符合国家财经法规和财务管理制度以及有关专项资管理办法的规定。资金拨付与使用有完整的审批流程和手续，并制定了相应的财务监控机制，采取了相应的财务检查等必要的监控措施及手段。本项指标总分为</w:t>
      </w:r>
      <w:r>
        <w:rPr>
          <w:rFonts w:ascii="仿宋" w:hAnsi="仿宋" w:eastAsia="仿宋"/>
          <w:sz w:val="31"/>
          <w:szCs w:val="32"/>
        </w:rPr>
        <w:t>24</w:t>
      </w:r>
      <w:r>
        <w:rPr>
          <w:rFonts w:hint="eastAsia" w:ascii="仿宋" w:hAnsi="仿宋" w:eastAsia="仿宋"/>
          <w:sz w:val="31"/>
          <w:szCs w:val="32"/>
        </w:rPr>
        <w:t>分，实际得</w:t>
      </w:r>
      <w:r>
        <w:rPr>
          <w:rFonts w:ascii="仿宋" w:hAnsi="仿宋" w:eastAsia="仿宋"/>
          <w:sz w:val="31"/>
          <w:szCs w:val="32"/>
        </w:rPr>
        <w:t>24</w:t>
      </w:r>
      <w:r>
        <w:rPr>
          <w:rFonts w:hint="eastAsia" w:ascii="仿宋" w:hAnsi="仿宋" w:eastAsia="仿宋"/>
          <w:sz w:val="31"/>
          <w:szCs w:val="32"/>
        </w:rPr>
        <w:t>分，项目管理过程具体评价如下：</w:t>
      </w:r>
    </w:p>
    <w:p w14:paraId="5CBB1C4F">
      <w:pPr>
        <w:spacing w:line="580" w:lineRule="exact"/>
        <w:ind w:firstLine="595" w:firstLineChars="192"/>
        <w:rPr>
          <w:rFonts w:ascii="仿宋" w:hAnsi="仿宋" w:eastAsia="仿宋"/>
          <w:sz w:val="31"/>
          <w:szCs w:val="32"/>
        </w:rPr>
      </w:pPr>
      <w:r>
        <w:rPr>
          <w:rFonts w:ascii="仿宋" w:hAnsi="仿宋" w:eastAsia="仿宋"/>
          <w:sz w:val="31"/>
          <w:szCs w:val="32"/>
        </w:rPr>
        <w:t>1</w:t>
      </w:r>
      <w:r>
        <w:rPr>
          <w:rFonts w:hint="eastAsia" w:ascii="仿宋" w:hAnsi="仿宋" w:eastAsia="仿宋"/>
          <w:sz w:val="31"/>
          <w:szCs w:val="32"/>
        </w:rPr>
        <w:t>、项目管理制度健全性</w:t>
      </w:r>
    </w:p>
    <w:p w14:paraId="330C9A35">
      <w:pPr>
        <w:spacing w:line="580" w:lineRule="exact"/>
        <w:ind w:firstLine="595" w:firstLineChars="192"/>
        <w:rPr>
          <w:rFonts w:ascii="仿宋" w:hAnsi="仿宋" w:eastAsia="仿宋"/>
          <w:sz w:val="31"/>
          <w:szCs w:val="32"/>
        </w:rPr>
      </w:pPr>
      <w:r>
        <w:rPr>
          <w:rFonts w:hint="eastAsia" w:ascii="仿宋" w:hAnsi="仿宋" w:eastAsia="仿宋"/>
          <w:sz w:val="31"/>
          <w:szCs w:val="32"/>
        </w:rPr>
        <w:t>《巴音郭楞日报》民文版印刷补贴项目已制定相应的项目管理、档案管理等相关制度；项目实施单位项目资金使用，符合《会计法》、《预算法》等国家财经法规和本单位财务管理制度以及有关专项资金管理办法的规定。</w:t>
      </w:r>
    </w:p>
    <w:p w14:paraId="2915440A">
      <w:pPr>
        <w:spacing w:line="580" w:lineRule="exact"/>
        <w:ind w:firstLine="595" w:firstLineChars="192"/>
        <w:rPr>
          <w:rFonts w:ascii="仿宋" w:hAnsi="仿宋" w:eastAsia="仿宋"/>
          <w:sz w:val="31"/>
          <w:szCs w:val="32"/>
        </w:rPr>
      </w:pPr>
      <w:r>
        <w:rPr>
          <w:rFonts w:ascii="仿宋" w:hAnsi="仿宋" w:eastAsia="仿宋"/>
          <w:sz w:val="31"/>
          <w:szCs w:val="32"/>
        </w:rPr>
        <w:t>2</w:t>
      </w:r>
      <w:r>
        <w:rPr>
          <w:rFonts w:hint="eastAsia" w:ascii="仿宋" w:hAnsi="仿宋" w:eastAsia="仿宋"/>
          <w:sz w:val="31"/>
          <w:szCs w:val="32"/>
        </w:rPr>
        <w:t>、制度执行有效性</w:t>
      </w:r>
    </w:p>
    <w:p w14:paraId="4424F172">
      <w:pPr>
        <w:spacing w:line="580" w:lineRule="exact"/>
        <w:ind w:firstLine="595" w:firstLineChars="192"/>
        <w:rPr>
          <w:rFonts w:ascii="仿宋" w:hAnsi="仿宋" w:eastAsia="仿宋"/>
          <w:sz w:val="31"/>
          <w:szCs w:val="32"/>
        </w:rPr>
      </w:pPr>
      <w:r>
        <w:rPr>
          <w:rFonts w:hint="eastAsia" w:ascii="仿宋" w:hAnsi="仿宋" w:eastAsia="仿宋"/>
          <w:sz w:val="31"/>
          <w:szCs w:val="32"/>
        </w:rPr>
        <w:t>《巴音郭楞日报》民文版印刷补贴项目建设遵守相关法律法规和项目管理规定</w:t>
      </w:r>
      <w:r>
        <w:rPr>
          <w:rFonts w:ascii="仿宋" w:hAnsi="仿宋" w:eastAsia="仿宋"/>
          <w:sz w:val="31"/>
          <w:szCs w:val="32"/>
        </w:rPr>
        <w:t>,</w:t>
      </w:r>
      <w:r>
        <w:rPr>
          <w:rFonts w:hint="eastAsia" w:ascii="仿宋" w:hAnsi="仿宋" w:eastAsia="仿宋"/>
          <w:sz w:val="31"/>
          <w:szCs w:val="32"/>
        </w:rPr>
        <w:t>未发生项目调整的情况；资金的拨付有完整的审批程序和手续；项目的重大开支经过评估认证；符合项目预算批复或合同规定的用途。项目资金保持规范运行情况。经检查相关收支凭证、资金发放台账，有完整的审批程序，符合项目预算批复的用途。</w:t>
      </w:r>
    </w:p>
    <w:p w14:paraId="3987CE9C">
      <w:pPr>
        <w:spacing w:line="580" w:lineRule="exact"/>
        <w:ind w:firstLine="595" w:firstLineChars="192"/>
        <w:rPr>
          <w:rFonts w:ascii="仿宋" w:hAnsi="仿宋" w:eastAsia="仿宋"/>
          <w:sz w:val="31"/>
          <w:szCs w:val="32"/>
        </w:rPr>
      </w:pPr>
      <w:r>
        <w:rPr>
          <w:rFonts w:ascii="仿宋" w:hAnsi="仿宋" w:eastAsia="仿宋"/>
          <w:sz w:val="31"/>
          <w:szCs w:val="32"/>
        </w:rPr>
        <w:t>3</w:t>
      </w:r>
      <w:r>
        <w:rPr>
          <w:rFonts w:hint="eastAsia" w:ascii="仿宋" w:hAnsi="仿宋" w:eastAsia="仿宋"/>
          <w:sz w:val="31"/>
          <w:szCs w:val="32"/>
        </w:rPr>
        <w:t>、项目质量可靠性</w:t>
      </w:r>
    </w:p>
    <w:p w14:paraId="38829234">
      <w:pPr>
        <w:spacing w:line="580" w:lineRule="exact"/>
        <w:ind w:firstLine="595" w:firstLineChars="192"/>
        <w:rPr>
          <w:rFonts w:ascii="仿宋" w:hAnsi="仿宋" w:eastAsia="仿宋"/>
          <w:sz w:val="31"/>
          <w:szCs w:val="32"/>
        </w:rPr>
      </w:pPr>
      <w:r>
        <w:rPr>
          <w:rFonts w:hint="eastAsia" w:ascii="仿宋" w:hAnsi="仿宋" w:eastAsia="仿宋"/>
          <w:sz w:val="31"/>
          <w:szCs w:val="32"/>
        </w:rPr>
        <w:t>《巴音郭楞日报》民文版印刷补贴项目制定相应的项目质量要求，采取了相应的项目质量检查、验收等必需的控制措施，对报纸印刷进行严格的审核，报纸出版合格率达</w:t>
      </w:r>
      <w:r>
        <w:rPr>
          <w:rFonts w:ascii="仿宋" w:hAnsi="仿宋" w:eastAsia="仿宋"/>
          <w:sz w:val="31"/>
          <w:szCs w:val="32"/>
        </w:rPr>
        <w:t>100%</w:t>
      </w:r>
      <w:r>
        <w:rPr>
          <w:rFonts w:hint="eastAsia" w:ascii="仿宋" w:hAnsi="仿宋" w:eastAsia="仿宋"/>
          <w:sz w:val="31"/>
          <w:szCs w:val="32"/>
        </w:rPr>
        <w:t>，项目质量可靠。</w:t>
      </w:r>
    </w:p>
    <w:p w14:paraId="21375A38">
      <w:pPr>
        <w:spacing w:line="580" w:lineRule="exact"/>
        <w:ind w:firstLine="595" w:firstLineChars="192"/>
        <w:rPr>
          <w:rFonts w:ascii="仿宋" w:hAnsi="仿宋" w:eastAsia="仿宋"/>
          <w:sz w:val="31"/>
          <w:szCs w:val="32"/>
        </w:rPr>
      </w:pPr>
      <w:r>
        <w:rPr>
          <w:rFonts w:ascii="仿宋" w:hAnsi="仿宋" w:eastAsia="仿宋"/>
          <w:sz w:val="31"/>
          <w:szCs w:val="32"/>
        </w:rPr>
        <w:t>4</w:t>
      </w:r>
      <w:r>
        <w:rPr>
          <w:rFonts w:hint="eastAsia" w:ascii="仿宋" w:hAnsi="仿宋" w:eastAsia="仿宋"/>
          <w:sz w:val="31"/>
          <w:szCs w:val="32"/>
        </w:rPr>
        <w:t>、财务管理制度健全性</w:t>
      </w:r>
    </w:p>
    <w:p w14:paraId="387086C1">
      <w:pPr>
        <w:spacing w:line="580" w:lineRule="exact"/>
        <w:ind w:firstLine="595" w:firstLineChars="192"/>
        <w:rPr>
          <w:rFonts w:ascii="仿宋" w:hAnsi="仿宋" w:eastAsia="仿宋"/>
          <w:sz w:val="31"/>
          <w:szCs w:val="32"/>
        </w:rPr>
      </w:pPr>
      <w:r>
        <w:rPr>
          <w:rFonts w:hint="eastAsia" w:ascii="仿宋" w:hAnsi="仿宋" w:eastAsia="仿宋"/>
          <w:sz w:val="31"/>
          <w:szCs w:val="32"/>
        </w:rPr>
        <w:t>巴音郭楞日报社建立了建立一套完整、切实可行的财务管理制度</w:t>
      </w:r>
      <w:r>
        <w:rPr>
          <w:rFonts w:ascii="仿宋" w:hAnsi="仿宋" w:eastAsia="仿宋"/>
          <w:sz w:val="31"/>
          <w:szCs w:val="32"/>
        </w:rPr>
        <w:t>,</w:t>
      </w:r>
      <w:r>
        <w:rPr>
          <w:rFonts w:hint="eastAsia" w:ascii="仿宋" w:hAnsi="仿宋" w:eastAsia="仿宋"/>
          <w:sz w:val="31"/>
          <w:szCs w:val="32"/>
        </w:rPr>
        <w:t>有效减少和控制了资产的损失风险。做到原始票据存档、相关材料编号入册、责任人签名确认等工作；自纠自查方面：业务主管部门对项目资金使用、管理情况进行跟踪监督，做到资金使用符合财政规定，资金的拨付有完整的审批程序和完善的手续，项目资金使用规范安全，用途合理，手续齐全，并自觉接受州财政局国库、预算、文行等科室的审核监督。</w:t>
      </w:r>
    </w:p>
    <w:p w14:paraId="26075551">
      <w:pPr>
        <w:spacing w:line="580" w:lineRule="exact"/>
        <w:ind w:firstLine="595" w:firstLineChars="192"/>
        <w:rPr>
          <w:rFonts w:ascii="仿宋" w:hAnsi="仿宋" w:eastAsia="仿宋"/>
          <w:sz w:val="31"/>
          <w:szCs w:val="32"/>
        </w:rPr>
      </w:pPr>
      <w:r>
        <w:rPr>
          <w:rFonts w:ascii="仿宋" w:hAnsi="仿宋" w:eastAsia="仿宋"/>
          <w:sz w:val="31"/>
          <w:szCs w:val="32"/>
        </w:rPr>
        <w:t>5</w:t>
      </w:r>
      <w:r>
        <w:rPr>
          <w:rFonts w:hint="eastAsia" w:ascii="仿宋" w:hAnsi="仿宋" w:eastAsia="仿宋"/>
          <w:sz w:val="31"/>
          <w:szCs w:val="32"/>
        </w:rPr>
        <w:t>、资金使用合规性</w:t>
      </w:r>
    </w:p>
    <w:p w14:paraId="3967CE15">
      <w:pPr>
        <w:spacing w:line="580" w:lineRule="exact"/>
        <w:ind w:firstLine="595" w:firstLineChars="192"/>
        <w:rPr>
          <w:rFonts w:ascii="仿宋" w:hAnsi="仿宋" w:eastAsia="仿宋"/>
          <w:sz w:val="31"/>
          <w:szCs w:val="32"/>
        </w:rPr>
      </w:pPr>
      <w:r>
        <w:rPr>
          <w:rFonts w:hint="eastAsia" w:ascii="仿宋" w:hAnsi="仿宋" w:eastAsia="仿宋"/>
          <w:sz w:val="31"/>
          <w:szCs w:val="32"/>
        </w:rPr>
        <w:t>巴音郭楞日报社财务工作正常运转，在规范管理、严格制度上</w:t>
      </w:r>
      <w:r>
        <w:rPr>
          <w:rFonts w:hint="eastAsia" w:ascii="仿宋" w:hAnsi="仿宋" w:eastAsia="仿宋"/>
          <w:sz w:val="31"/>
          <w:szCs w:val="32"/>
          <w:lang w:eastAsia="zh-CN"/>
        </w:rPr>
        <w:t>下功夫</w:t>
      </w:r>
      <w:r>
        <w:rPr>
          <w:rFonts w:hint="eastAsia" w:ascii="仿宋" w:hAnsi="仿宋" w:eastAsia="仿宋"/>
          <w:sz w:val="31"/>
          <w:szCs w:val="32"/>
        </w:rPr>
        <w:t>，严格执行国库集中支付、公务卡消费、差旅费、会议费和政府采购等制度。同时，严格贯彻执行</w:t>
      </w:r>
      <w:r>
        <w:rPr>
          <w:rFonts w:hint="eastAsia" w:ascii="仿宋" w:hAnsi="仿宋" w:eastAsia="仿宋"/>
          <w:sz w:val="31"/>
          <w:szCs w:val="32"/>
          <w:lang w:eastAsia="zh-CN"/>
        </w:rPr>
        <w:t>中央八项规定</w:t>
      </w:r>
      <w:bookmarkStart w:id="3" w:name="_GoBack"/>
      <w:bookmarkEnd w:id="3"/>
      <w:r>
        <w:rPr>
          <w:rFonts w:hint="eastAsia" w:ascii="仿宋" w:hAnsi="仿宋" w:eastAsia="仿宋"/>
          <w:sz w:val="31"/>
          <w:szCs w:val="32"/>
        </w:rPr>
        <w:t>，尽力压缩一般性支出，严格控制三公经费，取得良好效果。</w:t>
      </w:r>
    </w:p>
    <w:p w14:paraId="328AA024">
      <w:pPr>
        <w:spacing w:line="580" w:lineRule="exact"/>
        <w:ind w:firstLine="595" w:firstLineChars="192"/>
        <w:rPr>
          <w:rFonts w:ascii="仿宋" w:hAnsi="仿宋" w:eastAsia="仿宋"/>
          <w:sz w:val="31"/>
          <w:szCs w:val="32"/>
        </w:rPr>
      </w:pPr>
      <w:r>
        <w:rPr>
          <w:rFonts w:ascii="仿宋" w:hAnsi="仿宋" w:eastAsia="仿宋"/>
          <w:sz w:val="31"/>
          <w:szCs w:val="32"/>
        </w:rPr>
        <w:t>6</w:t>
      </w:r>
      <w:r>
        <w:rPr>
          <w:rFonts w:hint="eastAsia" w:ascii="仿宋" w:hAnsi="仿宋" w:eastAsia="仿宋"/>
          <w:sz w:val="31"/>
          <w:szCs w:val="32"/>
        </w:rPr>
        <w:t>、财务监控有效性</w:t>
      </w:r>
    </w:p>
    <w:p w14:paraId="133B2D64">
      <w:pPr>
        <w:spacing w:line="580" w:lineRule="exact"/>
        <w:ind w:firstLine="595" w:firstLineChars="192"/>
        <w:rPr>
          <w:rFonts w:ascii="仿宋" w:hAnsi="仿宋" w:eastAsia="仿宋"/>
          <w:sz w:val="31"/>
          <w:szCs w:val="32"/>
        </w:rPr>
      </w:pPr>
      <w:r>
        <w:rPr>
          <w:rFonts w:hint="eastAsia" w:ascii="仿宋" w:hAnsi="仿宋" w:eastAsia="仿宋"/>
          <w:sz w:val="31"/>
          <w:szCs w:val="32"/>
        </w:rPr>
        <w:t>采取层层把关的方式，掌握项目的全面情况，把握项目的总体进程，进一步修订和完善了经费使用的各种规章制度，科学量化评审指标，坚决贯彻“三个公开”，坚持透明化管理与自律、监督、定期检查相结合，确保每一笔经费合规实施、合理使用，使财务监控有效实用。</w:t>
      </w:r>
    </w:p>
    <w:p w14:paraId="6BDA0D16">
      <w:pPr>
        <w:spacing w:line="580" w:lineRule="exact"/>
        <w:ind w:firstLine="595" w:firstLineChars="192"/>
        <w:rPr>
          <w:rFonts w:ascii="仿宋" w:hAnsi="仿宋" w:eastAsia="仿宋"/>
          <w:sz w:val="31"/>
          <w:szCs w:val="32"/>
        </w:rPr>
      </w:pPr>
      <w:r>
        <w:rPr>
          <w:rFonts w:ascii="仿宋" w:hAnsi="仿宋" w:eastAsia="仿宋"/>
          <w:sz w:val="31"/>
          <w:szCs w:val="32"/>
        </w:rPr>
        <w:t>7</w:t>
      </w:r>
      <w:r>
        <w:rPr>
          <w:rFonts w:hint="eastAsia" w:ascii="仿宋" w:hAnsi="仿宋" w:eastAsia="仿宋"/>
          <w:sz w:val="31"/>
          <w:szCs w:val="32"/>
        </w:rPr>
        <w:t>、财务管理有效性</w:t>
      </w:r>
    </w:p>
    <w:p w14:paraId="47E44F5E">
      <w:pPr>
        <w:spacing w:line="580" w:lineRule="exact"/>
        <w:ind w:firstLine="595" w:firstLineChars="192"/>
        <w:rPr>
          <w:rFonts w:ascii="仿宋" w:hAnsi="仿宋" w:eastAsia="仿宋"/>
          <w:sz w:val="31"/>
          <w:szCs w:val="32"/>
        </w:rPr>
      </w:pPr>
      <w:r>
        <w:rPr>
          <w:rFonts w:hint="eastAsia" w:ascii="仿宋" w:hAnsi="仿宋" w:eastAsia="仿宋"/>
          <w:sz w:val="31"/>
          <w:szCs w:val="32"/>
        </w:rPr>
        <w:t>州报社财务室按照《中华人民共和国会计法》、《行政事业单位会计准则》及《行政事业单位单位会计制度》管理规定对《巴音郭楞日报》民文版印刷补贴项目进行专人专账核算，合理合规建立相关账目，相关支出准确按科目开展财务核算。</w:t>
      </w:r>
    </w:p>
    <w:p w14:paraId="6C77E105">
      <w:pPr>
        <w:spacing w:line="580" w:lineRule="exact"/>
        <w:ind w:firstLine="595" w:firstLineChars="192"/>
        <w:rPr>
          <w:rFonts w:ascii="仿宋" w:hAnsi="仿宋" w:eastAsia="仿宋"/>
          <w:sz w:val="31"/>
          <w:szCs w:val="32"/>
        </w:rPr>
      </w:pPr>
      <w:r>
        <w:rPr>
          <w:rFonts w:hint="eastAsia" w:ascii="仿宋" w:hAnsi="仿宋" w:eastAsia="仿宋"/>
          <w:sz w:val="31"/>
          <w:szCs w:val="32"/>
        </w:rPr>
        <w:t>《巴音郭楞日报》民文版印刷补贴项目资金拨付使用严格按照程序执行，以保证财政资金的安全完整，项目资金的使用严格按照相关管理制度进行，严把监督审核关，建立健全内部审批制度。严格报账程序，经手人确认签名、部门领导核实、财务部门审核、分管领导同意、主管领导签字等程序及审核无误后方能完成该笔款项的使用和支付。严格按照相关制度执行，确保项目支出与规定的经费用途相符，确保每笔款项符合国家财政法规和财务管理制度及本项目相关管理办法和规定。</w:t>
      </w:r>
    </w:p>
    <w:p w14:paraId="4AE55E32">
      <w:pPr>
        <w:spacing w:line="580" w:lineRule="exact"/>
        <w:ind w:firstLine="620" w:firstLineChars="200"/>
        <w:outlineLvl w:val="0"/>
        <w:rPr>
          <w:rFonts w:ascii="楷体" w:hAnsi="楷体" w:eastAsia="楷体" w:cs="仿宋_GB2312"/>
          <w:bCs/>
          <w:sz w:val="31"/>
        </w:rPr>
      </w:pPr>
      <w:r>
        <w:rPr>
          <w:rFonts w:hint="eastAsia" w:ascii="楷体" w:hAnsi="楷体" w:eastAsia="楷体" w:cs="仿宋_GB2312"/>
          <w:bCs/>
          <w:sz w:val="31"/>
        </w:rPr>
        <w:t>（三）项目产出情况</w:t>
      </w:r>
    </w:p>
    <w:p w14:paraId="7B4EB02B">
      <w:pPr>
        <w:spacing w:line="580" w:lineRule="exact"/>
        <w:ind w:firstLine="595" w:firstLineChars="192"/>
        <w:rPr>
          <w:rFonts w:ascii="仿宋" w:hAnsi="仿宋" w:eastAsia="仿宋"/>
          <w:sz w:val="31"/>
          <w:szCs w:val="32"/>
        </w:rPr>
      </w:pPr>
      <w:r>
        <w:rPr>
          <w:rFonts w:ascii="仿宋" w:hAnsi="仿宋" w:eastAsia="仿宋"/>
          <w:sz w:val="31"/>
          <w:szCs w:val="32"/>
        </w:rPr>
        <w:t>2019</w:t>
      </w:r>
      <w:r>
        <w:rPr>
          <w:rFonts w:hint="eastAsia" w:ascii="仿宋" w:hAnsi="仿宋" w:eastAsia="仿宋"/>
          <w:sz w:val="31"/>
          <w:szCs w:val="32"/>
        </w:rPr>
        <w:t>年《巴音郭楞日报》民文版报纸印刷补贴项目产出优秀，项目在预定时间内及时实施完成，质量达标率达到预期，项目实施成本控制较好。本项指标总分为</w:t>
      </w:r>
      <w:r>
        <w:rPr>
          <w:rFonts w:ascii="仿宋" w:hAnsi="仿宋" w:eastAsia="仿宋"/>
          <w:sz w:val="31"/>
          <w:szCs w:val="32"/>
        </w:rPr>
        <w:t>30</w:t>
      </w:r>
      <w:r>
        <w:rPr>
          <w:rFonts w:hint="eastAsia" w:ascii="仿宋" w:hAnsi="仿宋" w:eastAsia="仿宋"/>
          <w:sz w:val="31"/>
          <w:szCs w:val="32"/>
        </w:rPr>
        <w:t>分，实际得分达到</w:t>
      </w:r>
      <w:r>
        <w:rPr>
          <w:rFonts w:ascii="仿宋" w:hAnsi="仿宋" w:eastAsia="仿宋"/>
          <w:sz w:val="31"/>
          <w:szCs w:val="32"/>
        </w:rPr>
        <w:t>30</w:t>
      </w:r>
      <w:r>
        <w:rPr>
          <w:rFonts w:hint="eastAsia" w:ascii="仿宋" w:hAnsi="仿宋" w:eastAsia="仿宋"/>
          <w:sz w:val="31"/>
          <w:szCs w:val="32"/>
        </w:rPr>
        <w:t>分，项目产出具体评价如下：</w:t>
      </w:r>
    </w:p>
    <w:p w14:paraId="06A774EF">
      <w:pPr>
        <w:spacing w:line="580" w:lineRule="exact"/>
        <w:ind w:firstLine="595" w:firstLineChars="192"/>
        <w:rPr>
          <w:rFonts w:ascii="仿宋" w:hAnsi="仿宋" w:eastAsia="仿宋"/>
          <w:sz w:val="31"/>
          <w:szCs w:val="32"/>
        </w:rPr>
      </w:pPr>
      <w:r>
        <w:rPr>
          <w:rFonts w:ascii="仿宋" w:hAnsi="仿宋" w:eastAsia="仿宋"/>
          <w:sz w:val="31"/>
          <w:szCs w:val="32"/>
        </w:rPr>
        <w:t>1</w:t>
      </w:r>
      <w:r>
        <w:rPr>
          <w:rFonts w:hint="eastAsia" w:ascii="仿宋" w:hAnsi="仿宋" w:eastAsia="仿宋"/>
          <w:sz w:val="31"/>
          <w:szCs w:val="32"/>
        </w:rPr>
        <w:t>、实际完成率</w:t>
      </w:r>
    </w:p>
    <w:p w14:paraId="7A1D80F0">
      <w:pPr>
        <w:spacing w:line="580" w:lineRule="exact"/>
        <w:ind w:firstLine="595" w:firstLineChars="192"/>
        <w:rPr>
          <w:rFonts w:ascii="仿宋" w:hAnsi="仿宋" w:eastAsia="仿宋"/>
          <w:sz w:val="31"/>
          <w:szCs w:val="32"/>
        </w:rPr>
      </w:pPr>
      <w:r>
        <w:rPr>
          <w:rFonts w:hint="eastAsia" w:ascii="仿宋" w:hAnsi="仿宋" w:eastAsia="仿宋"/>
          <w:sz w:val="31"/>
          <w:szCs w:val="32"/>
        </w:rPr>
        <w:t>根据设定的相关产出指标，主要包括：报纸开设重大宣传报道专栏数≥</w:t>
      </w:r>
      <w:r>
        <w:rPr>
          <w:rFonts w:ascii="仿宋" w:hAnsi="仿宋" w:eastAsia="仿宋"/>
          <w:sz w:val="31"/>
          <w:szCs w:val="32"/>
        </w:rPr>
        <w:t>30</w:t>
      </w:r>
      <w:r>
        <w:rPr>
          <w:rFonts w:hint="eastAsia" w:ascii="仿宋" w:hAnsi="仿宋" w:eastAsia="仿宋"/>
          <w:sz w:val="31"/>
          <w:szCs w:val="32"/>
        </w:rPr>
        <w:t>个、巴州地区报纸订阅覆盖率≥</w:t>
      </w:r>
      <w:r>
        <w:rPr>
          <w:rFonts w:ascii="仿宋" w:hAnsi="仿宋" w:eastAsia="仿宋"/>
          <w:sz w:val="31"/>
          <w:szCs w:val="32"/>
        </w:rPr>
        <w:t>80%</w:t>
      </w:r>
      <w:r>
        <w:rPr>
          <w:rFonts w:hint="eastAsia" w:ascii="仿宋" w:hAnsi="仿宋" w:eastAsia="仿宋"/>
          <w:sz w:val="31"/>
          <w:szCs w:val="32"/>
        </w:rPr>
        <w:t>、报纸实际印刷发行数量≥</w:t>
      </w:r>
      <w:r>
        <w:rPr>
          <w:rFonts w:ascii="仿宋" w:hAnsi="仿宋" w:eastAsia="仿宋"/>
          <w:sz w:val="31"/>
          <w:szCs w:val="32"/>
        </w:rPr>
        <w:t>11500</w:t>
      </w:r>
      <w:r>
        <w:rPr>
          <w:rFonts w:hint="eastAsia" w:ascii="仿宋" w:hAnsi="仿宋" w:eastAsia="仿宋"/>
          <w:sz w:val="31"/>
          <w:szCs w:val="32"/>
        </w:rPr>
        <w:t>份。其指标均完成或超额完成</w:t>
      </w:r>
      <w:r>
        <w:rPr>
          <w:rFonts w:ascii="仿宋" w:hAnsi="仿宋" w:eastAsia="仿宋"/>
          <w:sz w:val="31"/>
          <w:szCs w:val="32"/>
        </w:rPr>
        <w:t xml:space="preserve">, </w:t>
      </w:r>
      <w:r>
        <w:rPr>
          <w:rFonts w:hint="eastAsia" w:ascii="仿宋" w:hAnsi="仿宋" w:eastAsia="仿宋"/>
          <w:sz w:val="31"/>
          <w:szCs w:val="32"/>
        </w:rPr>
        <w:t>依据评价评分标准，本项满分</w:t>
      </w:r>
      <w:r>
        <w:rPr>
          <w:rFonts w:ascii="仿宋" w:hAnsi="仿宋" w:eastAsia="仿宋"/>
          <w:sz w:val="31"/>
          <w:szCs w:val="32"/>
        </w:rPr>
        <w:t>18</w:t>
      </w:r>
      <w:r>
        <w:rPr>
          <w:rFonts w:hint="eastAsia" w:ascii="仿宋" w:hAnsi="仿宋" w:eastAsia="仿宋"/>
          <w:sz w:val="31"/>
          <w:szCs w:val="32"/>
        </w:rPr>
        <w:t>分，得分</w:t>
      </w:r>
      <w:r>
        <w:rPr>
          <w:rFonts w:ascii="仿宋" w:hAnsi="仿宋" w:eastAsia="仿宋"/>
          <w:sz w:val="31"/>
          <w:szCs w:val="32"/>
        </w:rPr>
        <w:t>18</w:t>
      </w:r>
      <w:r>
        <w:rPr>
          <w:rFonts w:hint="eastAsia" w:ascii="仿宋" w:hAnsi="仿宋" w:eastAsia="仿宋"/>
          <w:sz w:val="31"/>
          <w:szCs w:val="32"/>
        </w:rPr>
        <w:t>分。</w:t>
      </w:r>
    </w:p>
    <w:p w14:paraId="43424222">
      <w:pPr>
        <w:spacing w:line="580" w:lineRule="exact"/>
        <w:ind w:firstLine="595" w:firstLineChars="192"/>
        <w:rPr>
          <w:rFonts w:ascii="仿宋" w:hAnsi="仿宋" w:eastAsia="仿宋"/>
          <w:sz w:val="31"/>
          <w:szCs w:val="32"/>
        </w:rPr>
      </w:pPr>
      <w:r>
        <w:rPr>
          <w:rFonts w:ascii="仿宋" w:hAnsi="仿宋" w:eastAsia="仿宋"/>
          <w:sz w:val="31"/>
          <w:szCs w:val="32"/>
        </w:rPr>
        <w:t>2</w:t>
      </w:r>
      <w:r>
        <w:rPr>
          <w:rFonts w:hint="eastAsia" w:ascii="仿宋" w:hAnsi="仿宋" w:eastAsia="仿宋"/>
          <w:sz w:val="31"/>
          <w:szCs w:val="32"/>
        </w:rPr>
        <w:t>、完成及时率</w:t>
      </w:r>
    </w:p>
    <w:p w14:paraId="40DA85E5">
      <w:pPr>
        <w:spacing w:line="580" w:lineRule="exact"/>
        <w:ind w:firstLine="595" w:firstLineChars="192"/>
        <w:rPr>
          <w:rFonts w:ascii="仿宋" w:hAnsi="仿宋" w:eastAsia="仿宋"/>
          <w:sz w:val="31"/>
          <w:szCs w:val="32"/>
        </w:rPr>
      </w:pPr>
      <w:r>
        <w:rPr>
          <w:rFonts w:hint="eastAsia" w:ascii="仿宋" w:hAnsi="仿宋" w:eastAsia="仿宋"/>
          <w:sz w:val="31"/>
          <w:szCs w:val="32"/>
        </w:rPr>
        <w:t>根据项目计划和项目总结情况，本年度应完成的各项工作已全部完成，完成及时率达到</w:t>
      </w:r>
      <w:r>
        <w:rPr>
          <w:rFonts w:ascii="仿宋" w:hAnsi="仿宋" w:eastAsia="仿宋"/>
          <w:sz w:val="31"/>
          <w:szCs w:val="32"/>
        </w:rPr>
        <w:t>100%</w:t>
      </w:r>
      <w:r>
        <w:rPr>
          <w:rFonts w:hint="eastAsia" w:ascii="仿宋" w:hAnsi="仿宋" w:eastAsia="仿宋"/>
          <w:sz w:val="31"/>
          <w:szCs w:val="32"/>
        </w:rPr>
        <w:t>。依据评价评分标准，本项满分</w:t>
      </w:r>
      <w:r>
        <w:rPr>
          <w:rFonts w:ascii="仿宋" w:hAnsi="仿宋" w:eastAsia="仿宋"/>
          <w:sz w:val="31"/>
          <w:szCs w:val="32"/>
        </w:rPr>
        <w:t>3</w:t>
      </w:r>
      <w:r>
        <w:rPr>
          <w:rFonts w:hint="eastAsia" w:ascii="仿宋" w:hAnsi="仿宋" w:eastAsia="仿宋"/>
          <w:sz w:val="31"/>
          <w:szCs w:val="32"/>
        </w:rPr>
        <w:t>分，得分</w:t>
      </w:r>
      <w:r>
        <w:rPr>
          <w:rFonts w:ascii="仿宋" w:hAnsi="仿宋" w:eastAsia="仿宋"/>
          <w:sz w:val="31"/>
          <w:szCs w:val="32"/>
        </w:rPr>
        <w:t>3</w:t>
      </w:r>
      <w:r>
        <w:rPr>
          <w:rFonts w:hint="eastAsia" w:ascii="仿宋" w:hAnsi="仿宋" w:eastAsia="仿宋"/>
          <w:sz w:val="31"/>
          <w:szCs w:val="32"/>
        </w:rPr>
        <w:t>分。</w:t>
      </w:r>
    </w:p>
    <w:p w14:paraId="1B276A92">
      <w:pPr>
        <w:spacing w:line="580" w:lineRule="exact"/>
        <w:ind w:firstLine="595" w:firstLineChars="192"/>
        <w:rPr>
          <w:rFonts w:ascii="仿宋" w:hAnsi="仿宋" w:eastAsia="仿宋"/>
          <w:sz w:val="31"/>
          <w:szCs w:val="32"/>
        </w:rPr>
      </w:pPr>
      <w:r>
        <w:rPr>
          <w:rFonts w:ascii="仿宋" w:hAnsi="仿宋" w:eastAsia="仿宋"/>
          <w:sz w:val="31"/>
          <w:szCs w:val="32"/>
        </w:rPr>
        <w:t>3</w:t>
      </w:r>
      <w:r>
        <w:rPr>
          <w:rFonts w:hint="eastAsia" w:ascii="仿宋" w:hAnsi="仿宋" w:eastAsia="仿宋"/>
          <w:sz w:val="31"/>
          <w:szCs w:val="32"/>
        </w:rPr>
        <w:t>、质量达标率</w:t>
      </w:r>
    </w:p>
    <w:p w14:paraId="59187FA4">
      <w:pPr>
        <w:spacing w:line="580" w:lineRule="exact"/>
        <w:ind w:firstLine="595" w:firstLineChars="192"/>
        <w:rPr>
          <w:rFonts w:ascii="仿宋" w:hAnsi="仿宋" w:eastAsia="仿宋"/>
          <w:sz w:val="31"/>
          <w:szCs w:val="32"/>
        </w:rPr>
      </w:pPr>
      <w:r>
        <w:rPr>
          <w:rFonts w:hint="eastAsia" w:ascii="仿宋" w:hAnsi="仿宋" w:eastAsia="仿宋"/>
          <w:sz w:val="31"/>
          <w:szCs w:val="32"/>
        </w:rPr>
        <w:t>报纸印刷工作保质保量完成，报纸验收合格率达</w:t>
      </w:r>
      <w:r>
        <w:rPr>
          <w:rFonts w:ascii="仿宋" w:hAnsi="仿宋" w:eastAsia="仿宋"/>
          <w:sz w:val="31"/>
          <w:szCs w:val="32"/>
        </w:rPr>
        <w:t>100%</w:t>
      </w:r>
      <w:r>
        <w:rPr>
          <w:rFonts w:hint="eastAsia" w:ascii="仿宋" w:hAnsi="仿宋" w:eastAsia="仿宋"/>
          <w:sz w:val="31"/>
          <w:szCs w:val="32"/>
        </w:rPr>
        <w:t>。依据评价评分标准，本项满分</w:t>
      </w:r>
      <w:r>
        <w:rPr>
          <w:rFonts w:ascii="仿宋" w:hAnsi="仿宋" w:eastAsia="仿宋"/>
          <w:sz w:val="31"/>
          <w:szCs w:val="32"/>
        </w:rPr>
        <w:t>8</w:t>
      </w:r>
      <w:r>
        <w:rPr>
          <w:rFonts w:hint="eastAsia" w:ascii="仿宋" w:hAnsi="仿宋" w:eastAsia="仿宋"/>
          <w:sz w:val="31"/>
          <w:szCs w:val="32"/>
        </w:rPr>
        <w:t>分，得分</w:t>
      </w:r>
      <w:r>
        <w:rPr>
          <w:rFonts w:ascii="仿宋" w:hAnsi="仿宋" w:eastAsia="仿宋"/>
          <w:sz w:val="31"/>
          <w:szCs w:val="32"/>
        </w:rPr>
        <w:t>8</w:t>
      </w:r>
      <w:r>
        <w:rPr>
          <w:rFonts w:hint="eastAsia" w:ascii="仿宋" w:hAnsi="仿宋" w:eastAsia="仿宋"/>
          <w:sz w:val="31"/>
          <w:szCs w:val="32"/>
        </w:rPr>
        <w:t>分。</w:t>
      </w:r>
    </w:p>
    <w:p w14:paraId="14395EDD">
      <w:pPr>
        <w:spacing w:line="580" w:lineRule="exact"/>
        <w:ind w:firstLine="595" w:firstLineChars="192"/>
        <w:rPr>
          <w:rFonts w:ascii="仿宋" w:hAnsi="仿宋" w:eastAsia="仿宋"/>
          <w:sz w:val="31"/>
          <w:szCs w:val="32"/>
        </w:rPr>
      </w:pPr>
      <w:r>
        <w:rPr>
          <w:rFonts w:ascii="仿宋" w:hAnsi="仿宋" w:eastAsia="仿宋"/>
          <w:sz w:val="31"/>
          <w:szCs w:val="32"/>
        </w:rPr>
        <w:t>4</w:t>
      </w:r>
      <w:r>
        <w:rPr>
          <w:rFonts w:hint="eastAsia" w:ascii="仿宋" w:hAnsi="仿宋" w:eastAsia="仿宋"/>
          <w:sz w:val="31"/>
          <w:szCs w:val="32"/>
        </w:rPr>
        <w:t>、资金使用率</w:t>
      </w:r>
    </w:p>
    <w:p w14:paraId="1E08DD88">
      <w:pPr>
        <w:spacing w:line="580" w:lineRule="exact"/>
        <w:ind w:firstLine="595" w:firstLineChars="192"/>
        <w:rPr>
          <w:rFonts w:ascii="仿宋" w:hAnsi="仿宋" w:eastAsia="仿宋"/>
          <w:sz w:val="31"/>
          <w:szCs w:val="32"/>
        </w:rPr>
      </w:pPr>
      <w:r>
        <w:rPr>
          <w:rFonts w:hint="eastAsia" w:ascii="仿宋" w:hAnsi="仿宋" w:eastAsia="仿宋"/>
          <w:sz w:val="31"/>
          <w:szCs w:val="32"/>
        </w:rPr>
        <w:t>截止</w:t>
      </w:r>
      <w:r>
        <w:rPr>
          <w:rFonts w:ascii="仿宋" w:hAnsi="仿宋" w:eastAsia="仿宋"/>
          <w:sz w:val="31"/>
          <w:szCs w:val="32"/>
        </w:rPr>
        <w:t>2019</w:t>
      </w:r>
      <w:r>
        <w:rPr>
          <w:rFonts w:hint="eastAsia" w:ascii="仿宋" w:hAnsi="仿宋" w:eastAsia="仿宋"/>
          <w:sz w:val="31"/>
          <w:szCs w:val="32"/>
        </w:rPr>
        <w:t>年</w:t>
      </w:r>
      <w:r>
        <w:rPr>
          <w:rFonts w:ascii="仿宋" w:hAnsi="仿宋" w:eastAsia="仿宋"/>
          <w:sz w:val="31"/>
          <w:szCs w:val="32"/>
        </w:rPr>
        <w:t>12</w:t>
      </w:r>
      <w:r>
        <w:rPr>
          <w:rFonts w:hint="eastAsia" w:ascii="仿宋" w:hAnsi="仿宋" w:eastAsia="仿宋"/>
          <w:sz w:val="31"/>
          <w:szCs w:val="32"/>
        </w:rPr>
        <w:t>月</w:t>
      </w:r>
      <w:r>
        <w:rPr>
          <w:rFonts w:ascii="仿宋" w:hAnsi="仿宋" w:eastAsia="仿宋"/>
          <w:sz w:val="31"/>
          <w:szCs w:val="32"/>
        </w:rPr>
        <w:t>31</w:t>
      </w:r>
      <w:r>
        <w:rPr>
          <w:rFonts w:hint="eastAsia" w:ascii="仿宋" w:hAnsi="仿宋" w:eastAsia="仿宋"/>
          <w:sz w:val="31"/>
          <w:szCs w:val="32"/>
        </w:rPr>
        <w:t>日资金使用</w:t>
      </w:r>
      <w:r>
        <w:rPr>
          <w:rFonts w:ascii="仿宋" w:hAnsi="仿宋" w:eastAsia="仿宋"/>
          <w:sz w:val="31"/>
          <w:szCs w:val="32"/>
        </w:rPr>
        <w:t>140</w:t>
      </w:r>
      <w:r>
        <w:rPr>
          <w:rFonts w:hint="eastAsia" w:ascii="仿宋" w:hAnsi="仿宋" w:eastAsia="仿宋"/>
          <w:sz w:val="31"/>
          <w:szCs w:val="32"/>
        </w:rPr>
        <w:t>万元，资金使用率</w:t>
      </w:r>
      <w:r>
        <w:rPr>
          <w:rFonts w:ascii="仿宋" w:hAnsi="仿宋" w:eastAsia="仿宋"/>
          <w:sz w:val="31"/>
          <w:szCs w:val="32"/>
        </w:rPr>
        <w:t>100%</w:t>
      </w:r>
      <w:r>
        <w:rPr>
          <w:rFonts w:hint="eastAsia" w:ascii="仿宋" w:hAnsi="仿宋" w:eastAsia="仿宋"/>
          <w:sz w:val="31"/>
          <w:szCs w:val="32"/>
        </w:rPr>
        <w:t>。</w:t>
      </w:r>
    </w:p>
    <w:p w14:paraId="5F9971D3">
      <w:pPr>
        <w:spacing w:line="580" w:lineRule="exact"/>
        <w:ind w:firstLine="620" w:firstLineChars="200"/>
        <w:outlineLvl w:val="0"/>
        <w:rPr>
          <w:rFonts w:ascii="楷体" w:hAnsi="楷体" w:eastAsia="楷体" w:cs="仿宋_GB2312"/>
          <w:bCs/>
          <w:sz w:val="31"/>
        </w:rPr>
      </w:pPr>
      <w:r>
        <w:rPr>
          <w:rFonts w:hint="eastAsia" w:ascii="楷体" w:hAnsi="楷体" w:eastAsia="楷体" w:cs="仿宋_GB2312"/>
          <w:bCs/>
          <w:sz w:val="31"/>
        </w:rPr>
        <w:t>（四）项目效益情况</w:t>
      </w:r>
    </w:p>
    <w:p w14:paraId="4982C6C4">
      <w:pPr>
        <w:spacing w:line="580" w:lineRule="exact"/>
        <w:ind w:firstLine="595" w:firstLineChars="192"/>
        <w:rPr>
          <w:rFonts w:ascii="仿宋" w:hAnsi="仿宋" w:eastAsia="仿宋"/>
          <w:sz w:val="31"/>
          <w:szCs w:val="32"/>
        </w:rPr>
      </w:pPr>
      <w:r>
        <w:rPr>
          <w:rFonts w:hint="eastAsia" w:ascii="仿宋" w:hAnsi="仿宋" w:eastAsia="仿宋"/>
          <w:sz w:val="31"/>
          <w:szCs w:val="32"/>
        </w:rPr>
        <w:t>《巴音郭楞日报》民文版印刷补贴项目为围绕巴州党委重点工作做好新闻宣传报道，提升党报影响力，确保报纸正常出版发行，为全州经济社会发展提供强有力的舆论支撑。本项指标总分为</w:t>
      </w:r>
      <w:r>
        <w:rPr>
          <w:rFonts w:ascii="仿宋" w:hAnsi="仿宋" w:eastAsia="仿宋"/>
          <w:sz w:val="31"/>
          <w:szCs w:val="32"/>
        </w:rPr>
        <w:t>30</w:t>
      </w:r>
      <w:r>
        <w:rPr>
          <w:rFonts w:hint="eastAsia" w:ascii="仿宋" w:hAnsi="仿宋" w:eastAsia="仿宋"/>
          <w:sz w:val="31"/>
          <w:szCs w:val="32"/>
        </w:rPr>
        <w:t>分，实际得分达到</w:t>
      </w:r>
      <w:r>
        <w:rPr>
          <w:rFonts w:ascii="仿宋" w:hAnsi="仿宋" w:eastAsia="仿宋"/>
          <w:sz w:val="31"/>
          <w:szCs w:val="32"/>
        </w:rPr>
        <w:t>30</w:t>
      </w:r>
      <w:r>
        <w:rPr>
          <w:rFonts w:hint="eastAsia" w:ascii="仿宋" w:hAnsi="仿宋" w:eastAsia="仿宋"/>
          <w:sz w:val="31"/>
          <w:szCs w:val="32"/>
        </w:rPr>
        <w:t>分，项目产出具体评价如下：</w:t>
      </w:r>
    </w:p>
    <w:p w14:paraId="6DDC282B">
      <w:pPr>
        <w:spacing w:line="580" w:lineRule="exact"/>
        <w:ind w:firstLine="595" w:firstLineChars="192"/>
        <w:rPr>
          <w:rFonts w:ascii="仿宋" w:hAnsi="仿宋" w:eastAsia="仿宋"/>
          <w:sz w:val="31"/>
          <w:szCs w:val="32"/>
        </w:rPr>
      </w:pPr>
      <w:r>
        <w:rPr>
          <w:rFonts w:ascii="仿宋" w:hAnsi="仿宋" w:eastAsia="仿宋"/>
          <w:sz w:val="31"/>
          <w:szCs w:val="32"/>
        </w:rPr>
        <w:t>1</w:t>
      </w:r>
      <w:r>
        <w:rPr>
          <w:rFonts w:hint="eastAsia" w:ascii="仿宋" w:hAnsi="仿宋" w:eastAsia="仿宋"/>
          <w:sz w:val="31"/>
          <w:szCs w:val="32"/>
        </w:rPr>
        <w:t>、经济效益</w:t>
      </w:r>
      <w:r>
        <w:rPr>
          <w:rFonts w:ascii="仿宋" w:hAnsi="仿宋" w:eastAsia="仿宋"/>
          <w:sz w:val="31"/>
          <w:szCs w:val="32"/>
        </w:rPr>
        <w:t xml:space="preserve">  </w:t>
      </w:r>
    </w:p>
    <w:p w14:paraId="1FEDF545">
      <w:pPr>
        <w:spacing w:line="580" w:lineRule="exact"/>
        <w:ind w:firstLine="595" w:firstLineChars="192"/>
        <w:rPr>
          <w:rFonts w:ascii="仿宋" w:hAnsi="仿宋" w:eastAsia="仿宋"/>
          <w:sz w:val="31"/>
          <w:szCs w:val="32"/>
        </w:rPr>
      </w:pPr>
      <w:r>
        <w:rPr>
          <w:rFonts w:hint="eastAsia" w:ascii="仿宋" w:hAnsi="仿宋" w:eastAsia="仿宋"/>
          <w:sz w:val="31"/>
          <w:szCs w:val="32"/>
        </w:rPr>
        <w:t>《巴音郭楞日报》民文版全年实现发行收入</w:t>
      </w:r>
      <w:r>
        <w:rPr>
          <w:rFonts w:ascii="仿宋" w:hAnsi="仿宋" w:eastAsia="仿宋"/>
          <w:sz w:val="31"/>
          <w:szCs w:val="32"/>
        </w:rPr>
        <w:t>134</w:t>
      </w:r>
      <w:r>
        <w:rPr>
          <w:rFonts w:hint="eastAsia" w:ascii="仿宋" w:hAnsi="仿宋" w:eastAsia="仿宋"/>
          <w:sz w:val="31"/>
          <w:szCs w:val="32"/>
        </w:rPr>
        <w:t>万元，完成预期目标。</w:t>
      </w:r>
    </w:p>
    <w:p w14:paraId="43176690">
      <w:pPr>
        <w:spacing w:line="580" w:lineRule="exact"/>
        <w:ind w:firstLine="595" w:firstLineChars="192"/>
        <w:rPr>
          <w:rFonts w:ascii="仿宋" w:hAnsi="仿宋" w:eastAsia="仿宋"/>
          <w:sz w:val="31"/>
          <w:szCs w:val="32"/>
        </w:rPr>
      </w:pPr>
      <w:r>
        <w:rPr>
          <w:rFonts w:ascii="仿宋" w:hAnsi="仿宋" w:eastAsia="仿宋"/>
          <w:sz w:val="31"/>
          <w:szCs w:val="32"/>
        </w:rPr>
        <w:t>2</w:t>
      </w:r>
      <w:r>
        <w:rPr>
          <w:rFonts w:hint="eastAsia" w:ascii="仿宋" w:hAnsi="仿宋" w:eastAsia="仿宋"/>
          <w:sz w:val="31"/>
          <w:szCs w:val="32"/>
        </w:rPr>
        <w:t>、社会效益</w:t>
      </w:r>
    </w:p>
    <w:p w14:paraId="4664817E">
      <w:pPr>
        <w:spacing w:line="580" w:lineRule="exact"/>
        <w:ind w:firstLine="595" w:firstLineChars="192"/>
        <w:rPr>
          <w:rFonts w:ascii="仿宋" w:hAnsi="仿宋" w:eastAsia="仿宋"/>
          <w:sz w:val="31"/>
          <w:szCs w:val="32"/>
        </w:rPr>
      </w:pPr>
      <w:r>
        <w:rPr>
          <w:rFonts w:hint="eastAsia" w:ascii="仿宋" w:hAnsi="仿宋" w:eastAsia="仿宋"/>
          <w:sz w:val="31"/>
          <w:szCs w:val="32"/>
        </w:rPr>
        <w:t>把党和政府的声音送到千家万户是党报义不容辞的责任，《巴音郭楞日报》（民文版）做为巴州党委机关报，牢记这一使命，紧紧围绕社会稳定和长治久安总目标，围绕巴州党委的中心工作，走进基层、贴近群众，宣传党的主张、反映群众心声，为构建和谐稳定的巴州提供了强大的舆论支持。</w:t>
      </w:r>
    </w:p>
    <w:p w14:paraId="755725DD">
      <w:pPr>
        <w:spacing w:line="580" w:lineRule="exact"/>
        <w:ind w:firstLine="595" w:firstLineChars="192"/>
        <w:rPr>
          <w:rFonts w:ascii="仿宋" w:hAnsi="仿宋" w:eastAsia="仿宋"/>
          <w:sz w:val="31"/>
          <w:szCs w:val="32"/>
        </w:rPr>
      </w:pPr>
      <w:r>
        <w:rPr>
          <w:rFonts w:ascii="仿宋" w:hAnsi="仿宋" w:eastAsia="仿宋"/>
          <w:sz w:val="31"/>
          <w:szCs w:val="32"/>
        </w:rPr>
        <w:t>3</w:t>
      </w:r>
      <w:r>
        <w:rPr>
          <w:rFonts w:hint="eastAsia" w:ascii="仿宋" w:hAnsi="仿宋" w:eastAsia="仿宋"/>
          <w:sz w:val="31"/>
          <w:szCs w:val="32"/>
        </w:rPr>
        <w:t>、可持续发展</w:t>
      </w:r>
    </w:p>
    <w:p w14:paraId="525F3C5C">
      <w:pPr>
        <w:spacing w:line="580" w:lineRule="exact"/>
        <w:ind w:firstLine="595" w:firstLineChars="192"/>
        <w:rPr>
          <w:rFonts w:ascii="仿宋" w:hAnsi="仿宋" w:eastAsia="仿宋"/>
          <w:sz w:val="31"/>
          <w:szCs w:val="32"/>
        </w:rPr>
      </w:pPr>
      <w:r>
        <w:rPr>
          <w:rFonts w:hint="eastAsia" w:ascii="仿宋" w:hAnsi="仿宋" w:eastAsia="仿宋"/>
          <w:sz w:val="31"/>
          <w:szCs w:val="32"/>
        </w:rPr>
        <w:t>在媒体融合发展的当下，人才是最关键的，要坚持“走出去、请进来”的方式，进一步加强新媒体人才培养力度，不断学习掌握新媒体建设的技术和先进理念，培养一支政治坚定、业务精湛、作风优良、党和人民放心的全媒型、专家型人才队伍。</w:t>
      </w:r>
    </w:p>
    <w:p w14:paraId="7013F3CB">
      <w:pPr>
        <w:spacing w:line="580" w:lineRule="exact"/>
        <w:ind w:firstLine="595" w:firstLineChars="192"/>
        <w:rPr>
          <w:rFonts w:ascii="仿宋" w:hAnsi="仿宋" w:eastAsia="仿宋"/>
          <w:sz w:val="31"/>
          <w:szCs w:val="32"/>
        </w:rPr>
      </w:pPr>
      <w:r>
        <w:rPr>
          <w:rFonts w:ascii="仿宋" w:hAnsi="仿宋" w:eastAsia="仿宋"/>
          <w:sz w:val="31"/>
          <w:szCs w:val="32"/>
        </w:rPr>
        <w:t>4</w:t>
      </w:r>
      <w:r>
        <w:rPr>
          <w:rFonts w:hint="eastAsia" w:ascii="仿宋" w:hAnsi="仿宋" w:eastAsia="仿宋"/>
          <w:sz w:val="31"/>
          <w:szCs w:val="32"/>
        </w:rPr>
        <w:t>、服务对象满意度</w:t>
      </w:r>
    </w:p>
    <w:p w14:paraId="26BBBCA6">
      <w:pPr>
        <w:spacing w:line="580" w:lineRule="exact"/>
        <w:ind w:firstLine="595" w:firstLineChars="192"/>
        <w:rPr>
          <w:rFonts w:ascii="仿宋" w:hAnsi="仿宋" w:eastAsia="仿宋"/>
          <w:sz w:val="31"/>
          <w:szCs w:val="32"/>
        </w:rPr>
      </w:pPr>
      <w:r>
        <w:rPr>
          <w:rFonts w:hint="eastAsia" w:ascii="仿宋" w:hAnsi="仿宋" w:eastAsia="仿宋"/>
          <w:sz w:val="31"/>
          <w:szCs w:val="32"/>
        </w:rPr>
        <w:t>通过对《巴音郭楞日报》民文版读者抽取样本电话随访，通过分析，其满意度达</w:t>
      </w:r>
      <w:r>
        <w:rPr>
          <w:rFonts w:ascii="仿宋" w:hAnsi="仿宋" w:eastAsia="仿宋"/>
          <w:sz w:val="31"/>
          <w:szCs w:val="32"/>
        </w:rPr>
        <w:t>95%</w:t>
      </w:r>
      <w:r>
        <w:rPr>
          <w:rFonts w:hint="eastAsia" w:ascii="仿宋" w:hAnsi="仿宋" w:eastAsia="仿宋"/>
          <w:sz w:val="31"/>
          <w:szCs w:val="32"/>
        </w:rPr>
        <w:t>，项目实施满意度较高。</w:t>
      </w:r>
    </w:p>
    <w:p w14:paraId="7E46DAA5">
      <w:pPr>
        <w:spacing w:line="580" w:lineRule="exact"/>
        <w:ind w:firstLine="620" w:firstLineChars="200"/>
        <w:rPr>
          <w:rFonts w:ascii="方正仿宋_GBK" w:eastAsia="方正仿宋_GBK" w:cs="宋体"/>
          <w:bCs/>
          <w:sz w:val="31"/>
          <w:szCs w:val="32"/>
        </w:rPr>
      </w:pPr>
      <w:r>
        <w:rPr>
          <w:rFonts w:hint="eastAsia" w:ascii="黑体" w:eastAsia="黑体"/>
          <w:sz w:val="31"/>
        </w:rPr>
        <w:t>五、主要经验及做法、存在的问题及原因分析</w:t>
      </w:r>
    </w:p>
    <w:p w14:paraId="3BBB171E">
      <w:pPr>
        <w:spacing w:line="580" w:lineRule="exact"/>
        <w:ind w:firstLine="620" w:firstLineChars="200"/>
        <w:outlineLvl w:val="0"/>
        <w:rPr>
          <w:rFonts w:ascii="楷体" w:hAnsi="楷体" w:eastAsia="楷体" w:cs="仿宋_GB2312"/>
          <w:bCs/>
          <w:sz w:val="31"/>
        </w:rPr>
      </w:pPr>
      <w:r>
        <w:rPr>
          <w:rFonts w:hint="eastAsia" w:ascii="楷体" w:hAnsi="楷体" w:eastAsia="楷体" w:cs="仿宋_GB2312"/>
          <w:bCs/>
          <w:sz w:val="31"/>
        </w:rPr>
        <w:t>（一）主要经验</w:t>
      </w:r>
    </w:p>
    <w:p w14:paraId="1CF498DD">
      <w:pPr>
        <w:spacing w:line="580" w:lineRule="exact"/>
        <w:ind w:firstLine="595" w:firstLineChars="192"/>
        <w:rPr>
          <w:rFonts w:ascii="仿宋" w:hAnsi="仿宋" w:eastAsia="仿宋"/>
          <w:sz w:val="31"/>
          <w:szCs w:val="32"/>
        </w:rPr>
      </w:pPr>
      <w:r>
        <w:rPr>
          <w:rFonts w:ascii="仿宋" w:hAnsi="仿宋" w:eastAsia="仿宋"/>
          <w:sz w:val="31"/>
          <w:szCs w:val="32"/>
        </w:rPr>
        <w:t>1</w:t>
      </w:r>
      <w:r>
        <w:rPr>
          <w:rFonts w:hint="eastAsia" w:ascii="仿宋" w:hAnsi="仿宋" w:eastAsia="仿宋"/>
          <w:sz w:val="31"/>
          <w:szCs w:val="32"/>
        </w:rPr>
        <w:t>、领导高度重视。巴音郭楞日报社党委严格落实党建工作的各项责任，党委班子同心同德、团结一心、步调一致，以“不忘初心、牢记使命”主题教育和巡察整改工作为契机，全面加强党的建设，使党建工作统领报社全局工作。</w:t>
      </w:r>
    </w:p>
    <w:p w14:paraId="04758489">
      <w:pPr>
        <w:spacing w:line="580" w:lineRule="exact"/>
        <w:ind w:firstLine="595" w:firstLineChars="192"/>
        <w:rPr>
          <w:rFonts w:ascii="仿宋" w:hAnsi="仿宋" w:eastAsia="仿宋"/>
          <w:sz w:val="31"/>
          <w:szCs w:val="32"/>
        </w:rPr>
      </w:pPr>
      <w:r>
        <w:rPr>
          <w:rFonts w:ascii="仿宋" w:hAnsi="仿宋" w:eastAsia="仿宋"/>
          <w:sz w:val="31"/>
          <w:szCs w:val="32"/>
        </w:rPr>
        <w:t>2</w:t>
      </w:r>
      <w:r>
        <w:rPr>
          <w:rFonts w:hint="eastAsia" w:ascii="仿宋" w:hAnsi="仿宋" w:eastAsia="仿宋"/>
          <w:sz w:val="31"/>
          <w:szCs w:val="32"/>
        </w:rPr>
        <w:t>、在自治州党委的正确领导下，牢牢把握正确的舆论导向，《巴音郭楞日报》三种文版紧紧围绕巴州党委、政府的重点工作，把握舆论重点，认真履行新闻舆论职责使命，弘扬主旋律，传播正能量，刊发了一批有深度、有分量的新闻报道。</w:t>
      </w:r>
    </w:p>
    <w:p w14:paraId="40A2390A">
      <w:pPr>
        <w:spacing w:line="580" w:lineRule="exact"/>
        <w:ind w:firstLine="620" w:firstLineChars="200"/>
        <w:outlineLvl w:val="0"/>
        <w:rPr>
          <w:rFonts w:ascii="楷体" w:hAnsi="楷体" w:eastAsia="楷体" w:cs="仿宋_GB2312"/>
          <w:bCs/>
          <w:sz w:val="31"/>
        </w:rPr>
      </w:pPr>
      <w:r>
        <w:rPr>
          <w:rFonts w:hint="eastAsia" w:ascii="楷体" w:hAnsi="楷体" w:eastAsia="楷体" w:cs="仿宋_GB2312"/>
          <w:bCs/>
          <w:sz w:val="31"/>
        </w:rPr>
        <w:t>（二）存在的问题及原因分析</w:t>
      </w:r>
    </w:p>
    <w:p w14:paraId="7E3CDA9E">
      <w:pPr>
        <w:spacing w:line="580" w:lineRule="exact"/>
        <w:ind w:firstLine="595" w:firstLineChars="192"/>
        <w:rPr>
          <w:rFonts w:ascii="仿宋" w:hAnsi="仿宋" w:eastAsia="仿宋"/>
          <w:sz w:val="31"/>
          <w:szCs w:val="32"/>
        </w:rPr>
      </w:pPr>
      <w:r>
        <w:rPr>
          <w:rFonts w:hint="eastAsia" w:ascii="仿宋" w:hAnsi="仿宋" w:eastAsia="仿宋"/>
          <w:sz w:val="31"/>
          <w:szCs w:val="32"/>
        </w:rPr>
        <w:t>从目前新闻纸涨价的情况看，不确定因素很多，不到两年时间，新闻纸价格已经涨了</w:t>
      </w:r>
      <w:r>
        <w:rPr>
          <w:rFonts w:ascii="仿宋" w:hAnsi="仿宋" w:eastAsia="仿宋"/>
          <w:sz w:val="31"/>
          <w:szCs w:val="32"/>
        </w:rPr>
        <w:t>80%</w:t>
      </w:r>
      <w:r>
        <w:rPr>
          <w:rFonts w:hint="eastAsia" w:ascii="仿宋" w:hAnsi="仿宋" w:eastAsia="仿宋"/>
          <w:sz w:val="31"/>
          <w:szCs w:val="32"/>
        </w:rPr>
        <w:t>。</w:t>
      </w:r>
      <w:r>
        <w:rPr>
          <w:rFonts w:ascii="仿宋" w:hAnsi="仿宋" w:eastAsia="仿宋"/>
          <w:sz w:val="31"/>
          <w:szCs w:val="32"/>
        </w:rPr>
        <w:t>2020</w:t>
      </w:r>
      <w:r>
        <w:rPr>
          <w:rFonts w:hint="eastAsia" w:ascii="仿宋" w:hAnsi="仿宋" w:eastAsia="仿宋"/>
          <w:sz w:val="31"/>
          <w:szCs w:val="32"/>
        </w:rPr>
        <w:t>年，甚至今后一段时间，新闻纸价格很有可能还会上涨。有数据显示，最近</w:t>
      </w:r>
      <w:r>
        <w:rPr>
          <w:rFonts w:ascii="仿宋" w:hAnsi="仿宋" w:eastAsia="仿宋"/>
          <w:sz w:val="31"/>
          <w:szCs w:val="32"/>
        </w:rPr>
        <w:t>5</w:t>
      </w:r>
      <w:r>
        <w:rPr>
          <w:rFonts w:hint="eastAsia" w:ascii="仿宋" w:hAnsi="仿宋" w:eastAsia="仿宋"/>
          <w:sz w:val="31"/>
          <w:szCs w:val="32"/>
        </w:rPr>
        <w:t>年间，我国生产新闻纸的纸厂从</w:t>
      </w:r>
      <w:r>
        <w:rPr>
          <w:rFonts w:ascii="仿宋" w:hAnsi="仿宋" w:eastAsia="仿宋"/>
          <w:sz w:val="31"/>
          <w:szCs w:val="32"/>
        </w:rPr>
        <w:t>2012</w:t>
      </w:r>
      <w:r>
        <w:rPr>
          <w:rFonts w:hint="eastAsia" w:ascii="仿宋" w:hAnsi="仿宋" w:eastAsia="仿宋"/>
          <w:sz w:val="31"/>
          <w:szCs w:val="32"/>
        </w:rPr>
        <w:t>年的近</w:t>
      </w:r>
      <w:r>
        <w:rPr>
          <w:rFonts w:ascii="仿宋" w:hAnsi="仿宋" w:eastAsia="仿宋"/>
          <w:sz w:val="31"/>
          <w:szCs w:val="32"/>
        </w:rPr>
        <w:t>20</w:t>
      </w:r>
      <w:r>
        <w:rPr>
          <w:rFonts w:hint="eastAsia" w:ascii="仿宋" w:hAnsi="仿宋" w:eastAsia="仿宋"/>
          <w:sz w:val="31"/>
          <w:szCs w:val="32"/>
        </w:rPr>
        <w:t>家，大幅缩减至目前仅存的</w:t>
      </w:r>
      <w:r>
        <w:rPr>
          <w:rFonts w:ascii="仿宋" w:hAnsi="仿宋" w:eastAsia="仿宋"/>
          <w:sz w:val="31"/>
          <w:szCs w:val="32"/>
        </w:rPr>
        <w:t>5</w:t>
      </w:r>
      <w:r>
        <w:rPr>
          <w:rFonts w:hint="eastAsia" w:ascii="仿宋" w:hAnsi="仿宋" w:eastAsia="仿宋"/>
          <w:sz w:val="31"/>
          <w:szCs w:val="32"/>
        </w:rPr>
        <w:t>家。新闻纸产量也从当时的</w:t>
      </w:r>
      <w:r>
        <w:rPr>
          <w:rFonts w:ascii="仿宋" w:hAnsi="仿宋" w:eastAsia="仿宋"/>
          <w:sz w:val="31"/>
          <w:szCs w:val="32"/>
        </w:rPr>
        <w:t>370</w:t>
      </w:r>
      <w:r>
        <w:rPr>
          <w:rFonts w:hint="eastAsia" w:ascii="仿宋" w:hAnsi="仿宋" w:eastAsia="仿宋"/>
          <w:sz w:val="31"/>
          <w:szCs w:val="32"/>
        </w:rPr>
        <w:t>多万吨</w:t>
      </w:r>
      <w:r>
        <w:rPr>
          <w:rFonts w:ascii="仿宋" w:hAnsi="仿宋" w:eastAsia="仿宋"/>
          <w:sz w:val="31"/>
          <w:szCs w:val="32"/>
        </w:rPr>
        <w:t>/</w:t>
      </w:r>
      <w:r>
        <w:rPr>
          <w:rFonts w:hint="eastAsia" w:ascii="仿宋" w:hAnsi="仿宋" w:eastAsia="仿宋"/>
          <w:sz w:val="31"/>
          <w:szCs w:val="32"/>
        </w:rPr>
        <w:t>年，连年下滑至</w:t>
      </w:r>
      <w:r>
        <w:rPr>
          <w:rFonts w:ascii="仿宋" w:hAnsi="仿宋" w:eastAsia="仿宋"/>
          <w:sz w:val="31"/>
          <w:szCs w:val="32"/>
        </w:rPr>
        <w:t>2019</w:t>
      </w:r>
      <w:r>
        <w:rPr>
          <w:rFonts w:hint="eastAsia" w:ascii="仿宋" w:hAnsi="仿宋" w:eastAsia="仿宋"/>
          <w:sz w:val="31"/>
          <w:szCs w:val="32"/>
        </w:rPr>
        <w:t>年的</w:t>
      </w:r>
      <w:r>
        <w:rPr>
          <w:rFonts w:ascii="仿宋" w:hAnsi="仿宋" w:eastAsia="仿宋"/>
          <w:sz w:val="31"/>
          <w:szCs w:val="32"/>
        </w:rPr>
        <w:t>165</w:t>
      </w:r>
      <w:r>
        <w:rPr>
          <w:rFonts w:hint="eastAsia" w:ascii="仿宋" w:hAnsi="仿宋" w:eastAsia="仿宋"/>
          <w:sz w:val="31"/>
          <w:szCs w:val="32"/>
        </w:rPr>
        <w:t>万吨。新闻纸涨价凶猛，完全没有缓冲时间。目前《巴音郭楞日报》（民文版）每年印刷费缺口资金达</w:t>
      </w:r>
      <w:r>
        <w:rPr>
          <w:rFonts w:ascii="仿宋" w:hAnsi="仿宋" w:eastAsia="仿宋"/>
          <w:sz w:val="31"/>
          <w:szCs w:val="32"/>
        </w:rPr>
        <w:t>60</w:t>
      </w:r>
      <w:r>
        <w:rPr>
          <w:rFonts w:hint="eastAsia" w:ascii="仿宋" w:hAnsi="仿宋" w:eastAsia="仿宋"/>
          <w:sz w:val="31"/>
          <w:szCs w:val="32"/>
        </w:rPr>
        <w:t>余万元。</w:t>
      </w:r>
    </w:p>
    <w:p w14:paraId="7C5ABC5E">
      <w:pPr>
        <w:spacing w:line="580" w:lineRule="exact"/>
        <w:ind w:firstLine="620" w:firstLineChars="200"/>
        <w:rPr>
          <w:rFonts w:ascii="黑体" w:eastAsia="黑体"/>
          <w:sz w:val="31"/>
        </w:rPr>
      </w:pPr>
      <w:r>
        <w:rPr>
          <w:rFonts w:hint="eastAsia" w:ascii="黑体" w:eastAsia="黑体"/>
          <w:sz w:val="31"/>
        </w:rPr>
        <w:t>六、有关建议</w:t>
      </w:r>
    </w:p>
    <w:p w14:paraId="61B53214">
      <w:pPr>
        <w:spacing w:line="580" w:lineRule="exact"/>
        <w:ind w:firstLine="595" w:firstLineChars="192"/>
        <w:rPr>
          <w:rFonts w:ascii="仿宋" w:hAnsi="仿宋" w:eastAsia="仿宋"/>
          <w:sz w:val="31"/>
          <w:szCs w:val="32"/>
        </w:rPr>
      </w:pPr>
      <w:r>
        <w:rPr>
          <w:rFonts w:hint="eastAsia" w:ascii="仿宋" w:hAnsi="仿宋" w:eastAsia="仿宋"/>
          <w:sz w:val="31"/>
          <w:szCs w:val="32"/>
        </w:rPr>
        <w:t>建议：为了保证巴音郭楞日报（民文版）的印刷安全，恳请州党委</w:t>
      </w:r>
      <w:r>
        <w:rPr>
          <w:rFonts w:ascii="仿宋" w:hAnsi="仿宋" w:eastAsia="仿宋"/>
          <w:sz w:val="31"/>
          <w:szCs w:val="32"/>
        </w:rPr>
        <w:t>2020</w:t>
      </w:r>
      <w:r>
        <w:rPr>
          <w:rFonts w:hint="eastAsia" w:ascii="仿宋" w:hAnsi="仿宋" w:eastAsia="仿宋"/>
          <w:sz w:val="31"/>
          <w:szCs w:val="32"/>
        </w:rPr>
        <w:t>年为《巴音郭楞日报》（汉文版）给予</w:t>
      </w:r>
      <w:r>
        <w:rPr>
          <w:rFonts w:ascii="仿宋" w:hAnsi="仿宋" w:eastAsia="仿宋"/>
          <w:sz w:val="31"/>
          <w:szCs w:val="32"/>
        </w:rPr>
        <w:t>60</w:t>
      </w:r>
      <w:r>
        <w:rPr>
          <w:rFonts w:hint="eastAsia" w:ascii="仿宋" w:hAnsi="仿宋" w:eastAsia="仿宋"/>
          <w:sz w:val="31"/>
          <w:szCs w:val="32"/>
        </w:rPr>
        <w:t>万元的印刷补贴，并列入年度财政预算为盼。</w:t>
      </w:r>
    </w:p>
    <w:p w14:paraId="712FA6F7">
      <w:pPr>
        <w:spacing w:line="580" w:lineRule="exact"/>
        <w:ind w:firstLine="620" w:firstLineChars="200"/>
        <w:rPr>
          <w:rFonts w:ascii="黑体" w:eastAsia="黑体"/>
          <w:sz w:val="31"/>
        </w:rPr>
      </w:pPr>
      <w:r>
        <w:rPr>
          <w:rFonts w:hint="eastAsia" w:ascii="黑体" w:eastAsia="黑体"/>
          <w:sz w:val="31"/>
        </w:rPr>
        <w:t>七、其他需要说明的问题</w:t>
      </w:r>
    </w:p>
    <w:p w14:paraId="6644DEEA">
      <w:pPr>
        <w:spacing w:line="580" w:lineRule="exact"/>
        <w:ind w:firstLine="595" w:firstLineChars="192"/>
        <w:rPr>
          <w:rFonts w:ascii="仿宋" w:hAnsi="仿宋" w:eastAsia="仿宋"/>
          <w:sz w:val="31"/>
          <w:szCs w:val="32"/>
        </w:rPr>
        <w:sectPr>
          <w:footerReference r:id="rId3" w:type="default"/>
          <w:footerReference r:id="rId4" w:type="even"/>
          <w:pgSz w:w="11906" w:h="16838"/>
          <w:pgMar w:top="1928" w:right="1531" w:bottom="1701" w:left="1531" w:header="737" w:footer="851" w:gutter="0"/>
          <w:cols w:space="720" w:num="1"/>
          <w:docGrid w:type="lines" w:linePitch="408" w:charSpace="0"/>
        </w:sectPr>
      </w:pPr>
      <w:r>
        <w:rPr>
          <w:rFonts w:hint="eastAsia" w:ascii="仿宋" w:hAnsi="仿宋" w:eastAsia="仿宋"/>
          <w:sz w:val="31"/>
          <w:szCs w:val="32"/>
        </w:rPr>
        <w:t>无。</w:t>
      </w:r>
    </w:p>
    <w:p w14:paraId="2EA102A1">
      <w:pPr>
        <w:pStyle w:val="2"/>
        <w:spacing w:before="0" w:after="0" w:line="240" w:lineRule="auto"/>
        <w:jc w:val="center"/>
        <w:rPr>
          <w:rFonts w:ascii="宋体" w:eastAsia="宋体" w:cs="宋体"/>
          <w:bCs/>
          <w:color w:val="000000"/>
          <w:sz w:val="36"/>
          <w:szCs w:val="28"/>
        </w:rPr>
      </w:pPr>
      <w:r>
        <w:rPr>
          <w:rFonts w:hint="eastAsia" w:ascii="宋体" w:eastAsia="宋体" w:cs="宋体"/>
          <w:bCs/>
          <w:color w:val="000000"/>
          <w:sz w:val="36"/>
          <w:szCs w:val="28"/>
        </w:rPr>
        <w:t>项目支出绩效评价指标体系框架</w:t>
      </w:r>
    </w:p>
    <w:p w14:paraId="5D081480">
      <w:pPr>
        <w:pStyle w:val="2"/>
        <w:spacing w:before="0" w:after="0" w:line="240" w:lineRule="auto"/>
        <w:jc w:val="center"/>
        <w:rPr>
          <w:bCs/>
          <w:color w:val="000000"/>
        </w:rPr>
      </w:pPr>
    </w:p>
    <w:tbl>
      <w:tblPr>
        <w:tblStyle w:val="7"/>
        <w:tblW w:w="1537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63"/>
        <w:gridCol w:w="1297"/>
        <w:gridCol w:w="1411"/>
        <w:gridCol w:w="2789"/>
        <w:gridCol w:w="7341"/>
        <w:gridCol w:w="829"/>
        <w:gridCol w:w="12"/>
        <w:gridCol w:w="11"/>
        <w:gridCol w:w="899"/>
        <w:gridCol w:w="12"/>
        <w:gridCol w:w="11"/>
      </w:tblGrid>
      <w:tr w14:paraId="3B0A1A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692" w:hRule="atLeast"/>
          <w:tblHeader/>
          <w:jc w:val="center"/>
        </w:trPr>
        <w:tc>
          <w:tcPr>
            <w:tcW w:w="763" w:type="dxa"/>
            <w:shd w:val="clear" w:color="auto" w:fill="FFFFFF"/>
            <w:vAlign w:val="center"/>
          </w:tcPr>
          <w:p w14:paraId="6C49567F">
            <w:pPr>
              <w:widowControl/>
              <w:spacing w:line="240" w:lineRule="atLeast"/>
              <w:jc w:val="center"/>
              <w:rPr>
                <w:rFonts w:ascii="宋体" w:eastAsia="宋体" w:cs="宋体"/>
                <w:b/>
                <w:bCs/>
                <w:color w:val="000000"/>
                <w:kern w:val="0"/>
                <w:sz w:val="22"/>
                <w:szCs w:val="22"/>
              </w:rPr>
            </w:pPr>
            <w:r>
              <w:rPr>
                <w:rFonts w:hint="eastAsia" w:ascii="宋体" w:eastAsia="宋体" w:cs="宋体"/>
                <w:b/>
                <w:bCs/>
                <w:color w:val="000000"/>
                <w:kern w:val="0"/>
                <w:sz w:val="22"/>
                <w:szCs w:val="22"/>
              </w:rPr>
              <w:t>一级指标</w:t>
            </w:r>
          </w:p>
        </w:tc>
        <w:tc>
          <w:tcPr>
            <w:tcW w:w="1297" w:type="dxa"/>
            <w:shd w:val="clear" w:color="auto" w:fill="FFFFFF"/>
            <w:vAlign w:val="center"/>
          </w:tcPr>
          <w:p w14:paraId="5197B9EB">
            <w:pPr>
              <w:widowControl/>
              <w:spacing w:line="240" w:lineRule="atLeast"/>
              <w:jc w:val="center"/>
              <w:rPr>
                <w:rFonts w:ascii="宋体" w:eastAsia="宋体" w:cs="宋体"/>
                <w:b/>
                <w:bCs/>
                <w:color w:val="000000"/>
                <w:kern w:val="0"/>
                <w:sz w:val="22"/>
                <w:szCs w:val="22"/>
              </w:rPr>
            </w:pPr>
            <w:r>
              <w:rPr>
                <w:rFonts w:hint="eastAsia" w:ascii="宋体" w:eastAsia="宋体" w:cs="宋体"/>
                <w:b/>
                <w:bCs/>
                <w:color w:val="000000"/>
                <w:kern w:val="0"/>
                <w:sz w:val="22"/>
                <w:szCs w:val="22"/>
              </w:rPr>
              <w:t>二级指标</w:t>
            </w:r>
          </w:p>
        </w:tc>
        <w:tc>
          <w:tcPr>
            <w:tcW w:w="1411" w:type="dxa"/>
            <w:shd w:val="clear" w:color="auto" w:fill="FFFFFF"/>
            <w:vAlign w:val="center"/>
          </w:tcPr>
          <w:p w14:paraId="793D87BB">
            <w:pPr>
              <w:widowControl/>
              <w:spacing w:line="240" w:lineRule="atLeast"/>
              <w:jc w:val="center"/>
              <w:rPr>
                <w:rFonts w:ascii="宋体" w:eastAsia="宋体" w:cs="宋体"/>
                <w:b/>
                <w:bCs/>
                <w:color w:val="000000"/>
                <w:kern w:val="0"/>
                <w:sz w:val="22"/>
                <w:szCs w:val="22"/>
              </w:rPr>
            </w:pPr>
            <w:r>
              <w:rPr>
                <w:rFonts w:hint="eastAsia" w:ascii="宋体" w:eastAsia="宋体" w:cs="宋体"/>
                <w:b/>
                <w:bCs/>
                <w:color w:val="000000"/>
                <w:kern w:val="0"/>
                <w:sz w:val="22"/>
                <w:szCs w:val="22"/>
              </w:rPr>
              <w:t>三级指标</w:t>
            </w:r>
          </w:p>
        </w:tc>
        <w:tc>
          <w:tcPr>
            <w:tcW w:w="2789" w:type="dxa"/>
            <w:shd w:val="clear" w:color="auto" w:fill="FFFFFF"/>
            <w:vAlign w:val="center"/>
          </w:tcPr>
          <w:p w14:paraId="5CA94F5A">
            <w:pPr>
              <w:widowControl/>
              <w:spacing w:line="240" w:lineRule="atLeast"/>
              <w:jc w:val="center"/>
              <w:rPr>
                <w:rFonts w:ascii="宋体" w:eastAsia="宋体" w:cs="宋体"/>
                <w:b/>
                <w:bCs/>
                <w:color w:val="000000"/>
                <w:kern w:val="0"/>
                <w:sz w:val="22"/>
                <w:szCs w:val="22"/>
              </w:rPr>
            </w:pPr>
            <w:r>
              <w:rPr>
                <w:rFonts w:hint="eastAsia" w:ascii="宋体" w:eastAsia="宋体" w:cs="宋体"/>
                <w:b/>
                <w:bCs/>
                <w:color w:val="000000"/>
                <w:kern w:val="0"/>
                <w:sz w:val="22"/>
                <w:szCs w:val="22"/>
              </w:rPr>
              <w:t>指标解释</w:t>
            </w:r>
          </w:p>
        </w:tc>
        <w:tc>
          <w:tcPr>
            <w:tcW w:w="7341" w:type="dxa"/>
            <w:shd w:val="clear" w:color="auto" w:fill="FFFFFF"/>
            <w:vAlign w:val="center"/>
          </w:tcPr>
          <w:p w14:paraId="2A044BC4">
            <w:pPr>
              <w:widowControl/>
              <w:spacing w:line="240" w:lineRule="atLeast"/>
              <w:jc w:val="center"/>
              <w:rPr>
                <w:rFonts w:ascii="宋体" w:eastAsia="宋体" w:cs="宋体"/>
                <w:b/>
                <w:bCs/>
                <w:color w:val="000000"/>
                <w:kern w:val="0"/>
                <w:sz w:val="22"/>
                <w:szCs w:val="22"/>
              </w:rPr>
            </w:pPr>
            <w:r>
              <w:rPr>
                <w:rFonts w:hint="eastAsia" w:ascii="宋体" w:eastAsia="宋体" w:cs="宋体"/>
                <w:b/>
                <w:bCs/>
                <w:color w:val="000000"/>
                <w:kern w:val="0"/>
                <w:sz w:val="22"/>
                <w:szCs w:val="22"/>
              </w:rPr>
              <w:t>指标说明</w:t>
            </w:r>
          </w:p>
        </w:tc>
        <w:tc>
          <w:tcPr>
            <w:tcW w:w="841" w:type="dxa"/>
            <w:gridSpan w:val="2"/>
            <w:tcBorders>
              <w:top w:val="single" w:color="auto" w:sz="4" w:space="0"/>
              <w:bottom w:val="single" w:color="auto" w:sz="4" w:space="0"/>
              <w:right w:val="single" w:color="auto" w:sz="4" w:space="0"/>
            </w:tcBorders>
          </w:tcPr>
          <w:p w14:paraId="34AA2EDE">
            <w:pPr>
              <w:widowControl/>
              <w:spacing w:line="240" w:lineRule="atLeast"/>
              <w:jc w:val="center"/>
              <w:rPr>
                <w:rFonts w:ascii="宋体" w:eastAsia="宋体" w:cs="宋体"/>
                <w:b/>
                <w:bCs/>
                <w:color w:val="000000"/>
                <w:kern w:val="0"/>
                <w:sz w:val="22"/>
                <w:szCs w:val="22"/>
              </w:rPr>
            </w:pPr>
            <w:r>
              <w:rPr>
                <w:rFonts w:hint="eastAsia" w:ascii="宋体" w:eastAsia="宋体" w:cs="宋体"/>
                <w:b/>
                <w:bCs/>
                <w:color w:val="000000"/>
                <w:kern w:val="0"/>
                <w:sz w:val="22"/>
                <w:szCs w:val="22"/>
              </w:rPr>
              <w:t>分值</w:t>
            </w:r>
          </w:p>
        </w:tc>
        <w:tc>
          <w:tcPr>
            <w:tcW w:w="922" w:type="dxa"/>
            <w:gridSpan w:val="3"/>
            <w:tcBorders>
              <w:top w:val="single" w:color="auto" w:sz="4" w:space="0"/>
              <w:left w:val="single" w:color="auto" w:sz="4" w:space="0"/>
              <w:bottom w:val="single" w:color="auto" w:sz="4" w:space="0"/>
              <w:right w:val="single" w:color="auto" w:sz="4" w:space="0"/>
            </w:tcBorders>
          </w:tcPr>
          <w:p w14:paraId="004757E8">
            <w:pPr>
              <w:widowControl/>
              <w:jc w:val="left"/>
              <w:rPr>
                <w:rFonts w:ascii="宋体" w:eastAsia="宋体" w:cs="宋体"/>
                <w:b/>
                <w:bCs/>
                <w:color w:val="000000"/>
                <w:kern w:val="0"/>
                <w:sz w:val="22"/>
                <w:szCs w:val="22"/>
              </w:rPr>
            </w:pPr>
            <w:r>
              <w:rPr>
                <w:rFonts w:hint="eastAsia" w:ascii="宋体" w:eastAsia="宋体" w:cs="宋体"/>
                <w:b/>
                <w:bCs/>
                <w:color w:val="000000"/>
                <w:kern w:val="0"/>
                <w:sz w:val="22"/>
                <w:szCs w:val="22"/>
              </w:rPr>
              <w:t>评价</w:t>
            </w:r>
          </w:p>
          <w:p w14:paraId="42E5F097">
            <w:pPr>
              <w:widowControl/>
              <w:jc w:val="left"/>
              <w:rPr>
                <w:rFonts w:ascii="宋体" w:eastAsia="宋体" w:cs="宋体"/>
                <w:b/>
                <w:bCs/>
                <w:color w:val="000000"/>
                <w:kern w:val="0"/>
                <w:sz w:val="22"/>
                <w:szCs w:val="22"/>
              </w:rPr>
            </w:pPr>
            <w:r>
              <w:rPr>
                <w:rFonts w:hint="eastAsia" w:ascii="宋体" w:eastAsia="宋体" w:cs="宋体"/>
                <w:b/>
                <w:bCs/>
                <w:color w:val="000000"/>
                <w:kern w:val="0"/>
                <w:sz w:val="22"/>
                <w:szCs w:val="22"/>
              </w:rPr>
              <w:t>结果</w:t>
            </w:r>
          </w:p>
        </w:tc>
      </w:tr>
      <w:tr w14:paraId="1B4714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2318" w:hRule="atLeast"/>
          <w:jc w:val="center"/>
        </w:trPr>
        <w:tc>
          <w:tcPr>
            <w:tcW w:w="763" w:type="dxa"/>
            <w:vMerge w:val="restart"/>
            <w:shd w:val="clear" w:color="auto" w:fill="FFFFFF"/>
            <w:vAlign w:val="center"/>
          </w:tcPr>
          <w:p w14:paraId="75BFC7F7">
            <w:pPr>
              <w:widowControl/>
              <w:spacing w:line="240" w:lineRule="atLeast"/>
              <w:jc w:val="center"/>
              <w:rPr>
                <w:rFonts w:ascii="宋体" w:eastAsia="宋体" w:cs="宋体"/>
                <w:color w:val="000000"/>
                <w:kern w:val="0"/>
                <w:sz w:val="22"/>
                <w:szCs w:val="22"/>
              </w:rPr>
            </w:pPr>
            <w:r>
              <w:rPr>
                <w:rFonts w:hint="eastAsia" w:ascii="宋体" w:eastAsia="宋体" w:cs="宋体"/>
                <w:color w:val="000000"/>
                <w:kern w:val="0"/>
                <w:sz w:val="22"/>
                <w:szCs w:val="22"/>
              </w:rPr>
              <w:t>决策</w:t>
            </w:r>
            <w:r>
              <w:rPr>
                <w:rFonts w:ascii="宋体" w:eastAsia="宋体" w:cs="宋体"/>
                <w:color w:val="000000"/>
                <w:kern w:val="0"/>
                <w:sz w:val="22"/>
                <w:szCs w:val="22"/>
              </w:rPr>
              <w:t>(20</w:t>
            </w:r>
            <w:r>
              <w:rPr>
                <w:rFonts w:hint="eastAsia" w:ascii="宋体" w:eastAsia="宋体" w:cs="宋体"/>
                <w:color w:val="000000"/>
                <w:kern w:val="0"/>
                <w:sz w:val="22"/>
                <w:szCs w:val="22"/>
              </w:rPr>
              <w:t>分</w:t>
            </w:r>
            <w:r>
              <w:rPr>
                <w:rFonts w:ascii="宋体" w:eastAsia="宋体" w:cs="宋体"/>
                <w:color w:val="000000"/>
                <w:kern w:val="0"/>
                <w:sz w:val="22"/>
                <w:szCs w:val="22"/>
              </w:rPr>
              <w:t>)</w:t>
            </w:r>
            <w:r>
              <w:rPr>
                <w:rFonts w:hint="eastAsia" w:ascii="宋体" w:eastAsia="宋体" w:cs="宋体"/>
                <w:color w:val="000000"/>
                <w:kern w:val="0"/>
                <w:sz w:val="22"/>
                <w:szCs w:val="22"/>
              </w:rPr>
              <w:t>　</w:t>
            </w:r>
          </w:p>
          <w:p w14:paraId="4E0F96FF">
            <w:pPr>
              <w:widowControl/>
              <w:spacing w:line="240" w:lineRule="atLeast"/>
              <w:jc w:val="center"/>
              <w:rPr>
                <w:rFonts w:ascii="宋体" w:eastAsia="宋体" w:cs="宋体"/>
                <w:color w:val="000000"/>
                <w:kern w:val="0"/>
                <w:sz w:val="22"/>
                <w:szCs w:val="22"/>
              </w:rPr>
            </w:pPr>
            <w:r>
              <w:rPr>
                <w:rFonts w:hint="eastAsia" w:ascii="宋体" w:eastAsia="宋体" w:cs="宋体"/>
                <w:color w:val="000000"/>
                <w:kern w:val="0"/>
                <w:sz w:val="22"/>
                <w:szCs w:val="22"/>
              </w:rPr>
              <w:t>　</w:t>
            </w:r>
          </w:p>
          <w:p w14:paraId="01AB5A8B">
            <w:pPr>
              <w:spacing w:line="240" w:lineRule="atLeast"/>
              <w:jc w:val="center"/>
              <w:rPr>
                <w:rFonts w:ascii="宋体" w:eastAsia="宋体" w:cs="宋体"/>
                <w:color w:val="000000"/>
                <w:kern w:val="0"/>
                <w:sz w:val="22"/>
                <w:szCs w:val="22"/>
              </w:rPr>
            </w:pPr>
            <w:r>
              <w:rPr>
                <w:rFonts w:hint="eastAsia" w:ascii="宋体" w:eastAsia="宋体" w:cs="宋体"/>
                <w:color w:val="000000"/>
                <w:kern w:val="0"/>
                <w:sz w:val="22"/>
                <w:szCs w:val="22"/>
              </w:rPr>
              <w:t>　</w:t>
            </w:r>
          </w:p>
        </w:tc>
        <w:tc>
          <w:tcPr>
            <w:tcW w:w="1297" w:type="dxa"/>
            <w:vMerge w:val="restart"/>
            <w:shd w:val="clear" w:color="auto" w:fill="FFFFFF"/>
            <w:vAlign w:val="center"/>
          </w:tcPr>
          <w:p w14:paraId="73EACC9D">
            <w:pPr>
              <w:widowControl/>
              <w:spacing w:line="240" w:lineRule="atLeast"/>
              <w:jc w:val="center"/>
              <w:rPr>
                <w:rFonts w:ascii="宋体" w:eastAsia="宋体" w:cs="宋体"/>
                <w:color w:val="000000"/>
                <w:kern w:val="0"/>
                <w:sz w:val="22"/>
                <w:szCs w:val="22"/>
              </w:rPr>
            </w:pPr>
            <w:r>
              <w:rPr>
                <w:rFonts w:hint="eastAsia" w:ascii="宋体" w:eastAsia="宋体" w:cs="宋体"/>
                <w:color w:val="000000"/>
                <w:kern w:val="0"/>
                <w:sz w:val="22"/>
                <w:szCs w:val="22"/>
              </w:rPr>
              <w:t>项目立项（</w:t>
            </w:r>
            <w:r>
              <w:rPr>
                <w:rFonts w:ascii="宋体" w:eastAsia="宋体" w:cs="宋体"/>
                <w:color w:val="000000"/>
                <w:kern w:val="0"/>
                <w:sz w:val="22"/>
                <w:szCs w:val="22"/>
              </w:rPr>
              <w:t>5</w:t>
            </w:r>
            <w:r>
              <w:rPr>
                <w:rFonts w:hint="eastAsia" w:ascii="宋体" w:eastAsia="宋体" w:cs="宋体"/>
                <w:color w:val="000000"/>
                <w:kern w:val="0"/>
                <w:sz w:val="22"/>
                <w:szCs w:val="22"/>
              </w:rPr>
              <w:t>）　</w:t>
            </w:r>
          </w:p>
        </w:tc>
        <w:tc>
          <w:tcPr>
            <w:tcW w:w="1411" w:type="dxa"/>
            <w:shd w:val="clear" w:color="auto" w:fill="FFFFFF"/>
            <w:vAlign w:val="center"/>
          </w:tcPr>
          <w:p w14:paraId="2C15767E">
            <w:pPr>
              <w:widowControl/>
              <w:spacing w:line="240" w:lineRule="atLeast"/>
              <w:jc w:val="center"/>
              <w:rPr>
                <w:rFonts w:ascii="宋体" w:eastAsia="宋体" w:cs="宋体"/>
                <w:color w:val="000000"/>
                <w:kern w:val="0"/>
                <w:sz w:val="22"/>
                <w:szCs w:val="22"/>
              </w:rPr>
            </w:pPr>
            <w:r>
              <w:rPr>
                <w:rFonts w:hint="eastAsia" w:ascii="宋体" w:eastAsia="宋体" w:cs="宋体"/>
                <w:color w:val="000000"/>
                <w:kern w:val="0"/>
                <w:sz w:val="22"/>
                <w:szCs w:val="22"/>
              </w:rPr>
              <w:t>立项依据</w:t>
            </w:r>
          </w:p>
          <w:p w14:paraId="0799AFC4">
            <w:pPr>
              <w:widowControl/>
              <w:spacing w:line="240" w:lineRule="atLeast"/>
              <w:jc w:val="center"/>
              <w:rPr>
                <w:rFonts w:ascii="宋体" w:eastAsia="宋体" w:cs="宋体"/>
                <w:color w:val="000000"/>
                <w:kern w:val="0"/>
                <w:sz w:val="22"/>
                <w:szCs w:val="22"/>
              </w:rPr>
            </w:pPr>
            <w:r>
              <w:rPr>
                <w:rFonts w:hint="eastAsia" w:ascii="宋体" w:eastAsia="宋体" w:cs="宋体"/>
                <w:color w:val="000000"/>
                <w:kern w:val="0"/>
                <w:sz w:val="22"/>
                <w:szCs w:val="22"/>
              </w:rPr>
              <w:t>充分性</w:t>
            </w:r>
          </w:p>
        </w:tc>
        <w:tc>
          <w:tcPr>
            <w:tcW w:w="2789" w:type="dxa"/>
            <w:shd w:val="clear" w:color="auto" w:fill="FFFFFF"/>
            <w:vAlign w:val="center"/>
          </w:tcPr>
          <w:p w14:paraId="2BCE5103">
            <w:pPr>
              <w:widowControl/>
              <w:spacing w:line="240" w:lineRule="atLeast"/>
              <w:rPr>
                <w:rFonts w:ascii="宋体" w:eastAsia="宋体" w:cs="宋体"/>
                <w:color w:val="000000"/>
                <w:kern w:val="0"/>
                <w:sz w:val="22"/>
                <w:szCs w:val="22"/>
              </w:rPr>
            </w:pPr>
            <w:r>
              <w:rPr>
                <w:rFonts w:hint="eastAsia" w:ascii="宋体" w:eastAsia="宋体" w:cs="宋体"/>
                <w:color w:val="000000"/>
                <w:kern w:val="0"/>
                <w:sz w:val="22"/>
                <w:szCs w:val="22"/>
              </w:rPr>
              <w:t>项目立项是否符合法律法规、相关政策、发展规划以及部门职责，用以反映和考核项目立项依据情况。</w:t>
            </w:r>
          </w:p>
        </w:tc>
        <w:tc>
          <w:tcPr>
            <w:tcW w:w="7341" w:type="dxa"/>
            <w:tcBorders>
              <w:bottom w:val="single" w:color="auto" w:sz="4" w:space="0"/>
            </w:tcBorders>
            <w:shd w:val="clear" w:color="auto" w:fill="FFFFFF"/>
            <w:vAlign w:val="center"/>
          </w:tcPr>
          <w:p w14:paraId="41F86A5F">
            <w:pPr>
              <w:widowControl/>
              <w:spacing w:line="240" w:lineRule="atLeast"/>
              <w:jc w:val="left"/>
              <w:rPr>
                <w:rFonts w:ascii="宋体" w:eastAsia="宋体" w:cs="宋体"/>
                <w:color w:val="000000"/>
                <w:kern w:val="0"/>
                <w:sz w:val="22"/>
                <w:szCs w:val="22"/>
              </w:rPr>
            </w:pPr>
            <w:r>
              <w:rPr>
                <w:rFonts w:hint="eastAsia" w:ascii="宋体" w:eastAsia="宋体" w:cs="宋体"/>
                <w:color w:val="000000"/>
                <w:kern w:val="0"/>
                <w:sz w:val="22"/>
                <w:szCs w:val="22"/>
              </w:rPr>
              <w:t>评价要点：</w:t>
            </w:r>
            <w:r>
              <w:rPr>
                <w:rFonts w:ascii="宋体" w:eastAsia="宋体" w:cs="宋体"/>
                <w:color w:val="000000"/>
                <w:kern w:val="0"/>
                <w:sz w:val="22"/>
                <w:szCs w:val="22"/>
              </w:rPr>
              <w:br w:type="textWrapping"/>
            </w:r>
            <w:r>
              <w:rPr>
                <w:rFonts w:hint="eastAsia" w:ascii="宋体" w:eastAsia="宋体" w:cs="宋体"/>
                <w:color w:val="000000"/>
                <w:kern w:val="0"/>
                <w:sz w:val="22"/>
                <w:szCs w:val="22"/>
              </w:rPr>
              <w:t>①项目立项是否符合国家法律法规、国民经济发展规划和相关政策；</w:t>
            </w:r>
            <w:r>
              <w:rPr>
                <w:rFonts w:ascii="宋体" w:eastAsia="宋体" w:cs="宋体"/>
                <w:color w:val="000000"/>
                <w:kern w:val="0"/>
                <w:sz w:val="22"/>
                <w:szCs w:val="22"/>
              </w:rPr>
              <w:br w:type="textWrapping"/>
            </w:r>
            <w:r>
              <w:rPr>
                <w:rFonts w:hint="eastAsia" w:ascii="宋体" w:eastAsia="宋体" w:cs="宋体"/>
                <w:color w:val="000000"/>
                <w:kern w:val="0"/>
                <w:sz w:val="22"/>
                <w:szCs w:val="22"/>
              </w:rPr>
              <w:t>②项目立项是否符合行业发展规划和政策要求；</w:t>
            </w:r>
            <w:r>
              <w:rPr>
                <w:rFonts w:ascii="宋体" w:eastAsia="宋体" w:cs="宋体"/>
                <w:color w:val="000000"/>
                <w:kern w:val="0"/>
                <w:sz w:val="22"/>
                <w:szCs w:val="22"/>
              </w:rPr>
              <w:br w:type="textWrapping"/>
            </w:r>
            <w:r>
              <w:rPr>
                <w:rFonts w:hint="eastAsia" w:ascii="宋体" w:eastAsia="宋体" w:cs="宋体"/>
                <w:color w:val="000000"/>
                <w:kern w:val="0"/>
                <w:sz w:val="22"/>
                <w:szCs w:val="22"/>
              </w:rPr>
              <w:t>③项目立项是否与部门职责范围相符，属于部门履职所需；</w:t>
            </w:r>
            <w:r>
              <w:rPr>
                <w:rFonts w:ascii="宋体" w:eastAsia="宋体" w:cs="宋体"/>
                <w:color w:val="000000"/>
                <w:kern w:val="0"/>
                <w:sz w:val="22"/>
                <w:szCs w:val="22"/>
              </w:rPr>
              <w:br w:type="textWrapping"/>
            </w:r>
            <w:r>
              <w:rPr>
                <w:rFonts w:hint="eastAsia" w:ascii="宋体" w:eastAsia="宋体" w:cs="宋体"/>
                <w:color w:val="000000"/>
                <w:kern w:val="0"/>
                <w:sz w:val="22"/>
                <w:szCs w:val="22"/>
              </w:rPr>
              <w:t>④项目是否属于公共财政支持范围，是否符合中央、地方事权支出责任划分原则；</w:t>
            </w:r>
            <w:r>
              <w:rPr>
                <w:rFonts w:ascii="宋体" w:eastAsia="宋体" w:cs="宋体"/>
                <w:color w:val="000000"/>
                <w:kern w:val="0"/>
                <w:sz w:val="22"/>
                <w:szCs w:val="22"/>
              </w:rPr>
              <w:br w:type="textWrapping"/>
            </w:r>
            <w:r>
              <w:rPr>
                <w:rFonts w:hint="eastAsia" w:ascii="宋体" w:eastAsia="宋体" w:cs="宋体"/>
                <w:color w:val="000000"/>
                <w:kern w:val="0"/>
                <w:sz w:val="22"/>
                <w:szCs w:val="22"/>
              </w:rPr>
              <w:t>⑤项目是否与相关部门同类项目或部门内部相关项目重复。</w:t>
            </w:r>
          </w:p>
        </w:tc>
        <w:tc>
          <w:tcPr>
            <w:tcW w:w="841" w:type="dxa"/>
            <w:gridSpan w:val="2"/>
            <w:tcBorders>
              <w:top w:val="single" w:color="auto" w:sz="4" w:space="0"/>
              <w:bottom w:val="single" w:color="auto" w:sz="4" w:space="0"/>
              <w:right w:val="single" w:color="auto" w:sz="4" w:space="0"/>
            </w:tcBorders>
          </w:tcPr>
          <w:p w14:paraId="00D60F8E">
            <w:pPr>
              <w:widowControl/>
              <w:jc w:val="left"/>
              <w:rPr>
                <w:rFonts w:ascii="宋体" w:eastAsia="宋体" w:cs="宋体"/>
                <w:color w:val="000000"/>
                <w:kern w:val="0"/>
                <w:sz w:val="22"/>
                <w:szCs w:val="22"/>
              </w:rPr>
            </w:pPr>
            <w:r>
              <w:rPr>
                <w:rFonts w:ascii="宋体" w:eastAsia="宋体" w:cs="宋体"/>
                <w:color w:val="000000"/>
                <w:kern w:val="0"/>
                <w:sz w:val="22"/>
                <w:szCs w:val="22"/>
              </w:rPr>
              <w:t>2</w:t>
            </w:r>
          </w:p>
        </w:tc>
        <w:tc>
          <w:tcPr>
            <w:tcW w:w="922" w:type="dxa"/>
            <w:gridSpan w:val="3"/>
            <w:tcBorders>
              <w:top w:val="single" w:color="auto" w:sz="4" w:space="0"/>
              <w:left w:val="single" w:color="auto" w:sz="4" w:space="0"/>
              <w:bottom w:val="single" w:color="auto" w:sz="4" w:space="0"/>
              <w:right w:val="single" w:color="auto" w:sz="4" w:space="0"/>
            </w:tcBorders>
          </w:tcPr>
          <w:p w14:paraId="47410832">
            <w:pPr>
              <w:widowControl/>
              <w:jc w:val="left"/>
              <w:rPr>
                <w:rFonts w:ascii="宋体" w:eastAsia="宋体" w:cs="宋体"/>
                <w:color w:val="000000"/>
                <w:kern w:val="0"/>
                <w:sz w:val="22"/>
                <w:szCs w:val="22"/>
              </w:rPr>
            </w:pPr>
            <w:r>
              <w:rPr>
                <w:rFonts w:ascii="宋体" w:eastAsia="宋体" w:cs="宋体"/>
                <w:color w:val="000000"/>
                <w:kern w:val="0"/>
                <w:sz w:val="22"/>
                <w:szCs w:val="22"/>
              </w:rPr>
              <w:t>2</w:t>
            </w:r>
          </w:p>
        </w:tc>
      </w:tr>
      <w:tr w14:paraId="4F5CFF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640" w:hRule="atLeast"/>
          <w:jc w:val="center"/>
        </w:trPr>
        <w:tc>
          <w:tcPr>
            <w:tcW w:w="763" w:type="dxa"/>
            <w:vMerge w:val="continue"/>
            <w:shd w:val="clear" w:color="auto" w:fill="FFFFFF"/>
            <w:vAlign w:val="center"/>
          </w:tcPr>
          <w:p w14:paraId="0E941036"/>
        </w:tc>
        <w:tc>
          <w:tcPr>
            <w:tcW w:w="1297" w:type="dxa"/>
            <w:vMerge w:val="continue"/>
            <w:shd w:val="clear" w:color="auto" w:fill="FFFFFF"/>
            <w:vAlign w:val="center"/>
          </w:tcPr>
          <w:p w14:paraId="69820BA9"/>
        </w:tc>
        <w:tc>
          <w:tcPr>
            <w:tcW w:w="1411" w:type="dxa"/>
            <w:shd w:val="clear" w:color="auto" w:fill="FFFFFF"/>
            <w:vAlign w:val="center"/>
          </w:tcPr>
          <w:p w14:paraId="3B975BB7">
            <w:pPr>
              <w:widowControl/>
              <w:spacing w:line="240" w:lineRule="atLeast"/>
              <w:jc w:val="center"/>
              <w:rPr>
                <w:rFonts w:ascii="宋体" w:eastAsia="宋体" w:cs="宋体"/>
                <w:color w:val="000000"/>
                <w:kern w:val="0"/>
                <w:sz w:val="22"/>
                <w:szCs w:val="22"/>
              </w:rPr>
            </w:pPr>
            <w:r>
              <w:rPr>
                <w:rFonts w:hint="eastAsia" w:ascii="宋体" w:eastAsia="宋体" w:cs="宋体"/>
                <w:color w:val="000000"/>
                <w:kern w:val="0"/>
                <w:sz w:val="22"/>
                <w:szCs w:val="22"/>
              </w:rPr>
              <w:t>立项程序</w:t>
            </w:r>
          </w:p>
          <w:p w14:paraId="2EBD6EB3">
            <w:pPr>
              <w:widowControl/>
              <w:spacing w:line="240" w:lineRule="atLeast"/>
              <w:jc w:val="center"/>
              <w:rPr>
                <w:rFonts w:ascii="宋体" w:eastAsia="宋体" w:cs="宋体"/>
                <w:color w:val="000000"/>
                <w:kern w:val="0"/>
                <w:sz w:val="22"/>
                <w:szCs w:val="22"/>
              </w:rPr>
            </w:pPr>
            <w:r>
              <w:rPr>
                <w:rFonts w:hint="eastAsia" w:ascii="宋体" w:eastAsia="宋体" w:cs="宋体"/>
                <w:color w:val="000000"/>
                <w:kern w:val="0"/>
                <w:sz w:val="22"/>
                <w:szCs w:val="22"/>
              </w:rPr>
              <w:t>规范性</w:t>
            </w:r>
          </w:p>
        </w:tc>
        <w:tc>
          <w:tcPr>
            <w:tcW w:w="2789" w:type="dxa"/>
            <w:shd w:val="clear" w:color="auto" w:fill="FFFFFF"/>
            <w:vAlign w:val="center"/>
          </w:tcPr>
          <w:p w14:paraId="60960CB2">
            <w:pPr>
              <w:widowControl/>
              <w:spacing w:line="240" w:lineRule="atLeast"/>
              <w:rPr>
                <w:rFonts w:ascii="宋体" w:eastAsia="宋体" w:cs="宋体"/>
                <w:color w:val="000000"/>
                <w:kern w:val="0"/>
                <w:sz w:val="22"/>
                <w:szCs w:val="22"/>
              </w:rPr>
            </w:pPr>
            <w:r>
              <w:rPr>
                <w:rFonts w:hint="eastAsia" w:ascii="宋体" w:eastAsia="宋体" w:cs="宋体"/>
                <w:color w:val="000000"/>
                <w:kern w:val="0"/>
                <w:sz w:val="22"/>
                <w:szCs w:val="22"/>
              </w:rPr>
              <w:t>项目申请、设立过程是否符合相关要求，用以反映和考核项目立项的规范情况。</w:t>
            </w:r>
          </w:p>
        </w:tc>
        <w:tc>
          <w:tcPr>
            <w:tcW w:w="7341" w:type="dxa"/>
            <w:shd w:val="clear" w:color="auto" w:fill="FFFFFF"/>
            <w:vAlign w:val="center"/>
          </w:tcPr>
          <w:p w14:paraId="51A98E32">
            <w:pPr>
              <w:widowControl/>
              <w:spacing w:line="240" w:lineRule="atLeast"/>
              <w:jc w:val="left"/>
              <w:rPr>
                <w:rFonts w:ascii="宋体" w:eastAsia="宋体" w:cs="宋体"/>
                <w:color w:val="000000"/>
                <w:kern w:val="0"/>
                <w:sz w:val="22"/>
                <w:szCs w:val="22"/>
              </w:rPr>
            </w:pPr>
            <w:r>
              <w:rPr>
                <w:rFonts w:hint="eastAsia" w:ascii="宋体" w:eastAsia="宋体" w:cs="宋体"/>
                <w:color w:val="000000"/>
                <w:kern w:val="0"/>
                <w:sz w:val="22"/>
                <w:szCs w:val="22"/>
              </w:rPr>
              <w:t>评价要点：</w:t>
            </w:r>
            <w:r>
              <w:rPr>
                <w:rFonts w:ascii="宋体" w:eastAsia="宋体" w:cs="宋体"/>
                <w:color w:val="000000"/>
                <w:kern w:val="0"/>
                <w:sz w:val="22"/>
                <w:szCs w:val="22"/>
              </w:rPr>
              <w:br w:type="textWrapping"/>
            </w:r>
            <w:r>
              <w:rPr>
                <w:rFonts w:hint="eastAsia" w:ascii="宋体" w:eastAsia="宋体" w:cs="宋体"/>
                <w:color w:val="000000"/>
                <w:kern w:val="0"/>
                <w:sz w:val="22"/>
                <w:szCs w:val="22"/>
              </w:rPr>
              <w:t>①项目是否按照规定的程序申请设立；</w:t>
            </w:r>
            <w:r>
              <w:rPr>
                <w:rFonts w:ascii="宋体" w:eastAsia="宋体" w:cs="宋体"/>
                <w:color w:val="000000"/>
                <w:kern w:val="0"/>
                <w:sz w:val="22"/>
                <w:szCs w:val="22"/>
              </w:rPr>
              <w:br w:type="textWrapping"/>
            </w:r>
            <w:r>
              <w:rPr>
                <w:rFonts w:hint="eastAsia" w:ascii="宋体" w:eastAsia="宋体" w:cs="宋体"/>
                <w:color w:val="000000"/>
                <w:kern w:val="0"/>
                <w:sz w:val="22"/>
                <w:szCs w:val="22"/>
              </w:rPr>
              <w:t>②审批文件、材料是否符合相关要求；</w:t>
            </w:r>
            <w:r>
              <w:rPr>
                <w:rFonts w:ascii="宋体" w:eastAsia="宋体" w:cs="宋体"/>
                <w:color w:val="000000"/>
                <w:kern w:val="0"/>
                <w:sz w:val="22"/>
                <w:szCs w:val="22"/>
              </w:rPr>
              <w:br w:type="textWrapping"/>
            </w:r>
            <w:r>
              <w:rPr>
                <w:rFonts w:hint="eastAsia" w:ascii="宋体" w:eastAsia="宋体" w:cs="宋体"/>
                <w:color w:val="000000"/>
                <w:kern w:val="0"/>
                <w:sz w:val="22"/>
                <w:szCs w:val="22"/>
              </w:rPr>
              <w:t>③事前是否已经过必要的可行性研究、专家论证、风险评估、绩效评估、集体决策。</w:t>
            </w:r>
          </w:p>
        </w:tc>
        <w:tc>
          <w:tcPr>
            <w:tcW w:w="841" w:type="dxa"/>
            <w:gridSpan w:val="2"/>
            <w:tcBorders>
              <w:top w:val="single" w:color="auto" w:sz="4" w:space="0"/>
              <w:bottom w:val="single" w:color="auto" w:sz="4" w:space="0"/>
              <w:right w:val="single" w:color="auto" w:sz="4" w:space="0"/>
            </w:tcBorders>
          </w:tcPr>
          <w:p w14:paraId="5C946003">
            <w:pPr>
              <w:widowControl/>
              <w:jc w:val="left"/>
              <w:rPr>
                <w:rFonts w:ascii="宋体" w:eastAsia="宋体" w:cs="宋体"/>
                <w:color w:val="000000"/>
                <w:kern w:val="0"/>
                <w:sz w:val="22"/>
                <w:szCs w:val="22"/>
              </w:rPr>
            </w:pPr>
            <w:r>
              <w:rPr>
                <w:rFonts w:ascii="宋体" w:eastAsia="宋体" w:cs="宋体"/>
                <w:color w:val="000000"/>
                <w:kern w:val="0"/>
                <w:sz w:val="22"/>
                <w:szCs w:val="22"/>
              </w:rPr>
              <w:t>3</w:t>
            </w:r>
          </w:p>
          <w:p w14:paraId="50F245E0">
            <w:pPr>
              <w:widowControl/>
              <w:jc w:val="left"/>
              <w:rPr>
                <w:rFonts w:ascii="宋体" w:eastAsia="宋体" w:cs="宋体"/>
                <w:color w:val="000000"/>
                <w:kern w:val="0"/>
                <w:sz w:val="22"/>
                <w:szCs w:val="22"/>
              </w:rPr>
            </w:pPr>
          </w:p>
        </w:tc>
        <w:tc>
          <w:tcPr>
            <w:tcW w:w="922" w:type="dxa"/>
            <w:gridSpan w:val="3"/>
            <w:tcBorders>
              <w:top w:val="single" w:color="auto" w:sz="4" w:space="0"/>
              <w:left w:val="single" w:color="auto" w:sz="4" w:space="0"/>
              <w:bottom w:val="single" w:color="auto" w:sz="4" w:space="0"/>
              <w:right w:val="single" w:color="auto" w:sz="4" w:space="0"/>
            </w:tcBorders>
          </w:tcPr>
          <w:p w14:paraId="09EBDFE4">
            <w:pPr>
              <w:widowControl/>
              <w:jc w:val="left"/>
              <w:rPr>
                <w:rFonts w:ascii="宋体" w:eastAsia="宋体" w:cs="宋体"/>
                <w:color w:val="000000"/>
                <w:kern w:val="0"/>
                <w:sz w:val="22"/>
                <w:szCs w:val="22"/>
              </w:rPr>
            </w:pPr>
            <w:r>
              <w:rPr>
                <w:rFonts w:ascii="宋体" w:eastAsia="宋体" w:cs="宋体"/>
                <w:color w:val="000000"/>
                <w:kern w:val="0"/>
                <w:sz w:val="22"/>
                <w:szCs w:val="22"/>
              </w:rPr>
              <w:t>3</w:t>
            </w:r>
          </w:p>
          <w:p w14:paraId="13D1787C">
            <w:pPr>
              <w:widowControl/>
              <w:jc w:val="left"/>
              <w:rPr>
                <w:rFonts w:ascii="宋体" w:eastAsia="宋体" w:cs="宋体"/>
                <w:color w:val="000000"/>
                <w:kern w:val="0"/>
                <w:sz w:val="22"/>
                <w:szCs w:val="22"/>
              </w:rPr>
            </w:pPr>
          </w:p>
        </w:tc>
      </w:tr>
      <w:tr w14:paraId="41F2BE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19" w:hRule="atLeast"/>
          <w:jc w:val="center"/>
        </w:trPr>
        <w:tc>
          <w:tcPr>
            <w:tcW w:w="763" w:type="dxa"/>
            <w:vMerge w:val="continue"/>
            <w:shd w:val="clear" w:color="auto" w:fill="FFFFFF"/>
            <w:vAlign w:val="center"/>
          </w:tcPr>
          <w:p w14:paraId="48BE534E"/>
        </w:tc>
        <w:tc>
          <w:tcPr>
            <w:tcW w:w="1297" w:type="dxa"/>
            <w:shd w:val="clear" w:color="auto" w:fill="FFFFFF"/>
            <w:vAlign w:val="center"/>
          </w:tcPr>
          <w:p w14:paraId="231C95FD">
            <w:pPr>
              <w:widowControl/>
              <w:spacing w:line="240" w:lineRule="atLeast"/>
              <w:jc w:val="center"/>
              <w:rPr>
                <w:rFonts w:ascii="宋体" w:eastAsia="宋体" w:cs="宋体"/>
                <w:color w:val="000000"/>
                <w:kern w:val="0"/>
                <w:sz w:val="22"/>
                <w:szCs w:val="22"/>
              </w:rPr>
            </w:pPr>
            <w:r>
              <w:rPr>
                <w:rFonts w:hint="eastAsia" w:ascii="宋体" w:eastAsia="宋体" w:cs="宋体"/>
                <w:color w:val="000000"/>
                <w:kern w:val="0"/>
                <w:sz w:val="22"/>
                <w:szCs w:val="22"/>
              </w:rPr>
              <w:t>绩效目标（</w:t>
            </w:r>
            <w:r>
              <w:rPr>
                <w:rFonts w:ascii="宋体" w:eastAsia="宋体" w:cs="宋体"/>
                <w:color w:val="000000"/>
                <w:kern w:val="0"/>
                <w:sz w:val="22"/>
                <w:szCs w:val="22"/>
              </w:rPr>
              <w:t>10</w:t>
            </w:r>
            <w:r>
              <w:rPr>
                <w:rFonts w:hint="eastAsia" w:ascii="宋体" w:eastAsia="宋体" w:cs="宋体"/>
                <w:color w:val="000000"/>
                <w:kern w:val="0"/>
                <w:sz w:val="22"/>
                <w:szCs w:val="22"/>
              </w:rPr>
              <w:t>）　</w:t>
            </w:r>
          </w:p>
        </w:tc>
        <w:tc>
          <w:tcPr>
            <w:tcW w:w="1411" w:type="dxa"/>
            <w:shd w:val="clear" w:color="auto" w:fill="FFFFFF"/>
            <w:vAlign w:val="center"/>
          </w:tcPr>
          <w:p w14:paraId="79589C9F">
            <w:pPr>
              <w:widowControl/>
              <w:spacing w:line="240" w:lineRule="atLeast"/>
              <w:jc w:val="center"/>
              <w:rPr>
                <w:rFonts w:ascii="宋体" w:eastAsia="宋体" w:cs="宋体"/>
                <w:color w:val="000000"/>
                <w:kern w:val="0"/>
                <w:sz w:val="22"/>
                <w:szCs w:val="22"/>
              </w:rPr>
            </w:pPr>
            <w:r>
              <w:rPr>
                <w:rFonts w:hint="eastAsia" w:ascii="宋体" w:eastAsia="宋体" w:cs="宋体"/>
                <w:color w:val="000000"/>
                <w:kern w:val="0"/>
                <w:sz w:val="22"/>
                <w:szCs w:val="22"/>
              </w:rPr>
              <w:t>绩效目标</w:t>
            </w:r>
          </w:p>
          <w:p w14:paraId="4EFCAF4F">
            <w:pPr>
              <w:widowControl/>
              <w:spacing w:line="240" w:lineRule="atLeast"/>
              <w:jc w:val="center"/>
              <w:rPr>
                <w:rFonts w:ascii="宋体" w:eastAsia="宋体" w:cs="宋体"/>
                <w:color w:val="000000"/>
                <w:kern w:val="0"/>
                <w:sz w:val="22"/>
                <w:szCs w:val="22"/>
              </w:rPr>
            </w:pPr>
            <w:r>
              <w:rPr>
                <w:rFonts w:hint="eastAsia" w:ascii="宋体" w:eastAsia="宋体" w:cs="宋体"/>
                <w:color w:val="000000"/>
                <w:kern w:val="0"/>
                <w:sz w:val="22"/>
                <w:szCs w:val="22"/>
              </w:rPr>
              <w:t>合理性</w:t>
            </w:r>
          </w:p>
        </w:tc>
        <w:tc>
          <w:tcPr>
            <w:tcW w:w="2789" w:type="dxa"/>
            <w:shd w:val="clear" w:color="000000" w:fill="FFFFFF"/>
            <w:vAlign w:val="center"/>
          </w:tcPr>
          <w:p w14:paraId="7299C6F0">
            <w:pPr>
              <w:widowControl/>
              <w:spacing w:line="240" w:lineRule="atLeast"/>
              <w:rPr>
                <w:rFonts w:ascii="宋体" w:eastAsia="宋体" w:cs="宋体"/>
                <w:color w:val="000000"/>
                <w:kern w:val="0"/>
                <w:sz w:val="22"/>
                <w:szCs w:val="22"/>
              </w:rPr>
            </w:pPr>
            <w:r>
              <w:rPr>
                <w:rFonts w:hint="eastAsia" w:ascii="宋体" w:eastAsia="宋体" w:cs="宋体"/>
                <w:color w:val="000000"/>
                <w:kern w:val="0"/>
                <w:sz w:val="22"/>
                <w:szCs w:val="22"/>
              </w:rPr>
              <w:t>项目所设定的绩效目标是否依据充分，是否符合客观实际，用以反映和考核项目绩效目标与项目实施的相符情况。</w:t>
            </w:r>
          </w:p>
        </w:tc>
        <w:tc>
          <w:tcPr>
            <w:tcW w:w="7341" w:type="dxa"/>
            <w:shd w:val="clear" w:color="000000" w:fill="FFFFFF"/>
            <w:vAlign w:val="center"/>
          </w:tcPr>
          <w:p w14:paraId="476CF1FA">
            <w:pPr>
              <w:widowControl/>
              <w:spacing w:line="240" w:lineRule="atLeast"/>
              <w:jc w:val="left"/>
              <w:rPr>
                <w:rFonts w:ascii="宋体" w:eastAsia="宋体" w:cs="宋体"/>
                <w:color w:val="000000"/>
                <w:kern w:val="0"/>
                <w:sz w:val="22"/>
                <w:szCs w:val="22"/>
              </w:rPr>
            </w:pPr>
            <w:r>
              <w:rPr>
                <w:rFonts w:hint="eastAsia" w:ascii="宋体" w:eastAsia="宋体" w:cs="宋体"/>
                <w:color w:val="000000"/>
                <w:kern w:val="0"/>
                <w:sz w:val="22"/>
                <w:szCs w:val="22"/>
              </w:rPr>
              <w:t>评价要点：</w:t>
            </w:r>
            <w:r>
              <w:rPr>
                <w:rFonts w:ascii="宋体" w:eastAsia="宋体" w:cs="宋体"/>
                <w:color w:val="000000"/>
                <w:kern w:val="0"/>
                <w:sz w:val="22"/>
                <w:szCs w:val="22"/>
              </w:rPr>
              <w:br w:type="textWrapping"/>
            </w:r>
            <w:r>
              <w:rPr>
                <w:rFonts w:hint="eastAsia" w:ascii="宋体" w:eastAsia="宋体" w:cs="宋体"/>
                <w:color w:val="000000"/>
                <w:kern w:val="0"/>
                <w:sz w:val="22"/>
                <w:szCs w:val="22"/>
              </w:rPr>
              <w:t>（如未设定预算绩效目标，也可考核其他工作任务目标）</w:t>
            </w:r>
            <w:r>
              <w:rPr>
                <w:rFonts w:ascii="宋体" w:eastAsia="宋体" w:cs="宋体"/>
                <w:color w:val="000000"/>
                <w:kern w:val="0"/>
                <w:sz w:val="22"/>
                <w:szCs w:val="22"/>
              </w:rPr>
              <w:br w:type="textWrapping"/>
            </w:r>
            <w:r>
              <w:rPr>
                <w:rFonts w:hint="eastAsia" w:ascii="宋体" w:eastAsia="宋体" w:cs="宋体"/>
                <w:color w:val="000000"/>
                <w:kern w:val="0"/>
                <w:sz w:val="22"/>
                <w:szCs w:val="22"/>
              </w:rPr>
              <w:t>①项目是否有绩效目标；</w:t>
            </w:r>
            <w:r>
              <w:rPr>
                <w:rFonts w:ascii="宋体" w:eastAsia="宋体" w:cs="宋体"/>
                <w:color w:val="000000"/>
                <w:kern w:val="0"/>
                <w:sz w:val="22"/>
                <w:szCs w:val="22"/>
              </w:rPr>
              <w:br w:type="textWrapping"/>
            </w:r>
            <w:r>
              <w:rPr>
                <w:rFonts w:hint="eastAsia" w:ascii="宋体" w:eastAsia="宋体" w:cs="宋体"/>
                <w:color w:val="000000"/>
                <w:kern w:val="0"/>
                <w:sz w:val="22"/>
                <w:szCs w:val="22"/>
              </w:rPr>
              <w:t>②项目绩效目标与实际工作内容是否具有相关性；</w:t>
            </w:r>
            <w:r>
              <w:rPr>
                <w:rFonts w:ascii="宋体" w:eastAsia="宋体" w:cs="宋体"/>
                <w:color w:val="000000"/>
                <w:kern w:val="0"/>
                <w:sz w:val="22"/>
                <w:szCs w:val="22"/>
              </w:rPr>
              <w:br w:type="textWrapping"/>
            </w:r>
            <w:r>
              <w:rPr>
                <w:rFonts w:hint="eastAsia" w:ascii="宋体" w:eastAsia="宋体" w:cs="宋体"/>
                <w:color w:val="000000"/>
                <w:kern w:val="0"/>
                <w:sz w:val="22"/>
                <w:szCs w:val="22"/>
              </w:rPr>
              <w:t>③项目预期产出效益和效果是否符合正常的业绩水平；</w:t>
            </w:r>
          </w:p>
          <w:p w14:paraId="5BC9650D">
            <w:pPr>
              <w:widowControl/>
              <w:spacing w:line="240" w:lineRule="atLeast"/>
              <w:jc w:val="left"/>
              <w:rPr>
                <w:rFonts w:ascii="宋体" w:eastAsia="宋体" w:cs="宋体"/>
                <w:color w:val="000000"/>
                <w:kern w:val="0"/>
                <w:sz w:val="22"/>
                <w:szCs w:val="22"/>
              </w:rPr>
            </w:pPr>
            <w:r>
              <w:rPr>
                <w:rFonts w:hint="eastAsia" w:ascii="宋体" w:eastAsia="宋体" w:cs="宋体"/>
                <w:color w:val="000000"/>
                <w:kern w:val="0"/>
                <w:sz w:val="22"/>
                <w:szCs w:val="22"/>
              </w:rPr>
              <w:t>④是否与预算确定的项目投资额或资金量相匹配。</w:t>
            </w:r>
          </w:p>
        </w:tc>
        <w:tc>
          <w:tcPr>
            <w:tcW w:w="841" w:type="dxa"/>
            <w:gridSpan w:val="2"/>
            <w:tcBorders>
              <w:top w:val="single" w:color="auto" w:sz="4" w:space="0"/>
              <w:bottom w:val="single" w:color="auto" w:sz="4" w:space="0"/>
              <w:right w:val="single" w:color="auto" w:sz="4" w:space="0"/>
            </w:tcBorders>
          </w:tcPr>
          <w:p w14:paraId="2E6CFEBA">
            <w:pPr>
              <w:widowControl/>
              <w:jc w:val="left"/>
              <w:rPr>
                <w:rFonts w:ascii="宋体" w:eastAsia="宋体" w:cs="宋体"/>
                <w:color w:val="000000"/>
                <w:kern w:val="0"/>
                <w:sz w:val="22"/>
                <w:szCs w:val="22"/>
              </w:rPr>
            </w:pPr>
            <w:r>
              <w:rPr>
                <w:rFonts w:asci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tcPr>
          <w:p w14:paraId="76CC2A3A">
            <w:pPr>
              <w:widowControl/>
              <w:jc w:val="left"/>
              <w:rPr>
                <w:rFonts w:ascii="宋体" w:eastAsia="宋体" w:cs="宋体"/>
                <w:color w:val="000000"/>
                <w:kern w:val="0"/>
                <w:sz w:val="22"/>
                <w:szCs w:val="22"/>
              </w:rPr>
            </w:pPr>
            <w:r>
              <w:rPr>
                <w:rFonts w:ascii="宋体" w:eastAsia="宋体" w:cs="宋体"/>
                <w:color w:val="000000"/>
                <w:kern w:val="0"/>
                <w:sz w:val="22"/>
                <w:szCs w:val="22"/>
              </w:rPr>
              <w:t>5</w:t>
            </w:r>
          </w:p>
        </w:tc>
      </w:tr>
      <w:tr w14:paraId="02F110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64" w:hRule="atLeast"/>
          <w:jc w:val="center"/>
        </w:trPr>
        <w:tc>
          <w:tcPr>
            <w:tcW w:w="763" w:type="dxa"/>
            <w:vMerge w:val="restart"/>
            <w:shd w:val="clear" w:color="auto" w:fill="FFFFFF"/>
            <w:vAlign w:val="center"/>
          </w:tcPr>
          <w:p w14:paraId="3B86F66C">
            <w:pPr>
              <w:widowControl/>
              <w:spacing w:line="240" w:lineRule="atLeast"/>
              <w:jc w:val="center"/>
              <w:rPr>
                <w:rFonts w:ascii="宋体" w:eastAsia="宋体" w:cs="宋体"/>
                <w:color w:val="000000"/>
                <w:kern w:val="0"/>
                <w:sz w:val="22"/>
                <w:szCs w:val="22"/>
              </w:rPr>
            </w:pPr>
            <w:r>
              <w:rPr>
                <w:rFonts w:hint="eastAsia" w:ascii="宋体" w:eastAsia="宋体" w:cs="宋体"/>
                <w:color w:val="000000"/>
                <w:kern w:val="0"/>
                <w:sz w:val="22"/>
                <w:szCs w:val="22"/>
              </w:rPr>
              <w:t>决策（</w:t>
            </w:r>
            <w:r>
              <w:rPr>
                <w:rFonts w:ascii="宋体" w:eastAsia="宋体" w:cs="宋体"/>
                <w:color w:val="000000"/>
                <w:kern w:val="0"/>
                <w:sz w:val="22"/>
                <w:szCs w:val="22"/>
              </w:rPr>
              <w:t>20</w:t>
            </w:r>
            <w:r>
              <w:rPr>
                <w:rFonts w:hint="eastAsia" w:ascii="宋体" w:eastAsia="宋体" w:cs="宋体"/>
                <w:color w:val="000000"/>
                <w:kern w:val="0"/>
                <w:sz w:val="22"/>
                <w:szCs w:val="22"/>
              </w:rPr>
              <w:t>分）　</w:t>
            </w:r>
          </w:p>
        </w:tc>
        <w:tc>
          <w:tcPr>
            <w:tcW w:w="1297" w:type="dxa"/>
            <w:shd w:val="clear" w:color="auto" w:fill="FFFFFF"/>
            <w:vAlign w:val="center"/>
          </w:tcPr>
          <w:p w14:paraId="0E635357">
            <w:pPr>
              <w:widowControl/>
              <w:spacing w:line="240" w:lineRule="atLeast"/>
              <w:jc w:val="center"/>
              <w:rPr>
                <w:rFonts w:ascii="宋体" w:eastAsia="宋体" w:cs="宋体"/>
                <w:color w:val="000000"/>
                <w:kern w:val="0"/>
                <w:sz w:val="22"/>
                <w:szCs w:val="22"/>
              </w:rPr>
            </w:pPr>
            <w:r>
              <w:rPr>
                <w:rFonts w:hint="eastAsia" w:ascii="宋体" w:eastAsia="宋体" w:cs="宋体"/>
                <w:color w:val="000000"/>
                <w:kern w:val="0"/>
                <w:sz w:val="22"/>
                <w:szCs w:val="22"/>
              </w:rPr>
              <w:t>绩效目标</w:t>
            </w:r>
          </w:p>
        </w:tc>
        <w:tc>
          <w:tcPr>
            <w:tcW w:w="1411" w:type="dxa"/>
            <w:shd w:val="clear" w:color="auto" w:fill="FFFFFF"/>
            <w:vAlign w:val="center"/>
          </w:tcPr>
          <w:p w14:paraId="08FCEB30">
            <w:pPr>
              <w:widowControl/>
              <w:spacing w:line="240" w:lineRule="atLeast"/>
              <w:jc w:val="center"/>
              <w:rPr>
                <w:rFonts w:ascii="宋体" w:eastAsia="宋体" w:cs="宋体"/>
                <w:color w:val="000000"/>
                <w:kern w:val="0"/>
                <w:sz w:val="22"/>
                <w:szCs w:val="22"/>
              </w:rPr>
            </w:pPr>
            <w:r>
              <w:rPr>
                <w:rFonts w:hint="eastAsia" w:ascii="宋体" w:eastAsia="宋体" w:cs="宋体"/>
                <w:color w:val="000000"/>
                <w:kern w:val="0"/>
                <w:sz w:val="22"/>
                <w:szCs w:val="22"/>
              </w:rPr>
              <w:t>绩效指标</w:t>
            </w:r>
          </w:p>
          <w:p w14:paraId="082E8CA3">
            <w:pPr>
              <w:widowControl/>
              <w:spacing w:line="240" w:lineRule="atLeast"/>
              <w:jc w:val="center"/>
              <w:rPr>
                <w:rFonts w:ascii="宋体" w:eastAsia="宋体" w:cs="宋体"/>
                <w:color w:val="000000"/>
                <w:kern w:val="0"/>
                <w:sz w:val="22"/>
                <w:szCs w:val="22"/>
              </w:rPr>
            </w:pPr>
            <w:r>
              <w:rPr>
                <w:rFonts w:hint="eastAsia" w:ascii="宋体" w:eastAsia="宋体" w:cs="宋体"/>
                <w:color w:val="000000"/>
                <w:kern w:val="0"/>
                <w:sz w:val="22"/>
                <w:szCs w:val="22"/>
              </w:rPr>
              <w:t>明确性</w:t>
            </w:r>
          </w:p>
        </w:tc>
        <w:tc>
          <w:tcPr>
            <w:tcW w:w="2789" w:type="dxa"/>
            <w:shd w:val="clear" w:color="000000" w:fill="FFFFFF"/>
            <w:vAlign w:val="center"/>
          </w:tcPr>
          <w:p w14:paraId="001A9AE8">
            <w:pPr>
              <w:widowControl/>
              <w:spacing w:line="240" w:lineRule="atLeast"/>
              <w:rPr>
                <w:rFonts w:ascii="宋体" w:eastAsia="宋体" w:cs="宋体"/>
                <w:color w:val="000000"/>
                <w:kern w:val="0"/>
                <w:sz w:val="22"/>
                <w:szCs w:val="22"/>
              </w:rPr>
            </w:pPr>
            <w:r>
              <w:rPr>
                <w:rFonts w:hint="eastAsia" w:ascii="宋体" w:eastAsia="宋体" w:cs="宋体"/>
                <w:color w:val="000000"/>
                <w:kern w:val="0"/>
                <w:sz w:val="22"/>
                <w:szCs w:val="22"/>
              </w:rPr>
              <w:t>依据绩效目标设定的绩效指标是否清晰、细化、可衡量等，用以反映和考核项目绩效目标的明细化情况。</w:t>
            </w:r>
          </w:p>
        </w:tc>
        <w:tc>
          <w:tcPr>
            <w:tcW w:w="7341" w:type="dxa"/>
            <w:shd w:val="clear" w:color="000000" w:fill="FFFFFF"/>
            <w:vAlign w:val="center"/>
          </w:tcPr>
          <w:p w14:paraId="5B2A8C8A">
            <w:pPr>
              <w:widowControl/>
              <w:spacing w:line="240" w:lineRule="atLeast"/>
              <w:rPr>
                <w:rFonts w:ascii="宋体" w:eastAsia="宋体" w:cs="宋体"/>
                <w:color w:val="000000"/>
                <w:kern w:val="0"/>
                <w:sz w:val="22"/>
                <w:szCs w:val="22"/>
              </w:rPr>
            </w:pPr>
            <w:r>
              <w:rPr>
                <w:rFonts w:hint="eastAsia" w:ascii="宋体" w:eastAsia="宋体" w:cs="宋体"/>
                <w:color w:val="000000"/>
                <w:kern w:val="0"/>
                <w:sz w:val="22"/>
                <w:szCs w:val="22"/>
              </w:rPr>
              <w:t>评价要点：</w:t>
            </w:r>
            <w:r>
              <w:rPr>
                <w:rFonts w:ascii="宋体" w:eastAsia="宋体" w:cs="宋体"/>
                <w:color w:val="000000"/>
                <w:kern w:val="0"/>
                <w:sz w:val="22"/>
                <w:szCs w:val="22"/>
              </w:rPr>
              <w:br w:type="textWrapping"/>
            </w:r>
            <w:r>
              <w:rPr>
                <w:rFonts w:hint="eastAsia" w:ascii="宋体" w:eastAsia="宋体" w:cs="宋体"/>
                <w:color w:val="000000"/>
                <w:kern w:val="0"/>
                <w:sz w:val="22"/>
                <w:szCs w:val="22"/>
              </w:rPr>
              <w:t>①是否将项目绩效目标细化分解为具体的绩效指标；</w:t>
            </w:r>
            <w:r>
              <w:rPr>
                <w:rFonts w:ascii="宋体" w:eastAsia="宋体" w:cs="宋体"/>
                <w:color w:val="000000"/>
                <w:kern w:val="0"/>
                <w:sz w:val="22"/>
                <w:szCs w:val="22"/>
              </w:rPr>
              <w:br w:type="textWrapping"/>
            </w:r>
            <w:r>
              <w:rPr>
                <w:rFonts w:hint="eastAsia" w:ascii="宋体" w:eastAsia="宋体" w:cs="宋体"/>
                <w:color w:val="000000"/>
                <w:kern w:val="0"/>
                <w:sz w:val="22"/>
                <w:szCs w:val="22"/>
              </w:rPr>
              <w:t>②是否通过清晰、可衡量的指标值予以体现；</w:t>
            </w:r>
            <w:r>
              <w:rPr>
                <w:rFonts w:ascii="宋体" w:eastAsia="宋体" w:cs="宋体"/>
                <w:color w:val="000000"/>
                <w:kern w:val="0"/>
                <w:sz w:val="22"/>
                <w:szCs w:val="22"/>
              </w:rPr>
              <w:br w:type="textWrapping"/>
            </w:r>
            <w:r>
              <w:rPr>
                <w:rFonts w:hint="eastAsia" w:ascii="宋体" w:eastAsia="宋体" w:cs="宋体"/>
                <w:color w:val="000000"/>
                <w:kern w:val="0"/>
                <w:sz w:val="22"/>
                <w:szCs w:val="22"/>
              </w:rPr>
              <w:t>③是否与项目目标任务数或计划数相对应。</w:t>
            </w:r>
            <w:r>
              <w:rPr>
                <w:rFonts w:ascii="宋体" w:eastAsia="宋体" w:cs="宋体"/>
                <w:color w:val="000000"/>
                <w:kern w:val="0"/>
                <w:sz w:val="22"/>
                <w:szCs w:val="22"/>
              </w:rPr>
              <w:br w:type="textWrapping"/>
            </w:r>
          </w:p>
        </w:tc>
        <w:tc>
          <w:tcPr>
            <w:tcW w:w="841" w:type="dxa"/>
            <w:gridSpan w:val="2"/>
            <w:tcBorders>
              <w:top w:val="single" w:color="auto" w:sz="4" w:space="0"/>
              <w:bottom w:val="single" w:color="auto" w:sz="4" w:space="0"/>
              <w:right w:val="single" w:color="auto" w:sz="4" w:space="0"/>
            </w:tcBorders>
          </w:tcPr>
          <w:p w14:paraId="336681EF">
            <w:pPr>
              <w:widowControl/>
              <w:jc w:val="left"/>
              <w:rPr>
                <w:rFonts w:ascii="宋体" w:eastAsia="宋体" w:cs="宋体"/>
                <w:color w:val="000000"/>
                <w:kern w:val="0"/>
                <w:sz w:val="22"/>
                <w:szCs w:val="22"/>
              </w:rPr>
            </w:pPr>
            <w:r>
              <w:rPr>
                <w:rFonts w:asci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tcPr>
          <w:p w14:paraId="09DA5880">
            <w:pPr>
              <w:widowControl/>
              <w:jc w:val="left"/>
              <w:rPr>
                <w:rFonts w:ascii="宋体" w:eastAsia="宋体" w:cs="宋体"/>
                <w:color w:val="000000"/>
                <w:kern w:val="0"/>
                <w:sz w:val="22"/>
                <w:szCs w:val="22"/>
              </w:rPr>
            </w:pPr>
            <w:r>
              <w:rPr>
                <w:rFonts w:ascii="宋体" w:eastAsia="宋体" w:cs="宋体"/>
                <w:color w:val="000000"/>
                <w:kern w:val="0"/>
                <w:sz w:val="22"/>
                <w:szCs w:val="22"/>
              </w:rPr>
              <w:t>5</w:t>
            </w:r>
          </w:p>
        </w:tc>
      </w:tr>
      <w:tr w14:paraId="77DB32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42" w:hRule="atLeast"/>
          <w:jc w:val="center"/>
        </w:trPr>
        <w:tc>
          <w:tcPr>
            <w:tcW w:w="763" w:type="dxa"/>
            <w:vMerge w:val="continue"/>
            <w:shd w:val="clear" w:color="auto" w:fill="FFFFFF"/>
            <w:vAlign w:val="center"/>
          </w:tcPr>
          <w:p w14:paraId="54487298"/>
        </w:tc>
        <w:tc>
          <w:tcPr>
            <w:tcW w:w="1297" w:type="dxa"/>
            <w:vMerge w:val="restart"/>
            <w:shd w:val="clear" w:color="auto" w:fill="FFFFFF"/>
            <w:vAlign w:val="center"/>
          </w:tcPr>
          <w:p w14:paraId="06EE2A2A">
            <w:pPr>
              <w:widowControl/>
              <w:spacing w:line="240" w:lineRule="atLeast"/>
              <w:jc w:val="center"/>
              <w:rPr>
                <w:rFonts w:ascii="宋体" w:eastAsia="宋体" w:cs="宋体"/>
                <w:color w:val="000000"/>
                <w:kern w:val="0"/>
                <w:sz w:val="22"/>
                <w:szCs w:val="22"/>
              </w:rPr>
            </w:pPr>
            <w:r>
              <w:rPr>
                <w:rFonts w:hint="eastAsia" w:ascii="宋体" w:eastAsia="宋体" w:cs="宋体"/>
                <w:color w:val="000000"/>
                <w:kern w:val="0"/>
                <w:sz w:val="22"/>
                <w:szCs w:val="22"/>
              </w:rPr>
              <w:t>资金投入（</w:t>
            </w:r>
            <w:r>
              <w:rPr>
                <w:rFonts w:ascii="宋体" w:eastAsia="宋体" w:cs="宋体"/>
                <w:color w:val="000000"/>
                <w:kern w:val="0"/>
                <w:sz w:val="22"/>
                <w:szCs w:val="22"/>
              </w:rPr>
              <w:t>5</w:t>
            </w:r>
            <w:r>
              <w:rPr>
                <w:rFonts w:hint="eastAsia" w:ascii="宋体" w:eastAsia="宋体" w:cs="宋体"/>
                <w:color w:val="000000"/>
                <w:kern w:val="0"/>
                <w:sz w:val="22"/>
                <w:szCs w:val="22"/>
              </w:rPr>
              <w:t>）</w:t>
            </w:r>
          </w:p>
          <w:p w14:paraId="634FF837">
            <w:pPr>
              <w:spacing w:line="240" w:lineRule="atLeast"/>
              <w:jc w:val="center"/>
              <w:rPr>
                <w:rFonts w:ascii="宋体" w:eastAsia="宋体" w:cs="宋体"/>
                <w:color w:val="000000"/>
                <w:kern w:val="0"/>
                <w:sz w:val="22"/>
                <w:szCs w:val="22"/>
              </w:rPr>
            </w:pPr>
            <w:r>
              <w:rPr>
                <w:rFonts w:hint="eastAsia" w:ascii="宋体" w:eastAsia="宋体" w:cs="宋体"/>
                <w:color w:val="000000"/>
                <w:kern w:val="0"/>
                <w:sz w:val="22"/>
                <w:szCs w:val="22"/>
              </w:rPr>
              <w:t>　</w:t>
            </w:r>
          </w:p>
        </w:tc>
        <w:tc>
          <w:tcPr>
            <w:tcW w:w="1411" w:type="dxa"/>
            <w:shd w:val="clear" w:color="auto" w:fill="FFFFFF"/>
            <w:vAlign w:val="center"/>
          </w:tcPr>
          <w:p w14:paraId="4463E69C">
            <w:pPr>
              <w:widowControl/>
              <w:spacing w:line="240" w:lineRule="atLeast"/>
              <w:jc w:val="center"/>
              <w:rPr>
                <w:rFonts w:ascii="宋体" w:eastAsia="宋体" w:cs="宋体"/>
                <w:color w:val="000000"/>
                <w:kern w:val="0"/>
                <w:sz w:val="22"/>
                <w:szCs w:val="22"/>
              </w:rPr>
            </w:pPr>
            <w:r>
              <w:rPr>
                <w:rFonts w:hint="eastAsia" w:ascii="宋体" w:eastAsia="宋体" w:cs="宋体"/>
                <w:color w:val="000000"/>
                <w:kern w:val="0"/>
                <w:sz w:val="22"/>
                <w:szCs w:val="22"/>
              </w:rPr>
              <w:t>预算编制</w:t>
            </w:r>
          </w:p>
          <w:p w14:paraId="60195D2C">
            <w:pPr>
              <w:widowControl/>
              <w:spacing w:line="240" w:lineRule="atLeast"/>
              <w:jc w:val="center"/>
              <w:rPr>
                <w:rFonts w:ascii="宋体" w:eastAsia="宋体" w:cs="宋体"/>
                <w:color w:val="000000"/>
                <w:kern w:val="0"/>
                <w:sz w:val="22"/>
                <w:szCs w:val="22"/>
              </w:rPr>
            </w:pPr>
            <w:r>
              <w:rPr>
                <w:rFonts w:hint="eastAsia" w:ascii="宋体" w:eastAsia="宋体" w:cs="宋体"/>
                <w:color w:val="000000"/>
                <w:kern w:val="0"/>
                <w:sz w:val="22"/>
                <w:szCs w:val="22"/>
              </w:rPr>
              <w:t>科学性</w:t>
            </w:r>
          </w:p>
        </w:tc>
        <w:tc>
          <w:tcPr>
            <w:tcW w:w="2789" w:type="dxa"/>
            <w:shd w:val="clear" w:color="auto" w:fill="FFFFFF"/>
            <w:vAlign w:val="center"/>
          </w:tcPr>
          <w:p w14:paraId="586B485F">
            <w:pPr>
              <w:widowControl/>
              <w:spacing w:line="240" w:lineRule="atLeast"/>
              <w:rPr>
                <w:rFonts w:ascii="宋体" w:eastAsia="宋体" w:cs="宋体"/>
                <w:color w:val="000000"/>
                <w:kern w:val="0"/>
                <w:sz w:val="22"/>
                <w:szCs w:val="22"/>
              </w:rPr>
            </w:pPr>
            <w:r>
              <w:rPr>
                <w:rFonts w:hint="eastAsia" w:ascii="宋体" w:eastAsia="宋体" w:cs="宋体"/>
                <w:color w:val="000000"/>
                <w:kern w:val="0"/>
                <w:sz w:val="22"/>
                <w:szCs w:val="22"/>
              </w:rPr>
              <w:t>项目预算编制是否经过科学论证、有明确标准，资金额度与年度目标是否相适应，用以反映和考核项目预算编制的科学性、合理性情况。</w:t>
            </w:r>
          </w:p>
        </w:tc>
        <w:tc>
          <w:tcPr>
            <w:tcW w:w="7341" w:type="dxa"/>
            <w:shd w:val="clear" w:color="auto" w:fill="FFFFFF"/>
            <w:vAlign w:val="center"/>
          </w:tcPr>
          <w:p w14:paraId="044D2534">
            <w:pPr>
              <w:widowControl/>
              <w:spacing w:line="240" w:lineRule="atLeast"/>
              <w:rPr>
                <w:rFonts w:ascii="宋体" w:eastAsia="宋体" w:cs="宋体"/>
                <w:color w:val="000000"/>
                <w:kern w:val="0"/>
                <w:sz w:val="22"/>
                <w:szCs w:val="22"/>
              </w:rPr>
            </w:pPr>
            <w:r>
              <w:rPr>
                <w:rFonts w:hint="eastAsia" w:ascii="宋体" w:eastAsia="宋体" w:cs="宋体"/>
                <w:color w:val="000000"/>
                <w:kern w:val="0"/>
                <w:sz w:val="22"/>
                <w:szCs w:val="22"/>
              </w:rPr>
              <w:t>评价要点：</w:t>
            </w:r>
            <w:r>
              <w:rPr>
                <w:rFonts w:ascii="宋体" w:eastAsia="宋体" w:cs="宋体"/>
                <w:color w:val="000000"/>
                <w:kern w:val="0"/>
                <w:sz w:val="22"/>
                <w:szCs w:val="22"/>
              </w:rPr>
              <w:br w:type="textWrapping"/>
            </w:r>
            <w:r>
              <w:rPr>
                <w:rFonts w:hint="eastAsia" w:ascii="宋体" w:eastAsia="宋体" w:cs="宋体"/>
                <w:color w:val="000000"/>
                <w:kern w:val="0"/>
                <w:sz w:val="22"/>
                <w:szCs w:val="22"/>
              </w:rPr>
              <w:t>①预算编制是否经过科学论证；</w:t>
            </w:r>
            <w:r>
              <w:rPr>
                <w:rFonts w:ascii="宋体" w:eastAsia="宋体" w:cs="宋体"/>
                <w:color w:val="000000"/>
                <w:kern w:val="0"/>
                <w:sz w:val="22"/>
                <w:szCs w:val="22"/>
              </w:rPr>
              <w:br w:type="textWrapping"/>
            </w:r>
            <w:r>
              <w:rPr>
                <w:rFonts w:hint="eastAsia" w:ascii="宋体" w:eastAsia="宋体" w:cs="宋体"/>
                <w:color w:val="000000"/>
                <w:kern w:val="0"/>
                <w:sz w:val="22"/>
                <w:szCs w:val="22"/>
              </w:rPr>
              <w:t>②预算内容与项目内容是否匹配；</w:t>
            </w:r>
            <w:r>
              <w:rPr>
                <w:rFonts w:ascii="宋体" w:eastAsia="宋体" w:cs="宋体"/>
                <w:color w:val="000000"/>
                <w:kern w:val="0"/>
                <w:sz w:val="22"/>
                <w:szCs w:val="22"/>
              </w:rPr>
              <w:br w:type="textWrapping"/>
            </w:r>
            <w:r>
              <w:rPr>
                <w:rFonts w:hint="eastAsia" w:ascii="宋体" w:eastAsia="宋体" w:cs="宋体"/>
                <w:color w:val="000000"/>
                <w:kern w:val="0"/>
                <w:sz w:val="22"/>
                <w:szCs w:val="22"/>
              </w:rPr>
              <w:t>③预算额度测算依据是否充分，是否按照标准编制；</w:t>
            </w:r>
            <w:r>
              <w:rPr>
                <w:rFonts w:ascii="宋体" w:eastAsia="宋体" w:cs="宋体"/>
                <w:color w:val="000000"/>
                <w:kern w:val="0"/>
                <w:sz w:val="22"/>
                <w:szCs w:val="22"/>
              </w:rPr>
              <w:br w:type="textWrapping"/>
            </w:r>
            <w:r>
              <w:rPr>
                <w:rFonts w:hint="eastAsia" w:ascii="宋体" w:eastAsia="宋体" w:cs="宋体"/>
                <w:color w:val="000000"/>
                <w:kern w:val="0"/>
                <w:sz w:val="22"/>
                <w:szCs w:val="22"/>
              </w:rPr>
              <w:t>④预算确定的项目投资额或资金量是否与工作任务相匹配。</w:t>
            </w:r>
          </w:p>
        </w:tc>
        <w:tc>
          <w:tcPr>
            <w:tcW w:w="841" w:type="dxa"/>
            <w:gridSpan w:val="2"/>
            <w:tcBorders>
              <w:top w:val="single" w:color="auto" w:sz="4" w:space="0"/>
              <w:bottom w:val="single" w:color="auto" w:sz="4" w:space="0"/>
              <w:right w:val="single" w:color="auto" w:sz="4" w:space="0"/>
            </w:tcBorders>
          </w:tcPr>
          <w:p w14:paraId="0ABCD439">
            <w:pPr>
              <w:widowControl/>
              <w:jc w:val="left"/>
              <w:rPr>
                <w:rFonts w:ascii="宋体" w:eastAsia="宋体" w:cs="宋体"/>
                <w:color w:val="000000"/>
                <w:kern w:val="0"/>
                <w:sz w:val="22"/>
                <w:szCs w:val="22"/>
              </w:rPr>
            </w:pPr>
            <w:r>
              <w:rPr>
                <w:rFonts w:asci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tcPr>
          <w:p w14:paraId="49A86988">
            <w:pPr>
              <w:widowControl/>
              <w:jc w:val="left"/>
              <w:rPr>
                <w:rFonts w:ascii="宋体" w:eastAsia="宋体" w:cs="宋体"/>
                <w:color w:val="000000"/>
                <w:kern w:val="0"/>
                <w:sz w:val="22"/>
                <w:szCs w:val="22"/>
              </w:rPr>
            </w:pPr>
            <w:r>
              <w:rPr>
                <w:rFonts w:ascii="宋体" w:eastAsia="宋体" w:cs="宋体"/>
                <w:color w:val="000000"/>
                <w:kern w:val="0"/>
                <w:sz w:val="22"/>
                <w:szCs w:val="22"/>
              </w:rPr>
              <w:t>3</w:t>
            </w:r>
          </w:p>
        </w:tc>
      </w:tr>
      <w:tr w14:paraId="6316A3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706" w:hRule="atLeast"/>
          <w:jc w:val="center"/>
        </w:trPr>
        <w:tc>
          <w:tcPr>
            <w:tcW w:w="763" w:type="dxa"/>
            <w:vMerge w:val="continue"/>
            <w:shd w:val="clear" w:color="auto" w:fill="FFFFFF"/>
            <w:vAlign w:val="center"/>
          </w:tcPr>
          <w:p w14:paraId="488BA972"/>
        </w:tc>
        <w:tc>
          <w:tcPr>
            <w:tcW w:w="1297" w:type="dxa"/>
            <w:vMerge w:val="continue"/>
            <w:shd w:val="clear" w:color="auto" w:fill="FFFFFF"/>
            <w:vAlign w:val="center"/>
          </w:tcPr>
          <w:p w14:paraId="0DCC5596"/>
        </w:tc>
        <w:tc>
          <w:tcPr>
            <w:tcW w:w="1411" w:type="dxa"/>
            <w:shd w:val="clear" w:color="auto" w:fill="FFFFFF"/>
            <w:vAlign w:val="center"/>
          </w:tcPr>
          <w:p w14:paraId="26661494">
            <w:pPr>
              <w:widowControl/>
              <w:spacing w:line="240" w:lineRule="atLeast"/>
              <w:jc w:val="center"/>
              <w:rPr>
                <w:rFonts w:ascii="宋体" w:eastAsia="宋体" w:cs="宋体"/>
                <w:color w:val="000000"/>
                <w:kern w:val="0"/>
                <w:sz w:val="22"/>
                <w:szCs w:val="22"/>
              </w:rPr>
            </w:pPr>
            <w:r>
              <w:rPr>
                <w:rFonts w:hint="eastAsia" w:ascii="宋体" w:eastAsia="宋体" w:cs="宋体"/>
                <w:color w:val="000000"/>
                <w:kern w:val="0"/>
                <w:sz w:val="22"/>
                <w:szCs w:val="22"/>
              </w:rPr>
              <w:t>资金分配</w:t>
            </w:r>
          </w:p>
          <w:p w14:paraId="38783040">
            <w:pPr>
              <w:widowControl/>
              <w:spacing w:line="240" w:lineRule="atLeast"/>
              <w:jc w:val="center"/>
              <w:rPr>
                <w:rFonts w:ascii="宋体" w:eastAsia="宋体" w:cs="宋体"/>
                <w:color w:val="000000"/>
                <w:kern w:val="0"/>
                <w:sz w:val="22"/>
                <w:szCs w:val="22"/>
              </w:rPr>
            </w:pPr>
            <w:r>
              <w:rPr>
                <w:rFonts w:hint="eastAsia" w:ascii="宋体" w:eastAsia="宋体" w:cs="宋体"/>
                <w:color w:val="000000"/>
                <w:kern w:val="0"/>
                <w:sz w:val="22"/>
                <w:szCs w:val="22"/>
              </w:rPr>
              <w:t>合理性</w:t>
            </w:r>
          </w:p>
        </w:tc>
        <w:tc>
          <w:tcPr>
            <w:tcW w:w="2789" w:type="dxa"/>
            <w:shd w:val="clear" w:color="auto" w:fill="FFFFFF"/>
            <w:vAlign w:val="center"/>
          </w:tcPr>
          <w:p w14:paraId="079F5FC0">
            <w:pPr>
              <w:widowControl/>
              <w:spacing w:line="240" w:lineRule="atLeast"/>
              <w:rPr>
                <w:rFonts w:ascii="宋体" w:eastAsia="宋体" w:cs="宋体"/>
                <w:color w:val="000000"/>
                <w:kern w:val="0"/>
                <w:sz w:val="22"/>
                <w:szCs w:val="22"/>
              </w:rPr>
            </w:pPr>
            <w:r>
              <w:rPr>
                <w:rFonts w:hint="eastAsia" w:ascii="宋体" w:eastAsia="宋体" w:cs="宋体"/>
                <w:color w:val="000000"/>
                <w:kern w:val="0"/>
                <w:sz w:val="22"/>
                <w:szCs w:val="22"/>
              </w:rPr>
              <w:t>项目预算资金分配是否有测算依据，与补助单位或地方实际是否相适应，用以反映和考核项目预算资金分配的科学性、合理性情况。</w:t>
            </w:r>
          </w:p>
        </w:tc>
        <w:tc>
          <w:tcPr>
            <w:tcW w:w="7341" w:type="dxa"/>
            <w:tcBorders>
              <w:bottom w:val="single" w:color="auto" w:sz="4" w:space="0"/>
            </w:tcBorders>
            <w:shd w:val="clear" w:color="auto" w:fill="FFFFFF"/>
            <w:vAlign w:val="center"/>
          </w:tcPr>
          <w:p w14:paraId="29643DF8">
            <w:pPr>
              <w:widowControl/>
              <w:spacing w:line="240" w:lineRule="atLeast"/>
              <w:rPr>
                <w:rFonts w:ascii="宋体" w:eastAsia="宋体" w:cs="宋体"/>
                <w:color w:val="000000"/>
                <w:kern w:val="0"/>
                <w:sz w:val="22"/>
                <w:szCs w:val="22"/>
              </w:rPr>
            </w:pPr>
            <w:r>
              <w:rPr>
                <w:rFonts w:hint="eastAsia" w:ascii="宋体" w:eastAsia="宋体" w:cs="宋体"/>
                <w:color w:val="000000"/>
                <w:kern w:val="0"/>
                <w:sz w:val="22"/>
                <w:szCs w:val="22"/>
              </w:rPr>
              <w:t>评价要点：</w:t>
            </w:r>
            <w:r>
              <w:rPr>
                <w:rFonts w:ascii="宋体" w:eastAsia="宋体" w:cs="宋体"/>
                <w:color w:val="000000"/>
                <w:kern w:val="0"/>
                <w:sz w:val="22"/>
                <w:szCs w:val="22"/>
              </w:rPr>
              <w:br w:type="textWrapping"/>
            </w:r>
            <w:r>
              <w:rPr>
                <w:rFonts w:hint="eastAsia" w:ascii="宋体" w:eastAsia="宋体" w:cs="宋体"/>
                <w:color w:val="000000"/>
                <w:kern w:val="0"/>
                <w:sz w:val="22"/>
                <w:szCs w:val="22"/>
              </w:rPr>
              <w:t>①预算资金分配依据是否充分；</w:t>
            </w:r>
            <w:r>
              <w:rPr>
                <w:rFonts w:ascii="宋体" w:eastAsia="宋体" w:cs="宋体"/>
                <w:color w:val="000000"/>
                <w:kern w:val="0"/>
                <w:sz w:val="22"/>
                <w:szCs w:val="22"/>
              </w:rPr>
              <w:br w:type="textWrapping"/>
            </w:r>
            <w:r>
              <w:rPr>
                <w:rFonts w:hint="eastAsia" w:ascii="宋体" w:eastAsia="宋体" w:cs="宋体"/>
                <w:color w:val="000000"/>
                <w:kern w:val="0"/>
                <w:sz w:val="22"/>
                <w:szCs w:val="22"/>
              </w:rPr>
              <w:t>②资金分配额度是否合理，与项目单位或地方实际是否相适应。</w:t>
            </w:r>
          </w:p>
        </w:tc>
        <w:tc>
          <w:tcPr>
            <w:tcW w:w="841" w:type="dxa"/>
            <w:gridSpan w:val="2"/>
            <w:tcBorders>
              <w:top w:val="single" w:color="auto" w:sz="4" w:space="0"/>
              <w:bottom w:val="single" w:color="auto" w:sz="4" w:space="0"/>
              <w:right w:val="single" w:color="auto" w:sz="4" w:space="0"/>
            </w:tcBorders>
          </w:tcPr>
          <w:p w14:paraId="1FBE9A71">
            <w:pPr>
              <w:widowControl/>
              <w:jc w:val="left"/>
              <w:rPr>
                <w:rFonts w:ascii="宋体" w:eastAsia="宋体" w:cs="宋体"/>
                <w:color w:val="000000"/>
                <w:kern w:val="0"/>
                <w:sz w:val="22"/>
                <w:szCs w:val="22"/>
              </w:rPr>
            </w:pPr>
            <w:r>
              <w:rPr>
                <w:rFonts w:ascii="宋体" w:eastAsia="宋体" w:cs="宋体"/>
                <w:color w:val="000000"/>
                <w:kern w:val="0"/>
                <w:sz w:val="22"/>
                <w:szCs w:val="22"/>
              </w:rPr>
              <w:t>2</w:t>
            </w:r>
          </w:p>
        </w:tc>
        <w:tc>
          <w:tcPr>
            <w:tcW w:w="922" w:type="dxa"/>
            <w:gridSpan w:val="3"/>
            <w:tcBorders>
              <w:top w:val="single" w:color="auto" w:sz="4" w:space="0"/>
              <w:left w:val="single" w:color="auto" w:sz="4" w:space="0"/>
              <w:bottom w:val="single" w:color="auto" w:sz="4" w:space="0"/>
              <w:right w:val="single" w:color="auto" w:sz="4" w:space="0"/>
            </w:tcBorders>
          </w:tcPr>
          <w:p w14:paraId="0B5CEF97">
            <w:pPr>
              <w:widowControl/>
              <w:jc w:val="left"/>
              <w:rPr>
                <w:rFonts w:ascii="宋体" w:eastAsia="宋体" w:cs="宋体"/>
                <w:color w:val="000000"/>
                <w:kern w:val="0"/>
                <w:sz w:val="22"/>
                <w:szCs w:val="22"/>
              </w:rPr>
            </w:pPr>
            <w:r>
              <w:rPr>
                <w:rFonts w:ascii="宋体" w:eastAsia="宋体" w:cs="宋体"/>
                <w:color w:val="000000"/>
                <w:kern w:val="0"/>
                <w:sz w:val="22"/>
                <w:szCs w:val="22"/>
              </w:rPr>
              <w:t>2</w:t>
            </w:r>
          </w:p>
        </w:tc>
      </w:tr>
      <w:tr w14:paraId="3186E9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15" w:hRule="atLeast"/>
          <w:jc w:val="center"/>
        </w:trPr>
        <w:tc>
          <w:tcPr>
            <w:tcW w:w="763" w:type="dxa"/>
            <w:vMerge w:val="restart"/>
            <w:shd w:val="clear" w:color="auto" w:fill="FFFFFF"/>
            <w:vAlign w:val="center"/>
          </w:tcPr>
          <w:p w14:paraId="619B5777">
            <w:pPr>
              <w:spacing w:line="240" w:lineRule="atLeast"/>
              <w:jc w:val="center"/>
              <w:rPr>
                <w:rFonts w:ascii="宋体" w:eastAsia="宋体" w:cs="宋体"/>
                <w:color w:val="000000"/>
                <w:kern w:val="0"/>
                <w:sz w:val="22"/>
                <w:szCs w:val="22"/>
              </w:rPr>
            </w:pPr>
            <w:r>
              <w:rPr>
                <w:rFonts w:hint="eastAsia" w:ascii="宋体" w:eastAsia="宋体" w:cs="宋体"/>
                <w:color w:val="000000"/>
                <w:kern w:val="0"/>
                <w:sz w:val="22"/>
                <w:szCs w:val="22"/>
              </w:rPr>
              <w:t>过程（</w:t>
            </w:r>
            <w:r>
              <w:rPr>
                <w:rFonts w:ascii="宋体" w:eastAsia="宋体" w:cs="宋体"/>
                <w:color w:val="000000"/>
                <w:kern w:val="0"/>
                <w:sz w:val="22"/>
                <w:szCs w:val="22"/>
              </w:rPr>
              <w:t>20</w:t>
            </w:r>
            <w:r>
              <w:rPr>
                <w:rFonts w:hint="eastAsia" w:ascii="宋体" w:eastAsia="宋体" w:cs="宋体"/>
                <w:color w:val="000000"/>
                <w:kern w:val="0"/>
                <w:sz w:val="22"/>
                <w:szCs w:val="22"/>
              </w:rPr>
              <w:t>分）</w:t>
            </w:r>
          </w:p>
        </w:tc>
        <w:tc>
          <w:tcPr>
            <w:tcW w:w="1297" w:type="dxa"/>
            <w:vMerge w:val="restart"/>
            <w:shd w:val="clear" w:color="auto" w:fill="FFFFFF"/>
            <w:vAlign w:val="center"/>
          </w:tcPr>
          <w:p w14:paraId="4D46E269">
            <w:pPr>
              <w:widowControl/>
              <w:spacing w:line="240" w:lineRule="atLeast"/>
              <w:jc w:val="center"/>
              <w:rPr>
                <w:rFonts w:ascii="宋体" w:eastAsia="宋体" w:cs="宋体"/>
                <w:color w:val="000000"/>
                <w:kern w:val="0"/>
                <w:sz w:val="22"/>
                <w:szCs w:val="22"/>
              </w:rPr>
            </w:pPr>
            <w:r>
              <w:rPr>
                <w:rFonts w:hint="eastAsia" w:ascii="宋体" w:eastAsia="宋体" w:cs="宋体"/>
                <w:color w:val="000000"/>
                <w:kern w:val="0"/>
                <w:sz w:val="22"/>
                <w:szCs w:val="22"/>
              </w:rPr>
              <w:t>资金管理（</w:t>
            </w:r>
            <w:r>
              <w:rPr>
                <w:rFonts w:ascii="宋体" w:eastAsia="宋体" w:cs="宋体"/>
                <w:color w:val="000000"/>
                <w:kern w:val="0"/>
                <w:sz w:val="22"/>
                <w:szCs w:val="22"/>
              </w:rPr>
              <w:t>10</w:t>
            </w:r>
            <w:r>
              <w:rPr>
                <w:rFonts w:hint="eastAsia" w:ascii="宋体" w:eastAsia="宋体" w:cs="宋体"/>
                <w:color w:val="000000"/>
                <w:kern w:val="0"/>
                <w:sz w:val="22"/>
                <w:szCs w:val="22"/>
              </w:rPr>
              <w:t>）</w:t>
            </w:r>
          </w:p>
        </w:tc>
        <w:tc>
          <w:tcPr>
            <w:tcW w:w="1411" w:type="dxa"/>
            <w:shd w:val="clear" w:color="auto" w:fill="FFFFFF"/>
            <w:vAlign w:val="center"/>
          </w:tcPr>
          <w:p w14:paraId="4B16FEFD">
            <w:pPr>
              <w:widowControl/>
              <w:spacing w:line="240" w:lineRule="atLeast"/>
              <w:jc w:val="center"/>
              <w:rPr>
                <w:rFonts w:ascii="宋体" w:eastAsia="宋体" w:cs="宋体"/>
                <w:color w:val="000000"/>
                <w:kern w:val="0"/>
                <w:sz w:val="22"/>
                <w:szCs w:val="22"/>
              </w:rPr>
            </w:pPr>
            <w:r>
              <w:rPr>
                <w:rFonts w:hint="eastAsia" w:ascii="宋体" w:eastAsia="宋体" w:cs="宋体"/>
                <w:color w:val="000000"/>
                <w:kern w:val="0"/>
                <w:sz w:val="22"/>
                <w:szCs w:val="22"/>
              </w:rPr>
              <w:t>资金到位率</w:t>
            </w:r>
          </w:p>
        </w:tc>
        <w:tc>
          <w:tcPr>
            <w:tcW w:w="2789" w:type="dxa"/>
            <w:shd w:val="clear" w:color="000000" w:fill="FFFFFF"/>
            <w:vAlign w:val="center"/>
          </w:tcPr>
          <w:p w14:paraId="48BDC5A3">
            <w:pPr>
              <w:widowControl/>
              <w:spacing w:line="240" w:lineRule="atLeast"/>
              <w:rPr>
                <w:rFonts w:ascii="宋体" w:eastAsia="宋体" w:cs="宋体"/>
                <w:color w:val="000000"/>
                <w:kern w:val="0"/>
                <w:sz w:val="22"/>
                <w:szCs w:val="22"/>
              </w:rPr>
            </w:pPr>
            <w:r>
              <w:rPr>
                <w:rFonts w:hint="eastAsia" w:ascii="宋体" w:eastAsia="宋体" w:cs="宋体"/>
                <w:color w:val="000000"/>
                <w:kern w:val="0"/>
                <w:sz w:val="22"/>
                <w:szCs w:val="22"/>
              </w:rPr>
              <w:t>实际到位资金与预算资金的比率，用以反映和考核资金落实情况对项目实施的总体保障程度。</w:t>
            </w:r>
          </w:p>
        </w:tc>
        <w:tc>
          <w:tcPr>
            <w:tcW w:w="7341" w:type="dxa"/>
            <w:shd w:val="clear" w:color="000000" w:fill="FFFFFF"/>
            <w:vAlign w:val="center"/>
          </w:tcPr>
          <w:p w14:paraId="303CFB20">
            <w:pPr>
              <w:widowControl/>
              <w:spacing w:line="240" w:lineRule="atLeast"/>
              <w:rPr>
                <w:rFonts w:ascii="宋体" w:eastAsia="宋体" w:cs="宋体"/>
                <w:color w:val="000000"/>
                <w:kern w:val="0"/>
                <w:sz w:val="22"/>
                <w:szCs w:val="22"/>
              </w:rPr>
            </w:pPr>
            <w:r>
              <w:rPr>
                <w:rFonts w:hint="eastAsia" w:ascii="宋体" w:eastAsia="宋体" w:cs="宋体"/>
                <w:color w:val="000000"/>
                <w:kern w:val="0"/>
                <w:sz w:val="22"/>
                <w:szCs w:val="22"/>
              </w:rPr>
              <w:t>资金到位率</w:t>
            </w:r>
            <w:r>
              <w:rPr>
                <w:rFonts w:ascii="宋体" w:eastAsia="宋体" w:cs="宋体"/>
                <w:color w:val="000000"/>
                <w:kern w:val="0"/>
                <w:sz w:val="22"/>
                <w:szCs w:val="22"/>
              </w:rPr>
              <w:t>=</w:t>
            </w:r>
            <w:r>
              <w:rPr>
                <w:rFonts w:hint="eastAsia" w:ascii="宋体" w:eastAsia="宋体" w:cs="宋体"/>
                <w:color w:val="000000"/>
                <w:kern w:val="0"/>
                <w:sz w:val="22"/>
                <w:szCs w:val="22"/>
              </w:rPr>
              <w:t>（实际到位资金</w:t>
            </w:r>
            <w:r>
              <w:rPr>
                <w:rFonts w:ascii="宋体" w:eastAsia="宋体" w:cs="宋体"/>
                <w:color w:val="000000"/>
                <w:kern w:val="0"/>
                <w:sz w:val="22"/>
                <w:szCs w:val="22"/>
              </w:rPr>
              <w:t>/</w:t>
            </w:r>
            <w:r>
              <w:rPr>
                <w:rFonts w:hint="eastAsia" w:ascii="宋体" w:eastAsia="宋体" w:cs="宋体"/>
                <w:color w:val="000000"/>
                <w:kern w:val="0"/>
                <w:sz w:val="22"/>
                <w:szCs w:val="22"/>
              </w:rPr>
              <w:t>预算资金）×</w:t>
            </w:r>
            <w:r>
              <w:rPr>
                <w:rFonts w:ascii="宋体" w:eastAsia="宋体" w:cs="宋体"/>
                <w:color w:val="000000"/>
                <w:kern w:val="0"/>
                <w:sz w:val="22"/>
                <w:szCs w:val="22"/>
              </w:rPr>
              <w:t>100%</w:t>
            </w:r>
            <w:r>
              <w:rPr>
                <w:rFonts w:hint="eastAsia" w:ascii="宋体" w:eastAsia="宋体" w:cs="宋体"/>
                <w:color w:val="000000"/>
                <w:kern w:val="0"/>
                <w:sz w:val="22"/>
                <w:szCs w:val="22"/>
              </w:rPr>
              <w:t>。</w:t>
            </w:r>
          </w:p>
          <w:p w14:paraId="2CF44D9E">
            <w:pPr>
              <w:widowControl/>
              <w:spacing w:line="240" w:lineRule="atLeast"/>
              <w:rPr>
                <w:rFonts w:ascii="宋体" w:eastAsia="宋体" w:cs="宋体"/>
                <w:color w:val="000000"/>
                <w:kern w:val="0"/>
                <w:sz w:val="22"/>
                <w:szCs w:val="22"/>
              </w:rPr>
            </w:pPr>
            <w:r>
              <w:rPr>
                <w:rFonts w:hint="eastAsia" w:ascii="宋体" w:eastAsia="宋体" w:cs="宋体"/>
                <w:color w:val="000000"/>
                <w:kern w:val="0"/>
                <w:sz w:val="22"/>
                <w:szCs w:val="22"/>
              </w:rPr>
              <w:t>实际到位资金：一定时期（本年度或项目期）内落实到具体项目的资金。</w:t>
            </w:r>
          </w:p>
          <w:p w14:paraId="0521AFE4">
            <w:pPr>
              <w:widowControl/>
              <w:spacing w:line="240" w:lineRule="atLeast"/>
              <w:rPr>
                <w:rFonts w:ascii="宋体" w:eastAsia="宋体" w:cs="宋体"/>
                <w:color w:val="000000"/>
                <w:kern w:val="0"/>
                <w:sz w:val="22"/>
                <w:szCs w:val="22"/>
              </w:rPr>
            </w:pPr>
            <w:r>
              <w:rPr>
                <w:rFonts w:hint="eastAsia" w:ascii="宋体" w:eastAsia="宋体" w:cs="宋体"/>
                <w:color w:val="000000"/>
                <w:kern w:val="0"/>
                <w:sz w:val="22"/>
                <w:szCs w:val="22"/>
              </w:rPr>
              <w:t>预算资金：一定时期（本年度或项目期）内预算安排到具体项目的资金。</w:t>
            </w:r>
          </w:p>
        </w:tc>
        <w:tc>
          <w:tcPr>
            <w:tcW w:w="841" w:type="dxa"/>
            <w:gridSpan w:val="2"/>
            <w:tcBorders>
              <w:top w:val="single" w:color="auto" w:sz="4" w:space="0"/>
              <w:bottom w:val="single" w:color="auto" w:sz="4" w:space="0"/>
              <w:right w:val="single" w:color="auto" w:sz="4" w:space="0"/>
            </w:tcBorders>
          </w:tcPr>
          <w:p w14:paraId="04961932">
            <w:pPr>
              <w:widowControl/>
              <w:jc w:val="left"/>
              <w:rPr>
                <w:rFonts w:ascii="宋体" w:eastAsia="宋体" w:cs="宋体"/>
                <w:color w:val="000000"/>
                <w:kern w:val="0"/>
                <w:sz w:val="22"/>
                <w:szCs w:val="22"/>
              </w:rPr>
            </w:pPr>
            <w:r>
              <w:rPr>
                <w:rFonts w:ascii="宋体" w:eastAsia="宋体" w:cs="宋体"/>
                <w:color w:val="000000"/>
                <w:kern w:val="0"/>
                <w:sz w:val="22"/>
                <w:szCs w:val="22"/>
              </w:rPr>
              <w:t>4</w:t>
            </w:r>
          </w:p>
        </w:tc>
        <w:tc>
          <w:tcPr>
            <w:tcW w:w="922" w:type="dxa"/>
            <w:gridSpan w:val="3"/>
            <w:tcBorders>
              <w:top w:val="single" w:color="auto" w:sz="4" w:space="0"/>
              <w:left w:val="single" w:color="auto" w:sz="4" w:space="0"/>
              <w:bottom w:val="single" w:color="auto" w:sz="4" w:space="0"/>
              <w:right w:val="single" w:color="auto" w:sz="4" w:space="0"/>
            </w:tcBorders>
          </w:tcPr>
          <w:p w14:paraId="498E9F23">
            <w:pPr>
              <w:widowControl/>
              <w:jc w:val="left"/>
              <w:rPr>
                <w:rFonts w:ascii="宋体" w:eastAsia="宋体" w:cs="宋体"/>
                <w:color w:val="000000"/>
                <w:kern w:val="0"/>
                <w:sz w:val="22"/>
                <w:szCs w:val="22"/>
              </w:rPr>
            </w:pPr>
            <w:r>
              <w:rPr>
                <w:rFonts w:ascii="宋体" w:eastAsia="宋体" w:cs="宋体"/>
                <w:color w:val="000000"/>
                <w:kern w:val="0"/>
                <w:sz w:val="22"/>
                <w:szCs w:val="22"/>
              </w:rPr>
              <w:t>4</w:t>
            </w:r>
          </w:p>
        </w:tc>
      </w:tr>
      <w:tr w14:paraId="66D3A9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320" w:hRule="atLeast"/>
          <w:jc w:val="center"/>
        </w:trPr>
        <w:tc>
          <w:tcPr>
            <w:tcW w:w="763" w:type="dxa"/>
            <w:vMerge w:val="continue"/>
            <w:shd w:val="clear" w:color="auto" w:fill="FFFFFF"/>
            <w:vAlign w:val="center"/>
          </w:tcPr>
          <w:p w14:paraId="00C30115"/>
        </w:tc>
        <w:tc>
          <w:tcPr>
            <w:tcW w:w="1297" w:type="dxa"/>
            <w:vMerge w:val="continue"/>
            <w:shd w:val="clear" w:color="auto" w:fill="FFFFFF"/>
            <w:vAlign w:val="center"/>
          </w:tcPr>
          <w:p w14:paraId="74402538"/>
        </w:tc>
        <w:tc>
          <w:tcPr>
            <w:tcW w:w="1411" w:type="dxa"/>
            <w:shd w:val="clear" w:color="auto" w:fill="FFFFFF"/>
            <w:vAlign w:val="center"/>
          </w:tcPr>
          <w:p w14:paraId="1D45A00E">
            <w:pPr>
              <w:widowControl/>
              <w:spacing w:line="240" w:lineRule="atLeast"/>
              <w:jc w:val="center"/>
              <w:rPr>
                <w:rFonts w:ascii="宋体" w:eastAsia="宋体" w:cs="宋体"/>
                <w:color w:val="000000"/>
                <w:kern w:val="0"/>
                <w:sz w:val="22"/>
                <w:szCs w:val="22"/>
              </w:rPr>
            </w:pPr>
            <w:r>
              <w:rPr>
                <w:rFonts w:hint="eastAsia" w:ascii="宋体" w:eastAsia="宋体" w:cs="宋体"/>
                <w:color w:val="000000"/>
                <w:kern w:val="0"/>
                <w:sz w:val="22"/>
                <w:szCs w:val="22"/>
              </w:rPr>
              <w:t>预算执行率</w:t>
            </w:r>
          </w:p>
        </w:tc>
        <w:tc>
          <w:tcPr>
            <w:tcW w:w="2789" w:type="dxa"/>
            <w:shd w:val="clear" w:color="auto" w:fill="FFFFFF"/>
            <w:vAlign w:val="center"/>
          </w:tcPr>
          <w:p w14:paraId="43DBB974">
            <w:pPr>
              <w:widowControl/>
              <w:spacing w:line="240" w:lineRule="atLeast"/>
              <w:rPr>
                <w:rFonts w:ascii="宋体" w:eastAsia="宋体" w:cs="宋体"/>
                <w:color w:val="000000"/>
                <w:kern w:val="0"/>
                <w:sz w:val="22"/>
                <w:szCs w:val="22"/>
              </w:rPr>
            </w:pPr>
            <w:r>
              <w:rPr>
                <w:rFonts w:hint="eastAsia" w:ascii="宋体" w:eastAsia="宋体" w:cs="宋体"/>
                <w:color w:val="000000"/>
                <w:kern w:val="0"/>
                <w:sz w:val="22"/>
                <w:szCs w:val="22"/>
              </w:rPr>
              <w:t>项目预算资金是否按照计划执行，用以反映或考核项目预算执行情况。</w:t>
            </w:r>
          </w:p>
        </w:tc>
        <w:tc>
          <w:tcPr>
            <w:tcW w:w="7341" w:type="dxa"/>
            <w:shd w:val="clear" w:color="auto" w:fill="FFFFFF"/>
            <w:vAlign w:val="center"/>
          </w:tcPr>
          <w:p w14:paraId="1A256B37">
            <w:pPr>
              <w:widowControl/>
              <w:spacing w:line="240" w:lineRule="atLeast"/>
              <w:rPr>
                <w:rFonts w:ascii="宋体" w:eastAsia="宋体" w:cs="宋体"/>
                <w:color w:val="000000"/>
                <w:kern w:val="0"/>
                <w:sz w:val="22"/>
                <w:szCs w:val="22"/>
              </w:rPr>
            </w:pPr>
            <w:r>
              <w:rPr>
                <w:rFonts w:hint="eastAsia" w:ascii="宋体" w:eastAsia="宋体" w:cs="宋体"/>
                <w:color w:val="000000"/>
                <w:kern w:val="0"/>
                <w:sz w:val="22"/>
                <w:szCs w:val="22"/>
              </w:rPr>
              <w:t>预算执行率</w:t>
            </w:r>
            <w:r>
              <w:rPr>
                <w:rFonts w:ascii="宋体" w:eastAsia="宋体" w:cs="宋体"/>
                <w:color w:val="000000"/>
                <w:kern w:val="0"/>
                <w:sz w:val="22"/>
                <w:szCs w:val="22"/>
              </w:rPr>
              <w:t>=</w:t>
            </w:r>
            <w:r>
              <w:rPr>
                <w:rFonts w:hint="eastAsia" w:ascii="宋体" w:eastAsia="宋体" w:cs="宋体"/>
                <w:color w:val="000000"/>
                <w:kern w:val="0"/>
                <w:sz w:val="22"/>
                <w:szCs w:val="22"/>
              </w:rPr>
              <w:t>（实际支出资金</w:t>
            </w:r>
            <w:r>
              <w:rPr>
                <w:rFonts w:ascii="宋体" w:eastAsia="宋体" w:cs="宋体"/>
                <w:color w:val="000000"/>
                <w:kern w:val="0"/>
                <w:sz w:val="22"/>
                <w:szCs w:val="22"/>
              </w:rPr>
              <w:t>/</w:t>
            </w:r>
            <w:r>
              <w:rPr>
                <w:rFonts w:hint="eastAsia" w:ascii="宋体" w:eastAsia="宋体" w:cs="宋体"/>
                <w:color w:val="000000"/>
                <w:kern w:val="0"/>
                <w:sz w:val="22"/>
                <w:szCs w:val="22"/>
              </w:rPr>
              <w:t>实际到位资金）×</w:t>
            </w:r>
            <w:r>
              <w:rPr>
                <w:rFonts w:ascii="宋体" w:eastAsia="宋体" w:cs="宋体"/>
                <w:color w:val="000000"/>
                <w:kern w:val="0"/>
                <w:sz w:val="22"/>
                <w:szCs w:val="22"/>
              </w:rPr>
              <w:t>100%</w:t>
            </w:r>
            <w:r>
              <w:rPr>
                <w:rFonts w:hint="eastAsia" w:ascii="宋体" w:eastAsia="宋体" w:cs="宋体"/>
                <w:color w:val="000000"/>
                <w:kern w:val="0"/>
                <w:sz w:val="22"/>
                <w:szCs w:val="22"/>
              </w:rPr>
              <w:t>。</w:t>
            </w:r>
            <w:r>
              <w:rPr>
                <w:rFonts w:ascii="宋体" w:eastAsia="宋体" w:cs="宋体"/>
                <w:color w:val="000000"/>
                <w:kern w:val="0"/>
                <w:sz w:val="22"/>
                <w:szCs w:val="22"/>
              </w:rPr>
              <w:br w:type="textWrapping"/>
            </w:r>
            <w:r>
              <w:rPr>
                <w:rFonts w:hint="eastAsia" w:ascii="宋体" w:eastAsia="宋体" w:cs="宋体"/>
                <w:color w:val="000000"/>
                <w:kern w:val="0"/>
                <w:sz w:val="22"/>
                <w:szCs w:val="22"/>
              </w:rPr>
              <w:t>实际支出资金：一定时期（本年度或项目期）内项目实际拨付的资金。</w:t>
            </w:r>
          </w:p>
        </w:tc>
        <w:tc>
          <w:tcPr>
            <w:tcW w:w="841" w:type="dxa"/>
            <w:gridSpan w:val="2"/>
            <w:tcBorders>
              <w:top w:val="single" w:color="auto" w:sz="4" w:space="0"/>
              <w:bottom w:val="single" w:color="auto" w:sz="4" w:space="0"/>
              <w:right w:val="single" w:color="auto" w:sz="4" w:space="0"/>
            </w:tcBorders>
          </w:tcPr>
          <w:p w14:paraId="65415CDA">
            <w:pPr>
              <w:widowControl/>
              <w:jc w:val="left"/>
              <w:rPr>
                <w:rFonts w:ascii="宋体" w:eastAsia="宋体" w:cs="宋体"/>
                <w:color w:val="000000"/>
                <w:kern w:val="0"/>
                <w:sz w:val="22"/>
                <w:szCs w:val="22"/>
              </w:rPr>
            </w:pPr>
            <w:r>
              <w:rPr>
                <w:rFonts w:asci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tcPr>
          <w:p w14:paraId="16772FB0">
            <w:pPr>
              <w:widowControl/>
              <w:jc w:val="left"/>
              <w:rPr>
                <w:rFonts w:ascii="宋体" w:eastAsia="宋体" w:cs="宋体"/>
                <w:color w:val="000000"/>
                <w:kern w:val="0"/>
                <w:sz w:val="22"/>
                <w:szCs w:val="22"/>
              </w:rPr>
            </w:pPr>
            <w:r>
              <w:rPr>
                <w:rFonts w:ascii="宋体" w:eastAsia="宋体" w:cs="宋体"/>
                <w:color w:val="000000"/>
                <w:kern w:val="0"/>
                <w:sz w:val="22"/>
                <w:szCs w:val="22"/>
              </w:rPr>
              <w:t>3</w:t>
            </w:r>
          </w:p>
        </w:tc>
      </w:tr>
      <w:tr w14:paraId="0D07D8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2076" w:hRule="atLeast"/>
          <w:jc w:val="center"/>
        </w:trPr>
        <w:tc>
          <w:tcPr>
            <w:tcW w:w="763" w:type="dxa"/>
            <w:vMerge w:val="restart"/>
            <w:shd w:val="clear" w:color="auto" w:fill="FFFFFF"/>
            <w:vAlign w:val="center"/>
          </w:tcPr>
          <w:p w14:paraId="1BA31E9A">
            <w:pPr>
              <w:widowControl/>
              <w:spacing w:line="240" w:lineRule="atLeast"/>
              <w:jc w:val="center"/>
              <w:rPr>
                <w:rFonts w:ascii="宋体" w:eastAsia="宋体" w:cs="宋体"/>
                <w:color w:val="000000"/>
                <w:kern w:val="0"/>
                <w:sz w:val="22"/>
                <w:szCs w:val="22"/>
              </w:rPr>
            </w:pPr>
            <w:r>
              <w:rPr>
                <w:rFonts w:hint="eastAsia" w:ascii="宋体" w:eastAsia="宋体" w:cs="宋体"/>
                <w:color w:val="000000"/>
                <w:kern w:val="0"/>
                <w:sz w:val="22"/>
                <w:szCs w:val="22"/>
              </w:rPr>
              <w:t>　</w:t>
            </w:r>
          </w:p>
          <w:p w14:paraId="33535CFA">
            <w:pPr>
              <w:spacing w:line="240" w:lineRule="atLeast"/>
              <w:jc w:val="center"/>
              <w:rPr>
                <w:rFonts w:ascii="宋体" w:eastAsia="宋体" w:cs="宋体"/>
                <w:color w:val="000000"/>
                <w:kern w:val="0"/>
                <w:sz w:val="22"/>
                <w:szCs w:val="22"/>
              </w:rPr>
            </w:pPr>
            <w:r>
              <w:rPr>
                <w:rFonts w:hint="eastAsia" w:ascii="宋体" w:eastAsia="宋体" w:cs="宋体"/>
                <w:color w:val="000000"/>
                <w:kern w:val="0"/>
                <w:sz w:val="22"/>
                <w:szCs w:val="22"/>
              </w:rPr>
              <w:t>过程（</w:t>
            </w:r>
            <w:r>
              <w:rPr>
                <w:rFonts w:ascii="宋体" w:eastAsia="宋体" w:cs="宋体"/>
                <w:color w:val="000000"/>
                <w:kern w:val="0"/>
                <w:sz w:val="22"/>
                <w:szCs w:val="22"/>
              </w:rPr>
              <w:t>20</w:t>
            </w:r>
            <w:r>
              <w:rPr>
                <w:rFonts w:hint="eastAsia" w:ascii="宋体" w:eastAsia="宋体" w:cs="宋体"/>
                <w:color w:val="000000"/>
                <w:kern w:val="0"/>
                <w:sz w:val="22"/>
                <w:szCs w:val="22"/>
              </w:rPr>
              <w:t>分）　</w:t>
            </w:r>
          </w:p>
        </w:tc>
        <w:tc>
          <w:tcPr>
            <w:tcW w:w="1297" w:type="dxa"/>
            <w:shd w:val="clear" w:color="auto" w:fill="FFFFFF"/>
            <w:vAlign w:val="center"/>
          </w:tcPr>
          <w:p w14:paraId="0848D62A">
            <w:pPr>
              <w:widowControl/>
              <w:spacing w:line="240" w:lineRule="atLeast"/>
              <w:jc w:val="center"/>
              <w:rPr>
                <w:rFonts w:ascii="宋体" w:eastAsia="宋体" w:cs="宋体"/>
                <w:color w:val="000000"/>
                <w:kern w:val="0"/>
                <w:sz w:val="22"/>
                <w:szCs w:val="22"/>
              </w:rPr>
            </w:pPr>
            <w:r>
              <w:rPr>
                <w:rFonts w:hint="eastAsia" w:ascii="宋体" w:eastAsia="宋体" w:cs="宋体"/>
                <w:color w:val="000000"/>
                <w:kern w:val="0"/>
                <w:sz w:val="22"/>
                <w:szCs w:val="22"/>
              </w:rPr>
              <w:t>资金管理</w:t>
            </w:r>
          </w:p>
        </w:tc>
        <w:tc>
          <w:tcPr>
            <w:tcW w:w="1411" w:type="dxa"/>
            <w:shd w:val="clear" w:color="auto" w:fill="FFFFFF"/>
            <w:vAlign w:val="center"/>
          </w:tcPr>
          <w:p w14:paraId="25D6813D">
            <w:pPr>
              <w:widowControl/>
              <w:spacing w:line="240" w:lineRule="atLeast"/>
              <w:jc w:val="center"/>
              <w:rPr>
                <w:rFonts w:ascii="宋体" w:eastAsia="宋体" w:cs="宋体"/>
                <w:color w:val="000000"/>
                <w:kern w:val="0"/>
                <w:sz w:val="22"/>
                <w:szCs w:val="22"/>
              </w:rPr>
            </w:pPr>
            <w:r>
              <w:rPr>
                <w:rFonts w:hint="eastAsia" w:ascii="宋体" w:eastAsia="宋体" w:cs="宋体"/>
                <w:color w:val="000000"/>
                <w:kern w:val="0"/>
                <w:sz w:val="22"/>
                <w:szCs w:val="22"/>
              </w:rPr>
              <w:t>资金使用</w:t>
            </w:r>
          </w:p>
          <w:p w14:paraId="4B4E68B9">
            <w:pPr>
              <w:widowControl/>
              <w:spacing w:line="240" w:lineRule="atLeast"/>
              <w:jc w:val="center"/>
              <w:rPr>
                <w:rFonts w:ascii="宋体" w:eastAsia="宋体" w:cs="宋体"/>
                <w:color w:val="000000"/>
                <w:kern w:val="0"/>
                <w:sz w:val="22"/>
                <w:szCs w:val="22"/>
              </w:rPr>
            </w:pPr>
            <w:r>
              <w:rPr>
                <w:rFonts w:hint="eastAsia" w:ascii="宋体" w:eastAsia="宋体" w:cs="宋体"/>
                <w:color w:val="000000"/>
                <w:kern w:val="0"/>
                <w:sz w:val="22"/>
                <w:szCs w:val="22"/>
              </w:rPr>
              <w:t>合规性</w:t>
            </w:r>
          </w:p>
        </w:tc>
        <w:tc>
          <w:tcPr>
            <w:tcW w:w="2789" w:type="dxa"/>
            <w:shd w:val="clear" w:color="000000" w:fill="FFFFFF"/>
            <w:vAlign w:val="center"/>
          </w:tcPr>
          <w:p w14:paraId="1327A991">
            <w:pPr>
              <w:widowControl/>
              <w:spacing w:line="240" w:lineRule="atLeast"/>
              <w:rPr>
                <w:rFonts w:ascii="宋体" w:eastAsia="宋体" w:cs="宋体"/>
                <w:color w:val="000000"/>
                <w:kern w:val="0"/>
                <w:sz w:val="22"/>
                <w:szCs w:val="22"/>
              </w:rPr>
            </w:pPr>
            <w:r>
              <w:rPr>
                <w:rFonts w:hint="eastAsia" w:ascii="宋体" w:eastAsia="宋体" w:cs="宋体"/>
                <w:color w:val="000000"/>
                <w:kern w:val="0"/>
                <w:sz w:val="22"/>
                <w:szCs w:val="22"/>
              </w:rPr>
              <w:t>项目资金使用是否符合相关的财务管理制度规定，用以反映和考核项目资金的规范运行情况。</w:t>
            </w:r>
          </w:p>
        </w:tc>
        <w:tc>
          <w:tcPr>
            <w:tcW w:w="7341" w:type="dxa"/>
            <w:tcBorders>
              <w:bottom w:val="single" w:color="auto" w:sz="4" w:space="0"/>
            </w:tcBorders>
            <w:shd w:val="clear" w:color="000000" w:fill="FFFFFF"/>
            <w:vAlign w:val="center"/>
          </w:tcPr>
          <w:p w14:paraId="3A274560">
            <w:pPr>
              <w:widowControl/>
              <w:spacing w:line="240" w:lineRule="atLeast"/>
              <w:rPr>
                <w:rFonts w:ascii="宋体" w:eastAsia="宋体" w:cs="宋体"/>
                <w:color w:val="000000"/>
                <w:kern w:val="0"/>
                <w:sz w:val="22"/>
                <w:szCs w:val="22"/>
              </w:rPr>
            </w:pPr>
            <w:r>
              <w:rPr>
                <w:rFonts w:hint="eastAsia" w:ascii="宋体" w:eastAsia="宋体" w:cs="宋体"/>
                <w:color w:val="000000"/>
                <w:kern w:val="0"/>
                <w:sz w:val="22"/>
                <w:szCs w:val="22"/>
              </w:rPr>
              <w:t>评价要点：</w:t>
            </w:r>
            <w:r>
              <w:rPr>
                <w:rFonts w:ascii="宋体" w:eastAsia="宋体" w:cs="宋体"/>
                <w:color w:val="000000"/>
                <w:kern w:val="0"/>
                <w:sz w:val="22"/>
                <w:szCs w:val="22"/>
              </w:rPr>
              <w:br w:type="textWrapping"/>
            </w:r>
            <w:r>
              <w:rPr>
                <w:rFonts w:hint="eastAsia" w:ascii="宋体" w:eastAsia="宋体" w:cs="宋体"/>
                <w:color w:val="000000"/>
                <w:kern w:val="0"/>
                <w:sz w:val="22"/>
                <w:szCs w:val="22"/>
              </w:rPr>
              <w:t>①是否符合国家财经法规和财务管理制度以及有关专项资金管理办法的规定；</w:t>
            </w:r>
            <w:r>
              <w:rPr>
                <w:rFonts w:ascii="宋体" w:eastAsia="宋体" w:cs="宋体"/>
                <w:color w:val="000000"/>
                <w:kern w:val="0"/>
                <w:sz w:val="22"/>
                <w:szCs w:val="22"/>
              </w:rPr>
              <w:br w:type="textWrapping"/>
            </w:r>
            <w:r>
              <w:rPr>
                <w:rFonts w:hint="eastAsia" w:ascii="宋体" w:eastAsia="宋体" w:cs="宋体"/>
                <w:color w:val="000000"/>
                <w:kern w:val="0"/>
                <w:sz w:val="22"/>
                <w:szCs w:val="22"/>
              </w:rPr>
              <w:t>②资金的拨付是否有完整的审批程序和手续；</w:t>
            </w:r>
            <w:r>
              <w:rPr>
                <w:rFonts w:ascii="宋体" w:eastAsia="宋体" w:cs="宋体"/>
                <w:color w:val="000000"/>
                <w:kern w:val="0"/>
                <w:sz w:val="22"/>
                <w:szCs w:val="22"/>
              </w:rPr>
              <w:br w:type="textWrapping"/>
            </w:r>
            <w:r>
              <w:rPr>
                <w:rFonts w:hint="eastAsia" w:ascii="宋体" w:eastAsia="宋体" w:cs="宋体"/>
                <w:color w:val="000000"/>
                <w:kern w:val="0"/>
                <w:sz w:val="22"/>
                <w:szCs w:val="22"/>
              </w:rPr>
              <w:t>③是否符合项目预算批复或合同规定的用途；</w:t>
            </w:r>
            <w:r>
              <w:rPr>
                <w:rFonts w:ascii="宋体" w:eastAsia="宋体" w:cs="宋体"/>
                <w:color w:val="000000"/>
                <w:kern w:val="0"/>
                <w:sz w:val="22"/>
                <w:szCs w:val="22"/>
              </w:rPr>
              <w:br w:type="textWrapping"/>
            </w:r>
            <w:r>
              <w:rPr>
                <w:rFonts w:hint="eastAsia" w:ascii="宋体" w:eastAsia="宋体" w:cs="宋体"/>
                <w:color w:val="000000"/>
                <w:kern w:val="0"/>
                <w:sz w:val="22"/>
                <w:szCs w:val="22"/>
              </w:rPr>
              <w:t>④是否存在截留、挤占、挪用、虚列支出等情况。</w:t>
            </w:r>
          </w:p>
        </w:tc>
        <w:tc>
          <w:tcPr>
            <w:tcW w:w="829" w:type="dxa"/>
            <w:tcBorders>
              <w:top w:val="single" w:color="auto" w:sz="4" w:space="0"/>
              <w:bottom w:val="single" w:color="auto" w:sz="4" w:space="0"/>
              <w:right w:val="single" w:color="auto" w:sz="4" w:space="0"/>
            </w:tcBorders>
          </w:tcPr>
          <w:p w14:paraId="4E9209B2">
            <w:pPr>
              <w:widowControl/>
              <w:jc w:val="left"/>
              <w:rPr>
                <w:rFonts w:ascii="宋体" w:eastAsia="宋体" w:cs="宋体"/>
                <w:color w:val="000000"/>
                <w:kern w:val="0"/>
                <w:sz w:val="22"/>
                <w:szCs w:val="22"/>
              </w:rPr>
            </w:pPr>
            <w:r>
              <w:rPr>
                <w:rFonts w:asci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tcPr>
          <w:p w14:paraId="4FA07037">
            <w:pPr>
              <w:widowControl/>
              <w:jc w:val="left"/>
              <w:rPr>
                <w:rFonts w:ascii="宋体" w:eastAsia="宋体" w:cs="宋体"/>
                <w:color w:val="000000"/>
                <w:kern w:val="0"/>
                <w:sz w:val="22"/>
                <w:szCs w:val="22"/>
              </w:rPr>
            </w:pPr>
            <w:r>
              <w:rPr>
                <w:rFonts w:ascii="宋体" w:eastAsia="宋体" w:cs="宋体"/>
                <w:color w:val="000000"/>
                <w:kern w:val="0"/>
                <w:sz w:val="22"/>
                <w:szCs w:val="22"/>
              </w:rPr>
              <w:t>3</w:t>
            </w:r>
          </w:p>
        </w:tc>
      </w:tr>
      <w:tr w14:paraId="7450C8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797" w:hRule="atLeast"/>
          <w:jc w:val="center"/>
        </w:trPr>
        <w:tc>
          <w:tcPr>
            <w:tcW w:w="763" w:type="dxa"/>
            <w:vMerge w:val="continue"/>
            <w:shd w:val="clear" w:color="auto" w:fill="FFFFFF"/>
            <w:vAlign w:val="center"/>
          </w:tcPr>
          <w:p w14:paraId="09A3209C"/>
        </w:tc>
        <w:tc>
          <w:tcPr>
            <w:tcW w:w="1297" w:type="dxa"/>
            <w:vMerge w:val="restart"/>
            <w:shd w:val="clear" w:color="auto" w:fill="FFFFFF"/>
            <w:vAlign w:val="center"/>
          </w:tcPr>
          <w:p w14:paraId="1EE14E52">
            <w:pPr>
              <w:widowControl/>
              <w:spacing w:line="240" w:lineRule="atLeast"/>
              <w:jc w:val="center"/>
              <w:rPr>
                <w:rFonts w:ascii="宋体" w:eastAsia="宋体" w:cs="宋体"/>
                <w:color w:val="000000"/>
                <w:kern w:val="0"/>
                <w:sz w:val="22"/>
                <w:szCs w:val="22"/>
              </w:rPr>
            </w:pPr>
            <w:r>
              <w:rPr>
                <w:rFonts w:hint="eastAsia" w:ascii="宋体" w:eastAsia="宋体" w:cs="宋体"/>
                <w:color w:val="000000"/>
                <w:kern w:val="0"/>
                <w:sz w:val="22"/>
                <w:szCs w:val="22"/>
              </w:rPr>
              <w:t>组织实施（</w:t>
            </w:r>
            <w:r>
              <w:rPr>
                <w:rFonts w:ascii="宋体" w:eastAsia="宋体" w:cs="宋体"/>
                <w:color w:val="000000"/>
                <w:kern w:val="0"/>
                <w:sz w:val="22"/>
                <w:szCs w:val="22"/>
              </w:rPr>
              <w:t>10</w:t>
            </w:r>
            <w:r>
              <w:rPr>
                <w:rFonts w:hint="eastAsia" w:ascii="宋体" w:eastAsia="宋体" w:cs="宋体"/>
                <w:color w:val="000000"/>
                <w:kern w:val="0"/>
                <w:sz w:val="22"/>
                <w:szCs w:val="22"/>
              </w:rPr>
              <w:t>）</w:t>
            </w:r>
          </w:p>
          <w:p w14:paraId="17E35301">
            <w:pPr>
              <w:spacing w:line="240" w:lineRule="atLeast"/>
              <w:jc w:val="center"/>
              <w:rPr>
                <w:rFonts w:ascii="宋体" w:eastAsia="宋体" w:cs="宋体"/>
                <w:color w:val="000000"/>
                <w:kern w:val="0"/>
                <w:sz w:val="22"/>
                <w:szCs w:val="22"/>
              </w:rPr>
            </w:pPr>
            <w:r>
              <w:rPr>
                <w:rFonts w:hint="eastAsia" w:ascii="宋体" w:eastAsia="宋体" w:cs="宋体"/>
                <w:color w:val="000000"/>
                <w:kern w:val="0"/>
                <w:sz w:val="22"/>
                <w:szCs w:val="22"/>
              </w:rPr>
              <w:t>　</w:t>
            </w:r>
          </w:p>
        </w:tc>
        <w:tc>
          <w:tcPr>
            <w:tcW w:w="1411" w:type="dxa"/>
            <w:shd w:val="clear" w:color="auto" w:fill="FFFFFF"/>
            <w:vAlign w:val="center"/>
          </w:tcPr>
          <w:p w14:paraId="6F2F5CB3">
            <w:pPr>
              <w:widowControl/>
              <w:spacing w:line="240" w:lineRule="atLeast"/>
              <w:jc w:val="center"/>
              <w:rPr>
                <w:rFonts w:ascii="宋体" w:eastAsia="宋体" w:cs="宋体"/>
                <w:color w:val="000000"/>
                <w:kern w:val="0"/>
                <w:sz w:val="22"/>
                <w:szCs w:val="22"/>
              </w:rPr>
            </w:pPr>
            <w:r>
              <w:rPr>
                <w:rFonts w:hint="eastAsia" w:ascii="宋体" w:eastAsia="宋体" w:cs="宋体"/>
                <w:color w:val="000000"/>
                <w:kern w:val="0"/>
                <w:sz w:val="22"/>
                <w:szCs w:val="22"/>
              </w:rPr>
              <w:t>管理制度</w:t>
            </w:r>
          </w:p>
          <w:p w14:paraId="6EF4F452">
            <w:pPr>
              <w:widowControl/>
              <w:spacing w:line="240" w:lineRule="atLeast"/>
              <w:jc w:val="center"/>
              <w:rPr>
                <w:rFonts w:ascii="宋体" w:eastAsia="宋体" w:cs="宋体"/>
                <w:color w:val="000000"/>
                <w:kern w:val="0"/>
                <w:sz w:val="22"/>
                <w:szCs w:val="22"/>
              </w:rPr>
            </w:pPr>
            <w:r>
              <w:rPr>
                <w:rFonts w:hint="eastAsia" w:ascii="宋体" w:eastAsia="宋体" w:cs="宋体"/>
                <w:color w:val="000000"/>
                <w:kern w:val="0"/>
                <w:sz w:val="22"/>
                <w:szCs w:val="22"/>
              </w:rPr>
              <w:t>健全性</w:t>
            </w:r>
          </w:p>
        </w:tc>
        <w:tc>
          <w:tcPr>
            <w:tcW w:w="2789" w:type="dxa"/>
            <w:shd w:val="clear" w:color="000000" w:fill="FFFFFF"/>
            <w:vAlign w:val="center"/>
          </w:tcPr>
          <w:p w14:paraId="270742C5">
            <w:pPr>
              <w:widowControl/>
              <w:spacing w:line="240" w:lineRule="atLeast"/>
              <w:rPr>
                <w:rFonts w:ascii="宋体" w:eastAsia="宋体" w:cs="宋体"/>
                <w:color w:val="000000"/>
                <w:kern w:val="0"/>
                <w:sz w:val="22"/>
                <w:szCs w:val="22"/>
              </w:rPr>
            </w:pPr>
            <w:r>
              <w:rPr>
                <w:rFonts w:hint="eastAsia" w:ascii="宋体" w:eastAsia="宋体" w:cs="宋体"/>
                <w:color w:val="000000"/>
                <w:kern w:val="0"/>
                <w:sz w:val="22"/>
                <w:szCs w:val="22"/>
              </w:rPr>
              <w:t>项目实施单位的财务和业务管理制度是否健全，用以反映和考核财务和业务管理制度对项目顺利实施的保障情况。</w:t>
            </w:r>
          </w:p>
        </w:tc>
        <w:tc>
          <w:tcPr>
            <w:tcW w:w="7341" w:type="dxa"/>
            <w:shd w:val="clear" w:color="000000" w:fill="FFFFFF"/>
            <w:vAlign w:val="center"/>
          </w:tcPr>
          <w:p w14:paraId="50184153">
            <w:pPr>
              <w:widowControl/>
              <w:spacing w:line="240" w:lineRule="atLeast"/>
              <w:rPr>
                <w:rFonts w:ascii="宋体" w:eastAsia="宋体" w:cs="宋体"/>
                <w:color w:val="000000"/>
                <w:kern w:val="0"/>
                <w:sz w:val="22"/>
                <w:szCs w:val="22"/>
              </w:rPr>
            </w:pPr>
            <w:r>
              <w:rPr>
                <w:rFonts w:hint="eastAsia" w:ascii="宋体" w:eastAsia="宋体" w:cs="宋体"/>
                <w:color w:val="000000"/>
                <w:kern w:val="0"/>
                <w:sz w:val="22"/>
                <w:szCs w:val="22"/>
              </w:rPr>
              <w:t>评价要点：</w:t>
            </w:r>
            <w:r>
              <w:rPr>
                <w:rFonts w:ascii="宋体" w:eastAsia="宋体" w:cs="宋体"/>
                <w:color w:val="000000"/>
                <w:kern w:val="0"/>
                <w:sz w:val="22"/>
                <w:szCs w:val="22"/>
              </w:rPr>
              <w:br w:type="textWrapping"/>
            </w:r>
            <w:r>
              <w:rPr>
                <w:rFonts w:hint="eastAsia" w:ascii="宋体" w:eastAsia="宋体" w:cs="宋体"/>
                <w:color w:val="000000"/>
                <w:kern w:val="0"/>
                <w:sz w:val="22"/>
                <w:szCs w:val="22"/>
              </w:rPr>
              <w:t>①是否已制定或具有相应的财务和业务管理制度；</w:t>
            </w:r>
            <w:r>
              <w:rPr>
                <w:rFonts w:ascii="宋体" w:eastAsia="宋体" w:cs="宋体"/>
                <w:color w:val="000000"/>
                <w:kern w:val="0"/>
                <w:sz w:val="22"/>
                <w:szCs w:val="22"/>
              </w:rPr>
              <w:br w:type="textWrapping"/>
            </w:r>
            <w:r>
              <w:rPr>
                <w:rFonts w:hint="eastAsia" w:ascii="宋体" w:eastAsia="宋体" w:cs="宋体"/>
                <w:color w:val="000000"/>
                <w:kern w:val="0"/>
                <w:sz w:val="22"/>
                <w:szCs w:val="22"/>
              </w:rPr>
              <w:t>②财务和业务管理制度是否合法、合规、完整。</w:t>
            </w:r>
          </w:p>
        </w:tc>
        <w:tc>
          <w:tcPr>
            <w:tcW w:w="829" w:type="dxa"/>
            <w:tcBorders>
              <w:top w:val="single" w:color="auto" w:sz="4" w:space="0"/>
              <w:bottom w:val="single" w:color="auto" w:sz="4" w:space="0"/>
              <w:right w:val="single" w:color="auto" w:sz="4" w:space="0"/>
            </w:tcBorders>
          </w:tcPr>
          <w:p w14:paraId="41CF5661">
            <w:pPr>
              <w:widowControl/>
              <w:jc w:val="left"/>
              <w:rPr>
                <w:rFonts w:ascii="宋体" w:eastAsia="宋体" w:cs="宋体"/>
                <w:color w:val="000000"/>
                <w:kern w:val="0"/>
                <w:sz w:val="22"/>
                <w:szCs w:val="22"/>
              </w:rPr>
            </w:pPr>
            <w:r>
              <w:rPr>
                <w:rFonts w:asci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tcPr>
          <w:p w14:paraId="6282F79B">
            <w:pPr>
              <w:widowControl/>
              <w:jc w:val="left"/>
              <w:rPr>
                <w:rFonts w:ascii="宋体" w:eastAsia="宋体" w:cs="宋体"/>
                <w:color w:val="000000"/>
                <w:kern w:val="0"/>
                <w:sz w:val="22"/>
                <w:szCs w:val="22"/>
              </w:rPr>
            </w:pPr>
            <w:r>
              <w:rPr>
                <w:rFonts w:ascii="宋体" w:eastAsia="宋体" w:cs="宋体"/>
                <w:color w:val="000000"/>
                <w:kern w:val="0"/>
                <w:sz w:val="22"/>
                <w:szCs w:val="22"/>
              </w:rPr>
              <w:t>5</w:t>
            </w:r>
          </w:p>
        </w:tc>
      </w:tr>
      <w:tr w14:paraId="3AE951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769" w:hRule="atLeast"/>
          <w:jc w:val="center"/>
        </w:trPr>
        <w:tc>
          <w:tcPr>
            <w:tcW w:w="763" w:type="dxa"/>
            <w:vMerge w:val="continue"/>
            <w:shd w:val="clear" w:color="auto" w:fill="FFFFFF"/>
            <w:vAlign w:val="center"/>
          </w:tcPr>
          <w:p w14:paraId="3F39334D"/>
        </w:tc>
        <w:tc>
          <w:tcPr>
            <w:tcW w:w="1297" w:type="dxa"/>
            <w:vMerge w:val="continue"/>
            <w:shd w:val="clear" w:color="auto" w:fill="FFFFFF"/>
            <w:vAlign w:val="center"/>
          </w:tcPr>
          <w:p w14:paraId="5EF62344"/>
        </w:tc>
        <w:tc>
          <w:tcPr>
            <w:tcW w:w="1411" w:type="dxa"/>
            <w:shd w:val="clear" w:color="auto" w:fill="FFFFFF"/>
            <w:vAlign w:val="center"/>
          </w:tcPr>
          <w:p w14:paraId="4626D55C">
            <w:pPr>
              <w:widowControl/>
              <w:spacing w:line="240" w:lineRule="atLeast"/>
              <w:jc w:val="center"/>
              <w:rPr>
                <w:rFonts w:ascii="宋体" w:eastAsia="宋体" w:cs="宋体"/>
                <w:color w:val="000000"/>
                <w:kern w:val="0"/>
                <w:sz w:val="22"/>
                <w:szCs w:val="22"/>
              </w:rPr>
            </w:pPr>
            <w:r>
              <w:rPr>
                <w:rFonts w:hint="eastAsia" w:ascii="宋体" w:eastAsia="宋体" w:cs="宋体"/>
                <w:color w:val="000000"/>
                <w:kern w:val="0"/>
                <w:sz w:val="22"/>
                <w:szCs w:val="22"/>
              </w:rPr>
              <w:t>制度执行</w:t>
            </w:r>
          </w:p>
          <w:p w14:paraId="2EA348A5">
            <w:pPr>
              <w:widowControl/>
              <w:spacing w:line="240" w:lineRule="atLeast"/>
              <w:jc w:val="center"/>
              <w:rPr>
                <w:rFonts w:ascii="宋体" w:eastAsia="宋体" w:cs="宋体"/>
                <w:color w:val="000000"/>
                <w:kern w:val="0"/>
                <w:sz w:val="22"/>
                <w:szCs w:val="22"/>
              </w:rPr>
            </w:pPr>
            <w:r>
              <w:rPr>
                <w:rFonts w:hint="eastAsia" w:ascii="宋体" w:eastAsia="宋体" w:cs="宋体"/>
                <w:color w:val="000000"/>
                <w:kern w:val="0"/>
                <w:sz w:val="22"/>
                <w:szCs w:val="22"/>
              </w:rPr>
              <w:t>有效性</w:t>
            </w:r>
          </w:p>
        </w:tc>
        <w:tc>
          <w:tcPr>
            <w:tcW w:w="2789" w:type="dxa"/>
            <w:shd w:val="clear" w:color="000000" w:fill="FFFFFF"/>
            <w:vAlign w:val="center"/>
          </w:tcPr>
          <w:p w14:paraId="1467B270">
            <w:pPr>
              <w:widowControl/>
              <w:spacing w:line="240" w:lineRule="atLeast"/>
              <w:rPr>
                <w:rFonts w:ascii="宋体" w:eastAsia="宋体" w:cs="宋体"/>
                <w:color w:val="000000"/>
                <w:kern w:val="0"/>
                <w:sz w:val="22"/>
                <w:szCs w:val="22"/>
              </w:rPr>
            </w:pPr>
            <w:r>
              <w:rPr>
                <w:rFonts w:hint="eastAsia" w:ascii="宋体" w:eastAsia="宋体" w:cs="宋体"/>
                <w:color w:val="000000"/>
                <w:kern w:val="0"/>
                <w:sz w:val="22"/>
                <w:szCs w:val="22"/>
              </w:rPr>
              <w:t>项目实施是否符合相关管理规定，用以反映和考核相关管理制度的有效执行情况。</w:t>
            </w:r>
          </w:p>
        </w:tc>
        <w:tc>
          <w:tcPr>
            <w:tcW w:w="7341" w:type="dxa"/>
            <w:shd w:val="clear" w:color="000000" w:fill="FFFFFF"/>
            <w:vAlign w:val="center"/>
          </w:tcPr>
          <w:p w14:paraId="1428C108">
            <w:pPr>
              <w:widowControl/>
              <w:spacing w:line="240" w:lineRule="atLeast"/>
              <w:rPr>
                <w:rFonts w:ascii="宋体" w:eastAsia="宋体" w:cs="宋体"/>
                <w:color w:val="000000"/>
                <w:kern w:val="0"/>
                <w:sz w:val="22"/>
                <w:szCs w:val="22"/>
              </w:rPr>
            </w:pPr>
            <w:r>
              <w:rPr>
                <w:rFonts w:hint="eastAsia" w:ascii="宋体" w:eastAsia="宋体" w:cs="宋体"/>
                <w:color w:val="000000"/>
                <w:kern w:val="0"/>
                <w:sz w:val="22"/>
                <w:szCs w:val="22"/>
              </w:rPr>
              <w:t>评价要点：</w:t>
            </w:r>
            <w:r>
              <w:rPr>
                <w:rFonts w:ascii="宋体" w:eastAsia="宋体" w:cs="宋体"/>
                <w:color w:val="000000"/>
                <w:kern w:val="0"/>
                <w:sz w:val="22"/>
                <w:szCs w:val="22"/>
              </w:rPr>
              <w:br w:type="textWrapping"/>
            </w:r>
            <w:r>
              <w:rPr>
                <w:rFonts w:hint="eastAsia" w:ascii="宋体" w:eastAsia="宋体" w:cs="宋体"/>
                <w:color w:val="000000"/>
                <w:kern w:val="0"/>
                <w:sz w:val="22"/>
                <w:szCs w:val="22"/>
              </w:rPr>
              <w:t>①是否遵守相关法律法规和相关管理规定；</w:t>
            </w:r>
            <w:r>
              <w:rPr>
                <w:rFonts w:ascii="宋体" w:eastAsia="宋体" w:cs="宋体"/>
                <w:color w:val="000000"/>
                <w:kern w:val="0"/>
                <w:sz w:val="22"/>
                <w:szCs w:val="22"/>
              </w:rPr>
              <w:br w:type="textWrapping"/>
            </w:r>
            <w:r>
              <w:rPr>
                <w:rFonts w:hint="eastAsia" w:ascii="宋体" w:eastAsia="宋体" w:cs="宋体"/>
                <w:color w:val="000000"/>
                <w:kern w:val="0"/>
                <w:sz w:val="22"/>
                <w:szCs w:val="22"/>
              </w:rPr>
              <w:t>②项目调整及支出调整手续是否完备；</w:t>
            </w:r>
            <w:r>
              <w:rPr>
                <w:rFonts w:ascii="宋体" w:eastAsia="宋体" w:cs="宋体"/>
                <w:color w:val="000000"/>
                <w:kern w:val="0"/>
                <w:sz w:val="22"/>
                <w:szCs w:val="22"/>
              </w:rPr>
              <w:br w:type="textWrapping"/>
            </w:r>
            <w:r>
              <w:rPr>
                <w:rFonts w:hint="eastAsia" w:ascii="宋体" w:eastAsia="宋体" w:cs="宋体"/>
                <w:color w:val="000000"/>
                <w:kern w:val="0"/>
                <w:sz w:val="22"/>
                <w:szCs w:val="22"/>
              </w:rPr>
              <w:t>③项目合同书、验收报告、技术鉴定等资料是否齐全并及时归档；</w:t>
            </w:r>
            <w:r>
              <w:rPr>
                <w:rFonts w:ascii="宋体" w:eastAsia="宋体" w:cs="宋体"/>
                <w:color w:val="000000"/>
                <w:kern w:val="0"/>
                <w:sz w:val="22"/>
                <w:szCs w:val="22"/>
              </w:rPr>
              <w:br w:type="textWrapping"/>
            </w:r>
            <w:r>
              <w:rPr>
                <w:rFonts w:hint="eastAsia" w:ascii="宋体" w:eastAsia="宋体" w:cs="宋体"/>
                <w:color w:val="000000"/>
                <w:kern w:val="0"/>
                <w:sz w:val="22"/>
                <w:szCs w:val="22"/>
              </w:rPr>
              <w:t>④项目实施的人员条件、场地设备、信息支撑等是否落实到位。</w:t>
            </w:r>
          </w:p>
        </w:tc>
        <w:tc>
          <w:tcPr>
            <w:tcW w:w="829" w:type="dxa"/>
            <w:tcBorders>
              <w:top w:val="single" w:color="auto" w:sz="4" w:space="0"/>
              <w:bottom w:val="single" w:color="auto" w:sz="4" w:space="0"/>
              <w:right w:val="single" w:color="auto" w:sz="4" w:space="0"/>
            </w:tcBorders>
          </w:tcPr>
          <w:p w14:paraId="40D68D68">
            <w:pPr>
              <w:widowControl/>
              <w:jc w:val="left"/>
              <w:rPr>
                <w:rFonts w:ascii="宋体" w:eastAsia="宋体" w:cs="宋体"/>
                <w:color w:val="000000"/>
                <w:kern w:val="0"/>
                <w:sz w:val="22"/>
                <w:szCs w:val="22"/>
              </w:rPr>
            </w:pPr>
            <w:r>
              <w:rPr>
                <w:rFonts w:asci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tcPr>
          <w:p w14:paraId="7DA9AEDE">
            <w:pPr>
              <w:widowControl/>
              <w:jc w:val="left"/>
              <w:rPr>
                <w:rFonts w:ascii="宋体" w:eastAsia="宋体" w:cs="宋体"/>
                <w:color w:val="000000"/>
                <w:kern w:val="0"/>
                <w:sz w:val="22"/>
                <w:szCs w:val="22"/>
              </w:rPr>
            </w:pPr>
            <w:r>
              <w:rPr>
                <w:rFonts w:ascii="宋体" w:eastAsia="宋体" w:cs="宋体"/>
                <w:color w:val="000000"/>
                <w:kern w:val="0"/>
                <w:sz w:val="22"/>
                <w:szCs w:val="22"/>
              </w:rPr>
              <w:t>5</w:t>
            </w:r>
          </w:p>
        </w:tc>
      </w:tr>
      <w:tr w14:paraId="5C5793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917" w:hRule="atLeast"/>
          <w:jc w:val="center"/>
        </w:trPr>
        <w:tc>
          <w:tcPr>
            <w:tcW w:w="763" w:type="dxa"/>
            <w:shd w:val="clear" w:color="auto" w:fill="FFFFFF"/>
            <w:vAlign w:val="center"/>
          </w:tcPr>
          <w:p w14:paraId="21A540F7">
            <w:pPr>
              <w:widowControl/>
              <w:spacing w:line="240" w:lineRule="atLeast"/>
              <w:jc w:val="center"/>
              <w:rPr>
                <w:rFonts w:ascii="宋体" w:eastAsia="宋体" w:cs="宋体"/>
                <w:color w:val="000000"/>
                <w:kern w:val="0"/>
                <w:sz w:val="22"/>
                <w:szCs w:val="22"/>
              </w:rPr>
            </w:pPr>
            <w:r>
              <w:rPr>
                <w:rFonts w:hint="eastAsia" w:ascii="宋体" w:eastAsia="宋体" w:cs="宋体"/>
                <w:color w:val="000000"/>
                <w:kern w:val="0"/>
                <w:sz w:val="22"/>
                <w:szCs w:val="22"/>
              </w:rPr>
              <w:t>产出（</w:t>
            </w:r>
            <w:r>
              <w:rPr>
                <w:rFonts w:ascii="宋体" w:eastAsia="宋体" w:cs="宋体"/>
                <w:color w:val="000000"/>
                <w:kern w:val="0"/>
                <w:sz w:val="22"/>
                <w:szCs w:val="22"/>
              </w:rPr>
              <w:t>30</w:t>
            </w:r>
            <w:r>
              <w:rPr>
                <w:rFonts w:hint="eastAsia" w:ascii="宋体" w:eastAsia="宋体" w:cs="宋体"/>
                <w:color w:val="000000"/>
                <w:kern w:val="0"/>
                <w:sz w:val="22"/>
                <w:szCs w:val="22"/>
              </w:rPr>
              <w:t>分）</w:t>
            </w:r>
          </w:p>
        </w:tc>
        <w:tc>
          <w:tcPr>
            <w:tcW w:w="1297" w:type="dxa"/>
            <w:shd w:val="clear" w:color="auto" w:fill="FFFFFF"/>
            <w:vAlign w:val="center"/>
          </w:tcPr>
          <w:p w14:paraId="3C8B3FF2">
            <w:pPr>
              <w:widowControl/>
              <w:spacing w:line="240" w:lineRule="atLeast"/>
              <w:jc w:val="center"/>
              <w:rPr>
                <w:rFonts w:ascii="宋体" w:eastAsia="宋体" w:cs="宋体"/>
                <w:color w:val="000000"/>
                <w:kern w:val="0"/>
                <w:sz w:val="22"/>
                <w:szCs w:val="22"/>
              </w:rPr>
            </w:pPr>
            <w:r>
              <w:rPr>
                <w:rFonts w:hint="eastAsia" w:ascii="宋体" w:eastAsia="宋体" w:cs="宋体"/>
                <w:color w:val="000000"/>
                <w:kern w:val="0"/>
                <w:sz w:val="22"/>
                <w:szCs w:val="22"/>
              </w:rPr>
              <w:t>产出数量（</w:t>
            </w:r>
            <w:r>
              <w:rPr>
                <w:rFonts w:ascii="宋体" w:eastAsia="宋体" w:cs="宋体"/>
                <w:color w:val="000000"/>
                <w:kern w:val="0"/>
                <w:sz w:val="22"/>
                <w:szCs w:val="22"/>
              </w:rPr>
              <w:t>10</w:t>
            </w:r>
            <w:r>
              <w:rPr>
                <w:rFonts w:hint="eastAsia" w:ascii="宋体" w:eastAsia="宋体" w:cs="宋体"/>
                <w:color w:val="000000"/>
                <w:kern w:val="0"/>
                <w:sz w:val="22"/>
                <w:szCs w:val="22"/>
              </w:rPr>
              <w:t>分）</w:t>
            </w:r>
          </w:p>
        </w:tc>
        <w:tc>
          <w:tcPr>
            <w:tcW w:w="1411" w:type="dxa"/>
            <w:shd w:val="clear" w:color="auto" w:fill="FFFFFF"/>
            <w:vAlign w:val="center"/>
          </w:tcPr>
          <w:p w14:paraId="17751979">
            <w:pPr>
              <w:widowControl/>
              <w:spacing w:line="240" w:lineRule="atLeast"/>
              <w:jc w:val="center"/>
              <w:rPr>
                <w:rFonts w:ascii="宋体" w:eastAsia="宋体" w:cs="宋体"/>
                <w:color w:val="000000"/>
                <w:kern w:val="0"/>
                <w:sz w:val="22"/>
                <w:szCs w:val="22"/>
              </w:rPr>
            </w:pPr>
            <w:r>
              <w:rPr>
                <w:rFonts w:hint="eastAsia" w:ascii="宋体" w:eastAsia="宋体" w:cs="宋体"/>
                <w:color w:val="000000"/>
                <w:kern w:val="0"/>
                <w:sz w:val="22"/>
                <w:szCs w:val="22"/>
              </w:rPr>
              <w:t>实际完成率</w:t>
            </w:r>
          </w:p>
        </w:tc>
        <w:tc>
          <w:tcPr>
            <w:tcW w:w="2789" w:type="dxa"/>
            <w:shd w:val="clear" w:color="000000" w:fill="FFFFFF"/>
            <w:vAlign w:val="center"/>
          </w:tcPr>
          <w:p w14:paraId="48DBDE82">
            <w:pPr>
              <w:widowControl/>
              <w:spacing w:line="240" w:lineRule="atLeast"/>
              <w:rPr>
                <w:rFonts w:ascii="宋体" w:eastAsia="宋体" w:cs="宋体"/>
                <w:color w:val="000000"/>
                <w:kern w:val="0"/>
                <w:sz w:val="22"/>
                <w:szCs w:val="22"/>
              </w:rPr>
            </w:pPr>
            <w:r>
              <w:rPr>
                <w:rFonts w:hint="eastAsia" w:ascii="宋体" w:eastAsia="宋体" w:cs="宋体"/>
                <w:color w:val="000000"/>
                <w:kern w:val="0"/>
                <w:sz w:val="22"/>
                <w:szCs w:val="22"/>
              </w:rPr>
              <w:t>项目实施的实际产出数与计划产出数的比率，用以反映和考核项目产出数量目标的实现程度。</w:t>
            </w:r>
          </w:p>
        </w:tc>
        <w:tc>
          <w:tcPr>
            <w:tcW w:w="7341" w:type="dxa"/>
            <w:shd w:val="clear" w:color="000000" w:fill="FFFFFF"/>
            <w:vAlign w:val="center"/>
          </w:tcPr>
          <w:p w14:paraId="14F2DCB8">
            <w:pPr>
              <w:widowControl/>
              <w:spacing w:line="240" w:lineRule="atLeast"/>
              <w:rPr>
                <w:rFonts w:ascii="宋体" w:eastAsia="宋体" w:cs="宋体"/>
                <w:color w:val="000000"/>
                <w:kern w:val="0"/>
                <w:sz w:val="22"/>
                <w:szCs w:val="22"/>
              </w:rPr>
            </w:pPr>
            <w:r>
              <w:rPr>
                <w:rFonts w:hint="eastAsia" w:ascii="宋体" w:eastAsia="宋体" w:cs="宋体"/>
                <w:color w:val="000000"/>
                <w:kern w:val="0"/>
                <w:sz w:val="22"/>
                <w:szCs w:val="22"/>
              </w:rPr>
              <w:t>实际完成率</w:t>
            </w:r>
            <w:r>
              <w:rPr>
                <w:rFonts w:ascii="宋体" w:eastAsia="宋体" w:cs="宋体"/>
                <w:color w:val="000000"/>
                <w:kern w:val="0"/>
                <w:sz w:val="22"/>
                <w:szCs w:val="22"/>
              </w:rPr>
              <w:t>=</w:t>
            </w:r>
            <w:r>
              <w:rPr>
                <w:rFonts w:hint="eastAsia" w:ascii="宋体" w:eastAsia="宋体" w:cs="宋体"/>
                <w:color w:val="000000"/>
                <w:kern w:val="0"/>
                <w:sz w:val="22"/>
                <w:szCs w:val="22"/>
              </w:rPr>
              <w:t>（实际产出数</w:t>
            </w:r>
            <w:r>
              <w:rPr>
                <w:rFonts w:ascii="宋体" w:eastAsia="宋体" w:cs="宋体"/>
                <w:color w:val="000000"/>
                <w:kern w:val="0"/>
                <w:sz w:val="22"/>
                <w:szCs w:val="22"/>
              </w:rPr>
              <w:t>/</w:t>
            </w:r>
            <w:r>
              <w:rPr>
                <w:rFonts w:hint="eastAsia" w:ascii="宋体" w:eastAsia="宋体" w:cs="宋体"/>
                <w:color w:val="000000"/>
                <w:kern w:val="0"/>
                <w:sz w:val="22"/>
                <w:szCs w:val="22"/>
              </w:rPr>
              <w:t>计划产出数）×</w:t>
            </w:r>
            <w:r>
              <w:rPr>
                <w:rFonts w:ascii="宋体" w:eastAsia="宋体" w:cs="宋体"/>
                <w:color w:val="000000"/>
                <w:kern w:val="0"/>
                <w:sz w:val="22"/>
                <w:szCs w:val="22"/>
              </w:rPr>
              <w:t>100%</w:t>
            </w:r>
            <w:r>
              <w:rPr>
                <w:rFonts w:hint="eastAsia" w:ascii="宋体" w:eastAsia="宋体" w:cs="宋体"/>
                <w:color w:val="000000"/>
                <w:kern w:val="0"/>
                <w:sz w:val="22"/>
                <w:szCs w:val="22"/>
              </w:rPr>
              <w:t>。</w:t>
            </w:r>
            <w:r>
              <w:rPr>
                <w:rFonts w:ascii="宋体" w:eastAsia="宋体" w:cs="宋体"/>
                <w:color w:val="000000"/>
                <w:kern w:val="0"/>
                <w:sz w:val="22"/>
                <w:szCs w:val="22"/>
              </w:rPr>
              <w:br w:type="textWrapping"/>
            </w:r>
            <w:r>
              <w:rPr>
                <w:rFonts w:hint="eastAsia" w:ascii="宋体" w:eastAsia="宋体" w:cs="宋体"/>
                <w:color w:val="000000"/>
                <w:kern w:val="0"/>
                <w:sz w:val="22"/>
                <w:szCs w:val="22"/>
              </w:rPr>
              <w:t>实际产出数：一定时期（本年度或项目期）内项目实际产出的产品或提供的服务数量。</w:t>
            </w:r>
            <w:r>
              <w:rPr>
                <w:rFonts w:ascii="宋体" w:eastAsia="宋体" w:cs="宋体"/>
                <w:color w:val="000000"/>
                <w:kern w:val="0"/>
                <w:sz w:val="22"/>
                <w:szCs w:val="22"/>
              </w:rPr>
              <w:br w:type="textWrapping"/>
            </w:r>
            <w:r>
              <w:rPr>
                <w:rFonts w:hint="eastAsia" w:ascii="宋体" w:eastAsia="宋体" w:cs="宋体"/>
                <w:color w:val="000000"/>
                <w:kern w:val="0"/>
                <w:sz w:val="22"/>
                <w:szCs w:val="22"/>
              </w:rPr>
              <w:t>计划产出数：项目绩效目标确定的在一定时期（本年度或项目期）内计划产出的产品或提供的服务数量。</w:t>
            </w:r>
          </w:p>
        </w:tc>
        <w:tc>
          <w:tcPr>
            <w:tcW w:w="829" w:type="dxa"/>
            <w:tcBorders>
              <w:top w:val="single" w:color="auto" w:sz="4" w:space="0"/>
              <w:bottom w:val="single" w:color="auto" w:sz="4" w:space="0"/>
              <w:right w:val="single" w:color="auto" w:sz="4" w:space="0"/>
            </w:tcBorders>
          </w:tcPr>
          <w:p w14:paraId="182F44C7">
            <w:pPr>
              <w:widowControl/>
              <w:jc w:val="left"/>
              <w:rPr>
                <w:rFonts w:ascii="宋体" w:eastAsia="宋体" w:cs="宋体"/>
                <w:color w:val="000000"/>
                <w:kern w:val="0"/>
                <w:sz w:val="22"/>
                <w:szCs w:val="22"/>
              </w:rPr>
            </w:pPr>
            <w:r>
              <w:rPr>
                <w:rFonts w:ascii="宋体" w:eastAsia="宋体" w:cs="宋体"/>
                <w:color w:val="000000"/>
                <w:kern w:val="0"/>
                <w:sz w:val="22"/>
                <w:szCs w:val="22"/>
              </w:rPr>
              <w:t>10</w:t>
            </w:r>
          </w:p>
        </w:tc>
        <w:tc>
          <w:tcPr>
            <w:tcW w:w="922" w:type="dxa"/>
            <w:gridSpan w:val="3"/>
            <w:tcBorders>
              <w:top w:val="single" w:color="auto" w:sz="4" w:space="0"/>
              <w:left w:val="single" w:color="auto" w:sz="4" w:space="0"/>
              <w:bottom w:val="single" w:color="auto" w:sz="4" w:space="0"/>
              <w:right w:val="single" w:color="auto" w:sz="4" w:space="0"/>
            </w:tcBorders>
          </w:tcPr>
          <w:p w14:paraId="48BB7499">
            <w:pPr>
              <w:widowControl/>
              <w:jc w:val="left"/>
              <w:rPr>
                <w:rFonts w:ascii="宋体" w:eastAsia="宋体" w:cs="宋体"/>
                <w:color w:val="000000"/>
                <w:kern w:val="0"/>
                <w:sz w:val="22"/>
                <w:szCs w:val="22"/>
              </w:rPr>
            </w:pPr>
            <w:r>
              <w:rPr>
                <w:rFonts w:ascii="宋体" w:eastAsia="宋体" w:cs="宋体"/>
                <w:color w:val="000000"/>
                <w:kern w:val="0"/>
                <w:sz w:val="22"/>
                <w:szCs w:val="22"/>
              </w:rPr>
              <w:t>10</w:t>
            </w:r>
          </w:p>
        </w:tc>
      </w:tr>
      <w:tr w14:paraId="64076E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763" w:type="dxa"/>
            <w:vMerge w:val="restart"/>
            <w:shd w:val="clear" w:color="auto" w:fill="FFFFFF"/>
            <w:vAlign w:val="center"/>
          </w:tcPr>
          <w:p w14:paraId="095A4FF3">
            <w:pPr>
              <w:widowControl/>
              <w:spacing w:line="240" w:lineRule="atLeast"/>
              <w:jc w:val="center"/>
              <w:rPr>
                <w:rFonts w:ascii="宋体" w:eastAsia="宋体" w:cs="宋体"/>
                <w:color w:val="000000"/>
                <w:kern w:val="0"/>
                <w:sz w:val="22"/>
                <w:szCs w:val="22"/>
              </w:rPr>
            </w:pPr>
            <w:r>
              <w:rPr>
                <w:rFonts w:hint="eastAsia" w:ascii="宋体" w:eastAsia="宋体" w:cs="宋体"/>
                <w:color w:val="000000"/>
                <w:kern w:val="0"/>
                <w:sz w:val="22"/>
                <w:szCs w:val="22"/>
              </w:rPr>
              <w:t>产出（</w:t>
            </w:r>
            <w:r>
              <w:rPr>
                <w:rFonts w:ascii="宋体" w:eastAsia="宋体" w:cs="宋体"/>
                <w:color w:val="000000"/>
                <w:kern w:val="0"/>
                <w:sz w:val="22"/>
                <w:szCs w:val="22"/>
              </w:rPr>
              <w:t>30</w:t>
            </w:r>
            <w:r>
              <w:rPr>
                <w:rFonts w:hint="eastAsia" w:ascii="宋体" w:eastAsia="宋体" w:cs="宋体"/>
                <w:color w:val="000000"/>
                <w:kern w:val="0"/>
                <w:sz w:val="22"/>
                <w:szCs w:val="22"/>
              </w:rPr>
              <w:t>分）</w:t>
            </w:r>
          </w:p>
        </w:tc>
        <w:tc>
          <w:tcPr>
            <w:tcW w:w="1297" w:type="dxa"/>
            <w:shd w:val="clear" w:color="auto" w:fill="FFFFFF"/>
            <w:vAlign w:val="center"/>
          </w:tcPr>
          <w:p w14:paraId="7B828D49">
            <w:pPr>
              <w:widowControl/>
              <w:spacing w:line="240" w:lineRule="atLeast"/>
              <w:jc w:val="center"/>
              <w:rPr>
                <w:rFonts w:ascii="宋体" w:eastAsia="宋体" w:cs="宋体"/>
                <w:color w:val="000000"/>
                <w:kern w:val="0"/>
                <w:sz w:val="22"/>
                <w:szCs w:val="22"/>
              </w:rPr>
            </w:pPr>
            <w:r>
              <w:rPr>
                <w:rFonts w:hint="eastAsia" w:ascii="宋体" w:eastAsia="宋体" w:cs="宋体"/>
                <w:color w:val="000000"/>
                <w:kern w:val="0"/>
                <w:sz w:val="22"/>
                <w:szCs w:val="22"/>
              </w:rPr>
              <w:t>产出质量（</w:t>
            </w:r>
            <w:r>
              <w:rPr>
                <w:rFonts w:ascii="宋体" w:eastAsia="宋体" w:cs="宋体"/>
                <w:color w:val="000000"/>
                <w:kern w:val="0"/>
                <w:sz w:val="22"/>
                <w:szCs w:val="22"/>
              </w:rPr>
              <w:t>10</w:t>
            </w:r>
            <w:r>
              <w:rPr>
                <w:rFonts w:hint="eastAsia" w:ascii="宋体" w:eastAsia="宋体" w:cs="宋体"/>
                <w:color w:val="000000"/>
                <w:kern w:val="0"/>
                <w:sz w:val="22"/>
                <w:szCs w:val="22"/>
              </w:rPr>
              <w:t>分）</w:t>
            </w:r>
          </w:p>
        </w:tc>
        <w:tc>
          <w:tcPr>
            <w:tcW w:w="1411" w:type="dxa"/>
            <w:shd w:val="clear" w:color="auto" w:fill="FFFFFF"/>
            <w:vAlign w:val="center"/>
          </w:tcPr>
          <w:p w14:paraId="099E6F8B">
            <w:pPr>
              <w:widowControl/>
              <w:spacing w:line="240" w:lineRule="atLeast"/>
              <w:jc w:val="center"/>
              <w:rPr>
                <w:rFonts w:ascii="宋体" w:eastAsia="宋体" w:cs="宋体"/>
                <w:color w:val="000000"/>
                <w:kern w:val="0"/>
                <w:sz w:val="22"/>
                <w:szCs w:val="22"/>
              </w:rPr>
            </w:pPr>
            <w:r>
              <w:rPr>
                <w:rFonts w:hint="eastAsia" w:ascii="宋体" w:eastAsia="宋体" w:cs="宋体"/>
                <w:color w:val="000000"/>
                <w:kern w:val="0"/>
                <w:sz w:val="22"/>
                <w:szCs w:val="22"/>
              </w:rPr>
              <w:t>质量达标率</w:t>
            </w:r>
          </w:p>
        </w:tc>
        <w:tc>
          <w:tcPr>
            <w:tcW w:w="2789" w:type="dxa"/>
            <w:shd w:val="clear" w:color="000000" w:fill="FFFFFF"/>
            <w:vAlign w:val="center"/>
          </w:tcPr>
          <w:p w14:paraId="339AFAF3">
            <w:pPr>
              <w:widowControl/>
              <w:spacing w:line="240" w:lineRule="atLeast"/>
              <w:rPr>
                <w:rFonts w:ascii="宋体" w:eastAsia="宋体" w:cs="宋体"/>
                <w:color w:val="000000"/>
                <w:kern w:val="0"/>
                <w:sz w:val="22"/>
                <w:szCs w:val="22"/>
              </w:rPr>
            </w:pPr>
            <w:r>
              <w:rPr>
                <w:rFonts w:hint="eastAsia" w:ascii="宋体" w:eastAsia="宋体" w:cs="宋体"/>
                <w:color w:val="000000"/>
                <w:kern w:val="0"/>
                <w:sz w:val="22"/>
                <w:szCs w:val="22"/>
              </w:rPr>
              <w:t>项目完成的质量达标产出数与实际产出数的比率，用以反映和考核项目产出质量目标的实现程度。</w:t>
            </w:r>
          </w:p>
        </w:tc>
        <w:tc>
          <w:tcPr>
            <w:tcW w:w="7341" w:type="dxa"/>
            <w:tcBorders>
              <w:bottom w:val="single" w:color="auto" w:sz="4" w:space="0"/>
            </w:tcBorders>
            <w:shd w:val="clear" w:color="000000" w:fill="FFFFFF"/>
            <w:vAlign w:val="center"/>
          </w:tcPr>
          <w:p w14:paraId="2A6E529A">
            <w:pPr>
              <w:widowControl/>
              <w:spacing w:line="240" w:lineRule="atLeast"/>
              <w:rPr>
                <w:rFonts w:ascii="宋体" w:eastAsia="宋体" w:cs="宋体"/>
                <w:color w:val="000000"/>
                <w:kern w:val="0"/>
                <w:sz w:val="22"/>
                <w:szCs w:val="22"/>
              </w:rPr>
            </w:pPr>
            <w:r>
              <w:rPr>
                <w:rFonts w:hint="eastAsia" w:ascii="宋体" w:eastAsia="宋体" w:cs="宋体"/>
                <w:color w:val="000000"/>
                <w:kern w:val="0"/>
                <w:sz w:val="22"/>
                <w:szCs w:val="22"/>
              </w:rPr>
              <w:t>质量达标率</w:t>
            </w:r>
            <w:r>
              <w:rPr>
                <w:rFonts w:ascii="宋体" w:eastAsia="宋体" w:cs="宋体"/>
                <w:color w:val="000000"/>
                <w:kern w:val="0"/>
                <w:sz w:val="22"/>
                <w:szCs w:val="22"/>
              </w:rPr>
              <w:t>=</w:t>
            </w:r>
            <w:r>
              <w:rPr>
                <w:rFonts w:hint="eastAsia" w:ascii="宋体" w:eastAsia="宋体" w:cs="宋体"/>
                <w:color w:val="000000"/>
                <w:kern w:val="0"/>
                <w:sz w:val="22"/>
                <w:szCs w:val="22"/>
              </w:rPr>
              <w:t>（质量达标产出数</w:t>
            </w:r>
            <w:r>
              <w:rPr>
                <w:rFonts w:ascii="宋体" w:eastAsia="宋体" w:cs="宋体"/>
                <w:color w:val="000000"/>
                <w:kern w:val="0"/>
                <w:sz w:val="22"/>
                <w:szCs w:val="22"/>
              </w:rPr>
              <w:t>/</w:t>
            </w:r>
            <w:r>
              <w:rPr>
                <w:rFonts w:hint="eastAsia" w:ascii="宋体" w:eastAsia="宋体" w:cs="宋体"/>
                <w:color w:val="000000"/>
                <w:kern w:val="0"/>
                <w:sz w:val="22"/>
                <w:szCs w:val="22"/>
              </w:rPr>
              <w:t>实际产出数）×</w:t>
            </w:r>
            <w:r>
              <w:rPr>
                <w:rFonts w:ascii="宋体" w:eastAsia="宋体" w:cs="宋体"/>
                <w:color w:val="000000"/>
                <w:kern w:val="0"/>
                <w:sz w:val="22"/>
                <w:szCs w:val="22"/>
              </w:rPr>
              <w:t>100%</w:t>
            </w:r>
            <w:r>
              <w:rPr>
                <w:rFonts w:hint="eastAsia" w:ascii="宋体" w:eastAsia="宋体" w:cs="宋体"/>
                <w:color w:val="000000"/>
                <w:kern w:val="0"/>
                <w:sz w:val="22"/>
                <w:szCs w:val="22"/>
              </w:rPr>
              <w:t>。</w:t>
            </w:r>
          </w:p>
          <w:p w14:paraId="20415812">
            <w:pPr>
              <w:widowControl/>
              <w:spacing w:line="240" w:lineRule="atLeast"/>
              <w:rPr>
                <w:rFonts w:ascii="宋体" w:eastAsia="宋体" w:cs="宋体"/>
                <w:color w:val="000000"/>
                <w:kern w:val="0"/>
                <w:sz w:val="22"/>
                <w:szCs w:val="22"/>
              </w:rPr>
            </w:pPr>
            <w:r>
              <w:rPr>
                <w:rFonts w:hint="eastAsia" w:ascii="宋体" w:eastAsia="宋体" w:cs="宋体"/>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color="auto" w:sz="4" w:space="0"/>
              <w:bottom w:val="single" w:color="auto" w:sz="4" w:space="0"/>
              <w:right w:val="single" w:color="auto" w:sz="4" w:space="0"/>
            </w:tcBorders>
          </w:tcPr>
          <w:p w14:paraId="38281736">
            <w:pPr>
              <w:widowControl/>
              <w:jc w:val="left"/>
              <w:rPr>
                <w:rFonts w:ascii="宋体" w:eastAsia="宋体" w:cs="宋体"/>
                <w:color w:val="000000"/>
                <w:kern w:val="0"/>
                <w:sz w:val="22"/>
                <w:szCs w:val="22"/>
              </w:rPr>
            </w:pPr>
            <w:r>
              <w:rPr>
                <w:rFonts w:ascii="宋体" w:eastAsia="宋体" w:cs="宋体"/>
                <w:color w:val="000000"/>
                <w:kern w:val="0"/>
                <w:sz w:val="22"/>
                <w:szCs w:val="22"/>
              </w:rPr>
              <w:t>10</w:t>
            </w:r>
          </w:p>
        </w:tc>
        <w:tc>
          <w:tcPr>
            <w:tcW w:w="922" w:type="dxa"/>
            <w:gridSpan w:val="3"/>
            <w:tcBorders>
              <w:top w:val="single" w:color="auto" w:sz="4" w:space="0"/>
              <w:left w:val="single" w:color="auto" w:sz="4" w:space="0"/>
              <w:bottom w:val="single" w:color="auto" w:sz="4" w:space="0"/>
              <w:right w:val="single" w:color="auto" w:sz="4" w:space="0"/>
            </w:tcBorders>
          </w:tcPr>
          <w:p w14:paraId="2D5A2E3A">
            <w:pPr>
              <w:widowControl/>
              <w:jc w:val="left"/>
              <w:rPr>
                <w:rFonts w:ascii="宋体" w:eastAsia="宋体" w:cs="宋体"/>
                <w:color w:val="000000"/>
                <w:kern w:val="0"/>
                <w:sz w:val="22"/>
                <w:szCs w:val="22"/>
              </w:rPr>
            </w:pPr>
            <w:r>
              <w:rPr>
                <w:rFonts w:ascii="宋体" w:eastAsia="宋体" w:cs="宋体"/>
                <w:color w:val="000000"/>
                <w:kern w:val="0"/>
                <w:sz w:val="22"/>
                <w:szCs w:val="22"/>
              </w:rPr>
              <w:t>10</w:t>
            </w:r>
          </w:p>
        </w:tc>
      </w:tr>
      <w:tr w14:paraId="557276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763" w:type="dxa"/>
            <w:vMerge w:val="continue"/>
            <w:shd w:val="clear" w:color="auto" w:fill="FFFFFF"/>
            <w:vAlign w:val="center"/>
          </w:tcPr>
          <w:p w14:paraId="24DFD5EA"/>
        </w:tc>
        <w:tc>
          <w:tcPr>
            <w:tcW w:w="1297" w:type="dxa"/>
            <w:shd w:val="clear" w:color="auto" w:fill="FFFFFF"/>
            <w:vAlign w:val="center"/>
          </w:tcPr>
          <w:p w14:paraId="7E6D0A5E">
            <w:pPr>
              <w:spacing w:line="240" w:lineRule="atLeast"/>
              <w:jc w:val="center"/>
              <w:rPr>
                <w:rFonts w:ascii="宋体" w:eastAsia="宋体" w:cs="宋体"/>
                <w:color w:val="000000"/>
                <w:kern w:val="0"/>
                <w:sz w:val="22"/>
                <w:szCs w:val="22"/>
              </w:rPr>
            </w:pPr>
            <w:r>
              <w:rPr>
                <w:rFonts w:hint="eastAsia" w:ascii="宋体" w:eastAsia="宋体" w:cs="宋体"/>
                <w:color w:val="000000"/>
                <w:kern w:val="0"/>
                <w:sz w:val="22"/>
                <w:szCs w:val="22"/>
              </w:rPr>
              <w:t>产出时效（</w:t>
            </w:r>
            <w:r>
              <w:rPr>
                <w:rFonts w:ascii="宋体" w:eastAsia="宋体" w:cs="宋体"/>
                <w:color w:val="000000"/>
                <w:kern w:val="0"/>
                <w:sz w:val="22"/>
                <w:szCs w:val="22"/>
              </w:rPr>
              <w:t>5</w:t>
            </w:r>
            <w:r>
              <w:rPr>
                <w:rFonts w:hint="eastAsia" w:ascii="宋体" w:eastAsia="宋体" w:cs="宋体"/>
                <w:color w:val="000000"/>
                <w:kern w:val="0"/>
                <w:sz w:val="22"/>
                <w:szCs w:val="22"/>
              </w:rPr>
              <w:t>分）</w:t>
            </w:r>
          </w:p>
        </w:tc>
        <w:tc>
          <w:tcPr>
            <w:tcW w:w="1411" w:type="dxa"/>
            <w:shd w:val="clear" w:color="auto" w:fill="FFFFFF"/>
            <w:vAlign w:val="center"/>
          </w:tcPr>
          <w:p w14:paraId="6BF1C1E3">
            <w:pPr>
              <w:widowControl/>
              <w:spacing w:line="240" w:lineRule="atLeast"/>
              <w:jc w:val="center"/>
              <w:rPr>
                <w:rFonts w:ascii="宋体" w:eastAsia="宋体" w:cs="宋体"/>
                <w:color w:val="000000"/>
                <w:kern w:val="0"/>
                <w:sz w:val="22"/>
                <w:szCs w:val="22"/>
              </w:rPr>
            </w:pPr>
            <w:r>
              <w:rPr>
                <w:rFonts w:hint="eastAsia" w:ascii="宋体" w:eastAsia="宋体" w:cs="宋体"/>
                <w:color w:val="000000"/>
                <w:kern w:val="0"/>
                <w:sz w:val="22"/>
                <w:szCs w:val="22"/>
              </w:rPr>
              <w:t>完成及时性</w:t>
            </w:r>
          </w:p>
        </w:tc>
        <w:tc>
          <w:tcPr>
            <w:tcW w:w="2789" w:type="dxa"/>
            <w:shd w:val="clear" w:color="000000" w:fill="FFFFFF"/>
            <w:vAlign w:val="center"/>
          </w:tcPr>
          <w:p w14:paraId="680FC702">
            <w:pPr>
              <w:widowControl/>
              <w:spacing w:line="240" w:lineRule="atLeast"/>
              <w:rPr>
                <w:rFonts w:ascii="宋体" w:eastAsia="宋体" w:cs="宋体"/>
                <w:color w:val="000000"/>
                <w:kern w:val="0"/>
                <w:sz w:val="22"/>
                <w:szCs w:val="22"/>
              </w:rPr>
            </w:pPr>
            <w:r>
              <w:rPr>
                <w:rFonts w:hint="eastAsia" w:ascii="宋体" w:eastAsia="宋体" w:cs="宋体"/>
                <w:color w:val="000000"/>
                <w:kern w:val="0"/>
                <w:sz w:val="22"/>
                <w:szCs w:val="22"/>
              </w:rPr>
              <w:t>项目实际完成时间与计划完成时间的比较，用以反映和考核项目产出时效目标的实现程度。</w:t>
            </w:r>
          </w:p>
        </w:tc>
        <w:tc>
          <w:tcPr>
            <w:tcW w:w="7341" w:type="dxa"/>
            <w:shd w:val="clear" w:color="000000" w:fill="FFFFFF"/>
            <w:vAlign w:val="center"/>
          </w:tcPr>
          <w:p w14:paraId="468BCC61">
            <w:pPr>
              <w:widowControl/>
              <w:spacing w:line="240" w:lineRule="atLeast"/>
              <w:rPr>
                <w:rFonts w:ascii="宋体" w:eastAsia="宋体" w:cs="宋体"/>
                <w:color w:val="000000"/>
                <w:kern w:val="0"/>
                <w:sz w:val="22"/>
                <w:szCs w:val="22"/>
              </w:rPr>
            </w:pPr>
            <w:r>
              <w:rPr>
                <w:rFonts w:hint="eastAsia" w:ascii="宋体" w:eastAsia="宋体" w:cs="宋体"/>
                <w:color w:val="000000"/>
                <w:kern w:val="0"/>
                <w:sz w:val="22"/>
                <w:szCs w:val="22"/>
              </w:rPr>
              <w:t>实际完成时间：项目实施单位完成该项目实际所耗用的时间。</w:t>
            </w:r>
            <w:r>
              <w:rPr>
                <w:rFonts w:ascii="宋体" w:eastAsia="宋体" w:cs="宋体"/>
                <w:color w:val="000000"/>
                <w:kern w:val="0"/>
                <w:sz w:val="22"/>
                <w:szCs w:val="22"/>
              </w:rPr>
              <w:br w:type="textWrapping"/>
            </w:r>
            <w:r>
              <w:rPr>
                <w:rFonts w:hint="eastAsia" w:ascii="宋体" w:eastAsia="宋体" w:cs="宋体"/>
                <w:color w:val="000000"/>
                <w:kern w:val="0"/>
                <w:sz w:val="22"/>
                <w:szCs w:val="22"/>
              </w:rPr>
              <w:t>计划完成时间：按照项目实施计划或相关规定完成该项目所需的时间。</w:t>
            </w:r>
          </w:p>
        </w:tc>
        <w:tc>
          <w:tcPr>
            <w:tcW w:w="852" w:type="dxa"/>
            <w:gridSpan w:val="3"/>
            <w:tcBorders>
              <w:top w:val="single" w:color="auto" w:sz="4" w:space="0"/>
              <w:bottom w:val="single" w:color="auto" w:sz="4" w:space="0"/>
              <w:right w:val="single" w:color="auto" w:sz="4" w:space="0"/>
            </w:tcBorders>
          </w:tcPr>
          <w:p w14:paraId="1256F401">
            <w:pPr>
              <w:widowControl/>
              <w:jc w:val="left"/>
              <w:rPr>
                <w:rFonts w:ascii="宋体" w:eastAsia="宋体" w:cs="宋体"/>
                <w:color w:val="000000"/>
                <w:kern w:val="0"/>
                <w:sz w:val="22"/>
                <w:szCs w:val="22"/>
              </w:rPr>
            </w:pPr>
            <w:r>
              <w:rPr>
                <w:rFonts w:asci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tcPr>
          <w:p w14:paraId="63D519CA">
            <w:pPr>
              <w:widowControl/>
              <w:jc w:val="left"/>
              <w:rPr>
                <w:rFonts w:ascii="宋体" w:eastAsia="宋体" w:cs="宋体"/>
                <w:color w:val="000000"/>
                <w:kern w:val="0"/>
                <w:sz w:val="22"/>
                <w:szCs w:val="22"/>
              </w:rPr>
            </w:pPr>
            <w:r>
              <w:rPr>
                <w:rFonts w:ascii="宋体" w:eastAsia="宋体" w:cs="宋体"/>
                <w:color w:val="000000"/>
                <w:kern w:val="0"/>
                <w:sz w:val="22"/>
                <w:szCs w:val="22"/>
              </w:rPr>
              <w:t>5</w:t>
            </w:r>
          </w:p>
        </w:tc>
      </w:tr>
      <w:tr w14:paraId="178719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763" w:type="dxa"/>
            <w:vMerge w:val="continue"/>
            <w:shd w:val="clear" w:color="auto" w:fill="FFFFFF"/>
            <w:vAlign w:val="center"/>
          </w:tcPr>
          <w:p w14:paraId="129BA6FE"/>
        </w:tc>
        <w:tc>
          <w:tcPr>
            <w:tcW w:w="1297" w:type="dxa"/>
            <w:shd w:val="clear" w:color="auto" w:fill="FFFFFF"/>
            <w:vAlign w:val="center"/>
          </w:tcPr>
          <w:p w14:paraId="0A3F3732">
            <w:pPr>
              <w:widowControl/>
              <w:spacing w:line="240" w:lineRule="atLeast"/>
              <w:jc w:val="center"/>
              <w:rPr>
                <w:rFonts w:ascii="宋体" w:eastAsia="宋体" w:cs="宋体"/>
                <w:color w:val="000000"/>
                <w:kern w:val="0"/>
                <w:sz w:val="22"/>
                <w:szCs w:val="22"/>
              </w:rPr>
            </w:pPr>
            <w:r>
              <w:rPr>
                <w:rFonts w:hint="eastAsia" w:ascii="宋体" w:eastAsia="宋体" w:cs="宋体"/>
                <w:color w:val="000000"/>
                <w:kern w:val="0"/>
                <w:sz w:val="22"/>
                <w:szCs w:val="22"/>
              </w:rPr>
              <w:t>产出成本（</w:t>
            </w:r>
            <w:r>
              <w:rPr>
                <w:rFonts w:ascii="宋体" w:eastAsia="宋体" w:cs="宋体"/>
                <w:color w:val="000000"/>
                <w:kern w:val="0"/>
                <w:sz w:val="22"/>
                <w:szCs w:val="22"/>
              </w:rPr>
              <w:t>5</w:t>
            </w:r>
            <w:r>
              <w:rPr>
                <w:rFonts w:hint="eastAsia" w:ascii="宋体" w:eastAsia="宋体" w:cs="宋体"/>
                <w:color w:val="000000"/>
                <w:kern w:val="0"/>
                <w:sz w:val="22"/>
                <w:szCs w:val="22"/>
              </w:rPr>
              <w:t>分）</w:t>
            </w:r>
          </w:p>
        </w:tc>
        <w:tc>
          <w:tcPr>
            <w:tcW w:w="1411" w:type="dxa"/>
            <w:shd w:val="clear" w:color="auto" w:fill="FFFFFF"/>
            <w:vAlign w:val="center"/>
          </w:tcPr>
          <w:p w14:paraId="152AF503">
            <w:pPr>
              <w:widowControl/>
              <w:spacing w:line="240" w:lineRule="atLeast"/>
              <w:jc w:val="center"/>
              <w:rPr>
                <w:rFonts w:ascii="宋体" w:eastAsia="宋体" w:cs="宋体"/>
                <w:color w:val="000000"/>
                <w:kern w:val="0"/>
                <w:sz w:val="22"/>
                <w:szCs w:val="22"/>
              </w:rPr>
            </w:pPr>
            <w:r>
              <w:rPr>
                <w:rFonts w:hint="eastAsia" w:ascii="宋体" w:eastAsia="宋体" w:cs="宋体"/>
                <w:color w:val="000000"/>
                <w:kern w:val="0"/>
                <w:sz w:val="22"/>
                <w:szCs w:val="22"/>
              </w:rPr>
              <w:t>成本节约率</w:t>
            </w:r>
          </w:p>
        </w:tc>
        <w:tc>
          <w:tcPr>
            <w:tcW w:w="2789" w:type="dxa"/>
            <w:shd w:val="clear" w:color="000000" w:fill="FFFFFF"/>
            <w:vAlign w:val="center"/>
          </w:tcPr>
          <w:p w14:paraId="076FAE1E">
            <w:pPr>
              <w:widowControl/>
              <w:spacing w:line="240" w:lineRule="atLeast"/>
              <w:rPr>
                <w:rFonts w:ascii="宋体" w:eastAsia="宋体" w:cs="宋体"/>
                <w:color w:val="000000"/>
                <w:kern w:val="0"/>
                <w:sz w:val="22"/>
                <w:szCs w:val="22"/>
              </w:rPr>
            </w:pPr>
            <w:r>
              <w:rPr>
                <w:rFonts w:hint="eastAsia" w:ascii="宋体" w:eastAsia="宋体" w:cs="宋体"/>
                <w:color w:val="000000"/>
                <w:kern w:val="0"/>
                <w:sz w:val="22"/>
                <w:szCs w:val="22"/>
              </w:rPr>
              <w:t>完成项目计划工作目标的实际节约成本与计划成本的比率，用以反映和考核项目的成本节约程度。</w:t>
            </w:r>
          </w:p>
        </w:tc>
        <w:tc>
          <w:tcPr>
            <w:tcW w:w="7341" w:type="dxa"/>
            <w:shd w:val="clear" w:color="000000" w:fill="FFFFFF"/>
            <w:vAlign w:val="center"/>
          </w:tcPr>
          <w:p w14:paraId="67454E19">
            <w:pPr>
              <w:widowControl/>
              <w:spacing w:line="240" w:lineRule="atLeast"/>
              <w:rPr>
                <w:rFonts w:ascii="宋体" w:eastAsia="宋体" w:cs="宋体"/>
                <w:color w:val="000000"/>
                <w:kern w:val="0"/>
                <w:sz w:val="22"/>
                <w:szCs w:val="22"/>
              </w:rPr>
            </w:pPr>
            <w:r>
              <w:rPr>
                <w:rFonts w:ascii="宋体" w:eastAsia="宋体" w:cs="宋体"/>
                <w:color w:val="000000"/>
                <w:kern w:val="0"/>
                <w:sz w:val="22"/>
                <w:szCs w:val="22"/>
              </w:rPr>
              <w:br w:type="textWrapping"/>
            </w:r>
            <w:r>
              <w:rPr>
                <w:rFonts w:hint="eastAsia" w:ascii="宋体" w:eastAsia="宋体" w:cs="宋体"/>
                <w:color w:val="000000"/>
                <w:kern w:val="0"/>
                <w:sz w:val="22"/>
                <w:szCs w:val="22"/>
              </w:rPr>
              <w:t>成本节约率</w:t>
            </w:r>
            <w:r>
              <w:rPr>
                <w:rFonts w:ascii="宋体" w:eastAsia="宋体" w:cs="宋体"/>
                <w:color w:val="000000"/>
                <w:kern w:val="0"/>
                <w:sz w:val="22"/>
                <w:szCs w:val="22"/>
              </w:rPr>
              <w:t>=[</w:t>
            </w:r>
            <w:r>
              <w:rPr>
                <w:rFonts w:hint="eastAsia" w:ascii="宋体" w:eastAsia="宋体" w:cs="宋体"/>
                <w:color w:val="000000"/>
                <w:kern w:val="0"/>
                <w:sz w:val="22"/>
                <w:szCs w:val="22"/>
              </w:rPr>
              <w:t>（计划成本</w:t>
            </w:r>
            <w:r>
              <w:rPr>
                <w:rFonts w:ascii="宋体" w:eastAsia="宋体" w:cs="宋体"/>
                <w:color w:val="000000"/>
                <w:kern w:val="0"/>
                <w:sz w:val="22"/>
                <w:szCs w:val="22"/>
              </w:rPr>
              <w:t>-</w:t>
            </w:r>
            <w:r>
              <w:rPr>
                <w:rFonts w:hint="eastAsia" w:ascii="宋体" w:eastAsia="宋体" w:cs="宋体"/>
                <w:color w:val="000000"/>
                <w:kern w:val="0"/>
                <w:sz w:val="22"/>
                <w:szCs w:val="22"/>
              </w:rPr>
              <w:t>实际成本）</w:t>
            </w:r>
            <w:r>
              <w:rPr>
                <w:rFonts w:ascii="宋体" w:eastAsia="宋体" w:cs="宋体"/>
                <w:color w:val="000000"/>
                <w:kern w:val="0"/>
                <w:sz w:val="22"/>
                <w:szCs w:val="22"/>
              </w:rPr>
              <w:t>/</w:t>
            </w:r>
            <w:r>
              <w:rPr>
                <w:rFonts w:hint="eastAsia" w:ascii="宋体" w:eastAsia="宋体" w:cs="宋体"/>
                <w:color w:val="000000"/>
                <w:kern w:val="0"/>
                <w:sz w:val="22"/>
                <w:szCs w:val="22"/>
              </w:rPr>
              <w:t>计划成本</w:t>
            </w:r>
            <w:r>
              <w:rPr>
                <w:rFonts w:ascii="宋体" w:eastAsia="宋体" w:cs="宋体"/>
                <w:color w:val="000000"/>
                <w:kern w:val="0"/>
                <w:sz w:val="22"/>
                <w:szCs w:val="22"/>
              </w:rPr>
              <w:t>]</w:t>
            </w:r>
            <w:r>
              <w:rPr>
                <w:rFonts w:hint="eastAsia" w:ascii="宋体" w:eastAsia="宋体" w:cs="宋体"/>
                <w:color w:val="000000"/>
                <w:kern w:val="0"/>
                <w:sz w:val="22"/>
                <w:szCs w:val="22"/>
              </w:rPr>
              <w:t>×</w:t>
            </w:r>
            <w:r>
              <w:rPr>
                <w:rFonts w:ascii="宋体" w:eastAsia="宋体" w:cs="宋体"/>
                <w:color w:val="000000"/>
                <w:kern w:val="0"/>
                <w:sz w:val="22"/>
                <w:szCs w:val="22"/>
              </w:rPr>
              <w:t>100%</w:t>
            </w:r>
            <w:r>
              <w:rPr>
                <w:rFonts w:hint="eastAsia" w:ascii="宋体" w:eastAsia="宋体" w:cs="宋体"/>
                <w:color w:val="000000"/>
                <w:kern w:val="0"/>
                <w:sz w:val="22"/>
                <w:szCs w:val="22"/>
              </w:rPr>
              <w:t>。</w:t>
            </w:r>
            <w:r>
              <w:rPr>
                <w:rFonts w:ascii="宋体" w:eastAsia="宋体" w:cs="宋体"/>
                <w:color w:val="000000"/>
                <w:kern w:val="0"/>
                <w:sz w:val="22"/>
                <w:szCs w:val="22"/>
              </w:rPr>
              <w:br w:type="textWrapping"/>
            </w:r>
            <w:r>
              <w:rPr>
                <w:rFonts w:hint="eastAsia" w:ascii="宋体" w:eastAsia="宋体" w:cs="宋体"/>
                <w:color w:val="000000"/>
                <w:kern w:val="0"/>
                <w:sz w:val="22"/>
                <w:szCs w:val="22"/>
              </w:rPr>
              <w:t>实际成本：项目实施单位如期、保质、保量完成既定工作目标实际所耗费的支出。</w:t>
            </w:r>
            <w:r>
              <w:rPr>
                <w:rFonts w:ascii="宋体" w:eastAsia="宋体" w:cs="宋体"/>
                <w:color w:val="000000"/>
                <w:kern w:val="0"/>
                <w:sz w:val="22"/>
                <w:szCs w:val="22"/>
              </w:rPr>
              <w:br w:type="textWrapping"/>
            </w:r>
            <w:r>
              <w:rPr>
                <w:rFonts w:hint="eastAsia" w:ascii="宋体" w:eastAsia="宋体" w:cs="宋体"/>
                <w:color w:val="000000"/>
                <w:kern w:val="0"/>
                <w:sz w:val="22"/>
                <w:szCs w:val="22"/>
              </w:rPr>
              <w:t>计划成本：项目实施单位为完成工作目标计划安排的支出，一般以项目预算为参考。</w:t>
            </w:r>
          </w:p>
        </w:tc>
        <w:tc>
          <w:tcPr>
            <w:tcW w:w="852" w:type="dxa"/>
            <w:gridSpan w:val="3"/>
            <w:tcBorders>
              <w:top w:val="single" w:color="auto" w:sz="4" w:space="0"/>
              <w:bottom w:val="single" w:color="auto" w:sz="4" w:space="0"/>
              <w:right w:val="single" w:color="auto" w:sz="4" w:space="0"/>
            </w:tcBorders>
          </w:tcPr>
          <w:p w14:paraId="2146E4F4">
            <w:pPr>
              <w:widowControl/>
              <w:jc w:val="left"/>
              <w:rPr>
                <w:rFonts w:ascii="宋体" w:eastAsia="宋体" w:cs="宋体"/>
                <w:color w:val="000000"/>
                <w:kern w:val="0"/>
                <w:sz w:val="22"/>
                <w:szCs w:val="22"/>
              </w:rPr>
            </w:pPr>
            <w:r>
              <w:rPr>
                <w:rFonts w:asci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tcPr>
          <w:p w14:paraId="201A3878">
            <w:pPr>
              <w:widowControl/>
              <w:jc w:val="left"/>
              <w:rPr>
                <w:rFonts w:ascii="宋体" w:eastAsia="宋体" w:cs="宋体"/>
                <w:color w:val="000000"/>
                <w:kern w:val="0"/>
                <w:sz w:val="22"/>
                <w:szCs w:val="22"/>
              </w:rPr>
            </w:pPr>
            <w:r>
              <w:rPr>
                <w:rFonts w:ascii="宋体" w:eastAsia="宋体" w:cs="宋体"/>
                <w:color w:val="000000"/>
                <w:kern w:val="0"/>
                <w:sz w:val="22"/>
                <w:szCs w:val="22"/>
              </w:rPr>
              <w:t>5</w:t>
            </w:r>
          </w:p>
        </w:tc>
      </w:tr>
      <w:tr w14:paraId="1EFA32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763" w:type="dxa"/>
            <w:vMerge w:val="restart"/>
            <w:shd w:val="clear" w:color="auto" w:fill="FFFFFF"/>
            <w:vAlign w:val="center"/>
          </w:tcPr>
          <w:p w14:paraId="09A06A77">
            <w:pPr>
              <w:widowControl/>
              <w:spacing w:line="240" w:lineRule="atLeast"/>
              <w:jc w:val="center"/>
              <w:rPr>
                <w:rFonts w:ascii="宋体" w:eastAsia="宋体" w:cs="宋体"/>
                <w:color w:val="000000"/>
                <w:kern w:val="0"/>
                <w:sz w:val="22"/>
                <w:szCs w:val="22"/>
              </w:rPr>
            </w:pPr>
            <w:r>
              <w:rPr>
                <w:rFonts w:hint="eastAsia" w:ascii="宋体" w:eastAsia="宋体" w:cs="宋体"/>
                <w:color w:val="000000"/>
                <w:kern w:val="0"/>
                <w:sz w:val="22"/>
                <w:szCs w:val="22"/>
              </w:rPr>
              <w:t>效益（</w:t>
            </w:r>
            <w:r>
              <w:rPr>
                <w:rFonts w:ascii="宋体" w:eastAsia="宋体" w:cs="宋体"/>
                <w:color w:val="000000"/>
                <w:kern w:val="0"/>
                <w:sz w:val="22"/>
                <w:szCs w:val="22"/>
              </w:rPr>
              <w:t>30</w:t>
            </w:r>
            <w:r>
              <w:rPr>
                <w:rFonts w:hint="eastAsia" w:ascii="宋体" w:eastAsia="宋体" w:cs="宋体"/>
                <w:color w:val="000000"/>
                <w:kern w:val="0"/>
                <w:sz w:val="22"/>
                <w:szCs w:val="22"/>
              </w:rPr>
              <w:t>分）　</w:t>
            </w:r>
          </w:p>
        </w:tc>
        <w:tc>
          <w:tcPr>
            <w:tcW w:w="1297" w:type="dxa"/>
            <w:vMerge w:val="restart"/>
            <w:shd w:val="clear" w:color="auto" w:fill="FFFFFF"/>
            <w:vAlign w:val="center"/>
          </w:tcPr>
          <w:p w14:paraId="057E7EB9">
            <w:pPr>
              <w:widowControl/>
              <w:spacing w:line="240" w:lineRule="atLeast"/>
              <w:jc w:val="center"/>
              <w:rPr>
                <w:rFonts w:ascii="宋体" w:eastAsia="宋体" w:cs="宋体"/>
                <w:color w:val="000000"/>
                <w:kern w:val="0"/>
                <w:sz w:val="22"/>
                <w:szCs w:val="22"/>
              </w:rPr>
            </w:pPr>
            <w:r>
              <w:rPr>
                <w:rFonts w:hint="eastAsia" w:ascii="宋体" w:eastAsia="宋体" w:cs="宋体"/>
                <w:color w:val="000000"/>
                <w:kern w:val="0"/>
                <w:sz w:val="22"/>
                <w:szCs w:val="22"/>
              </w:rPr>
              <w:t>项目效益（</w:t>
            </w:r>
            <w:r>
              <w:rPr>
                <w:rFonts w:ascii="宋体" w:eastAsia="宋体" w:cs="宋体"/>
                <w:color w:val="000000"/>
                <w:kern w:val="0"/>
                <w:sz w:val="22"/>
                <w:szCs w:val="22"/>
              </w:rPr>
              <w:t>30</w:t>
            </w:r>
            <w:r>
              <w:rPr>
                <w:rFonts w:hint="eastAsia" w:ascii="宋体" w:eastAsia="宋体" w:cs="宋体"/>
                <w:color w:val="000000"/>
                <w:kern w:val="0"/>
                <w:sz w:val="22"/>
                <w:szCs w:val="22"/>
              </w:rPr>
              <w:t>分）　</w:t>
            </w:r>
          </w:p>
        </w:tc>
        <w:tc>
          <w:tcPr>
            <w:tcW w:w="1411" w:type="dxa"/>
            <w:shd w:val="clear" w:color="auto" w:fill="FFFFFF"/>
            <w:vAlign w:val="center"/>
          </w:tcPr>
          <w:p w14:paraId="341C17D1">
            <w:pPr>
              <w:widowControl/>
              <w:spacing w:line="240" w:lineRule="atLeast"/>
              <w:jc w:val="center"/>
              <w:rPr>
                <w:rFonts w:ascii="宋体" w:eastAsia="宋体" w:cs="宋体"/>
                <w:color w:val="000000"/>
                <w:kern w:val="0"/>
                <w:sz w:val="22"/>
                <w:szCs w:val="22"/>
              </w:rPr>
            </w:pPr>
            <w:r>
              <w:rPr>
                <w:rFonts w:hint="eastAsia" w:ascii="宋体" w:eastAsia="宋体" w:cs="宋体"/>
                <w:color w:val="000000"/>
                <w:kern w:val="0"/>
                <w:sz w:val="22"/>
                <w:szCs w:val="22"/>
              </w:rPr>
              <w:t>实施效益</w:t>
            </w:r>
          </w:p>
        </w:tc>
        <w:tc>
          <w:tcPr>
            <w:tcW w:w="2789" w:type="dxa"/>
            <w:shd w:val="clear" w:color="auto" w:fill="FFFFFF"/>
            <w:vAlign w:val="center"/>
          </w:tcPr>
          <w:p w14:paraId="1DB69DF8">
            <w:pPr>
              <w:widowControl/>
              <w:spacing w:line="240" w:lineRule="atLeast"/>
              <w:jc w:val="left"/>
              <w:rPr>
                <w:rFonts w:ascii="宋体" w:eastAsia="宋体" w:cs="宋体"/>
                <w:color w:val="000000"/>
                <w:kern w:val="0"/>
                <w:sz w:val="22"/>
                <w:szCs w:val="22"/>
              </w:rPr>
            </w:pPr>
            <w:r>
              <w:rPr>
                <w:rFonts w:hint="eastAsia" w:ascii="宋体" w:eastAsia="宋体" w:cs="宋体"/>
                <w:color w:val="000000"/>
                <w:kern w:val="0"/>
                <w:sz w:val="22"/>
                <w:szCs w:val="22"/>
              </w:rPr>
              <w:t>项目实施所产生的效益。</w:t>
            </w:r>
          </w:p>
        </w:tc>
        <w:tc>
          <w:tcPr>
            <w:tcW w:w="7341" w:type="dxa"/>
            <w:shd w:val="clear" w:color="auto" w:fill="FFFFFF"/>
            <w:vAlign w:val="center"/>
          </w:tcPr>
          <w:p w14:paraId="018B64CA">
            <w:pPr>
              <w:widowControl/>
              <w:spacing w:line="240" w:lineRule="atLeast"/>
              <w:rPr>
                <w:rFonts w:ascii="宋体" w:eastAsia="宋体" w:cs="宋体"/>
                <w:color w:val="000000"/>
                <w:kern w:val="0"/>
                <w:sz w:val="22"/>
                <w:szCs w:val="22"/>
              </w:rPr>
            </w:pPr>
            <w:r>
              <w:rPr>
                <w:rFonts w:hint="eastAsia" w:ascii="宋体" w:eastAsia="宋体" w:cs="宋体"/>
                <w:color w:val="000000"/>
                <w:kern w:val="0"/>
                <w:sz w:val="22"/>
                <w:szCs w:val="22"/>
              </w:rPr>
              <w:t>项目实施所产生的社会效益、经济效益、生态效益、可持续影响等。可根据项目实际情况有选择地设置和细化。</w:t>
            </w:r>
          </w:p>
        </w:tc>
        <w:tc>
          <w:tcPr>
            <w:tcW w:w="852" w:type="dxa"/>
            <w:gridSpan w:val="3"/>
            <w:tcBorders>
              <w:top w:val="single" w:color="auto" w:sz="4" w:space="0"/>
              <w:bottom w:val="single" w:color="auto" w:sz="4" w:space="0"/>
              <w:right w:val="single" w:color="auto" w:sz="4" w:space="0"/>
            </w:tcBorders>
          </w:tcPr>
          <w:p w14:paraId="7A285276">
            <w:pPr>
              <w:widowControl/>
              <w:jc w:val="left"/>
              <w:rPr>
                <w:rFonts w:ascii="宋体" w:eastAsia="宋体" w:cs="宋体"/>
                <w:color w:val="000000"/>
                <w:kern w:val="0"/>
                <w:sz w:val="22"/>
                <w:szCs w:val="22"/>
              </w:rPr>
            </w:pPr>
            <w:r>
              <w:rPr>
                <w:rFonts w:ascii="宋体" w:eastAsia="宋体" w:cs="宋体"/>
                <w:color w:val="000000"/>
                <w:kern w:val="0"/>
                <w:sz w:val="22"/>
                <w:szCs w:val="22"/>
              </w:rPr>
              <w:t>15</w:t>
            </w:r>
          </w:p>
        </w:tc>
        <w:tc>
          <w:tcPr>
            <w:tcW w:w="922" w:type="dxa"/>
            <w:gridSpan w:val="3"/>
            <w:tcBorders>
              <w:top w:val="single" w:color="auto" w:sz="4" w:space="0"/>
              <w:left w:val="single" w:color="auto" w:sz="4" w:space="0"/>
              <w:bottom w:val="single" w:color="auto" w:sz="4" w:space="0"/>
              <w:right w:val="single" w:color="auto" w:sz="4" w:space="0"/>
            </w:tcBorders>
          </w:tcPr>
          <w:p w14:paraId="169D0803">
            <w:pPr>
              <w:widowControl/>
              <w:jc w:val="left"/>
              <w:rPr>
                <w:rFonts w:ascii="宋体" w:eastAsia="宋体" w:cs="宋体"/>
                <w:color w:val="000000"/>
                <w:kern w:val="0"/>
                <w:sz w:val="22"/>
                <w:szCs w:val="22"/>
              </w:rPr>
            </w:pPr>
            <w:r>
              <w:rPr>
                <w:rFonts w:ascii="宋体" w:eastAsia="宋体" w:cs="宋体"/>
                <w:color w:val="000000"/>
                <w:kern w:val="0"/>
                <w:sz w:val="22"/>
                <w:szCs w:val="22"/>
              </w:rPr>
              <w:t>13</w:t>
            </w:r>
          </w:p>
        </w:tc>
      </w:tr>
      <w:tr w14:paraId="30DD9F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763" w:type="dxa"/>
            <w:vMerge w:val="continue"/>
            <w:shd w:val="clear" w:color="auto" w:fill="FFFFFF"/>
            <w:vAlign w:val="center"/>
          </w:tcPr>
          <w:p w14:paraId="50104C43"/>
        </w:tc>
        <w:tc>
          <w:tcPr>
            <w:tcW w:w="1297" w:type="dxa"/>
            <w:vMerge w:val="continue"/>
            <w:shd w:val="clear" w:color="auto" w:fill="FFFFFF"/>
            <w:vAlign w:val="center"/>
          </w:tcPr>
          <w:p w14:paraId="227CD36C"/>
        </w:tc>
        <w:tc>
          <w:tcPr>
            <w:tcW w:w="1411" w:type="dxa"/>
            <w:shd w:val="clear" w:color="auto" w:fill="FFFFFF"/>
            <w:vAlign w:val="center"/>
          </w:tcPr>
          <w:p w14:paraId="4D6B994A">
            <w:pPr>
              <w:widowControl/>
              <w:spacing w:line="240" w:lineRule="atLeast"/>
              <w:jc w:val="center"/>
              <w:rPr>
                <w:rFonts w:ascii="宋体" w:eastAsia="宋体" w:cs="宋体"/>
                <w:color w:val="000000"/>
                <w:kern w:val="0"/>
                <w:sz w:val="22"/>
                <w:szCs w:val="22"/>
              </w:rPr>
            </w:pPr>
            <w:r>
              <w:rPr>
                <w:rFonts w:hint="eastAsia" w:ascii="宋体" w:eastAsia="宋体" w:cs="宋体"/>
                <w:color w:val="000000"/>
                <w:kern w:val="0"/>
                <w:sz w:val="22"/>
                <w:szCs w:val="22"/>
              </w:rPr>
              <w:t>满意度</w:t>
            </w:r>
          </w:p>
        </w:tc>
        <w:tc>
          <w:tcPr>
            <w:tcW w:w="2789" w:type="dxa"/>
            <w:shd w:val="clear" w:color="000000" w:fill="FFFFFF"/>
            <w:vAlign w:val="center"/>
          </w:tcPr>
          <w:p w14:paraId="190DCA2E">
            <w:pPr>
              <w:widowControl/>
              <w:spacing w:line="240" w:lineRule="atLeast"/>
              <w:rPr>
                <w:rFonts w:ascii="宋体" w:eastAsia="宋体" w:cs="宋体"/>
                <w:color w:val="000000"/>
                <w:kern w:val="0"/>
                <w:sz w:val="22"/>
                <w:szCs w:val="22"/>
              </w:rPr>
            </w:pPr>
            <w:r>
              <w:rPr>
                <w:rFonts w:hint="eastAsia" w:ascii="宋体" w:eastAsia="宋体" w:cs="宋体"/>
                <w:color w:val="000000"/>
                <w:kern w:val="0"/>
                <w:sz w:val="22"/>
                <w:szCs w:val="22"/>
              </w:rPr>
              <w:t>社会公众或服务对象对项目实施效果的满意程度。</w:t>
            </w:r>
          </w:p>
        </w:tc>
        <w:tc>
          <w:tcPr>
            <w:tcW w:w="7341" w:type="dxa"/>
            <w:shd w:val="clear" w:color="000000" w:fill="FFFFFF"/>
            <w:vAlign w:val="center"/>
          </w:tcPr>
          <w:p w14:paraId="0358300B">
            <w:pPr>
              <w:widowControl/>
              <w:spacing w:line="240" w:lineRule="atLeast"/>
              <w:rPr>
                <w:rFonts w:ascii="宋体" w:eastAsia="宋体" w:cs="宋体"/>
                <w:color w:val="000000"/>
                <w:kern w:val="0"/>
                <w:sz w:val="22"/>
                <w:szCs w:val="22"/>
              </w:rPr>
            </w:pPr>
            <w:r>
              <w:rPr>
                <w:rFonts w:hint="eastAsia" w:ascii="宋体" w:eastAsia="宋体" w:cs="宋体"/>
                <w:color w:val="000000"/>
                <w:kern w:val="0"/>
                <w:sz w:val="22"/>
                <w:szCs w:val="22"/>
              </w:rPr>
              <w:t>社会公众或服务对象是指因该项目实施而受到影响的部门（单位）、群体或个人。一般采取社会调查的方式。</w:t>
            </w:r>
          </w:p>
        </w:tc>
        <w:tc>
          <w:tcPr>
            <w:tcW w:w="852" w:type="dxa"/>
            <w:gridSpan w:val="3"/>
            <w:tcBorders>
              <w:top w:val="single" w:color="auto" w:sz="4" w:space="0"/>
              <w:bottom w:val="single" w:color="auto" w:sz="4" w:space="0"/>
              <w:right w:val="single" w:color="auto" w:sz="4" w:space="0"/>
            </w:tcBorders>
          </w:tcPr>
          <w:p w14:paraId="74AE8457">
            <w:pPr>
              <w:widowControl/>
              <w:jc w:val="left"/>
              <w:rPr>
                <w:rFonts w:ascii="宋体" w:eastAsia="宋体" w:cs="宋体"/>
                <w:color w:val="000000"/>
                <w:kern w:val="0"/>
                <w:sz w:val="22"/>
                <w:szCs w:val="22"/>
              </w:rPr>
            </w:pPr>
            <w:r>
              <w:rPr>
                <w:rFonts w:ascii="宋体" w:eastAsia="宋体" w:cs="宋体"/>
                <w:color w:val="000000"/>
                <w:kern w:val="0"/>
                <w:sz w:val="22"/>
                <w:szCs w:val="22"/>
              </w:rPr>
              <w:t>15</w:t>
            </w:r>
          </w:p>
        </w:tc>
        <w:tc>
          <w:tcPr>
            <w:tcW w:w="922" w:type="dxa"/>
            <w:gridSpan w:val="3"/>
            <w:tcBorders>
              <w:top w:val="single" w:color="auto" w:sz="4" w:space="0"/>
              <w:left w:val="single" w:color="auto" w:sz="4" w:space="0"/>
              <w:bottom w:val="single" w:color="auto" w:sz="4" w:space="0"/>
              <w:right w:val="single" w:color="auto" w:sz="4" w:space="0"/>
            </w:tcBorders>
          </w:tcPr>
          <w:p w14:paraId="13792EDE">
            <w:pPr>
              <w:widowControl/>
              <w:jc w:val="left"/>
              <w:rPr>
                <w:rFonts w:ascii="宋体" w:eastAsia="宋体" w:cs="宋体"/>
                <w:color w:val="000000"/>
                <w:kern w:val="0"/>
                <w:sz w:val="22"/>
                <w:szCs w:val="22"/>
              </w:rPr>
            </w:pPr>
            <w:r>
              <w:rPr>
                <w:rFonts w:ascii="宋体" w:eastAsia="宋体" w:cs="宋体"/>
                <w:color w:val="000000"/>
                <w:kern w:val="0"/>
                <w:sz w:val="22"/>
                <w:szCs w:val="22"/>
              </w:rPr>
              <w:t>15</w:t>
            </w:r>
          </w:p>
        </w:tc>
      </w:tr>
    </w:tbl>
    <w:p w14:paraId="7A1B046C">
      <w:pPr>
        <w:spacing w:line="600" w:lineRule="exact"/>
        <w:rPr>
          <w:rFonts w:ascii="仿宋_GB2312"/>
          <w:bCs/>
          <w:sz w:val="32"/>
          <w:szCs w:val="32"/>
        </w:rPr>
        <w:sectPr>
          <w:pgSz w:w="16840" w:h="11907" w:orient="landscape"/>
          <w:pgMar w:top="1701" w:right="1531" w:bottom="1928" w:left="1531" w:header="737" w:footer="851" w:gutter="0"/>
          <w:cols w:space="720" w:num="1"/>
          <w:docGrid w:type="lines" w:linePitch="408" w:charSpace="0"/>
        </w:sectPr>
      </w:pPr>
    </w:p>
    <w:p w14:paraId="5B6427DC">
      <w:pPr>
        <w:spacing w:line="580" w:lineRule="exact"/>
        <w:rPr>
          <w:rFonts w:ascii="方正仿宋_GBK" w:eastAsia="方正仿宋_GBK" w:cs="宋体"/>
          <w:bCs/>
          <w:sz w:val="32"/>
          <w:szCs w:val="32"/>
        </w:rPr>
        <w:sectPr>
          <w:headerReference r:id="rId5" w:type="default"/>
          <w:footerReference r:id="rId6" w:type="default"/>
          <w:pgSz w:w="11906" w:h="16838"/>
          <w:pgMar w:top="1928" w:right="1531" w:bottom="1701" w:left="1531" w:header="737" w:footer="850" w:gutter="0"/>
          <w:cols w:space="720" w:num="1"/>
          <w:docGrid w:type="lines" w:linePitch="421" w:charSpace="0"/>
        </w:sectPr>
      </w:pPr>
    </w:p>
    <w:p w14:paraId="719348F5">
      <w:pPr>
        <w:spacing w:line="580" w:lineRule="exact"/>
        <w:rPr>
          <w:rFonts w:ascii="方正仿宋_GBK" w:eastAsia="方正仿宋_GBK" w:cs="宋体"/>
          <w:bCs/>
          <w:sz w:val="32"/>
          <w:szCs w:val="32"/>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6673015-128B-4C9F-A301-8ED4367EF1A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embedRegular r:id="rId2" w:fontKey="{1C7DC71B-342F-4F9D-886B-6344814EAFF9}"/>
  </w:font>
  <w:font w:name="仿宋">
    <w:panose1 w:val="02010609060101010101"/>
    <w:charset w:val="86"/>
    <w:family w:val="modern"/>
    <w:pitch w:val="default"/>
    <w:sig w:usb0="800002BF" w:usb1="38CF7CFA" w:usb2="00000016" w:usb3="00000000" w:csb0="00040001" w:csb1="00000000"/>
    <w:embedRegular r:id="rId3" w:fontKey="{A9905866-68C3-4EFE-99E6-DE27A574047C}"/>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embedRegular r:id="rId4" w:fontKey="{BD3F93CE-DF0A-42B2-86A6-C409B9FF89B5}"/>
  </w:font>
  <w:font w:name="方正仿宋_GBK">
    <w:panose1 w:val="02000000000000000000"/>
    <w:charset w:val="86"/>
    <w:family w:val="script"/>
    <w:pitch w:val="default"/>
    <w:sig w:usb0="A00002BF" w:usb1="38CF7CFA" w:usb2="00082016" w:usb3="00000000" w:csb0="00040001" w:csb1="00000000"/>
    <w:embedRegular r:id="rId5" w:fontKey="{2E745714-ACFF-4FCD-B1F5-F91AF9E3E45E}"/>
  </w:font>
  <w:font w:name="方正楷体_GBK">
    <w:panose1 w:val="02000000000000000000"/>
    <w:charset w:val="86"/>
    <w:family w:val="script"/>
    <w:pitch w:val="default"/>
    <w:sig w:usb0="800002BF" w:usb1="38CF7CFA" w:usb2="00000016" w:usb3="00000000" w:csb0="00040000" w:csb1="00000000"/>
    <w:embedRegular r:id="rId6" w:fontKey="{73378A41-AE89-4B14-B349-DA405B7159C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2A9FE2">
    <w:pPr>
      <w:pStyle w:val="3"/>
      <w:framePr w:wrap="around" w:vAnchor="text" w:hAnchor="margin" w:xAlign="center" w:y="1"/>
    </w:pPr>
    <w:r>
      <w:rPr>
        <w:rStyle w:val="10"/>
      </w:rPr>
      <w:fldChar w:fldCharType="begin"/>
    </w:r>
    <w:r>
      <w:rPr>
        <w:rStyle w:val="10"/>
      </w:rPr>
      <w:instrText xml:space="preserve">Page</w:instrText>
    </w:r>
    <w:r>
      <w:rPr>
        <w:rStyle w:val="10"/>
      </w:rPr>
      <w:fldChar w:fldCharType="separate"/>
    </w:r>
    <w:r>
      <w:rPr>
        <w:rStyle w:val="10"/>
      </w:rPr>
      <w:t>5</w:t>
    </w:r>
    <w:r>
      <w:rPr>
        <w:rStyle w:val="10"/>
      </w:rPr>
      <w:fldChar w:fldCharType="end"/>
    </w:r>
  </w:p>
  <w:p w14:paraId="4384EE48">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D6FAA7">
    <w:pPr>
      <w:pStyle w:val="3"/>
      <w:framePr w:wrap="around" w:vAnchor="text" w:hAnchor="margin" w:xAlign="center" w:y="1"/>
    </w:pPr>
    <w:r>
      <w:rPr>
        <w:rStyle w:val="10"/>
      </w:rPr>
      <w:fldChar w:fldCharType="begin"/>
    </w:r>
    <w:r>
      <w:rPr>
        <w:rStyle w:val="10"/>
      </w:rPr>
      <w:instrText xml:space="preserve">Page</w:instrText>
    </w:r>
    <w:r>
      <w:rPr>
        <w:rStyle w:val="10"/>
      </w:rPr>
      <w:fldChar w:fldCharType="separate"/>
    </w:r>
    <w:r>
      <w:rPr>
        <w:rStyle w:val="10"/>
      </w:rPr>
      <w:t>1</w:t>
    </w:r>
    <w:r>
      <w:rPr>
        <w:rStyle w:val="10"/>
      </w:rPr>
      <w:fldChar w:fldCharType="end"/>
    </w:r>
  </w:p>
  <w:p w14:paraId="06560600">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E3F888">
    <w:pPr>
      <w:pStyle w:val="3"/>
    </w:pPr>
    <w:r>
      <w:pict>
        <v:shape id="文本框 1025 3" o:spid="_x0000_s4097" o:spt="202" type="#_x0000_t202" style="position:absolute;left:0pt;margin-top:0pt;height:10.35pt;width:9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14:paraId="095C5068">
                <w:pPr>
                  <w:pStyle w:val="3"/>
                </w:pPr>
                <w:r>
                  <w:fldChar w:fldCharType="begin"/>
                </w:r>
                <w:r>
                  <w:instrText xml:space="preserve"> PAGE  \* MERGEFORMAT </w:instrText>
                </w:r>
                <w:r>
                  <w:fldChar w:fldCharType="separate"/>
                </w:r>
                <w:r>
                  <w:t>26</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F37C14">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5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3,4"/>
    </o:shapelayout>
  </w:hdrShapeDefaults>
  <w:compat>
    <w:spaceForUL/>
    <w:balanceSingleByteDoubleByteWidth/>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jhiMzgzMWJiNDVmMjc4YmZhYzYxZmZlMGEwZTI0MDIifQ=="/>
  </w:docVars>
  <w:rsids>
    <w:rsidRoot w:val="0062622C"/>
    <w:rsid w:val="00094946"/>
    <w:rsid w:val="000C19CF"/>
    <w:rsid w:val="000E389F"/>
    <w:rsid w:val="001B2A2E"/>
    <w:rsid w:val="001C79B0"/>
    <w:rsid w:val="001F2DE4"/>
    <w:rsid w:val="001F65BF"/>
    <w:rsid w:val="002B4D97"/>
    <w:rsid w:val="002E3E31"/>
    <w:rsid w:val="0039788C"/>
    <w:rsid w:val="003A2B22"/>
    <w:rsid w:val="005D1F5A"/>
    <w:rsid w:val="0062622C"/>
    <w:rsid w:val="00685172"/>
    <w:rsid w:val="00A15BFA"/>
    <w:rsid w:val="00AB0BAC"/>
    <w:rsid w:val="00C12363"/>
    <w:rsid w:val="00C20BB4"/>
    <w:rsid w:val="00D82853"/>
    <w:rsid w:val="00E621F0"/>
    <w:rsid w:val="00EB1959"/>
    <w:rsid w:val="3CCF3AD8"/>
    <w:rsid w:val="5D921173"/>
    <w:rsid w:val="7E473D8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nhideWhenUsed="0" w:uiPriority="99" w:semiHidden="0"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2"/>
    <w:basedOn w:val="1"/>
    <w:next w:val="1"/>
    <w:link w:val="11"/>
    <w:qFormat/>
    <w:uiPriority w:val="99"/>
    <w:pPr>
      <w:keepNext/>
      <w:keepLines/>
      <w:spacing w:before="260" w:after="260" w:line="413" w:lineRule="auto"/>
      <w:outlineLvl w:val="1"/>
    </w:pPr>
    <w:rPr>
      <w:rFonts w:ascii="Arial" w:hAnsi="Arial" w:eastAsia="黑体"/>
      <w:b/>
      <w:sz w:val="32"/>
    </w:rPr>
  </w:style>
  <w:style w:type="character" w:default="1" w:styleId="8">
    <w:name w:val="Default Paragraph Font"/>
    <w:semiHidden/>
    <w:uiPriority w:val="99"/>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3"/>
    <w:uiPriority w:val="99"/>
    <w:pPr>
      <w:tabs>
        <w:tab w:val="center" w:pos="4153"/>
        <w:tab w:val="right" w:pos="8306"/>
      </w:tabs>
      <w:snapToGrid w:val="0"/>
      <w:jc w:val="left"/>
    </w:pPr>
    <w:rPr>
      <w:sz w:val="18"/>
      <w:szCs w:val="18"/>
    </w:rPr>
  </w:style>
  <w:style w:type="paragraph" w:styleId="4">
    <w:name w:val="header"/>
    <w:basedOn w:val="1"/>
    <w:next w:val="5"/>
    <w:link w:val="12"/>
    <w:uiPriority w:val="99"/>
    <w:pPr>
      <w:pBdr>
        <w:bottom w:val="single" w:color="auto" w:sz="6" w:space="1"/>
      </w:pBdr>
      <w:tabs>
        <w:tab w:val="center" w:pos="4153"/>
        <w:tab w:val="right" w:pos="8306"/>
      </w:tabs>
      <w:snapToGrid w:val="0"/>
      <w:jc w:val="center"/>
    </w:pPr>
    <w:rPr>
      <w:sz w:val="18"/>
      <w:szCs w:val="18"/>
    </w:rPr>
  </w:style>
  <w:style w:type="paragraph" w:customStyle="1" w:styleId="5">
    <w:name w:val="闻政-正文段落文字"/>
    <w:next w:val="6"/>
    <w:uiPriority w:val="99"/>
    <w:pPr>
      <w:widowControl w:val="0"/>
      <w:spacing w:line="500" w:lineRule="exact"/>
      <w:ind w:firstLine="200" w:firstLineChars="200"/>
      <w:jc w:val="both"/>
    </w:pPr>
    <w:rPr>
      <w:rFonts w:ascii="Times New Roman" w:hAnsi="Times New Roman" w:eastAsia="仿宋_GB2312" w:cs="Times New Roman"/>
      <w:kern w:val="0"/>
      <w:sz w:val="28"/>
      <w:szCs w:val="28"/>
      <w:lang w:val="en-US" w:eastAsia="zh-CN" w:bidi="ar-SA"/>
    </w:rPr>
  </w:style>
  <w:style w:type="paragraph" w:styleId="6">
    <w:name w:val="index 7"/>
    <w:basedOn w:val="1"/>
    <w:next w:val="1"/>
    <w:uiPriority w:val="99"/>
    <w:pPr>
      <w:ind w:left="2520"/>
    </w:pPr>
  </w:style>
  <w:style w:type="character" w:styleId="9">
    <w:name w:val="Strong"/>
    <w:basedOn w:val="8"/>
    <w:qFormat/>
    <w:uiPriority w:val="99"/>
    <w:rPr>
      <w:rFonts w:cs="Times New Roman"/>
      <w:b/>
    </w:rPr>
  </w:style>
  <w:style w:type="character" w:styleId="10">
    <w:name w:val="page number"/>
    <w:basedOn w:val="8"/>
    <w:uiPriority w:val="99"/>
    <w:rPr>
      <w:rFonts w:cs="Times New Roman"/>
    </w:rPr>
  </w:style>
  <w:style w:type="character" w:customStyle="1" w:styleId="11">
    <w:name w:val="Heading 2 Char"/>
    <w:basedOn w:val="8"/>
    <w:link w:val="2"/>
    <w:semiHidden/>
    <w:locked/>
    <w:uiPriority w:val="99"/>
    <w:rPr>
      <w:rFonts w:ascii="Cambria" w:hAnsi="Cambria" w:eastAsia="宋体" w:cs="Times New Roman"/>
      <w:b/>
      <w:bCs/>
      <w:sz w:val="32"/>
      <w:szCs w:val="32"/>
    </w:rPr>
  </w:style>
  <w:style w:type="character" w:customStyle="1" w:styleId="12">
    <w:name w:val="Header Char"/>
    <w:basedOn w:val="8"/>
    <w:link w:val="4"/>
    <w:semiHidden/>
    <w:locked/>
    <w:uiPriority w:val="99"/>
    <w:rPr>
      <w:rFonts w:eastAsia="仿宋_GB2312" w:cs="Times New Roman"/>
      <w:sz w:val="18"/>
      <w:szCs w:val="18"/>
    </w:rPr>
  </w:style>
  <w:style w:type="character" w:customStyle="1" w:styleId="13">
    <w:name w:val="Footer Char"/>
    <w:basedOn w:val="8"/>
    <w:link w:val="3"/>
    <w:semiHidden/>
    <w:locked/>
    <w:uiPriority w:val="99"/>
    <w:rPr>
      <w:rFonts w:eastAsia="仿宋_GB2312"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26</Pages>
  <Words>10553</Words>
  <Characters>10821</Characters>
  <Lines>0</Lines>
  <Paragraphs>0</Paragraphs>
  <TotalTime>402</TotalTime>
  <ScaleCrop>false</ScaleCrop>
  <LinksUpToDate>false</LinksUpToDate>
  <CharactersWithSpaces>10845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2020-04-01T05:41:00Z</dcterms:created>
  <dc:creator>CurUserName</dc:creator>
  <cp:lastModifiedBy>Qxb</cp:lastModifiedBy>
  <cp:lastPrinted>2020-06-03T05:08:00Z</cp:lastPrinted>
  <dcterms:modified xsi:type="dcterms:W3CDTF">2025-02-07T04:27:32Z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F79AB0557FD34D8C930A869821AD24E4_12</vt:lpwstr>
  </property>
  <property fmtid="{D5CDD505-2E9C-101B-9397-08002B2CF9AE}" pid="4" name="KSOTemplateDocerSaveRecord">
    <vt:lpwstr>eyJoZGlkIjoiNjhiMzgzMWJiNDVmMjc4YmZhYzYxZmZlMGEwZTI0MDIiLCJ1c2VySWQiOiIxMDczMzg0NjQwIn0=</vt:lpwstr>
  </property>
</Properties>
</file>