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CF96C">
      <w:pPr>
        <w:spacing w:line="540" w:lineRule="exact"/>
        <w:jc w:val="center"/>
        <w:rPr>
          <w:rFonts w:ascii="方正小标宋_GBK" w:hAnsi="华文中宋" w:eastAsia="方正小标宋_GBK" w:cs="宋体"/>
          <w:b/>
          <w:kern w:val="0"/>
          <w:sz w:val="48"/>
          <w:szCs w:val="48"/>
        </w:rPr>
      </w:pPr>
    </w:p>
    <w:p w14:paraId="24B97A85">
      <w:pPr>
        <w:spacing w:line="540" w:lineRule="exact"/>
        <w:jc w:val="center"/>
        <w:rPr>
          <w:rFonts w:ascii="方正小标宋_GBK" w:hAnsi="华文中宋" w:eastAsia="方正小标宋_GBK" w:cs="宋体"/>
          <w:b/>
          <w:kern w:val="0"/>
          <w:sz w:val="48"/>
          <w:szCs w:val="48"/>
        </w:rPr>
      </w:pPr>
    </w:p>
    <w:p w14:paraId="072B2647">
      <w:pPr>
        <w:spacing w:line="600" w:lineRule="exact"/>
        <w:jc w:val="center"/>
        <w:rPr>
          <w:rFonts w:ascii="方正小标宋_GBK" w:hAnsi="华文中宋" w:eastAsia="方正小标宋_GBK" w:cs="宋体"/>
          <w:bCs/>
          <w:kern w:val="0"/>
          <w:sz w:val="48"/>
          <w:szCs w:val="48"/>
        </w:rPr>
      </w:pPr>
      <w:r>
        <w:rPr>
          <w:rFonts w:hint="eastAsia" w:ascii="方正小标宋_GBK" w:hAnsi="华文中宋" w:eastAsia="方正小标宋_GBK" w:cs="宋体"/>
          <w:bCs/>
          <w:kern w:val="0"/>
          <w:sz w:val="48"/>
          <w:szCs w:val="48"/>
        </w:rPr>
        <w:t>巴州计量检定所</w:t>
      </w:r>
    </w:p>
    <w:p w14:paraId="1472651C">
      <w:pPr>
        <w:spacing w:line="600" w:lineRule="exact"/>
        <w:jc w:val="center"/>
        <w:rPr>
          <w:rFonts w:ascii="方正小标宋_GBK" w:hAnsi="华文中宋" w:eastAsia="方正小标宋_GBK" w:cs="宋体"/>
          <w:bCs/>
          <w:kern w:val="0"/>
          <w:sz w:val="48"/>
          <w:szCs w:val="48"/>
        </w:rPr>
      </w:pPr>
      <w:r>
        <w:rPr>
          <w:rFonts w:hint="eastAsia" w:ascii="方正小标宋_GBK" w:hAnsi="华文中宋" w:eastAsia="方正小标宋_GBK" w:cs="宋体"/>
          <w:bCs/>
          <w:kern w:val="0"/>
          <w:sz w:val="48"/>
          <w:szCs w:val="48"/>
        </w:rPr>
        <w:t>项目支出</w:t>
      </w:r>
      <w:r>
        <w:rPr>
          <w:rFonts w:ascii="方正小标宋_GBK" w:hAnsi="华文中宋" w:eastAsia="方正小标宋_GBK" w:cs="宋体"/>
          <w:bCs/>
          <w:kern w:val="0"/>
          <w:sz w:val="48"/>
          <w:szCs w:val="48"/>
        </w:rPr>
        <w:t>绩效</w:t>
      </w:r>
      <w:r>
        <w:rPr>
          <w:rFonts w:hint="eastAsia" w:ascii="方正小标宋_GBK" w:hAnsi="华文中宋" w:eastAsia="方正小标宋_GBK" w:cs="宋体"/>
          <w:bCs/>
          <w:kern w:val="0"/>
          <w:sz w:val="48"/>
          <w:szCs w:val="48"/>
        </w:rPr>
        <w:t>自评报告</w:t>
      </w:r>
    </w:p>
    <w:p w14:paraId="27C7EC19">
      <w:pPr>
        <w:spacing w:line="540" w:lineRule="exact"/>
        <w:jc w:val="center"/>
        <w:rPr>
          <w:rFonts w:ascii="华文中宋" w:hAnsi="华文中宋" w:eastAsia="华文中宋" w:cs="宋体"/>
          <w:b/>
          <w:kern w:val="0"/>
          <w:sz w:val="52"/>
          <w:szCs w:val="52"/>
        </w:rPr>
      </w:pPr>
    </w:p>
    <w:p w14:paraId="318BEF65">
      <w:pPr>
        <w:spacing w:line="540" w:lineRule="exact"/>
        <w:jc w:val="center"/>
        <w:rPr>
          <w:rFonts w:ascii="华文中宋" w:hAnsi="华文中宋" w:eastAsia="华文中宋" w:cs="宋体"/>
          <w:b/>
          <w:kern w:val="0"/>
          <w:sz w:val="52"/>
          <w:szCs w:val="52"/>
        </w:rPr>
      </w:pPr>
    </w:p>
    <w:p w14:paraId="550EB9E6">
      <w:pPr>
        <w:spacing w:line="540" w:lineRule="exact"/>
        <w:jc w:val="center"/>
        <w:rPr>
          <w:rFonts w:ascii="华文中宋" w:hAnsi="华文中宋" w:eastAsia="华文中宋" w:cs="宋体"/>
          <w:b/>
          <w:kern w:val="0"/>
          <w:sz w:val="52"/>
          <w:szCs w:val="52"/>
        </w:rPr>
      </w:pPr>
    </w:p>
    <w:p w14:paraId="05AAA01C">
      <w:pPr>
        <w:spacing w:line="540" w:lineRule="exact"/>
        <w:jc w:val="center"/>
        <w:rPr>
          <w:rFonts w:hAnsi="宋体" w:cs="宋体"/>
          <w:kern w:val="0"/>
          <w:sz w:val="36"/>
          <w:szCs w:val="36"/>
        </w:rPr>
      </w:pPr>
      <w:r>
        <w:rPr>
          <w:rFonts w:hint="eastAsia" w:hAnsi="宋体" w:cs="宋体"/>
          <w:kern w:val="0"/>
          <w:sz w:val="36"/>
          <w:szCs w:val="36"/>
        </w:rPr>
        <w:t>（2019年度）</w:t>
      </w:r>
    </w:p>
    <w:p w14:paraId="47331CDA">
      <w:pPr>
        <w:spacing w:line="540" w:lineRule="exact"/>
        <w:jc w:val="center"/>
        <w:rPr>
          <w:rFonts w:hAnsi="宋体" w:cs="宋体"/>
          <w:kern w:val="0"/>
          <w:szCs w:val="30"/>
        </w:rPr>
      </w:pPr>
    </w:p>
    <w:p w14:paraId="6BE8FAD1">
      <w:pPr>
        <w:spacing w:line="540" w:lineRule="exact"/>
        <w:jc w:val="center"/>
        <w:rPr>
          <w:rFonts w:hAnsi="宋体" w:cs="宋体"/>
          <w:kern w:val="0"/>
          <w:szCs w:val="30"/>
        </w:rPr>
      </w:pPr>
    </w:p>
    <w:p w14:paraId="7DF566F3">
      <w:pPr>
        <w:spacing w:line="540" w:lineRule="exact"/>
        <w:jc w:val="center"/>
        <w:rPr>
          <w:rFonts w:hAnsi="宋体" w:cs="宋体"/>
          <w:kern w:val="0"/>
          <w:szCs w:val="30"/>
        </w:rPr>
      </w:pPr>
    </w:p>
    <w:p w14:paraId="14409316">
      <w:pPr>
        <w:spacing w:line="540" w:lineRule="exact"/>
        <w:jc w:val="center"/>
        <w:rPr>
          <w:rFonts w:hAnsi="宋体" w:cs="宋体"/>
          <w:kern w:val="0"/>
          <w:szCs w:val="30"/>
        </w:rPr>
      </w:pPr>
    </w:p>
    <w:p w14:paraId="3A6166D3">
      <w:pPr>
        <w:spacing w:line="540" w:lineRule="exact"/>
        <w:jc w:val="center"/>
        <w:rPr>
          <w:rFonts w:hAnsi="宋体" w:cs="宋体"/>
          <w:kern w:val="0"/>
          <w:szCs w:val="30"/>
        </w:rPr>
      </w:pPr>
    </w:p>
    <w:p w14:paraId="3621F488">
      <w:pPr>
        <w:spacing w:line="540" w:lineRule="exact"/>
        <w:jc w:val="center"/>
        <w:rPr>
          <w:rFonts w:hAnsi="宋体" w:cs="宋体"/>
          <w:kern w:val="0"/>
          <w:szCs w:val="30"/>
        </w:rPr>
      </w:pPr>
    </w:p>
    <w:p w14:paraId="5BFBACF5">
      <w:pPr>
        <w:spacing w:line="540" w:lineRule="exact"/>
        <w:jc w:val="center"/>
        <w:rPr>
          <w:rFonts w:hAnsi="宋体" w:cs="宋体"/>
          <w:kern w:val="0"/>
          <w:szCs w:val="30"/>
        </w:rPr>
      </w:pPr>
    </w:p>
    <w:p w14:paraId="30BA4989">
      <w:pPr>
        <w:spacing w:line="540" w:lineRule="exact"/>
        <w:jc w:val="center"/>
        <w:rPr>
          <w:rFonts w:hAnsi="宋体" w:cs="宋体"/>
          <w:kern w:val="0"/>
          <w:szCs w:val="30"/>
        </w:rPr>
      </w:pPr>
    </w:p>
    <w:p w14:paraId="246D87BD">
      <w:pPr>
        <w:spacing w:line="540" w:lineRule="exact"/>
        <w:rPr>
          <w:rFonts w:hAnsi="宋体" w:cs="宋体"/>
          <w:kern w:val="0"/>
          <w:szCs w:val="30"/>
        </w:rPr>
      </w:pPr>
    </w:p>
    <w:p w14:paraId="1AC2045B">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项目名称：建标考核及标准器送检项目</w:t>
      </w:r>
    </w:p>
    <w:p w14:paraId="528316A5">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实施单位（公章）：巴州计量检定所</w:t>
      </w:r>
    </w:p>
    <w:p w14:paraId="06FCB150">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主管部门（公章）：巴州市场监督管理局</w:t>
      </w:r>
    </w:p>
    <w:p w14:paraId="64BCD9E4">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项目负责人（签章）：王永征</w:t>
      </w:r>
    </w:p>
    <w:p w14:paraId="21617A56">
      <w:pPr>
        <w:spacing w:line="700" w:lineRule="exact"/>
        <w:ind w:firstLine="849" w:firstLineChars="236"/>
        <w:rPr>
          <w:rFonts w:hAnsi="宋体" w:cs="宋体"/>
          <w:kern w:val="0"/>
          <w:sz w:val="36"/>
          <w:szCs w:val="36"/>
        </w:rPr>
      </w:pPr>
      <w:r>
        <w:rPr>
          <w:rFonts w:hint="eastAsia" w:hAnsi="宋体" w:cs="宋体"/>
          <w:kern w:val="0"/>
          <w:sz w:val="36"/>
          <w:szCs w:val="36"/>
        </w:rPr>
        <w:t>填报时间：2</w:t>
      </w:r>
      <w:r>
        <w:rPr>
          <w:rFonts w:hAnsi="宋体" w:cs="宋体"/>
          <w:kern w:val="0"/>
          <w:sz w:val="36"/>
          <w:szCs w:val="36"/>
        </w:rPr>
        <w:t>020</w:t>
      </w:r>
      <w:r>
        <w:rPr>
          <w:rFonts w:hint="eastAsia" w:hAnsi="宋体" w:cs="宋体"/>
          <w:kern w:val="0"/>
          <w:sz w:val="36"/>
          <w:szCs w:val="36"/>
        </w:rPr>
        <w:t>年5月1</w:t>
      </w:r>
      <w:r>
        <w:rPr>
          <w:rFonts w:hAnsi="宋体" w:cs="宋体"/>
          <w:kern w:val="0"/>
          <w:sz w:val="36"/>
          <w:szCs w:val="36"/>
        </w:rPr>
        <w:t>0</w:t>
      </w:r>
      <w:r>
        <w:rPr>
          <w:rFonts w:hint="eastAsia" w:hAnsi="宋体" w:cs="宋体"/>
          <w:kern w:val="0"/>
          <w:sz w:val="36"/>
          <w:szCs w:val="36"/>
        </w:rPr>
        <w:t>日</w:t>
      </w:r>
    </w:p>
    <w:p w14:paraId="2D073592">
      <w:pPr>
        <w:sectPr>
          <w:footerReference r:id="rId3" w:type="default"/>
          <w:pgSz w:w="11906" w:h="16838"/>
          <w:pgMar w:top="1928" w:right="1531" w:bottom="1701" w:left="1531" w:header="737" w:footer="851" w:gutter="0"/>
          <w:cols w:space="720" w:num="1"/>
          <w:docGrid w:type="lines" w:linePitch="408" w:charSpace="0"/>
        </w:sectPr>
      </w:pPr>
    </w:p>
    <w:p w14:paraId="5CDEB266">
      <w:pPr>
        <w:spacing w:line="560" w:lineRule="exact"/>
        <w:jc w:val="center"/>
        <w:rPr>
          <w:rFonts w:ascii="Arial" w:hAnsi="Arial" w:eastAsia="宋体" w:cs="Arial"/>
          <w:b/>
          <w:bCs/>
          <w:sz w:val="36"/>
          <w:szCs w:val="36"/>
        </w:rPr>
      </w:pPr>
      <w:bookmarkStart w:id="0" w:name="_Hlk42075424"/>
      <w:r>
        <w:rPr>
          <w:rFonts w:hint="eastAsia" w:ascii="宋体" w:hAnsi="宋体" w:eastAsia="宋体" w:cs="Arial"/>
          <w:b/>
          <w:bCs/>
          <w:sz w:val="36"/>
          <w:szCs w:val="36"/>
        </w:rPr>
        <w:t>建标考核及标准器送检项目</w:t>
      </w:r>
      <w:bookmarkEnd w:id="0"/>
      <w:r>
        <w:rPr>
          <w:rFonts w:ascii="宋体" w:hAnsi="宋体" w:eastAsia="宋体" w:cs="Arial"/>
          <w:b/>
          <w:bCs/>
          <w:sz w:val="36"/>
          <w:szCs w:val="36"/>
        </w:rPr>
        <w:t>绩效</w:t>
      </w:r>
      <w:r>
        <w:rPr>
          <w:rFonts w:hint="eastAsia" w:ascii="宋体" w:hAnsi="宋体" w:eastAsia="宋体" w:cs="Arial"/>
          <w:b/>
          <w:bCs/>
          <w:sz w:val="36"/>
          <w:szCs w:val="36"/>
        </w:rPr>
        <w:t>自评报告</w:t>
      </w:r>
    </w:p>
    <w:p w14:paraId="3443DBB1">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一、基本情况</w:t>
      </w:r>
    </w:p>
    <w:p w14:paraId="023E96D7">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（一）项目概况</w:t>
      </w:r>
    </w:p>
    <w:p w14:paraId="1C8C4BEE">
      <w:pPr>
        <w:spacing w:line="540" w:lineRule="exact"/>
        <w:ind w:firstLine="562" w:firstLineChars="200"/>
        <w:rPr>
          <w:rFonts w:asciiTheme="minorEastAsia" w:hAnsiTheme="minorEastAsia" w:eastAsiaTheme="minorEastAsia"/>
          <w:sz w:val="28"/>
          <w:szCs w:val="28"/>
        </w:rPr>
      </w:pPr>
      <w:r>
        <w:rPr>
          <w:rFonts w:hint="eastAsia" w:asciiTheme="minorEastAsia" w:hAnsiTheme="minorEastAsia" w:eastAsiaTheme="minorEastAsia"/>
          <w:b/>
          <w:bCs/>
          <w:sz w:val="28"/>
          <w:szCs w:val="28"/>
        </w:rPr>
        <w:t>1.项目背景</w:t>
      </w:r>
    </w:p>
    <w:p w14:paraId="59E3D095">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根据《中华人民共和国计量法》和《中华人民共和国计量法实施细则》及计量检定规程的要求，为了更好地履行法定计量检定机构的职责，执行强制检定任务，为实施计量监督提供技术保障。为保障巴州境内各大石油、石化企业、公安交通管理部门、铁路部门及其它企业的可燃气报警器、硫化氢气体检测仪、电化学氧测定仪、一氧化碳检测仪、呼出气体酒精含量检测仪等各类计量器具性能的可靠和稳定的运行，保证使用的安全需要，建立了呼出气体酒精含量探测器检定装置、可燃气体检测报警仪检定装置、硫化氢气体检测仪检定装置、电化学氧测定仪检定装置、一氧化碳检测仪检定装置等计量标准，使我所检测能力大大提高，为石油、石化企业、公安交通管理部门、铁路部门等企业解决问题，拓宽了我所的服务领域。</w:t>
      </w:r>
    </w:p>
    <w:p w14:paraId="48547F09">
      <w:pPr>
        <w:spacing w:line="540" w:lineRule="exact"/>
        <w:ind w:firstLine="562" w:firstLineChars="200"/>
        <w:jc w:val="left"/>
        <w:rPr>
          <w:rFonts w:asciiTheme="minorEastAsia" w:hAnsiTheme="minorEastAsia" w:eastAsiaTheme="minorEastAsia"/>
          <w:b/>
          <w:bCs/>
          <w:sz w:val="28"/>
          <w:szCs w:val="28"/>
        </w:rPr>
      </w:pPr>
      <w:r>
        <w:rPr>
          <w:rFonts w:hint="eastAsia" w:cs="宋体" w:asciiTheme="minorEastAsia" w:hAnsiTheme="minorEastAsia" w:eastAsiaTheme="minorEastAsia"/>
          <w:b/>
          <w:bCs/>
          <w:sz w:val="28"/>
          <w:szCs w:val="28"/>
        </w:rPr>
        <w:t>2.</w:t>
      </w:r>
      <w:r>
        <w:rPr>
          <w:rFonts w:hint="eastAsia" w:asciiTheme="minorEastAsia" w:hAnsiTheme="minorEastAsia" w:eastAsiaTheme="minorEastAsia"/>
          <w:b/>
          <w:bCs/>
          <w:sz w:val="28"/>
          <w:szCs w:val="28"/>
        </w:rPr>
        <w:t>项目主要内容</w:t>
      </w:r>
    </w:p>
    <w:p w14:paraId="70B978EA">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2019年巴州本级财政支出建标考核及标准器送检专项资金支出项目总体实施情况较好，基本达到了预期的总体绩效目标。</w:t>
      </w:r>
    </w:p>
    <w:p w14:paraId="5F0B528D">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巴州计量检定所是依法设置的为保障国家计量单位制的统一和量值的准确可靠，为政府计量行政部门和综合管理提供技术保证的法定计量检定机构；是以量值传递为核心业务、向全州企事业单位、部门、行业提供计量检定、校准、咨询、技术服务的技术机构，并可围绕力学、热工、电磁、理化项目开展四大类在线计量检测装置、设备器具的安装、现场调试、校准服务。为了使计量标准器及配套设备保持正常的工作状态，每年需对本所的计量标准器及配套设备送检，送检后对不合格的设备进行维修及更换。2019年年初对建标考核及标准器送检项目支出计划项目资金31万元。</w:t>
      </w:r>
    </w:p>
    <w:p w14:paraId="756BFCE0">
      <w:pPr>
        <w:spacing w:line="540" w:lineRule="exact"/>
        <w:ind w:firstLine="562" w:firstLineChars="200"/>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3.项目实施情况</w:t>
      </w:r>
    </w:p>
    <w:p w14:paraId="1C3CA354">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根据年初制定计划，已实施完成。建标考核费 6 万、标准器送检费 25 万，两项合计支出31万元。</w:t>
      </w:r>
    </w:p>
    <w:p w14:paraId="40A9E771">
      <w:pPr>
        <w:spacing w:line="540" w:lineRule="exact"/>
        <w:ind w:firstLine="551" w:firstLineChars="196"/>
        <w:rPr>
          <w:rFonts w:asciiTheme="minorEastAsia" w:hAnsiTheme="minorEastAsia" w:eastAsiaTheme="minorEastAsia"/>
          <w:b/>
          <w:bCs/>
          <w:sz w:val="28"/>
          <w:szCs w:val="28"/>
        </w:rPr>
      </w:pPr>
      <w:r>
        <w:rPr>
          <w:rFonts w:hint="eastAsia" w:cs="宋体" w:asciiTheme="minorEastAsia" w:hAnsiTheme="minorEastAsia" w:eastAsiaTheme="minorEastAsia"/>
          <w:b/>
          <w:bCs/>
          <w:sz w:val="28"/>
          <w:szCs w:val="28"/>
        </w:rPr>
        <w:t>4.</w:t>
      </w:r>
      <w:r>
        <w:rPr>
          <w:rFonts w:hint="eastAsia" w:asciiTheme="minorEastAsia" w:hAnsiTheme="minorEastAsia" w:eastAsiaTheme="minorEastAsia"/>
          <w:b/>
          <w:bCs/>
          <w:sz w:val="28"/>
          <w:szCs w:val="28"/>
        </w:rPr>
        <w:t>资金投入</w:t>
      </w:r>
    </w:p>
    <w:p w14:paraId="4FFBD619">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根据年初预算</w:t>
      </w:r>
      <w:r>
        <w:rPr>
          <w:rFonts w:hint="eastAsia" w:cs="宋体" w:asciiTheme="minorEastAsia" w:hAnsiTheme="minorEastAsia" w:eastAsiaTheme="minorEastAsia"/>
          <w:sz w:val="28"/>
          <w:szCs w:val="28"/>
        </w:rPr>
        <w:t>建标考核及标准器送检项目支出31万元，2019年财政拨入31万元。</w:t>
      </w:r>
    </w:p>
    <w:p w14:paraId="1E7F7AB5">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5.资金使用情况</w:t>
      </w:r>
    </w:p>
    <w:p w14:paraId="116A2EC0">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根据年初制定计划，其中：建标考核费 6 万、标准器送检费 25 万，两项合计支出31万元。</w:t>
      </w:r>
    </w:p>
    <w:p w14:paraId="142D0F84">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（二）项目绩效目标</w:t>
      </w:r>
    </w:p>
    <w:p w14:paraId="19040AF1">
      <w:pPr>
        <w:pStyle w:val="17"/>
        <w:spacing w:line="540" w:lineRule="exact"/>
        <w:ind w:firstLine="422" w:firstLineChars="150"/>
        <w:jc w:val="left"/>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1.总体目标</w:t>
      </w:r>
    </w:p>
    <w:p w14:paraId="1D62F7FE">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巴州计量检定所作为一个技术机构，始终坚信我们的优势在技术，潜力在技术，技术支撑是计量事业发展的不竭动力和力量源泉。本所秉持着在巩固原有技术能力的基础上，不断提高技术服务的能力。</w:t>
      </w:r>
    </w:p>
    <w:p w14:paraId="2DE26EB0">
      <w:pPr>
        <w:pStyle w:val="17"/>
        <w:spacing w:line="540" w:lineRule="exact"/>
        <w:ind w:firstLine="56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总体规划</w:t>
      </w:r>
    </w:p>
    <w:p w14:paraId="3BA74C51">
      <w:pPr>
        <w:pStyle w:val="17"/>
        <w:spacing w:line="540" w:lineRule="exact"/>
        <w:ind w:firstLine="56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以推进巴州计量事业发展，保障和改善民生为主线，突出法制计量、民生计量、能源计量、科技计量，加强计量基础建设和人才队伍建设，到2025年，计量技术基础更加坚实，量传溯源体系更加完善，计量法制建设更加健全，基本适应自治州跨越式发展和长治久安的需求。</w:t>
      </w:r>
    </w:p>
    <w:p w14:paraId="27BA47F8">
      <w:pPr>
        <w:pStyle w:val="17"/>
        <w:spacing w:line="540" w:lineRule="exact"/>
        <w:ind w:left="420" w:leftChars="140" w:firstLine="140" w:firstLineChars="5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工作目标</w:t>
      </w:r>
    </w:p>
    <w:p w14:paraId="1C0B01AC">
      <w:pPr>
        <w:pStyle w:val="17"/>
        <w:spacing w:line="540" w:lineRule="exact"/>
        <w:ind w:firstLine="56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随着中国特色社会主义进入新时代，推动经济高质量发展、建设现代化经济体系、满足人民日益增长的美好生活需要，对计量工作提出新的更高要求。与此同时，社会公用计量标准设施建设滞后、覆盖面不足、设备老化、计量技术能力不足等问题日益突出。进一步加强社会公用计量标准的建设与管理，加快推动社会公用计量标准升级换代，完善社会公用计量标准体系，有利于充分释放计量效能，切实保障贸易结算、安全防护、医疗卫生、环境监测等领域量值的准确一致。计量技术基础设施进一步改善， 加快社会公用计量标准升级换代，检测能力进一步增强，量传溯源体系满足巴州经济社会发展需要，计量服务能力普遍提升。重点针对企业需求和民生计量相关项目建立社会公用计量标准，到2026年，建立社会公用计量标准67项（新增5项），新建校准项目3项，完善社会公用计量标准相关管理机制。</w:t>
      </w:r>
    </w:p>
    <w:p w14:paraId="7DC9AF40">
      <w:pPr>
        <w:pStyle w:val="17"/>
        <w:spacing w:line="540" w:lineRule="exact"/>
        <w:ind w:firstLine="551" w:firstLineChars="196"/>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2.阶段性目标</w:t>
      </w:r>
    </w:p>
    <w:p w14:paraId="0DE2E893">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巴州计量检定所按照州局的总体安排和部署，从提高政治站位、强化责任担当、加强自身建设出发，结合本所工作实际，面对计量停征收费、职责任务繁重，人员紧张、经费困难等问题，积极履行法定职责，提高检定/校准、检测和技术咨询等计量服务能力，努力做好各项工作，圆满完成了各项任务目标，提高了本所计量检定业务的服务质量和缩短出具检定和测试报告的时间，提高社会满意度，取得了的良好的社会效益和经济效益。（1）2019年计划检定、校准各类计量器具11万台件，其中：检定强制检定计量器具9万台件（强检工作计量器具用于贸易结算7万台件，用于医疗卫生600台件，用于安全防护约2万台件，用于环境监测200台件）；非强检计量器具1.8万台。定量包装商品净含量检验小食品、食用油等12个批次。2019年免征收检定费500万元，上缴财政经营性收入260万元。（2）检定光学类项目台件数为250台件。检定数字指示秤2000台；（3）检定出租车计价器3000台；（4）检定电能表、电流表、电压表绝缘电阻表等共计3000余台；检定水表20000台；检定燃气表35000台；检定燃气等企业的加油机800把枪、加气机1000把枪、各类报警器190台。（5）检定心电图机、B超机、血压计、分光光度计、焦度计、验光仪、酸度计、玻璃液体温度计、天平、压力表等计量器具25000台件。检定A类压力表3000块，B类压力表11000块，双金属温度计2000支，温度变送器200台，压力变送器300台，铂电阻20支。（6）检测机构的综合性能检测线、环保检测线的汽车转向盘转向力/转向角检测仪、汽车排放气体测试仪、滚筒反力式制动检验台等200台设备进行检定、校准。</w:t>
      </w:r>
    </w:p>
    <w:p w14:paraId="724B15A5">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二、绩效评价工作开展情况</w:t>
      </w:r>
    </w:p>
    <w:p w14:paraId="0EBE9AA1">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（一）绩效评价目的</w:t>
      </w:r>
    </w:p>
    <w:p w14:paraId="63239AE0">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1.通过项目绩效评价，进一步加强和规范2019年我所建标考核及标准器送检项目资金管理工作，加强项目资金支出的规范性和合理性，发挥公共财政资金对建标考核及标准器送检的促进和推动作用，提高财政资金使用效益。</w:t>
      </w:r>
    </w:p>
    <w:p w14:paraId="206B6C6F">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2.加强财政专项资金管理，提高资金使用效益，检查财政专项资金项目的预期目标是否实现，项目是否可持续运行；帮助我所分析存在的问题，及时总结经验，改进项目管理措施，提高项目单位绩效管理水平，为预算决策提供有力依据。</w:t>
      </w:r>
    </w:p>
    <w:p w14:paraId="739828C6">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3.根据《财政部关于印发&lt;财政支出绩效评价管理暂行办法&gt;的通知》（财预〔2011〕285号）、</w:t>
      </w:r>
      <w:bookmarkStart w:id="1" w:name="filename"/>
      <w:r>
        <w:rPr>
          <w:rFonts w:hint="eastAsia" w:cs="宋体" w:asciiTheme="minorEastAsia" w:hAnsiTheme="minorEastAsia" w:eastAsiaTheme="minorEastAsia"/>
          <w:sz w:val="28"/>
          <w:szCs w:val="28"/>
        </w:rPr>
        <w:t>财政部《项目支出绩效评价管理办法》（财预﹝2020﹞10号）、关于印发《自治州财政支出绩效评价管理暂行办法》的通知</w:t>
      </w:r>
      <w:bookmarkEnd w:id="1"/>
      <w:r>
        <w:rPr>
          <w:rFonts w:hint="eastAsia" w:cs="宋体" w:asciiTheme="minorEastAsia" w:hAnsiTheme="minorEastAsia" w:eastAsiaTheme="minorEastAsia"/>
          <w:sz w:val="28"/>
          <w:szCs w:val="28"/>
        </w:rPr>
        <w:t>（</w:t>
      </w:r>
      <w:bookmarkStart w:id="2" w:name="year1_2"/>
      <w:bookmarkEnd w:id="2"/>
      <w:r>
        <w:rPr>
          <w:rFonts w:hint="eastAsia" w:cs="宋体" w:asciiTheme="minorEastAsia" w:hAnsiTheme="minorEastAsia" w:eastAsiaTheme="minorEastAsia"/>
          <w:sz w:val="28"/>
          <w:szCs w:val="28"/>
        </w:rPr>
        <w:t>巴财预〔2019〕82号）、对我所2019年建标考核及标准器送检项目资金使用进行绩效评价。</w:t>
      </w:r>
    </w:p>
    <w:p w14:paraId="6D3E4CF8">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4.通过了解、计算、分析、衡量项目的投入、过程、产出、效果涉及的各项指标，客观公正地反映我所2019年建标考核及标准器送检项目支出实际使用和产出的绩效状况，为今后该项目实施方向及管理方式的改进提供指导，逐步树立以结果为导向、讲求绩效的观念。</w:t>
      </w:r>
    </w:p>
    <w:p w14:paraId="52FCA489">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（四）绩效评价对象和范围</w:t>
      </w:r>
    </w:p>
    <w:p w14:paraId="7743870F">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2019年财政支出项目绩效评价对象为我所2019年度建标考核及标准器送检经费。</w:t>
      </w:r>
    </w:p>
    <w:p w14:paraId="69BF89E8">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评价范围为项目涉及的州计量所负责人和业务科室技术人员对</w:t>
      </w:r>
      <w:r>
        <w:rPr>
          <w:rFonts w:hint="eastAsia" w:cs="宋体" w:asciiTheme="minorEastAsia" w:hAnsiTheme="minorEastAsia" w:eastAsiaTheme="minorEastAsia"/>
          <w:color w:val="FF0000"/>
          <w:sz w:val="28"/>
          <w:szCs w:val="28"/>
          <w:u w:val="single"/>
        </w:rPr>
        <w:t>2019年</w:t>
      </w:r>
      <w:r>
        <w:rPr>
          <w:rFonts w:hint="eastAsia" w:cs="宋体" w:asciiTheme="minorEastAsia" w:hAnsiTheme="minorEastAsia" w:eastAsiaTheme="minorEastAsia"/>
          <w:sz w:val="28"/>
          <w:szCs w:val="28"/>
        </w:rPr>
        <w:t>建标考核及标准器送检经费</w:t>
      </w:r>
      <w:r>
        <w:rPr>
          <w:rFonts w:hint="eastAsia" w:cs="宋体" w:asciiTheme="minorEastAsia" w:hAnsiTheme="minorEastAsia" w:eastAsiaTheme="minorEastAsia"/>
          <w:color w:val="FF0000"/>
          <w:sz w:val="28"/>
          <w:szCs w:val="28"/>
          <w:u w:val="single"/>
        </w:rPr>
        <w:t>在决策、管理、产出与效果全过程绩效情况进行的评价</w:t>
      </w:r>
      <w:r>
        <w:rPr>
          <w:rFonts w:hint="eastAsia" w:cs="宋体" w:asciiTheme="minorEastAsia" w:hAnsiTheme="minorEastAsia" w:eastAsiaTheme="minorEastAsia"/>
          <w:color w:val="FF0000"/>
          <w:sz w:val="28"/>
          <w:szCs w:val="28"/>
        </w:rPr>
        <w:t>。</w:t>
      </w:r>
    </w:p>
    <w:p w14:paraId="29724B0B">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（五）绩效评价原则、评价指标体系、评价方法、评价标准等。</w:t>
      </w:r>
    </w:p>
    <w:p w14:paraId="351D3783">
      <w:pPr>
        <w:pStyle w:val="3"/>
        <w:numPr>
          <w:ilvl w:val="0"/>
          <w:numId w:val="0"/>
        </w:numPr>
        <w:spacing w:before="0" w:after="0" w:line="540" w:lineRule="exact"/>
        <w:ind w:firstLine="562" w:firstLineChars="200"/>
        <w:rPr>
          <w:rFonts w:cs="仿宋_GB2312" w:asciiTheme="minorEastAsia" w:hAnsiTheme="minorEastAsia" w:eastAsiaTheme="minorEastAsia"/>
          <w:bCs w:val="0"/>
          <w:sz w:val="28"/>
          <w:szCs w:val="28"/>
        </w:rPr>
      </w:pPr>
      <w:bookmarkStart w:id="3" w:name="_Toc24390830"/>
      <w:bookmarkStart w:id="4" w:name="_Toc26319309"/>
      <w:r>
        <w:rPr>
          <w:rFonts w:hint="eastAsia" w:cs="仿宋_GB2312" w:asciiTheme="minorEastAsia" w:hAnsiTheme="minorEastAsia" w:eastAsiaTheme="minorEastAsia"/>
          <w:bCs w:val="0"/>
          <w:sz w:val="28"/>
          <w:szCs w:val="28"/>
        </w:rPr>
        <w:t>1.绩效评价的基本原则</w:t>
      </w:r>
      <w:bookmarkEnd w:id="3"/>
      <w:bookmarkEnd w:id="4"/>
    </w:p>
    <w:p w14:paraId="15B7FAA0">
      <w:pPr>
        <w:spacing w:line="540" w:lineRule="exact"/>
        <w:ind w:firstLine="560" w:firstLineChars="200"/>
        <w:rPr>
          <w:rFonts w:cs="宋体" w:asciiTheme="minorEastAsia" w:hAnsiTheme="minorEastAsia" w:eastAsiaTheme="minorEastAsia"/>
          <w:sz w:val="28"/>
          <w:szCs w:val="28"/>
        </w:rPr>
      </w:pPr>
      <w:bookmarkStart w:id="5" w:name="_Toc22215289"/>
      <w:r>
        <w:rPr>
          <w:rFonts w:hint="eastAsia" w:cs="宋体" w:asciiTheme="minorEastAsia" w:hAnsiTheme="minorEastAsia" w:eastAsiaTheme="minorEastAsia"/>
          <w:color w:val="FF0000"/>
          <w:sz w:val="28"/>
          <w:szCs w:val="28"/>
        </w:rPr>
        <w:t>绩效评价严格执行规范的程序，按照科学可行的要求，遵循</w:t>
      </w:r>
      <w:r>
        <w:rPr>
          <w:rFonts w:hint="eastAsia" w:cs="宋体" w:asciiTheme="minorEastAsia" w:hAnsiTheme="minorEastAsia" w:eastAsiaTheme="minorEastAsia"/>
          <w:sz w:val="28"/>
          <w:szCs w:val="28"/>
        </w:rPr>
        <w:t>公正公开、与项目</w:t>
      </w:r>
      <w:r>
        <w:rPr>
          <w:rFonts w:hint="eastAsia" w:cs="宋体" w:asciiTheme="minorEastAsia" w:hAnsiTheme="minorEastAsia" w:eastAsiaTheme="minorEastAsia"/>
          <w:bCs/>
          <w:sz w:val="28"/>
          <w:szCs w:val="28"/>
        </w:rPr>
        <w:t>实际相关的原则</w:t>
      </w:r>
      <w:r>
        <w:rPr>
          <w:rFonts w:hint="eastAsia" w:cs="宋体" w:asciiTheme="minorEastAsia" w:hAnsiTheme="minorEastAsia" w:eastAsiaTheme="minorEastAsia"/>
          <w:color w:val="FF0000"/>
          <w:sz w:val="28"/>
          <w:szCs w:val="28"/>
        </w:rPr>
        <w:t>。对项目产出指标具体完成情况与应达到的目标值进行比较，进行定量评价得分；对项目决策、管理过程等评价指标，根据单位实际情况和相关规范进行比对分析，按照指标实际达到相关规范的程度进行定性评价得分。</w:t>
      </w:r>
      <w:r>
        <w:rPr>
          <w:rFonts w:hint="eastAsia" w:cs="宋体" w:asciiTheme="minorEastAsia" w:hAnsiTheme="minorEastAsia" w:eastAsiaTheme="minorEastAsia"/>
          <w:sz w:val="28"/>
          <w:szCs w:val="28"/>
        </w:rPr>
        <w:t>遵循符合真实、客观、公正的要求</w:t>
      </w:r>
      <w:r>
        <w:rPr>
          <w:rFonts w:hint="eastAsia" w:cs="宋体" w:asciiTheme="minorEastAsia" w:hAnsiTheme="minorEastAsia" w:eastAsiaTheme="minorEastAsia"/>
          <w:color w:val="FF0000"/>
          <w:sz w:val="28"/>
          <w:szCs w:val="28"/>
        </w:rPr>
        <w:t>，按照财政支出绩效管理相关规范的规定开展。</w:t>
      </w:r>
      <w:r>
        <w:rPr>
          <w:rFonts w:hint="eastAsia" w:cs="宋体" w:asciiTheme="minorEastAsia" w:hAnsiTheme="minorEastAsia" w:eastAsiaTheme="minorEastAsia"/>
          <w:sz w:val="28"/>
          <w:szCs w:val="28"/>
        </w:rPr>
        <w:t>绩效评价应当针对具体支出及其产出绩效进行，评价结果能够清晰反映支出和产出绩效之间的紧密对应关系。</w:t>
      </w:r>
    </w:p>
    <w:bookmarkEnd w:id="5"/>
    <w:p w14:paraId="465F05AC">
      <w:pPr>
        <w:pStyle w:val="3"/>
        <w:numPr>
          <w:ilvl w:val="0"/>
          <w:numId w:val="0"/>
        </w:numPr>
        <w:spacing w:before="0" w:after="0" w:line="540" w:lineRule="exact"/>
        <w:ind w:firstLine="562" w:firstLineChars="200"/>
        <w:rPr>
          <w:rFonts w:cs="宋体" w:asciiTheme="minorEastAsia" w:hAnsiTheme="minorEastAsia" w:eastAsiaTheme="minorEastAsia"/>
          <w:bCs w:val="0"/>
          <w:sz w:val="28"/>
          <w:szCs w:val="28"/>
        </w:rPr>
      </w:pPr>
      <w:bookmarkStart w:id="6" w:name="_Toc26319311"/>
      <w:r>
        <w:rPr>
          <w:rFonts w:hint="eastAsia" w:cs="宋体" w:asciiTheme="minorEastAsia" w:hAnsiTheme="minorEastAsia" w:eastAsiaTheme="minorEastAsia"/>
          <w:bCs w:val="0"/>
          <w:sz w:val="28"/>
          <w:szCs w:val="28"/>
        </w:rPr>
        <w:t>2.评价指标体系</w:t>
      </w:r>
    </w:p>
    <w:p w14:paraId="1DE614C4">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整个绩效评价体系包括四个一级指标（投入、过程、产出与效果），每一个一级指标又分别设置若干个二级中标从不同方面来反映一级指标，这些二级指标有的是具体客观指标，可以用相关的指标数据测算得出，有的是综合性主观指标，需要细化具体内容来体现，指标体系共设置10个二级指标。二级指标下设若干个三级指标，并设置了得分权重和详细的评分标准，根据经费支出时间情况，对每一个三级指标进行打分，然后对各级指标得分进行加总，得到绩效评价总分。</w:t>
      </w:r>
    </w:p>
    <w:p w14:paraId="5BDCC04B">
      <w:pPr>
        <w:spacing w:line="540" w:lineRule="exact"/>
        <w:ind w:firstLine="562" w:firstLineChars="200"/>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3.评价方法</w:t>
      </w:r>
      <w:bookmarkEnd w:id="6"/>
    </w:p>
    <w:p w14:paraId="28C51ECA">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本项目绩效评价采用定量与定性相结合综合采用比较法、最低成本法；依据 《2019年巴州计量检定所建标考核及标准器送检项目绩效评价指标体系》进行评价。</w:t>
      </w:r>
    </w:p>
    <w:p w14:paraId="7897CD4B">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在评价过程中，自评小组通过查验相关资料、实地核查、采集基础数据，以具有代表性与广泛性的数据，按照《指标体系》进行评议与打分，进而实现客观、科学的评价。</w:t>
      </w:r>
    </w:p>
    <w:p w14:paraId="3DC17F95">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4、评价标准</w:t>
      </w:r>
    </w:p>
    <w:p w14:paraId="78ADACCF">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本次评价标准按计划标准评价。按年初制定的绩效目标、计划、预算为评价标准。总分设置为100分，等级一般划分为四档：90（含）-100分为优、80（含）-90分为良、60（含）-80分为中、60分以下为差。</w:t>
      </w:r>
    </w:p>
    <w:p w14:paraId="46DF2C8B">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（三）绩效评价工作过程</w:t>
      </w:r>
    </w:p>
    <w:p w14:paraId="14F29485">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首先，进行前期准备工作，制定绩效评价前期工作计划。然后组织项目小组正式进驻现场，开展绩效评价工作。本次自评于2020年4月10日开展前期工作，于2020年4月30日出具绩效自评报告书，整个评价工作分以下几个阶段进行：</w:t>
      </w:r>
    </w:p>
    <w:p w14:paraId="62789B87">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1.前期准备工作</w:t>
      </w:r>
    </w:p>
    <w:p w14:paraId="36C3F243">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在明确评价目的、评价对象、范围及项目内容的基础上，根据绩效评价规范的要求和本次评价的实际情况，组建项目</w:t>
      </w:r>
      <w:bookmarkStart w:id="7" w:name="_Hlk39485463"/>
      <w:r>
        <w:rPr>
          <w:rFonts w:hint="eastAsia" w:cs="宋体" w:asciiTheme="minorEastAsia" w:hAnsiTheme="minorEastAsia" w:eastAsiaTheme="minorEastAsia"/>
          <w:sz w:val="28"/>
          <w:szCs w:val="28"/>
        </w:rPr>
        <w:t>评价工作小组</w:t>
      </w:r>
      <w:bookmarkEnd w:id="7"/>
      <w:r>
        <w:rPr>
          <w:rFonts w:hint="eastAsia" w:cs="宋体" w:asciiTheme="minorEastAsia" w:hAnsiTheme="minorEastAsia" w:eastAsiaTheme="minorEastAsia"/>
          <w:sz w:val="28"/>
          <w:szCs w:val="28"/>
        </w:rPr>
        <w:t>。评价工作小组结合财政部《财政支出绩效评价管理暂行办法》、《项目支出绩效评价管理办法》、巴州财政局《自治州财政支出绩效评价管理暂行办法》等文件，结合项目的实际情况，根据自治州项目绩效评价相关指标体系，制定了绩效评价方案。</w:t>
      </w:r>
    </w:p>
    <w:p w14:paraId="047DEE70">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此次评价工作，在收集并熟悉了项目实施、管理及其他文件资料后，全面了解此次绩效评价的内容、方法和要求之后。评价小组收集了项目立项文件资料、项目预算资金材料、项目工作总结，完成了项目基础信息表。项目小组成员根据了解的项目资料设计绩效评价指标体系初稿与项目管理部门沟通，同时确定各项证据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w:t>
      </w:r>
    </w:p>
    <w:p w14:paraId="202F3C12">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2.组织实施过程内容</w:t>
      </w:r>
    </w:p>
    <w:p w14:paraId="0B9E1766">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按照绩效评价规范要求，绩效评价工作小组在搜集准备了有关资料，对所有资料进行核实、验证。通过案卷研究、实地调研、集中座谈、随机抽样等方式，对被评价项目的相关资料信息进行收集、整理、分析，以评价该项目在项目投入、项目过程上是否依法依规，在项目绩效方面是否高效可持续。</w:t>
      </w:r>
    </w:p>
    <w:p w14:paraId="51FBA0F1">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3.绩效评价分析阶段</w:t>
      </w:r>
    </w:p>
    <w:p w14:paraId="10743BD7">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w:t>
      </w:r>
    </w:p>
    <w:p w14:paraId="24C149EB">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w:t>
      </w:r>
    </w:p>
    <w:p w14:paraId="36055D87">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4.绩效评价汇总阶段</w:t>
      </w:r>
    </w:p>
    <w:p w14:paraId="1C3157A8">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对初步确定项目绩效的评价结果进行逐级复核、汇总、分析，核查评价工作中是否存在重复和遗漏的情况。在此基础上，撰写项目绩效评价报告初稿，经评审副组长审核后再由评审组长复核。</w:t>
      </w:r>
    </w:p>
    <w:p w14:paraId="22C5B251">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5.提交报告阶段</w:t>
      </w:r>
    </w:p>
    <w:p w14:paraId="0323B3E5">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向本级财政部门提交项目绩效评价报告初稿，在同本级财政部门充分交换意见并作必要的修改后，向本级财政部门提交正式的绩效评价报告。</w:t>
      </w:r>
    </w:p>
    <w:p w14:paraId="2CD4363A">
      <w:pPr>
        <w:spacing w:line="540" w:lineRule="exact"/>
        <w:ind w:firstLine="562" w:firstLineChars="200"/>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三、综合评价情况及评价结论</w:t>
      </w:r>
    </w:p>
    <w:p w14:paraId="4FAA4874">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（一）项目总体评价结论</w:t>
      </w:r>
    </w:p>
    <w:p w14:paraId="120DBB9A">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2019年我所以绩效评价指标体系为基础，根据已核实准确的资料计算各指标的实际值和得分，并汇总得出2019年巴州本级财政专项资金支出进行自评（具体得分情况如下表 3-1）。 绩效自评得分96 分，绩效等级为优。（各指标得分情况详见附件 1）。</w:t>
      </w:r>
    </w:p>
    <w:p w14:paraId="310074FC">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（二）项目评价结果</w:t>
      </w:r>
    </w:p>
    <w:p w14:paraId="556DA28C">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经过综合评定，本项目基本完成既定的各项目标，该类指标满分 20 分，包括项目立项、资金落实等 2 个二级指标（具体分值及得分情况如下表 3-2 所示）。主要考察项目立项的论证决策是否充分，绩效目标制定的完整性、合理性与可衡量性，以及组织、制度的保障措施；资金落实是否到位与及时，资金分配是否合理等表</w:t>
      </w:r>
    </w:p>
    <w:p w14:paraId="21D416D3">
      <w:pPr>
        <w:spacing w:line="540" w:lineRule="exact"/>
        <w:ind w:firstLine="3780" w:firstLineChars="1350"/>
        <w:rPr>
          <w:rFonts w:asciiTheme="minorEastAsia" w:hAnsiTheme="minorEastAsia" w:eastAsiaTheme="minorEastAsia"/>
          <w:sz w:val="28"/>
          <w:szCs w:val="28"/>
        </w:rPr>
      </w:pPr>
      <w:r>
        <w:rPr>
          <w:rFonts w:hint="eastAsia" w:asciiTheme="minorEastAsia" w:hAnsiTheme="minorEastAsia" w:eastAsiaTheme="minorEastAsia"/>
          <w:sz w:val="28"/>
          <w:szCs w:val="28"/>
        </w:rPr>
        <w:t>3-1：绩效评价得分表</w:t>
      </w:r>
    </w:p>
    <w:tbl>
      <w:tblPr>
        <w:tblStyle w:val="8"/>
        <w:tblW w:w="894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701"/>
        <w:gridCol w:w="1704"/>
        <w:gridCol w:w="1659"/>
        <w:gridCol w:w="1751"/>
      </w:tblGrid>
      <w:tr w14:paraId="1C02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exact"/>
        </w:trPr>
        <w:tc>
          <w:tcPr>
            <w:tcW w:w="2126" w:type="dxa"/>
            <w:vAlign w:val="center"/>
          </w:tcPr>
          <w:p w14:paraId="2823ECD0">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项目资金名称名称</w:t>
            </w:r>
          </w:p>
        </w:tc>
        <w:tc>
          <w:tcPr>
            <w:tcW w:w="1701" w:type="dxa"/>
            <w:vAlign w:val="center"/>
          </w:tcPr>
          <w:p w14:paraId="4B677D14">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一级指标</w:t>
            </w:r>
          </w:p>
        </w:tc>
        <w:tc>
          <w:tcPr>
            <w:tcW w:w="1704" w:type="dxa"/>
            <w:vAlign w:val="center"/>
          </w:tcPr>
          <w:p w14:paraId="19CC9783">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分值</w:t>
            </w:r>
          </w:p>
        </w:tc>
        <w:tc>
          <w:tcPr>
            <w:tcW w:w="1659" w:type="dxa"/>
            <w:vAlign w:val="center"/>
          </w:tcPr>
          <w:p w14:paraId="17399B54">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得分</w:t>
            </w:r>
          </w:p>
        </w:tc>
        <w:tc>
          <w:tcPr>
            <w:tcW w:w="1751" w:type="dxa"/>
            <w:vAlign w:val="center"/>
          </w:tcPr>
          <w:p w14:paraId="3FF826F4">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得分率</w:t>
            </w:r>
          </w:p>
        </w:tc>
      </w:tr>
      <w:tr w14:paraId="5AD9E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2126" w:type="dxa"/>
            <w:vMerge w:val="restart"/>
            <w:vAlign w:val="center"/>
          </w:tcPr>
          <w:p w14:paraId="5C201ECD">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sz w:val="24"/>
              </w:rPr>
              <w:t>2019年建标考核及标准器送检</w:t>
            </w:r>
          </w:p>
        </w:tc>
        <w:tc>
          <w:tcPr>
            <w:tcW w:w="1701" w:type="dxa"/>
            <w:vAlign w:val="center"/>
          </w:tcPr>
          <w:p w14:paraId="3D7DD9D9">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投入</w:t>
            </w:r>
          </w:p>
        </w:tc>
        <w:tc>
          <w:tcPr>
            <w:tcW w:w="1704" w:type="dxa"/>
            <w:vAlign w:val="center"/>
          </w:tcPr>
          <w:p w14:paraId="79CC9F9C">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20</w:t>
            </w:r>
          </w:p>
        </w:tc>
        <w:tc>
          <w:tcPr>
            <w:tcW w:w="1659" w:type="dxa"/>
            <w:vAlign w:val="center"/>
          </w:tcPr>
          <w:p w14:paraId="1AD9E2C9">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16</w:t>
            </w:r>
          </w:p>
        </w:tc>
        <w:tc>
          <w:tcPr>
            <w:tcW w:w="1751" w:type="dxa"/>
            <w:vAlign w:val="center"/>
          </w:tcPr>
          <w:p w14:paraId="329A7260">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80%</w:t>
            </w:r>
          </w:p>
        </w:tc>
      </w:tr>
      <w:tr w14:paraId="343AC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trPr>
        <w:tc>
          <w:tcPr>
            <w:tcW w:w="2126" w:type="dxa"/>
            <w:vMerge w:val="continue"/>
            <w:vAlign w:val="center"/>
          </w:tcPr>
          <w:p w14:paraId="76A06007">
            <w:pPr>
              <w:widowControl/>
              <w:spacing w:line="540" w:lineRule="exact"/>
              <w:rPr>
                <w:rFonts w:cs="宋体" w:asciiTheme="minorEastAsia" w:hAnsiTheme="minorEastAsia" w:eastAsiaTheme="minorEastAsia"/>
                <w:kern w:val="0"/>
                <w:sz w:val="24"/>
              </w:rPr>
            </w:pPr>
          </w:p>
        </w:tc>
        <w:tc>
          <w:tcPr>
            <w:tcW w:w="1701" w:type="dxa"/>
            <w:vAlign w:val="center"/>
          </w:tcPr>
          <w:p w14:paraId="4B6F28A7">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过程</w:t>
            </w:r>
          </w:p>
        </w:tc>
        <w:tc>
          <w:tcPr>
            <w:tcW w:w="1704" w:type="dxa"/>
            <w:vAlign w:val="center"/>
          </w:tcPr>
          <w:p w14:paraId="360CF53A">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20</w:t>
            </w:r>
          </w:p>
        </w:tc>
        <w:tc>
          <w:tcPr>
            <w:tcW w:w="1659" w:type="dxa"/>
            <w:vAlign w:val="center"/>
          </w:tcPr>
          <w:p w14:paraId="65FCFBA8">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20</w:t>
            </w:r>
          </w:p>
        </w:tc>
        <w:tc>
          <w:tcPr>
            <w:tcW w:w="1751" w:type="dxa"/>
            <w:vAlign w:val="center"/>
          </w:tcPr>
          <w:p w14:paraId="6198C2BD">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2C71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trPr>
        <w:tc>
          <w:tcPr>
            <w:tcW w:w="2126" w:type="dxa"/>
            <w:vMerge w:val="continue"/>
            <w:vAlign w:val="center"/>
          </w:tcPr>
          <w:p w14:paraId="35A16716">
            <w:pPr>
              <w:widowControl/>
              <w:spacing w:line="540" w:lineRule="exact"/>
              <w:rPr>
                <w:rFonts w:cs="宋体" w:asciiTheme="minorEastAsia" w:hAnsiTheme="minorEastAsia" w:eastAsiaTheme="minorEastAsia"/>
                <w:kern w:val="0"/>
                <w:sz w:val="24"/>
              </w:rPr>
            </w:pPr>
          </w:p>
        </w:tc>
        <w:tc>
          <w:tcPr>
            <w:tcW w:w="1701" w:type="dxa"/>
            <w:vAlign w:val="center"/>
          </w:tcPr>
          <w:p w14:paraId="6FDDF129">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产出</w:t>
            </w:r>
          </w:p>
        </w:tc>
        <w:tc>
          <w:tcPr>
            <w:tcW w:w="1704" w:type="dxa"/>
            <w:vAlign w:val="center"/>
          </w:tcPr>
          <w:p w14:paraId="2C920581">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30</w:t>
            </w:r>
          </w:p>
        </w:tc>
        <w:tc>
          <w:tcPr>
            <w:tcW w:w="1659" w:type="dxa"/>
            <w:vAlign w:val="center"/>
          </w:tcPr>
          <w:p w14:paraId="23293246">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30</w:t>
            </w:r>
          </w:p>
        </w:tc>
        <w:tc>
          <w:tcPr>
            <w:tcW w:w="1751" w:type="dxa"/>
            <w:vAlign w:val="center"/>
          </w:tcPr>
          <w:p w14:paraId="7366B736">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23E27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2126" w:type="dxa"/>
            <w:vMerge w:val="continue"/>
            <w:vAlign w:val="center"/>
          </w:tcPr>
          <w:p w14:paraId="657E90AD">
            <w:pPr>
              <w:widowControl/>
              <w:spacing w:line="540" w:lineRule="exact"/>
              <w:rPr>
                <w:rFonts w:cs="宋体" w:asciiTheme="minorEastAsia" w:hAnsiTheme="minorEastAsia" w:eastAsiaTheme="minorEastAsia"/>
                <w:kern w:val="0"/>
                <w:sz w:val="24"/>
              </w:rPr>
            </w:pPr>
          </w:p>
        </w:tc>
        <w:tc>
          <w:tcPr>
            <w:tcW w:w="1701" w:type="dxa"/>
            <w:vAlign w:val="center"/>
          </w:tcPr>
          <w:p w14:paraId="5659C73E">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效果</w:t>
            </w:r>
          </w:p>
        </w:tc>
        <w:tc>
          <w:tcPr>
            <w:tcW w:w="1704" w:type="dxa"/>
            <w:vAlign w:val="center"/>
          </w:tcPr>
          <w:p w14:paraId="7559AA74">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30</w:t>
            </w:r>
          </w:p>
        </w:tc>
        <w:tc>
          <w:tcPr>
            <w:tcW w:w="1659" w:type="dxa"/>
            <w:vAlign w:val="center"/>
          </w:tcPr>
          <w:p w14:paraId="150E7A0E">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30</w:t>
            </w:r>
          </w:p>
        </w:tc>
        <w:tc>
          <w:tcPr>
            <w:tcW w:w="1751" w:type="dxa"/>
            <w:vAlign w:val="center"/>
          </w:tcPr>
          <w:p w14:paraId="5A079A70">
            <w:pPr>
              <w:widowControl/>
              <w:spacing w:line="54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1E9A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exact"/>
        </w:trPr>
        <w:tc>
          <w:tcPr>
            <w:tcW w:w="3827" w:type="dxa"/>
            <w:gridSpan w:val="2"/>
            <w:vAlign w:val="center"/>
          </w:tcPr>
          <w:p w14:paraId="46172322">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合计</w:t>
            </w:r>
          </w:p>
        </w:tc>
        <w:tc>
          <w:tcPr>
            <w:tcW w:w="1704" w:type="dxa"/>
            <w:vAlign w:val="center"/>
          </w:tcPr>
          <w:p w14:paraId="25759246">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100</w:t>
            </w:r>
          </w:p>
        </w:tc>
        <w:tc>
          <w:tcPr>
            <w:tcW w:w="1659" w:type="dxa"/>
            <w:vAlign w:val="center"/>
          </w:tcPr>
          <w:p w14:paraId="17F6348D">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96</w:t>
            </w:r>
          </w:p>
        </w:tc>
        <w:tc>
          <w:tcPr>
            <w:tcW w:w="1751" w:type="dxa"/>
            <w:vAlign w:val="center"/>
          </w:tcPr>
          <w:p w14:paraId="33EE14DA">
            <w:pPr>
              <w:widowControl/>
              <w:spacing w:line="540" w:lineRule="exact"/>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96%</w:t>
            </w:r>
          </w:p>
        </w:tc>
      </w:tr>
    </w:tbl>
    <w:p w14:paraId="2120B623">
      <w:pPr>
        <w:spacing w:line="540" w:lineRule="exact"/>
        <w:ind w:firstLine="562" w:firstLineChars="200"/>
        <w:rPr>
          <w:rFonts w:asciiTheme="minorEastAsia" w:hAnsiTheme="minorEastAsia" w:eastAsiaTheme="minorEastAsia"/>
          <w:b/>
          <w:bCs/>
          <w:sz w:val="28"/>
          <w:szCs w:val="28"/>
        </w:rPr>
      </w:pPr>
      <w:bookmarkStart w:id="8" w:name="_Toc26319315"/>
      <w:r>
        <w:rPr>
          <w:rFonts w:hint="eastAsia" w:asciiTheme="minorEastAsia" w:hAnsiTheme="minorEastAsia" w:eastAsiaTheme="minorEastAsia"/>
          <w:b/>
          <w:bCs/>
          <w:sz w:val="28"/>
          <w:szCs w:val="28"/>
        </w:rPr>
        <w:t>四、绩效评价指标分析</w:t>
      </w:r>
    </w:p>
    <w:p w14:paraId="7900618E">
      <w:pPr>
        <w:pStyle w:val="3"/>
        <w:numPr>
          <w:ilvl w:val="0"/>
          <w:numId w:val="0"/>
        </w:numPr>
        <w:spacing w:before="0" w:after="0" w:line="540" w:lineRule="exact"/>
        <w:ind w:firstLine="560" w:firstLineChars="200"/>
        <w:rPr>
          <w:rFonts w:cs="宋体" w:asciiTheme="minorEastAsia" w:hAnsiTheme="minorEastAsia" w:eastAsiaTheme="minorEastAsia"/>
          <w:b w:val="0"/>
          <w:bCs w:val="0"/>
          <w:sz w:val="28"/>
          <w:szCs w:val="28"/>
        </w:rPr>
      </w:pPr>
      <w:r>
        <w:rPr>
          <w:rFonts w:hint="eastAsia" w:cs="宋体" w:asciiTheme="minorEastAsia" w:hAnsiTheme="minorEastAsia" w:eastAsiaTheme="minorEastAsia"/>
          <w:b w:val="0"/>
          <w:bCs w:val="0"/>
          <w:sz w:val="28"/>
          <w:szCs w:val="28"/>
        </w:rPr>
        <w:t>（一）项目</w:t>
      </w:r>
      <w:bookmarkEnd w:id="8"/>
      <w:r>
        <w:rPr>
          <w:rFonts w:hint="eastAsia" w:cs="宋体" w:asciiTheme="minorEastAsia" w:hAnsiTheme="minorEastAsia" w:eastAsiaTheme="minorEastAsia"/>
          <w:b w:val="0"/>
          <w:bCs w:val="0"/>
          <w:sz w:val="28"/>
          <w:szCs w:val="28"/>
        </w:rPr>
        <w:t>决策情况</w:t>
      </w:r>
    </w:p>
    <w:p w14:paraId="227FFA1D">
      <w:pPr>
        <w:spacing w:line="54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该类指标满分 20 分，包括项目立项、资金落实等 2 个二级指标（具体分值及得分情况如下表 4-1 所示）。主要考察项目立项的论证决策是否充分，绩效目标制定的完整性、合理性与可衡量性，以及组织、制度的保障措施；资金落实是否到位与及时，资金分配是否合理等。</w:t>
      </w:r>
    </w:p>
    <w:p w14:paraId="199219BA">
      <w:pPr>
        <w:pStyle w:val="3"/>
        <w:numPr>
          <w:ilvl w:val="0"/>
          <w:numId w:val="0"/>
        </w:numPr>
        <w:spacing w:before="0" w:after="0" w:line="540" w:lineRule="exact"/>
        <w:ind w:firstLine="2516" w:firstLineChars="895"/>
        <w:rPr>
          <w:rFonts w:cs="宋体" w:asciiTheme="minorEastAsia" w:hAnsiTheme="minorEastAsia" w:eastAsiaTheme="minorEastAsia"/>
          <w:b w:val="0"/>
          <w:bCs w:val="0"/>
          <w:sz w:val="28"/>
          <w:szCs w:val="28"/>
        </w:rPr>
      </w:pPr>
      <w:r>
        <w:rPr>
          <w:rFonts w:hint="eastAsia" w:cs="宋体" w:asciiTheme="minorEastAsia" w:hAnsiTheme="minorEastAsia" w:eastAsiaTheme="minorEastAsia"/>
          <w:sz w:val="28"/>
          <w:szCs w:val="28"/>
        </w:rPr>
        <w:t>表4-1：项目投入指标及分值</w:t>
      </w:r>
    </w:p>
    <w:tbl>
      <w:tblPr>
        <w:tblStyle w:val="8"/>
        <w:tblW w:w="8926" w:type="dxa"/>
        <w:tblInd w:w="103" w:type="dxa"/>
        <w:tblLayout w:type="fixed"/>
        <w:tblCellMar>
          <w:top w:w="0" w:type="dxa"/>
          <w:left w:w="108" w:type="dxa"/>
          <w:bottom w:w="0" w:type="dxa"/>
          <w:right w:w="108" w:type="dxa"/>
        </w:tblCellMar>
      </w:tblPr>
      <w:tblGrid>
        <w:gridCol w:w="1876"/>
        <w:gridCol w:w="1726"/>
        <w:gridCol w:w="2302"/>
        <w:gridCol w:w="1007"/>
        <w:gridCol w:w="1008"/>
        <w:gridCol w:w="1007"/>
      </w:tblGrid>
      <w:tr w14:paraId="2EBD5D25">
        <w:tblPrEx>
          <w:tblCellMar>
            <w:top w:w="0" w:type="dxa"/>
            <w:left w:w="108" w:type="dxa"/>
            <w:bottom w:w="0" w:type="dxa"/>
            <w:right w:w="108" w:type="dxa"/>
          </w:tblCellMar>
        </w:tblPrEx>
        <w:trPr>
          <w:trHeight w:val="700" w:hRule="atLeast"/>
        </w:trPr>
        <w:tc>
          <w:tcPr>
            <w:tcW w:w="1876" w:type="dxa"/>
            <w:tcBorders>
              <w:top w:val="single" w:color="auto" w:sz="4" w:space="0"/>
              <w:left w:val="single" w:color="auto" w:sz="4" w:space="0"/>
              <w:bottom w:val="single" w:color="auto" w:sz="4" w:space="0"/>
              <w:right w:val="single" w:color="auto" w:sz="4" w:space="0"/>
            </w:tcBorders>
            <w:shd w:val="clear" w:color="auto" w:fill="auto"/>
            <w:vAlign w:val="center"/>
          </w:tcPr>
          <w:p w14:paraId="19B2C4FE">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一级指标</w:t>
            </w:r>
          </w:p>
        </w:tc>
        <w:tc>
          <w:tcPr>
            <w:tcW w:w="1726" w:type="dxa"/>
            <w:tcBorders>
              <w:top w:val="single" w:color="auto" w:sz="4" w:space="0"/>
              <w:left w:val="nil"/>
              <w:bottom w:val="single" w:color="auto" w:sz="4" w:space="0"/>
              <w:right w:val="single" w:color="auto" w:sz="4" w:space="0"/>
            </w:tcBorders>
            <w:shd w:val="clear" w:color="auto" w:fill="auto"/>
            <w:vAlign w:val="center"/>
          </w:tcPr>
          <w:p w14:paraId="2018C89F">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二级指标</w:t>
            </w:r>
          </w:p>
        </w:tc>
        <w:tc>
          <w:tcPr>
            <w:tcW w:w="2302" w:type="dxa"/>
            <w:tcBorders>
              <w:top w:val="single" w:color="auto" w:sz="4" w:space="0"/>
              <w:left w:val="nil"/>
              <w:bottom w:val="single" w:color="auto" w:sz="4" w:space="0"/>
              <w:right w:val="single" w:color="auto" w:sz="4" w:space="0"/>
            </w:tcBorders>
            <w:shd w:val="clear" w:color="auto" w:fill="auto"/>
            <w:vAlign w:val="center"/>
          </w:tcPr>
          <w:p w14:paraId="421271F2">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三级指标</w:t>
            </w:r>
          </w:p>
        </w:tc>
        <w:tc>
          <w:tcPr>
            <w:tcW w:w="1007" w:type="dxa"/>
            <w:tcBorders>
              <w:top w:val="single" w:color="auto" w:sz="4" w:space="0"/>
              <w:left w:val="nil"/>
              <w:bottom w:val="single" w:color="auto" w:sz="4" w:space="0"/>
              <w:right w:val="single" w:color="auto" w:sz="4" w:space="0"/>
            </w:tcBorders>
            <w:shd w:val="clear" w:color="auto" w:fill="auto"/>
            <w:vAlign w:val="center"/>
          </w:tcPr>
          <w:p w14:paraId="68E50C2C">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分值</w:t>
            </w:r>
          </w:p>
        </w:tc>
        <w:tc>
          <w:tcPr>
            <w:tcW w:w="1008" w:type="dxa"/>
            <w:tcBorders>
              <w:top w:val="single" w:color="auto" w:sz="4" w:space="0"/>
              <w:left w:val="nil"/>
              <w:bottom w:val="single" w:color="auto" w:sz="4" w:space="0"/>
              <w:right w:val="single" w:color="auto" w:sz="4" w:space="0"/>
            </w:tcBorders>
            <w:shd w:val="clear" w:color="auto" w:fill="auto"/>
            <w:vAlign w:val="center"/>
          </w:tcPr>
          <w:p w14:paraId="352BF3EA">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得分</w:t>
            </w:r>
          </w:p>
        </w:tc>
        <w:tc>
          <w:tcPr>
            <w:tcW w:w="1007" w:type="dxa"/>
            <w:tcBorders>
              <w:top w:val="single" w:color="auto" w:sz="4" w:space="0"/>
              <w:left w:val="nil"/>
              <w:bottom w:val="single" w:color="auto" w:sz="4" w:space="0"/>
              <w:right w:val="single" w:color="auto" w:sz="4" w:space="0"/>
            </w:tcBorders>
            <w:shd w:val="clear" w:color="auto" w:fill="auto"/>
            <w:vAlign w:val="center"/>
          </w:tcPr>
          <w:p w14:paraId="7B6604A6">
            <w:pPr>
              <w:widowControl/>
              <w:spacing w:line="540" w:lineRule="exact"/>
              <w:jc w:val="center"/>
              <w:rPr>
                <w:rFonts w:cs="宋体" w:asciiTheme="minorEastAsia" w:hAnsiTheme="minorEastAsia" w:eastAsiaTheme="minorEastAsia"/>
                <w:b/>
                <w:kern w:val="0"/>
                <w:sz w:val="24"/>
              </w:rPr>
            </w:pPr>
            <w:r>
              <w:rPr>
                <w:rFonts w:hint="eastAsia" w:cs="宋体" w:asciiTheme="minorEastAsia" w:hAnsiTheme="minorEastAsia" w:eastAsiaTheme="minorEastAsia"/>
                <w:b/>
                <w:kern w:val="0"/>
                <w:sz w:val="24"/>
              </w:rPr>
              <w:t>得分率</w:t>
            </w:r>
          </w:p>
        </w:tc>
      </w:tr>
      <w:tr w14:paraId="6F224F10">
        <w:tblPrEx>
          <w:tblCellMar>
            <w:top w:w="0" w:type="dxa"/>
            <w:left w:w="108" w:type="dxa"/>
            <w:bottom w:w="0" w:type="dxa"/>
            <w:right w:w="108" w:type="dxa"/>
          </w:tblCellMar>
        </w:tblPrEx>
        <w:trPr>
          <w:trHeight w:val="449" w:hRule="atLeast"/>
        </w:trPr>
        <w:tc>
          <w:tcPr>
            <w:tcW w:w="1876" w:type="dxa"/>
            <w:vMerge w:val="restart"/>
            <w:tcBorders>
              <w:top w:val="nil"/>
              <w:left w:val="single" w:color="auto" w:sz="4" w:space="0"/>
              <w:bottom w:val="single" w:color="auto" w:sz="4" w:space="0"/>
              <w:right w:val="single" w:color="auto" w:sz="4" w:space="0"/>
            </w:tcBorders>
            <w:shd w:val="clear" w:color="auto" w:fill="auto"/>
            <w:vAlign w:val="center"/>
          </w:tcPr>
          <w:p w14:paraId="3CF18014">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项目决策</w:t>
            </w:r>
          </w:p>
        </w:tc>
        <w:tc>
          <w:tcPr>
            <w:tcW w:w="1726" w:type="dxa"/>
            <w:vMerge w:val="restart"/>
            <w:tcBorders>
              <w:top w:val="nil"/>
              <w:left w:val="single" w:color="auto" w:sz="4" w:space="0"/>
              <w:bottom w:val="single" w:color="auto" w:sz="4" w:space="0"/>
              <w:right w:val="single" w:color="auto" w:sz="4" w:space="0"/>
            </w:tcBorders>
            <w:shd w:val="clear" w:color="auto" w:fill="auto"/>
            <w:vAlign w:val="center"/>
          </w:tcPr>
          <w:p w14:paraId="05227392">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项目立项</w:t>
            </w:r>
          </w:p>
        </w:tc>
        <w:tc>
          <w:tcPr>
            <w:tcW w:w="2302" w:type="dxa"/>
            <w:tcBorders>
              <w:top w:val="nil"/>
              <w:left w:val="nil"/>
              <w:bottom w:val="single" w:color="auto" w:sz="4" w:space="0"/>
              <w:right w:val="single" w:color="auto" w:sz="4" w:space="0"/>
            </w:tcBorders>
            <w:shd w:val="clear" w:color="auto" w:fill="auto"/>
            <w:vAlign w:val="center"/>
          </w:tcPr>
          <w:p w14:paraId="768B8150">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论证决策</w:t>
            </w:r>
          </w:p>
        </w:tc>
        <w:tc>
          <w:tcPr>
            <w:tcW w:w="1007" w:type="dxa"/>
            <w:tcBorders>
              <w:top w:val="nil"/>
              <w:left w:val="nil"/>
              <w:bottom w:val="single" w:color="auto" w:sz="4" w:space="0"/>
              <w:right w:val="single" w:color="auto" w:sz="4" w:space="0"/>
            </w:tcBorders>
            <w:shd w:val="clear" w:color="auto" w:fill="auto"/>
            <w:vAlign w:val="center"/>
          </w:tcPr>
          <w:p w14:paraId="71AB1763">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4</w:t>
            </w:r>
          </w:p>
        </w:tc>
        <w:tc>
          <w:tcPr>
            <w:tcW w:w="1008" w:type="dxa"/>
            <w:tcBorders>
              <w:top w:val="nil"/>
              <w:left w:val="nil"/>
              <w:bottom w:val="single" w:color="auto" w:sz="4" w:space="0"/>
              <w:right w:val="single" w:color="auto" w:sz="4" w:space="0"/>
            </w:tcBorders>
            <w:shd w:val="clear" w:color="auto" w:fill="auto"/>
            <w:vAlign w:val="center"/>
          </w:tcPr>
          <w:p w14:paraId="2D39623A">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4</w:t>
            </w:r>
          </w:p>
        </w:tc>
        <w:tc>
          <w:tcPr>
            <w:tcW w:w="1007" w:type="dxa"/>
            <w:tcBorders>
              <w:top w:val="nil"/>
              <w:left w:val="nil"/>
              <w:bottom w:val="single" w:color="auto" w:sz="4" w:space="0"/>
              <w:right w:val="single" w:color="auto" w:sz="4" w:space="0"/>
            </w:tcBorders>
            <w:shd w:val="clear" w:color="auto" w:fill="auto"/>
            <w:vAlign w:val="center"/>
          </w:tcPr>
          <w:p w14:paraId="6890446B">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48F52EB7">
        <w:tblPrEx>
          <w:tblCellMar>
            <w:top w:w="0" w:type="dxa"/>
            <w:left w:w="108" w:type="dxa"/>
            <w:bottom w:w="0" w:type="dxa"/>
            <w:right w:w="108" w:type="dxa"/>
          </w:tblCellMar>
        </w:tblPrEx>
        <w:trPr>
          <w:trHeight w:val="449" w:hRule="atLeast"/>
        </w:trPr>
        <w:tc>
          <w:tcPr>
            <w:tcW w:w="1876" w:type="dxa"/>
            <w:vMerge w:val="continue"/>
            <w:tcBorders>
              <w:top w:val="nil"/>
              <w:left w:val="single" w:color="auto" w:sz="4" w:space="0"/>
              <w:bottom w:val="single" w:color="auto" w:sz="4" w:space="0"/>
              <w:right w:val="single" w:color="auto" w:sz="4" w:space="0"/>
            </w:tcBorders>
            <w:vAlign w:val="center"/>
          </w:tcPr>
          <w:p w14:paraId="72D39517">
            <w:pPr>
              <w:widowControl/>
              <w:spacing w:line="540" w:lineRule="exact"/>
              <w:jc w:val="left"/>
              <w:rPr>
                <w:rFonts w:cs="宋体" w:asciiTheme="minorEastAsia" w:hAnsiTheme="minorEastAsia" w:eastAsiaTheme="minorEastAsia"/>
                <w:kern w:val="0"/>
                <w:sz w:val="24"/>
              </w:rPr>
            </w:pPr>
          </w:p>
        </w:tc>
        <w:tc>
          <w:tcPr>
            <w:tcW w:w="1726" w:type="dxa"/>
            <w:vMerge w:val="continue"/>
            <w:tcBorders>
              <w:top w:val="nil"/>
              <w:left w:val="single" w:color="auto" w:sz="4" w:space="0"/>
              <w:bottom w:val="single" w:color="auto" w:sz="4" w:space="0"/>
              <w:right w:val="single" w:color="auto" w:sz="4" w:space="0"/>
            </w:tcBorders>
            <w:vAlign w:val="center"/>
          </w:tcPr>
          <w:p w14:paraId="52BF05D3">
            <w:pPr>
              <w:widowControl/>
              <w:spacing w:line="540" w:lineRule="exact"/>
              <w:jc w:val="left"/>
              <w:rPr>
                <w:rFonts w:cs="宋体" w:asciiTheme="minorEastAsia" w:hAnsiTheme="minorEastAsia" w:eastAsiaTheme="minorEastAsia"/>
                <w:kern w:val="0"/>
                <w:sz w:val="24"/>
              </w:rPr>
            </w:pPr>
          </w:p>
        </w:tc>
        <w:tc>
          <w:tcPr>
            <w:tcW w:w="2302" w:type="dxa"/>
            <w:tcBorders>
              <w:top w:val="nil"/>
              <w:left w:val="nil"/>
              <w:bottom w:val="single" w:color="auto" w:sz="4" w:space="0"/>
              <w:right w:val="single" w:color="auto" w:sz="4" w:space="0"/>
            </w:tcBorders>
            <w:shd w:val="clear" w:color="auto" w:fill="auto"/>
            <w:vAlign w:val="center"/>
          </w:tcPr>
          <w:p w14:paraId="5DDE8622">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目标设置</w:t>
            </w:r>
          </w:p>
        </w:tc>
        <w:tc>
          <w:tcPr>
            <w:tcW w:w="1007" w:type="dxa"/>
            <w:tcBorders>
              <w:top w:val="nil"/>
              <w:left w:val="nil"/>
              <w:bottom w:val="single" w:color="auto" w:sz="4" w:space="0"/>
              <w:right w:val="single" w:color="auto" w:sz="4" w:space="0"/>
            </w:tcBorders>
            <w:shd w:val="clear" w:color="auto" w:fill="auto"/>
            <w:vAlign w:val="center"/>
          </w:tcPr>
          <w:p w14:paraId="63DABC29">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6</w:t>
            </w:r>
          </w:p>
        </w:tc>
        <w:tc>
          <w:tcPr>
            <w:tcW w:w="1008" w:type="dxa"/>
            <w:tcBorders>
              <w:top w:val="nil"/>
              <w:left w:val="nil"/>
              <w:bottom w:val="single" w:color="auto" w:sz="4" w:space="0"/>
              <w:right w:val="single" w:color="auto" w:sz="4" w:space="0"/>
            </w:tcBorders>
            <w:shd w:val="clear" w:color="auto" w:fill="auto"/>
            <w:vAlign w:val="center"/>
          </w:tcPr>
          <w:p w14:paraId="475E2091">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w:t>
            </w:r>
          </w:p>
        </w:tc>
        <w:tc>
          <w:tcPr>
            <w:tcW w:w="1007" w:type="dxa"/>
            <w:tcBorders>
              <w:top w:val="nil"/>
              <w:left w:val="nil"/>
              <w:bottom w:val="single" w:color="auto" w:sz="4" w:space="0"/>
              <w:right w:val="single" w:color="auto" w:sz="4" w:space="0"/>
            </w:tcBorders>
            <w:shd w:val="clear" w:color="auto" w:fill="auto"/>
            <w:vAlign w:val="center"/>
          </w:tcPr>
          <w:p w14:paraId="1A088C43">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33.33%</w:t>
            </w:r>
          </w:p>
        </w:tc>
      </w:tr>
      <w:tr w14:paraId="2EAE237C">
        <w:tblPrEx>
          <w:tblCellMar>
            <w:top w:w="0" w:type="dxa"/>
            <w:left w:w="108" w:type="dxa"/>
            <w:bottom w:w="0" w:type="dxa"/>
            <w:right w:w="108" w:type="dxa"/>
          </w:tblCellMar>
        </w:tblPrEx>
        <w:trPr>
          <w:trHeight w:val="449" w:hRule="atLeast"/>
        </w:trPr>
        <w:tc>
          <w:tcPr>
            <w:tcW w:w="1876" w:type="dxa"/>
            <w:vMerge w:val="continue"/>
            <w:tcBorders>
              <w:top w:val="nil"/>
              <w:left w:val="single" w:color="auto" w:sz="4" w:space="0"/>
              <w:bottom w:val="single" w:color="auto" w:sz="4" w:space="0"/>
              <w:right w:val="single" w:color="auto" w:sz="4" w:space="0"/>
            </w:tcBorders>
            <w:vAlign w:val="center"/>
          </w:tcPr>
          <w:p w14:paraId="378AFC4A">
            <w:pPr>
              <w:widowControl/>
              <w:spacing w:line="540" w:lineRule="exact"/>
              <w:jc w:val="left"/>
              <w:rPr>
                <w:rFonts w:cs="宋体" w:asciiTheme="minorEastAsia" w:hAnsiTheme="minorEastAsia" w:eastAsiaTheme="minorEastAsia"/>
                <w:kern w:val="0"/>
                <w:sz w:val="24"/>
              </w:rPr>
            </w:pPr>
          </w:p>
        </w:tc>
        <w:tc>
          <w:tcPr>
            <w:tcW w:w="1726" w:type="dxa"/>
            <w:vMerge w:val="continue"/>
            <w:tcBorders>
              <w:top w:val="nil"/>
              <w:left w:val="single" w:color="auto" w:sz="4" w:space="0"/>
              <w:bottom w:val="single" w:color="auto" w:sz="4" w:space="0"/>
              <w:right w:val="single" w:color="auto" w:sz="4" w:space="0"/>
            </w:tcBorders>
            <w:vAlign w:val="center"/>
          </w:tcPr>
          <w:p w14:paraId="679C5C41">
            <w:pPr>
              <w:widowControl/>
              <w:spacing w:line="540" w:lineRule="exact"/>
              <w:jc w:val="left"/>
              <w:rPr>
                <w:rFonts w:cs="宋体" w:asciiTheme="minorEastAsia" w:hAnsiTheme="minorEastAsia" w:eastAsiaTheme="minorEastAsia"/>
                <w:kern w:val="0"/>
                <w:sz w:val="24"/>
              </w:rPr>
            </w:pPr>
          </w:p>
        </w:tc>
        <w:tc>
          <w:tcPr>
            <w:tcW w:w="2302" w:type="dxa"/>
            <w:tcBorders>
              <w:top w:val="nil"/>
              <w:left w:val="nil"/>
              <w:bottom w:val="single" w:color="auto" w:sz="4" w:space="0"/>
              <w:right w:val="single" w:color="auto" w:sz="4" w:space="0"/>
            </w:tcBorders>
            <w:shd w:val="clear" w:color="auto" w:fill="auto"/>
            <w:vAlign w:val="center"/>
          </w:tcPr>
          <w:p w14:paraId="0C5074EC">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保障措施</w:t>
            </w:r>
          </w:p>
        </w:tc>
        <w:tc>
          <w:tcPr>
            <w:tcW w:w="1007" w:type="dxa"/>
            <w:tcBorders>
              <w:top w:val="nil"/>
              <w:left w:val="nil"/>
              <w:bottom w:val="single" w:color="auto" w:sz="4" w:space="0"/>
              <w:right w:val="single" w:color="auto" w:sz="4" w:space="0"/>
            </w:tcBorders>
            <w:shd w:val="clear" w:color="auto" w:fill="auto"/>
            <w:vAlign w:val="center"/>
          </w:tcPr>
          <w:p w14:paraId="31B6A9FA">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w:t>
            </w:r>
          </w:p>
        </w:tc>
        <w:tc>
          <w:tcPr>
            <w:tcW w:w="1008" w:type="dxa"/>
            <w:tcBorders>
              <w:top w:val="nil"/>
              <w:left w:val="nil"/>
              <w:bottom w:val="single" w:color="auto" w:sz="4" w:space="0"/>
              <w:right w:val="single" w:color="auto" w:sz="4" w:space="0"/>
            </w:tcBorders>
            <w:shd w:val="clear" w:color="auto" w:fill="auto"/>
            <w:vAlign w:val="center"/>
          </w:tcPr>
          <w:p w14:paraId="6A389D11">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w:t>
            </w:r>
          </w:p>
        </w:tc>
        <w:tc>
          <w:tcPr>
            <w:tcW w:w="1007" w:type="dxa"/>
            <w:tcBorders>
              <w:top w:val="nil"/>
              <w:left w:val="nil"/>
              <w:bottom w:val="single" w:color="auto" w:sz="4" w:space="0"/>
              <w:right w:val="single" w:color="auto" w:sz="4" w:space="0"/>
            </w:tcBorders>
            <w:shd w:val="clear" w:color="auto" w:fill="auto"/>
            <w:vAlign w:val="center"/>
          </w:tcPr>
          <w:p w14:paraId="34657EC7">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37EE5132">
        <w:tblPrEx>
          <w:tblCellMar>
            <w:top w:w="0" w:type="dxa"/>
            <w:left w:w="108" w:type="dxa"/>
            <w:bottom w:w="0" w:type="dxa"/>
            <w:right w:w="108" w:type="dxa"/>
          </w:tblCellMar>
        </w:tblPrEx>
        <w:trPr>
          <w:trHeight w:val="449" w:hRule="atLeast"/>
        </w:trPr>
        <w:tc>
          <w:tcPr>
            <w:tcW w:w="1876" w:type="dxa"/>
            <w:vMerge w:val="continue"/>
            <w:tcBorders>
              <w:top w:val="nil"/>
              <w:left w:val="single" w:color="auto" w:sz="4" w:space="0"/>
              <w:bottom w:val="single" w:color="auto" w:sz="4" w:space="0"/>
              <w:right w:val="single" w:color="auto" w:sz="4" w:space="0"/>
            </w:tcBorders>
            <w:vAlign w:val="center"/>
          </w:tcPr>
          <w:p w14:paraId="0C58A03C">
            <w:pPr>
              <w:widowControl/>
              <w:spacing w:line="540" w:lineRule="exact"/>
              <w:jc w:val="left"/>
              <w:rPr>
                <w:rFonts w:cs="宋体" w:asciiTheme="minorEastAsia" w:hAnsiTheme="minorEastAsia" w:eastAsiaTheme="minorEastAsia"/>
                <w:kern w:val="0"/>
                <w:sz w:val="24"/>
              </w:rPr>
            </w:pPr>
          </w:p>
        </w:tc>
        <w:tc>
          <w:tcPr>
            <w:tcW w:w="1726" w:type="dxa"/>
            <w:vMerge w:val="restart"/>
            <w:tcBorders>
              <w:top w:val="nil"/>
              <w:left w:val="single" w:color="auto" w:sz="4" w:space="0"/>
              <w:bottom w:val="single" w:color="auto" w:sz="4" w:space="0"/>
              <w:right w:val="single" w:color="auto" w:sz="4" w:space="0"/>
            </w:tcBorders>
            <w:shd w:val="clear" w:color="auto" w:fill="auto"/>
            <w:vAlign w:val="center"/>
          </w:tcPr>
          <w:p w14:paraId="2A66E23D">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资金落实</w:t>
            </w:r>
          </w:p>
        </w:tc>
        <w:tc>
          <w:tcPr>
            <w:tcW w:w="2302" w:type="dxa"/>
            <w:tcBorders>
              <w:top w:val="nil"/>
              <w:left w:val="nil"/>
              <w:bottom w:val="single" w:color="auto" w:sz="4" w:space="0"/>
              <w:right w:val="single" w:color="auto" w:sz="4" w:space="0"/>
            </w:tcBorders>
            <w:shd w:val="clear" w:color="auto" w:fill="auto"/>
            <w:vAlign w:val="center"/>
          </w:tcPr>
          <w:p w14:paraId="4651D185">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资金到位</w:t>
            </w:r>
          </w:p>
        </w:tc>
        <w:tc>
          <w:tcPr>
            <w:tcW w:w="1007" w:type="dxa"/>
            <w:tcBorders>
              <w:top w:val="nil"/>
              <w:left w:val="nil"/>
              <w:bottom w:val="single" w:color="auto" w:sz="4" w:space="0"/>
              <w:right w:val="single" w:color="auto" w:sz="4" w:space="0"/>
            </w:tcBorders>
            <w:shd w:val="clear" w:color="auto" w:fill="auto"/>
            <w:vAlign w:val="center"/>
          </w:tcPr>
          <w:p w14:paraId="13301745">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5</w:t>
            </w:r>
          </w:p>
        </w:tc>
        <w:tc>
          <w:tcPr>
            <w:tcW w:w="1008" w:type="dxa"/>
            <w:tcBorders>
              <w:top w:val="nil"/>
              <w:left w:val="nil"/>
              <w:bottom w:val="single" w:color="auto" w:sz="4" w:space="0"/>
              <w:right w:val="single" w:color="auto" w:sz="4" w:space="0"/>
            </w:tcBorders>
            <w:shd w:val="clear" w:color="auto" w:fill="auto"/>
            <w:vAlign w:val="center"/>
          </w:tcPr>
          <w:p w14:paraId="1528602D">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5</w:t>
            </w:r>
          </w:p>
        </w:tc>
        <w:tc>
          <w:tcPr>
            <w:tcW w:w="1007" w:type="dxa"/>
            <w:tcBorders>
              <w:top w:val="nil"/>
              <w:left w:val="nil"/>
              <w:bottom w:val="single" w:color="auto" w:sz="4" w:space="0"/>
              <w:right w:val="single" w:color="auto" w:sz="4" w:space="0"/>
            </w:tcBorders>
            <w:shd w:val="clear" w:color="auto" w:fill="auto"/>
            <w:vAlign w:val="center"/>
          </w:tcPr>
          <w:p w14:paraId="3D858181">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0AC984C8">
        <w:tblPrEx>
          <w:tblCellMar>
            <w:top w:w="0" w:type="dxa"/>
            <w:left w:w="108" w:type="dxa"/>
            <w:bottom w:w="0" w:type="dxa"/>
            <w:right w:w="108" w:type="dxa"/>
          </w:tblCellMar>
        </w:tblPrEx>
        <w:trPr>
          <w:trHeight w:val="533" w:hRule="atLeast"/>
        </w:trPr>
        <w:tc>
          <w:tcPr>
            <w:tcW w:w="1876" w:type="dxa"/>
            <w:vMerge w:val="continue"/>
            <w:tcBorders>
              <w:top w:val="nil"/>
              <w:left w:val="single" w:color="auto" w:sz="4" w:space="0"/>
              <w:bottom w:val="single" w:color="auto" w:sz="4" w:space="0"/>
              <w:right w:val="single" w:color="auto" w:sz="4" w:space="0"/>
            </w:tcBorders>
            <w:vAlign w:val="center"/>
          </w:tcPr>
          <w:p w14:paraId="284DE9D4">
            <w:pPr>
              <w:widowControl/>
              <w:spacing w:line="540" w:lineRule="exact"/>
              <w:jc w:val="left"/>
              <w:rPr>
                <w:rFonts w:cs="宋体" w:asciiTheme="minorEastAsia" w:hAnsiTheme="minorEastAsia" w:eastAsiaTheme="minorEastAsia"/>
                <w:kern w:val="0"/>
                <w:sz w:val="24"/>
              </w:rPr>
            </w:pPr>
          </w:p>
        </w:tc>
        <w:tc>
          <w:tcPr>
            <w:tcW w:w="1726" w:type="dxa"/>
            <w:vMerge w:val="continue"/>
            <w:tcBorders>
              <w:top w:val="nil"/>
              <w:left w:val="single" w:color="auto" w:sz="4" w:space="0"/>
              <w:bottom w:val="single" w:color="auto" w:sz="4" w:space="0"/>
              <w:right w:val="single" w:color="auto" w:sz="4" w:space="0"/>
            </w:tcBorders>
            <w:vAlign w:val="center"/>
          </w:tcPr>
          <w:p w14:paraId="0160FFDC">
            <w:pPr>
              <w:widowControl/>
              <w:spacing w:line="540" w:lineRule="exact"/>
              <w:jc w:val="left"/>
              <w:rPr>
                <w:rFonts w:cs="宋体" w:asciiTheme="minorEastAsia" w:hAnsiTheme="minorEastAsia" w:eastAsiaTheme="minorEastAsia"/>
                <w:kern w:val="0"/>
                <w:sz w:val="24"/>
              </w:rPr>
            </w:pPr>
          </w:p>
        </w:tc>
        <w:tc>
          <w:tcPr>
            <w:tcW w:w="2302" w:type="dxa"/>
            <w:tcBorders>
              <w:top w:val="nil"/>
              <w:left w:val="nil"/>
              <w:bottom w:val="single" w:color="auto" w:sz="4" w:space="0"/>
              <w:right w:val="single" w:color="auto" w:sz="4" w:space="0"/>
            </w:tcBorders>
            <w:shd w:val="clear" w:color="auto" w:fill="auto"/>
            <w:vAlign w:val="center"/>
          </w:tcPr>
          <w:p w14:paraId="39C712D9">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资金分配</w:t>
            </w:r>
          </w:p>
        </w:tc>
        <w:tc>
          <w:tcPr>
            <w:tcW w:w="1007" w:type="dxa"/>
            <w:tcBorders>
              <w:top w:val="nil"/>
              <w:left w:val="nil"/>
              <w:bottom w:val="single" w:color="auto" w:sz="4" w:space="0"/>
              <w:right w:val="single" w:color="auto" w:sz="4" w:space="0"/>
            </w:tcBorders>
            <w:shd w:val="clear" w:color="auto" w:fill="auto"/>
            <w:vAlign w:val="center"/>
          </w:tcPr>
          <w:p w14:paraId="7C3705C3">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w:t>
            </w:r>
          </w:p>
        </w:tc>
        <w:tc>
          <w:tcPr>
            <w:tcW w:w="1008" w:type="dxa"/>
            <w:tcBorders>
              <w:top w:val="nil"/>
              <w:left w:val="nil"/>
              <w:bottom w:val="single" w:color="auto" w:sz="4" w:space="0"/>
              <w:right w:val="single" w:color="auto" w:sz="4" w:space="0"/>
            </w:tcBorders>
            <w:shd w:val="clear" w:color="auto" w:fill="auto"/>
            <w:vAlign w:val="center"/>
          </w:tcPr>
          <w:p w14:paraId="501963AA">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w:t>
            </w:r>
          </w:p>
        </w:tc>
        <w:tc>
          <w:tcPr>
            <w:tcW w:w="1007" w:type="dxa"/>
            <w:tcBorders>
              <w:top w:val="nil"/>
              <w:left w:val="nil"/>
              <w:bottom w:val="single" w:color="auto" w:sz="4" w:space="0"/>
              <w:right w:val="single" w:color="auto" w:sz="4" w:space="0"/>
            </w:tcBorders>
            <w:shd w:val="clear" w:color="auto" w:fill="auto"/>
            <w:vAlign w:val="center"/>
          </w:tcPr>
          <w:p w14:paraId="6934DC9A">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10E4247E">
        <w:tblPrEx>
          <w:tblCellMar>
            <w:top w:w="0" w:type="dxa"/>
            <w:left w:w="108" w:type="dxa"/>
            <w:bottom w:w="0" w:type="dxa"/>
            <w:right w:w="108" w:type="dxa"/>
          </w:tblCellMar>
        </w:tblPrEx>
        <w:trPr>
          <w:trHeight w:val="588" w:hRule="atLeast"/>
        </w:trPr>
        <w:tc>
          <w:tcPr>
            <w:tcW w:w="36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AFB67F">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合计</w:t>
            </w:r>
          </w:p>
        </w:tc>
        <w:tc>
          <w:tcPr>
            <w:tcW w:w="2302" w:type="dxa"/>
            <w:tcBorders>
              <w:top w:val="nil"/>
              <w:left w:val="nil"/>
              <w:bottom w:val="single" w:color="auto" w:sz="4" w:space="0"/>
              <w:right w:val="single" w:color="auto" w:sz="4" w:space="0"/>
            </w:tcBorders>
            <w:shd w:val="clear" w:color="000000" w:fill="FFFFFF"/>
            <w:vAlign w:val="center"/>
          </w:tcPr>
          <w:p w14:paraId="07BDB1A3">
            <w:pPr>
              <w:widowControl/>
              <w:spacing w:line="540" w:lineRule="exact"/>
              <w:rPr>
                <w:rFonts w:cs="宋体" w:asciiTheme="minorEastAsia" w:hAnsiTheme="minorEastAsia" w:eastAsiaTheme="minorEastAsia"/>
                <w:color w:val="333333"/>
                <w:kern w:val="0"/>
                <w:sz w:val="24"/>
              </w:rPr>
            </w:pPr>
            <w:r>
              <w:rPr>
                <w:rFonts w:hint="eastAsia" w:cs="宋体" w:asciiTheme="minorEastAsia" w:hAnsiTheme="minorEastAsia" w:eastAsiaTheme="minorEastAsia"/>
                <w:color w:val="333333"/>
                <w:kern w:val="0"/>
                <w:sz w:val="24"/>
              </w:rPr>
              <w:t>　</w:t>
            </w:r>
          </w:p>
        </w:tc>
        <w:tc>
          <w:tcPr>
            <w:tcW w:w="1007" w:type="dxa"/>
            <w:tcBorders>
              <w:top w:val="nil"/>
              <w:left w:val="nil"/>
              <w:bottom w:val="single" w:color="auto" w:sz="4" w:space="0"/>
              <w:right w:val="single" w:color="auto" w:sz="4" w:space="0"/>
            </w:tcBorders>
            <w:shd w:val="clear" w:color="auto" w:fill="auto"/>
            <w:vAlign w:val="center"/>
          </w:tcPr>
          <w:p w14:paraId="244020B2">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20</w:t>
            </w:r>
          </w:p>
        </w:tc>
        <w:tc>
          <w:tcPr>
            <w:tcW w:w="1008" w:type="dxa"/>
            <w:tcBorders>
              <w:top w:val="nil"/>
              <w:left w:val="nil"/>
              <w:bottom w:val="single" w:color="auto" w:sz="4" w:space="0"/>
              <w:right w:val="single" w:color="auto" w:sz="4" w:space="0"/>
            </w:tcBorders>
            <w:shd w:val="clear" w:color="auto" w:fill="auto"/>
            <w:vAlign w:val="center"/>
          </w:tcPr>
          <w:p w14:paraId="2C75FF47">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16</w:t>
            </w:r>
          </w:p>
        </w:tc>
        <w:tc>
          <w:tcPr>
            <w:tcW w:w="1007" w:type="dxa"/>
            <w:tcBorders>
              <w:top w:val="nil"/>
              <w:left w:val="nil"/>
              <w:bottom w:val="single" w:color="auto" w:sz="4" w:space="0"/>
              <w:right w:val="single" w:color="auto" w:sz="4" w:space="0"/>
            </w:tcBorders>
            <w:shd w:val="clear" w:color="auto" w:fill="auto"/>
            <w:vAlign w:val="center"/>
          </w:tcPr>
          <w:p w14:paraId="66FB738F">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80%</w:t>
            </w:r>
          </w:p>
        </w:tc>
      </w:tr>
    </w:tbl>
    <w:p w14:paraId="689278F8">
      <w:pPr>
        <w:spacing w:line="540" w:lineRule="exact"/>
        <w:rPr>
          <w:rFonts w:asciiTheme="minorEastAsia" w:hAnsiTheme="minorEastAsia" w:eastAsiaTheme="minorEastAsia"/>
          <w:sz w:val="28"/>
          <w:szCs w:val="28"/>
        </w:rPr>
      </w:pPr>
    </w:p>
    <w:p w14:paraId="356BF5EA">
      <w:pPr>
        <w:spacing w:line="540" w:lineRule="exact"/>
        <w:ind w:firstLine="551" w:firstLineChars="196"/>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1.项目立项</w:t>
      </w:r>
    </w:p>
    <w:p w14:paraId="13A103FF">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（1）立项依据充分性（自评得分4分）。该项目按照年初预算绩效目标实施，与项目年度任务数或计划数相对应；与预算确定的项目投资额或资金量相匹配，并已全部完成。此立项依据具有充分性。该项目满分4 分，自评得分4分。</w:t>
      </w:r>
    </w:p>
    <w:p w14:paraId="7522AD55">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2）目标设置（自评得分2分）。主要考查目标设置的完整性、合理性和可衡量性。根据项目单位提交的评价基础信息表，该项目的目标设置涵盖了项目总目标和分目标、项目产出数量、质量、项目预算成本控制以等内容，但缺少项目效益内容，目标设置不完整且合理性较差。部分项目目标设置的数量指标，缺乏数据分析的支撑，未提供指标解释及指标数据计算方法。项目绩效目标的未设置经济效益目标、社会效益和可持续发展指标设置依据较为笼统。该项目满分6分，自评得分2分。</w:t>
      </w:r>
    </w:p>
    <w:p w14:paraId="79215604">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3）保障措施（自评得分3分）。包括制度完整性和计划安排合理性。制度保障上，各项目实施单位组织机构较为健全，专款专用意识强，能制定良好的财务制度以确保资金使用合规合理，各项工作有序开展，基本能完成预计的实施进度。该项目满分3分，自评得分3分。</w:t>
      </w:r>
    </w:p>
    <w:p w14:paraId="775A0D5F">
      <w:pPr>
        <w:spacing w:line="540" w:lineRule="exact"/>
        <w:ind w:firstLine="562" w:firstLineChars="200"/>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2.资金落实</w:t>
      </w:r>
    </w:p>
    <w:p w14:paraId="6D63A119">
      <w:pPr>
        <w:spacing w:line="540" w:lineRule="exact"/>
        <w:ind w:firstLine="422" w:firstLineChars="150"/>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（1）资金到位（满分5分，得分5分）</w:t>
      </w:r>
    </w:p>
    <w:p w14:paraId="1D36C37E">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包括资金到位率和资金到位及时率。根据州财政厅资金下达文件，评价时间段内，建标考核及标准器送检专项资金已全部下拨至我所财政大平台，到位率100%。该项目满分3分，自评得分3分。</w:t>
      </w:r>
    </w:p>
    <w:p w14:paraId="04AA0E77">
      <w:pPr>
        <w:spacing w:line="540" w:lineRule="exact"/>
        <w:ind w:firstLine="562" w:firstLineChars="200"/>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（2）资金分配（自评得分 3 分）</w:t>
      </w:r>
    </w:p>
    <w:p w14:paraId="3E745A4B">
      <w:pPr>
        <w:spacing w:line="540" w:lineRule="exact"/>
        <w:ind w:firstLine="560" w:firstLineChars="200"/>
        <w:jc w:val="left"/>
        <w:rPr>
          <w:rFonts w:cs="宋体" w:asciiTheme="minorEastAsia" w:hAnsiTheme="minorEastAsia" w:eastAsiaTheme="minorEastAsia"/>
          <w:sz w:val="28"/>
          <w:szCs w:val="28"/>
        </w:rPr>
      </w:pPr>
      <w:bookmarkStart w:id="9" w:name="_Toc24390844"/>
      <w:r>
        <w:rPr>
          <w:rFonts w:hint="eastAsia" w:cs="宋体" w:asciiTheme="minorEastAsia" w:hAnsiTheme="minorEastAsia" w:eastAsiaTheme="minorEastAsia"/>
          <w:sz w:val="28"/>
          <w:szCs w:val="28"/>
        </w:rPr>
        <w:t>该项目年度预算31万元，年度实际支出31万元，预算金额与实际支付总量相符，专项实际支出项目与预算规定的经费用途相符，并且在业务发生后据实支付。该项目满分3分，自评得分3分。</w:t>
      </w:r>
    </w:p>
    <w:p w14:paraId="0A9033B1">
      <w:pPr>
        <w:spacing w:line="540" w:lineRule="exact"/>
        <w:ind w:firstLine="562" w:firstLineChars="200"/>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（二）项目过程情况</w:t>
      </w:r>
    </w:p>
    <w:p w14:paraId="755528CE">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该类指标满分 20 分，包括资金管理、项目管理等 2 个二级指标（具体分值及得分情况如下表 4-3 所示）。主要评价项目的资金支付情况和支出是否规范，项目的实施程序是否规范和监管是否有效。</w:t>
      </w:r>
    </w:p>
    <w:p w14:paraId="5C04620A">
      <w:pPr>
        <w:spacing w:line="540" w:lineRule="exact"/>
        <w:ind w:firstLine="1960" w:firstLineChars="7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表 4-2 过程类指标具体分值及得分率</w:t>
      </w:r>
    </w:p>
    <w:tbl>
      <w:tblPr>
        <w:tblStyle w:val="8"/>
        <w:tblW w:w="8794" w:type="dxa"/>
        <w:tblInd w:w="103" w:type="dxa"/>
        <w:tblLayout w:type="fixed"/>
        <w:tblCellMar>
          <w:top w:w="0" w:type="dxa"/>
          <w:left w:w="108" w:type="dxa"/>
          <w:bottom w:w="0" w:type="dxa"/>
          <w:right w:w="108" w:type="dxa"/>
        </w:tblCellMar>
      </w:tblPr>
      <w:tblGrid>
        <w:gridCol w:w="1500"/>
        <w:gridCol w:w="1600"/>
        <w:gridCol w:w="2434"/>
        <w:gridCol w:w="1134"/>
        <w:gridCol w:w="992"/>
        <w:gridCol w:w="1134"/>
      </w:tblGrid>
      <w:tr w14:paraId="022BDFF2">
        <w:tblPrEx>
          <w:tblCellMar>
            <w:top w:w="0" w:type="dxa"/>
            <w:left w:w="108" w:type="dxa"/>
            <w:bottom w:w="0" w:type="dxa"/>
            <w:right w:w="108" w:type="dxa"/>
          </w:tblCellMar>
        </w:tblPrEx>
        <w:trPr>
          <w:trHeight w:val="480" w:hRule="atLeast"/>
        </w:trPr>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640020A3">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一级指标</w:t>
            </w:r>
          </w:p>
        </w:tc>
        <w:tc>
          <w:tcPr>
            <w:tcW w:w="1600" w:type="dxa"/>
            <w:tcBorders>
              <w:top w:val="single" w:color="auto" w:sz="4" w:space="0"/>
              <w:left w:val="nil"/>
              <w:bottom w:val="single" w:color="auto" w:sz="4" w:space="0"/>
              <w:right w:val="single" w:color="auto" w:sz="4" w:space="0"/>
            </w:tcBorders>
            <w:shd w:val="clear" w:color="auto" w:fill="auto"/>
            <w:vAlign w:val="center"/>
          </w:tcPr>
          <w:p w14:paraId="0D7950E9">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二级指标</w:t>
            </w:r>
          </w:p>
        </w:tc>
        <w:tc>
          <w:tcPr>
            <w:tcW w:w="2434" w:type="dxa"/>
            <w:tcBorders>
              <w:top w:val="single" w:color="auto" w:sz="4" w:space="0"/>
              <w:left w:val="nil"/>
              <w:bottom w:val="single" w:color="auto" w:sz="4" w:space="0"/>
              <w:right w:val="single" w:color="auto" w:sz="4" w:space="0"/>
            </w:tcBorders>
            <w:shd w:val="clear" w:color="auto" w:fill="auto"/>
            <w:vAlign w:val="center"/>
          </w:tcPr>
          <w:p w14:paraId="407B4483">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14:paraId="19C5564A">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分值</w:t>
            </w:r>
          </w:p>
        </w:tc>
        <w:tc>
          <w:tcPr>
            <w:tcW w:w="992" w:type="dxa"/>
            <w:tcBorders>
              <w:top w:val="single" w:color="auto" w:sz="4" w:space="0"/>
              <w:left w:val="nil"/>
              <w:bottom w:val="single" w:color="auto" w:sz="4" w:space="0"/>
              <w:right w:val="single" w:color="auto" w:sz="4" w:space="0"/>
            </w:tcBorders>
            <w:shd w:val="clear" w:color="auto" w:fill="auto"/>
            <w:vAlign w:val="center"/>
          </w:tcPr>
          <w:p w14:paraId="0637A67E">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得分</w:t>
            </w:r>
          </w:p>
        </w:tc>
        <w:tc>
          <w:tcPr>
            <w:tcW w:w="1134" w:type="dxa"/>
            <w:tcBorders>
              <w:top w:val="single" w:color="auto" w:sz="4" w:space="0"/>
              <w:left w:val="nil"/>
              <w:bottom w:val="single" w:color="auto" w:sz="4" w:space="0"/>
              <w:right w:val="single" w:color="auto" w:sz="4" w:space="0"/>
            </w:tcBorders>
            <w:shd w:val="clear" w:color="auto" w:fill="auto"/>
            <w:vAlign w:val="center"/>
          </w:tcPr>
          <w:p w14:paraId="33DBE372">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得分率</w:t>
            </w:r>
          </w:p>
        </w:tc>
      </w:tr>
      <w:tr w14:paraId="1C313743">
        <w:tblPrEx>
          <w:tblCellMar>
            <w:top w:w="0" w:type="dxa"/>
            <w:left w:w="108" w:type="dxa"/>
            <w:bottom w:w="0" w:type="dxa"/>
            <w:right w:w="108" w:type="dxa"/>
          </w:tblCellMar>
        </w:tblPrEx>
        <w:trPr>
          <w:trHeight w:val="480" w:hRule="atLeast"/>
        </w:trPr>
        <w:tc>
          <w:tcPr>
            <w:tcW w:w="15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5C81B1">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项目过程</w:t>
            </w:r>
          </w:p>
        </w:tc>
        <w:tc>
          <w:tcPr>
            <w:tcW w:w="1600" w:type="dxa"/>
            <w:vMerge w:val="restart"/>
            <w:tcBorders>
              <w:top w:val="single" w:color="auto" w:sz="4" w:space="0"/>
              <w:left w:val="nil"/>
              <w:bottom w:val="single" w:color="auto" w:sz="4" w:space="0"/>
              <w:right w:val="single" w:color="auto" w:sz="4" w:space="0"/>
            </w:tcBorders>
            <w:shd w:val="clear" w:color="auto" w:fill="auto"/>
            <w:vAlign w:val="center"/>
          </w:tcPr>
          <w:p w14:paraId="51373C3B">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资金到位</w:t>
            </w:r>
          </w:p>
        </w:tc>
        <w:tc>
          <w:tcPr>
            <w:tcW w:w="2434" w:type="dxa"/>
            <w:tcBorders>
              <w:top w:val="single" w:color="auto" w:sz="4" w:space="0"/>
              <w:left w:val="nil"/>
              <w:bottom w:val="single" w:color="auto" w:sz="4" w:space="0"/>
              <w:right w:val="single" w:color="auto" w:sz="4" w:space="0"/>
            </w:tcBorders>
            <w:shd w:val="clear" w:color="auto" w:fill="auto"/>
            <w:vAlign w:val="center"/>
          </w:tcPr>
          <w:p w14:paraId="41C9DDBA">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资金支付</w:t>
            </w:r>
          </w:p>
        </w:tc>
        <w:tc>
          <w:tcPr>
            <w:tcW w:w="1134" w:type="dxa"/>
            <w:tcBorders>
              <w:top w:val="single" w:color="auto" w:sz="4" w:space="0"/>
              <w:left w:val="nil"/>
              <w:bottom w:val="single" w:color="auto" w:sz="4" w:space="0"/>
              <w:right w:val="single" w:color="auto" w:sz="4" w:space="0"/>
            </w:tcBorders>
            <w:shd w:val="clear" w:color="auto" w:fill="auto"/>
            <w:vAlign w:val="center"/>
          </w:tcPr>
          <w:p w14:paraId="3CEAC15C">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6</w:t>
            </w:r>
          </w:p>
        </w:tc>
        <w:tc>
          <w:tcPr>
            <w:tcW w:w="992" w:type="dxa"/>
            <w:tcBorders>
              <w:top w:val="single" w:color="auto" w:sz="4" w:space="0"/>
              <w:left w:val="nil"/>
              <w:bottom w:val="single" w:color="auto" w:sz="4" w:space="0"/>
              <w:right w:val="single" w:color="auto" w:sz="4" w:space="0"/>
            </w:tcBorders>
            <w:shd w:val="clear" w:color="auto" w:fill="auto"/>
            <w:vAlign w:val="center"/>
          </w:tcPr>
          <w:p w14:paraId="103AF223">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6</w:t>
            </w:r>
          </w:p>
        </w:tc>
        <w:tc>
          <w:tcPr>
            <w:tcW w:w="1134" w:type="dxa"/>
            <w:tcBorders>
              <w:top w:val="single" w:color="auto" w:sz="4" w:space="0"/>
              <w:left w:val="nil"/>
              <w:bottom w:val="single" w:color="auto" w:sz="4" w:space="0"/>
              <w:right w:val="single" w:color="auto" w:sz="4" w:space="0"/>
            </w:tcBorders>
            <w:shd w:val="clear" w:color="auto" w:fill="auto"/>
            <w:vAlign w:val="center"/>
          </w:tcPr>
          <w:p w14:paraId="43F5C1DE">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100%</w:t>
            </w:r>
          </w:p>
        </w:tc>
      </w:tr>
      <w:tr w14:paraId="403F04CD">
        <w:tblPrEx>
          <w:tblCellMar>
            <w:top w:w="0" w:type="dxa"/>
            <w:left w:w="108" w:type="dxa"/>
            <w:bottom w:w="0" w:type="dxa"/>
            <w:right w:w="108" w:type="dxa"/>
          </w:tblCellMar>
        </w:tblPrEx>
        <w:trPr>
          <w:trHeight w:val="480" w:hRule="atLeast"/>
        </w:trPr>
        <w:tc>
          <w:tcPr>
            <w:tcW w:w="1500" w:type="dxa"/>
            <w:vMerge w:val="continue"/>
            <w:tcBorders>
              <w:top w:val="single" w:color="auto" w:sz="4" w:space="0"/>
              <w:left w:val="single" w:color="auto" w:sz="4" w:space="0"/>
              <w:right w:val="single" w:color="auto" w:sz="4" w:space="0"/>
            </w:tcBorders>
            <w:shd w:val="clear" w:color="auto" w:fill="auto"/>
            <w:vAlign w:val="center"/>
          </w:tcPr>
          <w:p w14:paraId="5836897C">
            <w:pPr>
              <w:widowControl/>
              <w:spacing w:line="540" w:lineRule="exact"/>
              <w:jc w:val="center"/>
              <w:rPr>
                <w:rFonts w:cs="宋体" w:asciiTheme="minorEastAsia" w:hAnsiTheme="minorEastAsia" w:eastAsiaTheme="minorEastAsia"/>
                <w:bCs/>
                <w:kern w:val="0"/>
                <w:sz w:val="24"/>
              </w:rPr>
            </w:pPr>
          </w:p>
        </w:tc>
        <w:tc>
          <w:tcPr>
            <w:tcW w:w="1600" w:type="dxa"/>
            <w:vMerge w:val="continue"/>
            <w:tcBorders>
              <w:top w:val="single" w:color="auto" w:sz="4" w:space="0"/>
              <w:left w:val="nil"/>
              <w:bottom w:val="single" w:color="auto" w:sz="4" w:space="0"/>
              <w:right w:val="single" w:color="auto" w:sz="4" w:space="0"/>
            </w:tcBorders>
            <w:shd w:val="clear" w:color="auto" w:fill="auto"/>
            <w:vAlign w:val="center"/>
          </w:tcPr>
          <w:p w14:paraId="1F17BB8D">
            <w:pPr>
              <w:widowControl/>
              <w:spacing w:line="540" w:lineRule="exact"/>
              <w:jc w:val="center"/>
              <w:rPr>
                <w:rFonts w:cs="宋体" w:asciiTheme="minorEastAsia" w:hAnsiTheme="minorEastAsia" w:eastAsiaTheme="minorEastAsia"/>
                <w:bCs/>
                <w:kern w:val="0"/>
                <w:sz w:val="24"/>
              </w:rPr>
            </w:pPr>
          </w:p>
        </w:tc>
        <w:tc>
          <w:tcPr>
            <w:tcW w:w="2434" w:type="dxa"/>
            <w:tcBorders>
              <w:top w:val="single" w:color="auto" w:sz="4" w:space="0"/>
              <w:left w:val="nil"/>
              <w:bottom w:val="single" w:color="auto" w:sz="4" w:space="0"/>
              <w:right w:val="single" w:color="auto" w:sz="4" w:space="0"/>
            </w:tcBorders>
            <w:shd w:val="clear" w:color="auto" w:fill="auto"/>
            <w:vAlign w:val="center"/>
          </w:tcPr>
          <w:p w14:paraId="35316E59">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支付规范性</w:t>
            </w:r>
          </w:p>
        </w:tc>
        <w:tc>
          <w:tcPr>
            <w:tcW w:w="1134" w:type="dxa"/>
            <w:tcBorders>
              <w:top w:val="single" w:color="auto" w:sz="4" w:space="0"/>
              <w:left w:val="nil"/>
              <w:bottom w:val="single" w:color="auto" w:sz="4" w:space="0"/>
              <w:right w:val="single" w:color="auto" w:sz="4" w:space="0"/>
            </w:tcBorders>
            <w:shd w:val="clear" w:color="auto" w:fill="auto"/>
            <w:vAlign w:val="center"/>
          </w:tcPr>
          <w:p w14:paraId="22892BB6">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6</w:t>
            </w:r>
          </w:p>
        </w:tc>
        <w:tc>
          <w:tcPr>
            <w:tcW w:w="992" w:type="dxa"/>
            <w:tcBorders>
              <w:top w:val="single" w:color="auto" w:sz="4" w:space="0"/>
              <w:left w:val="nil"/>
              <w:bottom w:val="single" w:color="auto" w:sz="4" w:space="0"/>
              <w:right w:val="single" w:color="auto" w:sz="4" w:space="0"/>
            </w:tcBorders>
            <w:shd w:val="clear" w:color="auto" w:fill="auto"/>
            <w:vAlign w:val="center"/>
          </w:tcPr>
          <w:p w14:paraId="617526B1">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6</w:t>
            </w:r>
          </w:p>
        </w:tc>
        <w:tc>
          <w:tcPr>
            <w:tcW w:w="1134" w:type="dxa"/>
            <w:tcBorders>
              <w:top w:val="single" w:color="auto" w:sz="4" w:space="0"/>
              <w:left w:val="nil"/>
              <w:bottom w:val="single" w:color="auto" w:sz="4" w:space="0"/>
              <w:right w:val="single" w:color="auto" w:sz="4" w:space="0"/>
            </w:tcBorders>
            <w:shd w:val="clear" w:color="auto" w:fill="auto"/>
            <w:vAlign w:val="center"/>
          </w:tcPr>
          <w:p w14:paraId="3E9F73EB">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100%</w:t>
            </w:r>
          </w:p>
        </w:tc>
      </w:tr>
      <w:tr w14:paraId="579E4056">
        <w:tblPrEx>
          <w:tblCellMar>
            <w:top w:w="0" w:type="dxa"/>
            <w:left w:w="108" w:type="dxa"/>
            <w:bottom w:w="0" w:type="dxa"/>
            <w:right w:w="108" w:type="dxa"/>
          </w:tblCellMar>
        </w:tblPrEx>
        <w:trPr>
          <w:trHeight w:val="480" w:hRule="atLeast"/>
        </w:trPr>
        <w:tc>
          <w:tcPr>
            <w:tcW w:w="1500" w:type="dxa"/>
            <w:vMerge w:val="continue"/>
            <w:tcBorders>
              <w:left w:val="single" w:color="auto" w:sz="4" w:space="0"/>
              <w:right w:val="single" w:color="auto" w:sz="4" w:space="0"/>
            </w:tcBorders>
            <w:shd w:val="clear" w:color="auto" w:fill="auto"/>
            <w:vAlign w:val="center"/>
          </w:tcPr>
          <w:p w14:paraId="397EF042">
            <w:pPr>
              <w:widowControl/>
              <w:spacing w:line="540" w:lineRule="exact"/>
              <w:jc w:val="center"/>
              <w:rPr>
                <w:rFonts w:cs="宋体" w:asciiTheme="minorEastAsia" w:hAnsiTheme="minorEastAsia" w:eastAsiaTheme="minorEastAsia"/>
                <w:bCs/>
                <w:kern w:val="0"/>
                <w:sz w:val="24"/>
              </w:rPr>
            </w:pPr>
          </w:p>
        </w:tc>
        <w:tc>
          <w:tcPr>
            <w:tcW w:w="1600" w:type="dxa"/>
            <w:vMerge w:val="restart"/>
            <w:tcBorders>
              <w:top w:val="single" w:color="auto" w:sz="4" w:space="0"/>
              <w:left w:val="nil"/>
              <w:right w:val="single" w:color="auto" w:sz="4" w:space="0"/>
            </w:tcBorders>
            <w:shd w:val="clear" w:color="auto" w:fill="auto"/>
            <w:vAlign w:val="center"/>
          </w:tcPr>
          <w:p w14:paraId="71568564">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资金管理</w:t>
            </w:r>
          </w:p>
        </w:tc>
        <w:tc>
          <w:tcPr>
            <w:tcW w:w="2434" w:type="dxa"/>
            <w:tcBorders>
              <w:top w:val="single" w:color="auto" w:sz="4" w:space="0"/>
              <w:left w:val="nil"/>
              <w:bottom w:val="single" w:color="auto" w:sz="4" w:space="0"/>
              <w:right w:val="single" w:color="auto" w:sz="4" w:space="0"/>
            </w:tcBorders>
            <w:shd w:val="clear" w:color="auto" w:fill="auto"/>
            <w:vAlign w:val="center"/>
          </w:tcPr>
          <w:p w14:paraId="117659A1">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实施程序</w:t>
            </w:r>
          </w:p>
        </w:tc>
        <w:tc>
          <w:tcPr>
            <w:tcW w:w="1134" w:type="dxa"/>
            <w:tcBorders>
              <w:top w:val="single" w:color="auto" w:sz="4" w:space="0"/>
              <w:left w:val="nil"/>
              <w:bottom w:val="single" w:color="auto" w:sz="4" w:space="0"/>
              <w:right w:val="single" w:color="auto" w:sz="4" w:space="0"/>
            </w:tcBorders>
            <w:shd w:val="clear" w:color="auto" w:fill="auto"/>
            <w:vAlign w:val="center"/>
          </w:tcPr>
          <w:p w14:paraId="702A7265">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4</w:t>
            </w:r>
          </w:p>
        </w:tc>
        <w:tc>
          <w:tcPr>
            <w:tcW w:w="992" w:type="dxa"/>
            <w:tcBorders>
              <w:top w:val="single" w:color="auto" w:sz="4" w:space="0"/>
              <w:left w:val="nil"/>
              <w:bottom w:val="single" w:color="auto" w:sz="4" w:space="0"/>
              <w:right w:val="single" w:color="auto" w:sz="4" w:space="0"/>
            </w:tcBorders>
            <w:shd w:val="clear" w:color="auto" w:fill="auto"/>
            <w:vAlign w:val="center"/>
          </w:tcPr>
          <w:p w14:paraId="20C0BB71">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4</w:t>
            </w:r>
          </w:p>
        </w:tc>
        <w:tc>
          <w:tcPr>
            <w:tcW w:w="1134" w:type="dxa"/>
            <w:tcBorders>
              <w:top w:val="single" w:color="auto" w:sz="4" w:space="0"/>
              <w:left w:val="nil"/>
              <w:bottom w:val="single" w:color="auto" w:sz="4" w:space="0"/>
              <w:right w:val="single" w:color="auto" w:sz="4" w:space="0"/>
            </w:tcBorders>
            <w:shd w:val="clear" w:color="auto" w:fill="auto"/>
            <w:vAlign w:val="center"/>
          </w:tcPr>
          <w:p w14:paraId="316383AC">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100%</w:t>
            </w:r>
          </w:p>
        </w:tc>
      </w:tr>
      <w:tr w14:paraId="51148CAB">
        <w:tblPrEx>
          <w:tblCellMar>
            <w:top w:w="0" w:type="dxa"/>
            <w:left w:w="108" w:type="dxa"/>
            <w:bottom w:w="0" w:type="dxa"/>
            <w:right w:w="108" w:type="dxa"/>
          </w:tblCellMar>
        </w:tblPrEx>
        <w:trPr>
          <w:trHeight w:val="480" w:hRule="atLeast"/>
        </w:trPr>
        <w:tc>
          <w:tcPr>
            <w:tcW w:w="1500" w:type="dxa"/>
            <w:vMerge w:val="continue"/>
            <w:tcBorders>
              <w:left w:val="single" w:color="auto" w:sz="4" w:space="0"/>
              <w:bottom w:val="single" w:color="auto" w:sz="4" w:space="0"/>
              <w:right w:val="single" w:color="auto" w:sz="4" w:space="0"/>
            </w:tcBorders>
            <w:shd w:val="clear" w:color="auto" w:fill="auto"/>
            <w:vAlign w:val="center"/>
          </w:tcPr>
          <w:p w14:paraId="7BD28A47">
            <w:pPr>
              <w:widowControl/>
              <w:spacing w:line="540" w:lineRule="exact"/>
              <w:jc w:val="center"/>
              <w:rPr>
                <w:rFonts w:cs="宋体" w:asciiTheme="minorEastAsia" w:hAnsiTheme="minorEastAsia" w:eastAsiaTheme="minorEastAsia"/>
                <w:bCs/>
                <w:kern w:val="0"/>
                <w:sz w:val="24"/>
              </w:rPr>
            </w:pPr>
          </w:p>
        </w:tc>
        <w:tc>
          <w:tcPr>
            <w:tcW w:w="1600" w:type="dxa"/>
            <w:vMerge w:val="continue"/>
            <w:tcBorders>
              <w:left w:val="nil"/>
              <w:bottom w:val="single" w:color="auto" w:sz="4" w:space="0"/>
              <w:right w:val="single" w:color="auto" w:sz="4" w:space="0"/>
            </w:tcBorders>
            <w:shd w:val="clear" w:color="auto" w:fill="auto"/>
            <w:vAlign w:val="center"/>
          </w:tcPr>
          <w:p w14:paraId="5D890316">
            <w:pPr>
              <w:widowControl/>
              <w:spacing w:line="540" w:lineRule="exact"/>
              <w:jc w:val="center"/>
              <w:rPr>
                <w:rFonts w:cs="宋体" w:asciiTheme="minorEastAsia" w:hAnsiTheme="minorEastAsia" w:eastAsiaTheme="minorEastAsia"/>
                <w:bCs/>
                <w:kern w:val="0"/>
                <w:sz w:val="24"/>
              </w:rPr>
            </w:pPr>
          </w:p>
        </w:tc>
        <w:tc>
          <w:tcPr>
            <w:tcW w:w="2434" w:type="dxa"/>
            <w:tcBorders>
              <w:top w:val="single" w:color="auto" w:sz="4" w:space="0"/>
              <w:left w:val="nil"/>
              <w:bottom w:val="single" w:color="auto" w:sz="4" w:space="0"/>
              <w:right w:val="single" w:color="auto" w:sz="4" w:space="0"/>
            </w:tcBorders>
            <w:shd w:val="clear" w:color="auto" w:fill="auto"/>
            <w:vAlign w:val="center"/>
          </w:tcPr>
          <w:p w14:paraId="48311FF4">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管理情况</w:t>
            </w:r>
          </w:p>
        </w:tc>
        <w:tc>
          <w:tcPr>
            <w:tcW w:w="1134" w:type="dxa"/>
            <w:tcBorders>
              <w:top w:val="single" w:color="auto" w:sz="4" w:space="0"/>
              <w:left w:val="nil"/>
              <w:bottom w:val="single" w:color="auto" w:sz="4" w:space="0"/>
              <w:right w:val="single" w:color="auto" w:sz="4" w:space="0"/>
            </w:tcBorders>
            <w:shd w:val="clear" w:color="auto" w:fill="auto"/>
            <w:vAlign w:val="center"/>
          </w:tcPr>
          <w:p w14:paraId="7417A1D8">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4</w:t>
            </w:r>
          </w:p>
        </w:tc>
        <w:tc>
          <w:tcPr>
            <w:tcW w:w="992" w:type="dxa"/>
            <w:tcBorders>
              <w:top w:val="single" w:color="auto" w:sz="4" w:space="0"/>
              <w:left w:val="nil"/>
              <w:bottom w:val="single" w:color="auto" w:sz="4" w:space="0"/>
              <w:right w:val="single" w:color="auto" w:sz="4" w:space="0"/>
            </w:tcBorders>
            <w:shd w:val="clear" w:color="auto" w:fill="auto"/>
            <w:vAlign w:val="center"/>
          </w:tcPr>
          <w:p w14:paraId="32138547">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4</w:t>
            </w:r>
          </w:p>
        </w:tc>
        <w:tc>
          <w:tcPr>
            <w:tcW w:w="1134" w:type="dxa"/>
            <w:tcBorders>
              <w:top w:val="single" w:color="auto" w:sz="4" w:space="0"/>
              <w:left w:val="nil"/>
              <w:bottom w:val="single" w:color="auto" w:sz="4" w:space="0"/>
              <w:right w:val="single" w:color="auto" w:sz="4" w:space="0"/>
            </w:tcBorders>
            <w:shd w:val="clear" w:color="auto" w:fill="auto"/>
            <w:vAlign w:val="center"/>
          </w:tcPr>
          <w:p w14:paraId="17930149">
            <w:pPr>
              <w:widowControl/>
              <w:spacing w:line="540" w:lineRule="exact"/>
              <w:jc w:val="center"/>
              <w:rPr>
                <w:rFonts w:cs="宋体" w:asciiTheme="minorEastAsia" w:hAnsiTheme="minorEastAsia" w:eastAsiaTheme="minorEastAsia"/>
                <w:bCs/>
                <w:kern w:val="0"/>
                <w:sz w:val="24"/>
              </w:rPr>
            </w:pPr>
            <w:r>
              <w:rPr>
                <w:rFonts w:hint="eastAsia" w:cs="宋体" w:asciiTheme="minorEastAsia" w:hAnsiTheme="minorEastAsia" w:eastAsiaTheme="minorEastAsia"/>
                <w:bCs/>
                <w:kern w:val="0"/>
                <w:sz w:val="24"/>
              </w:rPr>
              <w:t>100%</w:t>
            </w:r>
          </w:p>
        </w:tc>
      </w:tr>
      <w:tr w14:paraId="70B18B2E">
        <w:tblPrEx>
          <w:tblCellMar>
            <w:top w:w="0" w:type="dxa"/>
            <w:left w:w="108" w:type="dxa"/>
            <w:bottom w:w="0" w:type="dxa"/>
            <w:right w:w="108" w:type="dxa"/>
          </w:tblCellMar>
        </w:tblPrEx>
        <w:trPr>
          <w:trHeight w:val="554" w:hRule="atLeast"/>
        </w:trPr>
        <w:tc>
          <w:tcPr>
            <w:tcW w:w="3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CC872A">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合计</w:t>
            </w:r>
          </w:p>
        </w:tc>
        <w:tc>
          <w:tcPr>
            <w:tcW w:w="2434" w:type="dxa"/>
            <w:tcBorders>
              <w:top w:val="nil"/>
              <w:left w:val="nil"/>
              <w:bottom w:val="single" w:color="auto" w:sz="4" w:space="0"/>
              <w:right w:val="single" w:color="auto" w:sz="4" w:space="0"/>
            </w:tcBorders>
            <w:shd w:val="clear" w:color="auto" w:fill="auto"/>
            <w:vAlign w:val="center"/>
          </w:tcPr>
          <w:p w14:paraId="4DD4459D">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　</w:t>
            </w:r>
          </w:p>
        </w:tc>
        <w:tc>
          <w:tcPr>
            <w:tcW w:w="1134" w:type="dxa"/>
            <w:tcBorders>
              <w:top w:val="nil"/>
              <w:left w:val="nil"/>
              <w:bottom w:val="single" w:color="auto" w:sz="4" w:space="0"/>
              <w:right w:val="single" w:color="auto" w:sz="4" w:space="0"/>
            </w:tcBorders>
            <w:shd w:val="clear" w:color="auto" w:fill="auto"/>
            <w:vAlign w:val="center"/>
          </w:tcPr>
          <w:p w14:paraId="6A912836">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20</w:t>
            </w:r>
          </w:p>
        </w:tc>
        <w:tc>
          <w:tcPr>
            <w:tcW w:w="992" w:type="dxa"/>
            <w:tcBorders>
              <w:top w:val="nil"/>
              <w:left w:val="nil"/>
              <w:bottom w:val="single" w:color="auto" w:sz="4" w:space="0"/>
              <w:right w:val="single" w:color="auto" w:sz="4" w:space="0"/>
            </w:tcBorders>
            <w:shd w:val="clear" w:color="auto" w:fill="auto"/>
            <w:vAlign w:val="center"/>
          </w:tcPr>
          <w:p w14:paraId="63617AD1">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20</w:t>
            </w:r>
          </w:p>
        </w:tc>
        <w:tc>
          <w:tcPr>
            <w:tcW w:w="1134" w:type="dxa"/>
            <w:tcBorders>
              <w:top w:val="nil"/>
              <w:left w:val="nil"/>
              <w:bottom w:val="single" w:color="auto" w:sz="4" w:space="0"/>
              <w:right w:val="single" w:color="auto" w:sz="4" w:space="0"/>
            </w:tcBorders>
            <w:shd w:val="clear" w:color="auto" w:fill="auto"/>
            <w:vAlign w:val="center"/>
          </w:tcPr>
          <w:p w14:paraId="774F6E2D">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bl>
    <w:p w14:paraId="635AB572">
      <w:pPr>
        <w:spacing w:line="540" w:lineRule="exact"/>
        <w:ind w:firstLine="562" w:firstLineChars="200"/>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 xml:space="preserve">1.资金管理 </w:t>
      </w:r>
    </w:p>
    <w:p w14:paraId="3406682E">
      <w:pPr>
        <w:spacing w:line="540" w:lineRule="exact"/>
        <w:ind w:firstLine="420" w:firstLineChars="15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（1）资金支付（自评得分6分）。</w:t>
      </w:r>
    </w:p>
    <w:p w14:paraId="300B49E1">
      <w:pPr>
        <w:spacing w:line="540" w:lineRule="exact"/>
        <w:ind w:firstLine="560" w:firstLineChars="200"/>
        <w:jc w:val="left"/>
        <w:rPr>
          <w:rStyle w:val="11"/>
          <w:rFonts w:asciiTheme="minorEastAsia" w:hAnsiTheme="minorEastAsia" w:eastAsiaTheme="minorEastAsia"/>
          <w:b w:val="0"/>
          <w:bCs w:val="0"/>
          <w:spacing w:val="-4"/>
          <w:sz w:val="28"/>
          <w:szCs w:val="28"/>
        </w:rPr>
      </w:pPr>
      <w:r>
        <w:rPr>
          <w:rFonts w:hint="eastAsia" w:cs="宋体" w:asciiTheme="minorEastAsia" w:hAnsiTheme="minorEastAsia" w:eastAsiaTheme="minorEastAsia"/>
          <w:sz w:val="28"/>
          <w:szCs w:val="28"/>
        </w:rPr>
        <w:t>该项目资金根据年初制定计划，已实施完成。其中：建标考核费 6 万、标准器送检费 25 万 ，两项合计支出31万元。</w:t>
      </w:r>
      <w:r>
        <w:rPr>
          <w:rFonts w:hint="eastAsia" w:asciiTheme="minorEastAsia" w:hAnsiTheme="minorEastAsia" w:eastAsiaTheme="minorEastAsia"/>
          <w:color w:val="333333"/>
          <w:sz w:val="28"/>
          <w:szCs w:val="28"/>
        </w:rPr>
        <w:t>资金的支付有完整的审批程序和手续；且符合项目预算批复规定的用途；不存在截留、挤占、挪用、虚列支出等情况。</w:t>
      </w:r>
      <w:r>
        <w:rPr>
          <w:rStyle w:val="11"/>
          <w:rFonts w:hint="eastAsia" w:asciiTheme="minorEastAsia" w:hAnsiTheme="minorEastAsia" w:eastAsiaTheme="minorEastAsia"/>
          <w:b w:val="0"/>
          <w:bCs w:val="0"/>
          <w:spacing w:val="-4"/>
          <w:sz w:val="28"/>
          <w:szCs w:val="28"/>
        </w:rPr>
        <w:t>该项目满分6分，自评得分6分。</w:t>
      </w:r>
    </w:p>
    <w:p w14:paraId="4E12B681">
      <w:pPr>
        <w:spacing w:line="540" w:lineRule="exact"/>
        <w:ind w:firstLine="560" w:firstLineChars="200"/>
        <w:jc w:val="left"/>
        <w:rPr>
          <w:rStyle w:val="11"/>
          <w:rFonts w:asciiTheme="minorEastAsia" w:hAnsiTheme="minorEastAsia" w:eastAsiaTheme="minorEastAsia"/>
          <w:b w:val="0"/>
          <w:bCs w:val="0"/>
          <w:spacing w:val="-4"/>
          <w:sz w:val="28"/>
          <w:szCs w:val="28"/>
        </w:rPr>
      </w:pPr>
      <w:r>
        <w:rPr>
          <w:rFonts w:hint="eastAsia" w:cs="宋体" w:asciiTheme="minorEastAsia" w:hAnsiTheme="minorEastAsia" w:eastAsiaTheme="minorEastAsia"/>
          <w:sz w:val="28"/>
          <w:szCs w:val="28"/>
        </w:rPr>
        <w:t>（2）支出规范性。（自评得分6分）。该项资金的使用符合财政专项资金管理办法的规定。资金支付</w:t>
      </w:r>
      <w:r>
        <w:rPr>
          <w:rFonts w:hint="eastAsia" w:asciiTheme="minorEastAsia" w:hAnsiTheme="minorEastAsia" w:eastAsiaTheme="minorEastAsia"/>
          <w:color w:val="333333"/>
          <w:sz w:val="28"/>
          <w:szCs w:val="28"/>
        </w:rPr>
        <w:t>有完整的审批程序和手续，不存在支出依据不合规、虚列支出情况。会计核算规范，实行专款专用；根据年度决算和资金管理情况，财务信息真实、完整、财务报表统计及时准确性等方面均达到相关要求</w:t>
      </w:r>
      <w:r>
        <w:rPr>
          <w:rFonts w:hint="eastAsia" w:cs="宋体" w:asciiTheme="minorEastAsia" w:hAnsiTheme="minorEastAsia" w:eastAsiaTheme="minorEastAsia"/>
          <w:sz w:val="28"/>
          <w:szCs w:val="28"/>
        </w:rPr>
        <w:t>。</w:t>
      </w:r>
      <w:r>
        <w:rPr>
          <w:rStyle w:val="11"/>
          <w:rFonts w:hint="eastAsia" w:asciiTheme="minorEastAsia" w:hAnsiTheme="minorEastAsia" w:eastAsiaTheme="minorEastAsia"/>
          <w:b w:val="0"/>
          <w:bCs w:val="0"/>
          <w:spacing w:val="-4"/>
          <w:sz w:val="28"/>
          <w:szCs w:val="28"/>
        </w:rPr>
        <w:t>该项目满分6分，自评得分6分。</w:t>
      </w:r>
    </w:p>
    <w:p w14:paraId="2E8912B8">
      <w:pPr>
        <w:spacing w:line="540" w:lineRule="exact"/>
        <w:ind w:firstLine="562" w:firstLineChars="200"/>
        <w:jc w:val="left"/>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 xml:space="preserve"> 2.事项管理 </w:t>
      </w:r>
    </w:p>
    <w:p w14:paraId="7D1F8E0C">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（1）实施程序（自评得分4 分）</w:t>
      </w:r>
    </w:p>
    <w:p w14:paraId="7653A602">
      <w:pPr>
        <w:spacing w:line="540" w:lineRule="exact"/>
        <w:ind w:firstLine="560" w:firstLineChars="200"/>
        <w:jc w:val="left"/>
        <w:rPr>
          <w:rFonts w:asciiTheme="minorEastAsia" w:hAnsiTheme="minorEastAsia" w:eastAsiaTheme="minorEastAsia"/>
          <w:spacing w:val="-4"/>
          <w:sz w:val="28"/>
          <w:szCs w:val="28"/>
        </w:rPr>
      </w:pPr>
      <w:r>
        <w:rPr>
          <w:rFonts w:hint="eastAsia" w:cs="宋体" w:asciiTheme="minorEastAsia" w:hAnsiTheme="minorEastAsia" w:eastAsiaTheme="minorEastAsia"/>
          <w:sz w:val="28"/>
          <w:szCs w:val="28"/>
        </w:rPr>
        <w:t>我所在日常管理中，遵守有关规章制度，严格落实支出程序，特别是项目资金，严格执行报批手续，做到事前有预算，使用过程按工作计划和规定标准据实列支，事后结算。</w:t>
      </w:r>
      <w:r>
        <w:rPr>
          <w:rStyle w:val="11"/>
          <w:rFonts w:hint="eastAsia" w:asciiTheme="minorEastAsia" w:hAnsiTheme="minorEastAsia" w:eastAsiaTheme="minorEastAsia"/>
          <w:b w:val="0"/>
          <w:bCs w:val="0"/>
          <w:spacing w:val="-4"/>
          <w:sz w:val="28"/>
          <w:szCs w:val="28"/>
        </w:rPr>
        <w:t>该项目满分4分，自评得分4分。</w:t>
      </w:r>
    </w:p>
    <w:p w14:paraId="2AB16541">
      <w:pPr>
        <w:spacing w:line="540" w:lineRule="exact"/>
        <w:ind w:firstLine="560" w:firstLineChars="2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 xml:space="preserve">（2）管理情况（自评得分4分）  </w:t>
      </w:r>
    </w:p>
    <w:p w14:paraId="428F75E5">
      <w:pPr>
        <w:spacing w:line="540" w:lineRule="exact"/>
        <w:ind w:firstLine="560" w:firstLineChars="200"/>
        <w:jc w:val="left"/>
        <w:rPr>
          <w:rFonts w:asciiTheme="minorEastAsia" w:hAnsiTheme="minorEastAsia" w:eastAsiaTheme="minorEastAsia"/>
          <w:spacing w:val="-4"/>
          <w:sz w:val="28"/>
          <w:szCs w:val="28"/>
        </w:rPr>
      </w:pPr>
      <w:r>
        <w:rPr>
          <w:rFonts w:hint="eastAsia" w:cs="宋体" w:asciiTheme="minorEastAsia" w:hAnsiTheme="minorEastAsia" w:eastAsiaTheme="minorEastAsia"/>
          <w:sz w:val="28"/>
          <w:szCs w:val="28"/>
        </w:rPr>
        <w:t>我所建立有效管理机制，执行情况良好，业务科室按规定对项目实施开展检查、监控，达到监管有效性。</w:t>
      </w:r>
      <w:r>
        <w:rPr>
          <w:rStyle w:val="11"/>
          <w:rFonts w:hint="eastAsia" w:asciiTheme="minorEastAsia" w:hAnsiTheme="minorEastAsia" w:eastAsiaTheme="minorEastAsia"/>
          <w:b w:val="0"/>
          <w:bCs w:val="0"/>
          <w:spacing w:val="-4"/>
          <w:sz w:val="28"/>
          <w:szCs w:val="28"/>
        </w:rPr>
        <w:t>该项目满分4分，自评得分4分。</w:t>
      </w:r>
    </w:p>
    <w:p w14:paraId="5A008D95">
      <w:pPr>
        <w:spacing w:line="540" w:lineRule="exact"/>
        <w:ind w:firstLine="546" w:firstLineChars="200"/>
        <w:jc w:val="left"/>
        <w:rPr>
          <w:rStyle w:val="11"/>
          <w:rFonts w:asciiTheme="minorEastAsia" w:hAnsiTheme="minorEastAsia" w:eastAsiaTheme="minorEastAsia"/>
          <w:bCs w:val="0"/>
          <w:spacing w:val="-4"/>
          <w:sz w:val="28"/>
          <w:szCs w:val="28"/>
        </w:rPr>
      </w:pPr>
      <w:r>
        <w:rPr>
          <w:rStyle w:val="11"/>
          <w:rFonts w:hint="eastAsia" w:asciiTheme="minorEastAsia" w:hAnsiTheme="minorEastAsia" w:eastAsiaTheme="minorEastAsia"/>
          <w:bCs w:val="0"/>
          <w:spacing w:val="-4"/>
          <w:sz w:val="28"/>
          <w:szCs w:val="28"/>
        </w:rPr>
        <w:t>（ 三 ）项目产出情况</w:t>
      </w:r>
    </w:p>
    <w:p w14:paraId="0D0D5B0B">
      <w:pPr>
        <w:spacing w:line="540" w:lineRule="exact"/>
        <w:ind w:firstLine="544" w:firstLineChars="200"/>
        <w:jc w:val="left"/>
        <w:rPr>
          <w:rStyle w:val="11"/>
          <w:rFonts w:asciiTheme="minorEastAsia" w:hAnsiTheme="minorEastAsia" w:eastAsiaTheme="minorEastAsia"/>
          <w:bCs w:val="0"/>
          <w:spacing w:val="-4"/>
          <w:sz w:val="28"/>
          <w:szCs w:val="28"/>
        </w:rPr>
      </w:pPr>
      <w:r>
        <w:rPr>
          <w:rStyle w:val="11"/>
          <w:rFonts w:hint="eastAsia" w:asciiTheme="minorEastAsia" w:hAnsiTheme="minorEastAsia" w:eastAsiaTheme="minorEastAsia"/>
          <w:b w:val="0"/>
          <w:bCs w:val="0"/>
          <w:spacing w:val="-4"/>
          <w:sz w:val="28"/>
          <w:szCs w:val="28"/>
        </w:rPr>
        <w:t>该类指标满分 25 分，包括经济性、效率性等 2 个二级指标（具体分值及得分情况如下表 4-3 所示）。主要考察项目的预算成本控制，产出时效、产出质量、产出数量等产出情况。</w:t>
      </w:r>
    </w:p>
    <w:p w14:paraId="24FD8FAE">
      <w:pPr>
        <w:spacing w:line="540" w:lineRule="exact"/>
        <w:ind w:firstLine="2176" w:firstLineChars="8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表 4-3 产出类指标具体分值及得分率</w:t>
      </w:r>
    </w:p>
    <w:tbl>
      <w:tblPr>
        <w:tblStyle w:val="8"/>
        <w:tblW w:w="8936" w:type="dxa"/>
        <w:tblInd w:w="103" w:type="dxa"/>
        <w:tblLayout w:type="fixed"/>
        <w:tblCellMar>
          <w:top w:w="0" w:type="dxa"/>
          <w:left w:w="108" w:type="dxa"/>
          <w:bottom w:w="0" w:type="dxa"/>
          <w:right w:w="108" w:type="dxa"/>
        </w:tblCellMar>
      </w:tblPr>
      <w:tblGrid>
        <w:gridCol w:w="1500"/>
        <w:gridCol w:w="1600"/>
        <w:gridCol w:w="3001"/>
        <w:gridCol w:w="850"/>
        <w:gridCol w:w="992"/>
        <w:gridCol w:w="993"/>
      </w:tblGrid>
      <w:tr w14:paraId="5E0FDA32">
        <w:tblPrEx>
          <w:tblCellMar>
            <w:top w:w="0" w:type="dxa"/>
            <w:left w:w="108" w:type="dxa"/>
            <w:bottom w:w="0" w:type="dxa"/>
            <w:right w:w="108" w:type="dxa"/>
          </w:tblCellMar>
        </w:tblPrEx>
        <w:trPr>
          <w:trHeight w:val="480" w:hRule="atLeast"/>
        </w:trPr>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759DB545">
            <w:pPr>
              <w:widowControl/>
              <w:spacing w:line="540" w:lineRule="exact"/>
              <w:jc w:val="center"/>
              <w:rPr>
                <w:rFonts w:cs="宋体" w:asciiTheme="minorEastAsia" w:hAnsiTheme="minorEastAsia" w:eastAsiaTheme="minorEastAsia"/>
                <w:b/>
                <w:bCs/>
                <w:kern w:val="0"/>
                <w:sz w:val="28"/>
                <w:szCs w:val="28"/>
              </w:rPr>
            </w:pPr>
            <w:r>
              <w:rPr>
                <w:rFonts w:hint="eastAsia" w:cs="宋体" w:asciiTheme="minorEastAsia" w:hAnsiTheme="minorEastAsia" w:eastAsiaTheme="minorEastAsia"/>
                <w:b/>
                <w:bCs/>
                <w:kern w:val="0"/>
                <w:sz w:val="28"/>
                <w:szCs w:val="28"/>
              </w:rPr>
              <w:t>一级指标</w:t>
            </w:r>
          </w:p>
        </w:tc>
        <w:tc>
          <w:tcPr>
            <w:tcW w:w="1600" w:type="dxa"/>
            <w:tcBorders>
              <w:top w:val="single" w:color="auto" w:sz="4" w:space="0"/>
              <w:left w:val="nil"/>
              <w:bottom w:val="single" w:color="auto" w:sz="4" w:space="0"/>
              <w:right w:val="single" w:color="auto" w:sz="4" w:space="0"/>
            </w:tcBorders>
            <w:shd w:val="clear" w:color="auto" w:fill="auto"/>
            <w:vAlign w:val="center"/>
          </w:tcPr>
          <w:p w14:paraId="42876DCD">
            <w:pPr>
              <w:widowControl/>
              <w:spacing w:line="540" w:lineRule="exact"/>
              <w:jc w:val="center"/>
              <w:rPr>
                <w:rFonts w:cs="宋体" w:asciiTheme="minorEastAsia" w:hAnsiTheme="minorEastAsia" w:eastAsiaTheme="minorEastAsia"/>
                <w:b/>
                <w:bCs/>
                <w:kern w:val="0"/>
                <w:sz w:val="28"/>
                <w:szCs w:val="28"/>
              </w:rPr>
            </w:pPr>
            <w:r>
              <w:rPr>
                <w:rFonts w:hint="eastAsia" w:cs="宋体" w:asciiTheme="minorEastAsia" w:hAnsiTheme="minorEastAsia" w:eastAsiaTheme="minorEastAsia"/>
                <w:b/>
                <w:bCs/>
                <w:kern w:val="0"/>
                <w:sz w:val="28"/>
                <w:szCs w:val="28"/>
              </w:rPr>
              <w:t>二级指标</w:t>
            </w:r>
          </w:p>
        </w:tc>
        <w:tc>
          <w:tcPr>
            <w:tcW w:w="3001" w:type="dxa"/>
            <w:tcBorders>
              <w:top w:val="single" w:color="auto" w:sz="4" w:space="0"/>
              <w:left w:val="nil"/>
              <w:bottom w:val="single" w:color="auto" w:sz="4" w:space="0"/>
              <w:right w:val="single" w:color="auto" w:sz="4" w:space="0"/>
            </w:tcBorders>
            <w:shd w:val="clear" w:color="auto" w:fill="auto"/>
            <w:vAlign w:val="center"/>
          </w:tcPr>
          <w:p w14:paraId="1E5018E2">
            <w:pPr>
              <w:widowControl/>
              <w:spacing w:line="540" w:lineRule="exact"/>
              <w:jc w:val="center"/>
              <w:rPr>
                <w:rFonts w:cs="宋体" w:asciiTheme="minorEastAsia" w:hAnsiTheme="minorEastAsia" w:eastAsiaTheme="minorEastAsia"/>
                <w:b/>
                <w:bCs/>
                <w:kern w:val="0"/>
                <w:sz w:val="28"/>
                <w:szCs w:val="28"/>
              </w:rPr>
            </w:pPr>
            <w:r>
              <w:rPr>
                <w:rFonts w:hint="eastAsia" w:cs="宋体" w:asciiTheme="minorEastAsia" w:hAnsiTheme="minorEastAsia" w:eastAsiaTheme="minorEastAsia"/>
                <w:b/>
                <w:bCs/>
                <w:kern w:val="0"/>
                <w:sz w:val="28"/>
                <w:szCs w:val="28"/>
              </w:rPr>
              <w:t>三级指标</w:t>
            </w:r>
          </w:p>
        </w:tc>
        <w:tc>
          <w:tcPr>
            <w:tcW w:w="850" w:type="dxa"/>
            <w:tcBorders>
              <w:top w:val="single" w:color="auto" w:sz="4" w:space="0"/>
              <w:left w:val="nil"/>
              <w:bottom w:val="single" w:color="auto" w:sz="4" w:space="0"/>
              <w:right w:val="single" w:color="auto" w:sz="4" w:space="0"/>
            </w:tcBorders>
            <w:shd w:val="clear" w:color="auto" w:fill="auto"/>
            <w:vAlign w:val="center"/>
          </w:tcPr>
          <w:p w14:paraId="3DFF1C05">
            <w:pPr>
              <w:widowControl/>
              <w:spacing w:line="540" w:lineRule="exact"/>
              <w:jc w:val="center"/>
              <w:rPr>
                <w:rFonts w:cs="宋体" w:asciiTheme="minorEastAsia" w:hAnsiTheme="minorEastAsia" w:eastAsiaTheme="minorEastAsia"/>
                <w:b/>
                <w:bCs/>
                <w:kern w:val="0"/>
                <w:sz w:val="28"/>
                <w:szCs w:val="28"/>
              </w:rPr>
            </w:pPr>
            <w:r>
              <w:rPr>
                <w:rFonts w:hint="eastAsia" w:cs="宋体" w:asciiTheme="minorEastAsia" w:hAnsiTheme="minorEastAsia" w:eastAsiaTheme="minorEastAsia"/>
                <w:b/>
                <w:bCs/>
                <w:kern w:val="0"/>
                <w:sz w:val="28"/>
                <w:szCs w:val="28"/>
              </w:rPr>
              <w:t>分值</w:t>
            </w:r>
          </w:p>
        </w:tc>
        <w:tc>
          <w:tcPr>
            <w:tcW w:w="992" w:type="dxa"/>
            <w:tcBorders>
              <w:top w:val="single" w:color="auto" w:sz="4" w:space="0"/>
              <w:left w:val="nil"/>
              <w:bottom w:val="single" w:color="auto" w:sz="4" w:space="0"/>
              <w:right w:val="single" w:color="auto" w:sz="4" w:space="0"/>
            </w:tcBorders>
            <w:shd w:val="clear" w:color="auto" w:fill="auto"/>
            <w:vAlign w:val="center"/>
          </w:tcPr>
          <w:p w14:paraId="783A9443">
            <w:pPr>
              <w:widowControl/>
              <w:spacing w:line="540" w:lineRule="exact"/>
              <w:jc w:val="center"/>
              <w:rPr>
                <w:rFonts w:cs="宋体" w:asciiTheme="minorEastAsia" w:hAnsiTheme="minorEastAsia" w:eastAsiaTheme="minorEastAsia"/>
                <w:b/>
                <w:bCs/>
                <w:kern w:val="0"/>
                <w:sz w:val="28"/>
                <w:szCs w:val="28"/>
              </w:rPr>
            </w:pPr>
            <w:r>
              <w:rPr>
                <w:rFonts w:hint="eastAsia" w:cs="宋体" w:asciiTheme="minorEastAsia" w:hAnsiTheme="minorEastAsia" w:eastAsiaTheme="minorEastAsia"/>
                <w:b/>
                <w:bCs/>
                <w:kern w:val="0"/>
                <w:sz w:val="28"/>
                <w:szCs w:val="28"/>
              </w:rPr>
              <w:t>得分</w:t>
            </w:r>
          </w:p>
        </w:tc>
        <w:tc>
          <w:tcPr>
            <w:tcW w:w="993" w:type="dxa"/>
            <w:tcBorders>
              <w:top w:val="single" w:color="auto" w:sz="4" w:space="0"/>
              <w:left w:val="nil"/>
              <w:bottom w:val="single" w:color="auto" w:sz="4" w:space="0"/>
              <w:right w:val="single" w:color="auto" w:sz="4" w:space="0"/>
            </w:tcBorders>
            <w:shd w:val="clear" w:color="auto" w:fill="auto"/>
            <w:vAlign w:val="center"/>
          </w:tcPr>
          <w:p w14:paraId="7622CBB5">
            <w:pPr>
              <w:widowControl/>
              <w:spacing w:line="540" w:lineRule="exact"/>
              <w:jc w:val="center"/>
              <w:rPr>
                <w:rFonts w:cs="宋体" w:asciiTheme="minorEastAsia" w:hAnsiTheme="minorEastAsia" w:eastAsiaTheme="minorEastAsia"/>
                <w:b/>
                <w:bCs/>
                <w:kern w:val="0"/>
                <w:sz w:val="28"/>
                <w:szCs w:val="28"/>
              </w:rPr>
            </w:pPr>
            <w:r>
              <w:rPr>
                <w:rFonts w:hint="eastAsia" w:cs="宋体" w:asciiTheme="minorEastAsia" w:hAnsiTheme="minorEastAsia" w:eastAsiaTheme="minorEastAsia"/>
                <w:b/>
                <w:bCs/>
                <w:kern w:val="0"/>
                <w:sz w:val="28"/>
                <w:szCs w:val="28"/>
              </w:rPr>
              <w:t>得分率</w:t>
            </w:r>
          </w:p>
        </w:tc>
      </w:tr>
      <w:tr w14:paraId="7882FA70">
        <w:tblPrEx>
          <w:tblCellMar>
            <w:top w:w="0" w:type="dxa"/>
            <w:left w:w="108" w:type="dxa"/>
            <w:bottom w:w="0" w:type="dxa"/>
            <w:right w:w="108" w:type="dxa"/>
          </w:tblCellMar>
        </w:tblPrEx>
        <w:trPr>
          <w:trHeight w:val="480" w:hRule="atLeast"/>
        </w:trPr>
        <w:tc>
          <w:tcPr>
            <w:tcW w:w="1500" w:type="dxa"/>
            <w:vMerge w:val="restart"/>
            <w:tcBorders>
              <w:top w:val="nil"/>
              <w:left w:val="single" w:color="auto" w:sz="4" w:space="0"/>
              <w:bottom w:val="nil"/>
              <w:right w:val="single" w:color="auto" w:sz="4" w:space="0"/>
            </w:tcBorders>
            <w:shd w:val="clear" w:color="auto" w:fill="auto"/>
            <w:vAlign w:val="center"/>
          </w:tcPr>
          <w:p w14:paraId="3A23CD90">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项目产出</w:t>
            </w:r>
          </w:p>
        </w:tc>
        <w:tc>
          <w:tcPr>
            <w:tcW w:w="1600" w:type="dxa"/>
            <w:vMerge w:val="restart"/>
            <w:tcBorders>
              <w:top w:val="nil"/>
              <w:left w:val="single" w:color="auto" w:sz="4" w:space="0"/>
              <w:bottom w:val="single" w:color="auto" w:sz="4" w:space="0"/>
              <w:right w:val="single" w:color="auto" w:sz="4" w:space="0"/>
            </w:tcBorders>
            <w:shd w:val="clear" w:color="auto" w:fill="auto"/>
            <w:vAlign w:val="center"/>
          </w:tcPr>
          <w:p w14:paraId="34EEE13A">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经济性</w:t>
            </w:r>
          </w:p>
        </w:tc>
        <w:tc>
          <w:tcPr>
            <w:tcW w:w="3001" w:type="dxa"/>
            <w:tcBorders>
              <w:top w:val="nil"/>
              <w:left w:val="nil"/>
              <w:bottom w:val="single" w:color="auto" w:sz="4" w:space="0"/>
              <w:right w:val="single" w:color="auto" w:sz="4" w:space="0"/>
            </w:tcBorders>
            <w:shd w:val="clear" w:color="auto" w:fill="auto"/>
            <w:vAlign w:val="center"/>
          </w:tcPr>
          <w:p w14:paraId="17EC19F4">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预算控制 </w:t>
            </w:r>
          </w:p>
        </w:tc>
        <w:tc>
          <w:tcPr>
            <w:tcW w:w="850" w:type="dxa"/>
            <w:tcBorders>
              <w:top w:val="nil"/>
              <w:left w:val="nil"/>
              <w:bottom w:val="single" w:color="auto" w:sz="4" w:space="0"/>
              <w:right w:val="single" w:color="auto" w:sz="4" w:space="0"/>
            </w:tcBorders>
            <w:shd w:val="clear" w:color="auto" w:fill="auto"/>
            <w:vAlign w:val="center"/>
          </w:tcPr>
          <w:p w14:paraId="3354F834">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8 </w:t>
            </w:r>
          </w:p>
        </w:tc>
        <w:tc>
          <w:tcPr>
            <w:tcW w:w="992" w:type="dxa"/>
            <w:tcBorders>
              <w:top w:val="nil"/>
              <w:left w:val="nil"/>
              <w:bottom w:val="single" w:color="auto" w:sz="4" w:space="0"/>
              <w:right w:val="single" w:color="auto" w:sz="4" w:space="0"/>
            </w:tcBorders>
            <w:shd w:val="clear" w:color="auto" w:fill="auto"/>
            <w:vAlign w:val="center"/>
          </w:tcPr>
          <w:p w14:paraId="5B59D556">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8 </w:t>
            </w:r>
          </w:p>
        </w:tc>
        <w:tc>
          <w:tcPr>
            <w:tcW w:w="993" w:type="dxa"/>
            <w:tcBorders>
              <w:top w:val="nil"/>
              <w:left w:val="nil"/>
              <w:bottom w:val="single" w:color="auto" w:sz="4" w:space="0"/>
              <w:right w:val="single" w:color="auto" w:sz="4" w:space="0"/>
            </w:tcBorders>
            <w:shd w:val="clear" w:color="auto" w:fill="auto"/>
            <w:vAlign w:val="center"/>
          </w:tcPr>
          <w:p w14:paraId="5EE06CB8">
            <w:pPr>
              <w:widowControl/>
              <w:spacing w:line="540" w:lineRule="exact"/>
              <w:jc w:val="righ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100%</w:t>
            </w:r>
          </w:p>
        </w:tc>
      </w:tr>
      <w:tr w14:paraId="2EAD5731">
        <w:tblPrEx>
          <w:tblCellMar>
            <w:top w:w="0" w:type="dxa"/>
            <w:left w:w="108" w:type="dxa"/>
            <w:bottom w:w="0" w:type="dxa"/>
            <w:right w:w="108" w:type="dxa"/>
          </w:tblCellMar>
        </w:tblPrEx>
        <w:trPr>
          <w:trHeight w:val="480" w:hRule="atLeast"/>
        </w:trPr>
        <w:tc>
          <w:tcPr>
            <w:tcW w:w="1500" w:type="dxa"/>
            <w:vMerge w:val="continue"/>
            <w:tcBorders>
              <w:top w:val="nil"/>
              <w:left w:val="single" w:color="auto" w:sz="4" w:space="0"/>
              <w:bottom w:val="nil"/>
              <w:right w:val="single" w:color="auto" w:sz="4" w:space="0"/>
            </w:tcBorders>
            <w:vAlign w:val="center"/>
          </w:tcPr>
          <w:p w14:paraId="49B5E2DB">
            <w:pPr>
              <w:widowControl/>
              <w:spacing w:line="540" w:lineRule="exact"/>
              <w:jc w:val="left"/>
              <w:rPr>
                <w:rFonts w:cs="宋体" w:asciiTheme="minorEastAsia" w:hAnsiTheme="minorEastAsia" w:eastAsiaTheme="minorEastAsia"/>
                <w:kern w:val="0"/>
                <w:sz w:val="28"/>
                <w:szCs w:val="28"/>
              </w:rPr>
            </w:pPr>
          </w:p>
        </w:tc>
        <w:tc>
          <w:tcPr>
            <w:tcW w:w="1600" w:type="dxa"/>
            <w:vMerge w:val="continue"/>
            <w:tcBorders>
              <w:top w:val="nil"/>
              <w:left w:val="single" w:color="auto" w:sz="4" w:space="0"/>
              <w:bottom w:val="single" w:color="auto" w:sz="4" w:space="0"/>
              <w:right w:val="single" w:color="auto" w:sz="4" w:space="0"/>
            </w:tcBorders>
            <w:vAlign w:val="center"/>
          </w:tcPr>
          <w:p w14:paraId="4BFFA518">
            <w:pPr>
              <w:widowControl/>
              <w:spacing w:line="540" w:lineRule="exact"/>
              <w:jc w:val="left"/>
              <w:rPr>
                <w:rFonts w:cs="宋体" w:asciiTheme="minorEastAsia" w:hAnsiTheme="minorEastAsia" w:eastAsiaTheme="minorEastAsia"/>
                <w:kern w:val="0"/>
                <w:sz w:val="28"/>
                <w:szCs w:val="28"/>
              </w:rPr>
            </w:pPr>
          </w:p>
        </w:tc>
        <w:tc>
          <w:tcPr>
            <w:tcW w:w="3001" w:type="dxa"/>
            <w:tcBorders>
              <w:top w:val="nil"/>
              <w:left w:val="nil"/>
              <w:bottom w:val="single" w:color="auto" w:sz="4" w:space="0"/>
              <w:right w:val="single" w:color="auto" w:sz="4" w:space="0"/>
            </w:tcBorders>
            <w:shd w:val="clear" w:color="auto" w:fill="auto"/>
            <w:vAlign w:val="center"/>
          </w:tcPr>
          <w:p w14:paraId="4FF47F40">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成本控制</w:t>
            </w:r>
          </w:p>
        </w:tc>
        <w:tc>
          <w:tcPr>
            <w:tcW w:w="850" w:type="dxa"/>
            <w:tcBorders>
              <w:top w:val="nil"/>
              <w:left w:val="nil"/>
              <w:bottom w:val="single" w:color="auto" w:sz="4" w:space="0"/>
              <w:right w:val="single" w:color="auto" w:sz="4" w:space="0"/>
            </w:tcBorders>
            <w:shd w:val="clear" w:color="auto" w:fill="auto"/>
            <w:vAlign w:val="center"/>
          </w:tcPr>
          <w:p w14:paraId="479D73BF">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7 </w:t>
            </w:r>
          </w:p>
        </w:tc>
        <w:tc>
          <w:tcPr>
            <w:tcW w:w="992" w:type="dxa"/>
            <w:tcBorders>
              <w:top w:val="nil"/>
              <w:left w:val="nil"/>
              <w:bottom w:val="single" w:color="auto" w:sz="4" w:space="0"/>
              <w:right w:val="single" w:color="auto" w:sz="4" w:space="0"/>
            </w:tcBorders>
            <w:shd w:val="clear" w:color="auto" w:fill="auto"/>
            <w:vAlign w:val="center"/>
          </w:tcPr>
          <w:p w14:paraId="0A17335F">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7</w:t>
            </w:r>
          </w:p>
        </w:tc>
        <w:tc>
          <w:tcPr>
            <w:tcW w:w="993" w:type="dxa"/>
            <w:tcBorders>
              <w:top w:val="nil"/>
              <w:left w:val="nil"/>
              <w:bottom w:val="single" w:color="auto" w:sz="4" w:space="0"/>
              <w:right w:val="single" w:color="auto" w:sz="4" w:space="0"/>
            </w:tcBorders>
            <w:shd w:val="clear" w:color="auto" w:fill="auto"/>
            <w:vAlign w:val="center"/>
          </w:tcPr>
          <w:p w14:paraId="65D47449">
            <w:pPr>
              <w:widowControl/>
              <w:spacing w:line="540" w:lineRule="exact"/>
              <w:jc w:val="righ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100%</w:t>
            </w:r>
          </w:p>
        </w:tc>
      </w:tr>
      <w:tr w14:paraId="76534455">
        <w:tblPrEx>
          <w:tblCellMar>
            <w:top w:w="0" w:type="dxa"/>
            <w:left w:w="108" w:type="dxa"/>
            <w:bottom w:w="0" w:type="dxa"/>
            <w:right w:w="108" w:type="dxa"/>
          </w:tblCellMar>
        </w:tblPrEx>
        <w:trPr>
          <w:trHeight w:val="480" w:hRule="atLeast"/>
        </w:trPr>
        <w:tc>
          <w:tcPr>
            <w:tcW w:w="1500" w:type="dxa"/>
            <w:vMerge w:val="continue"/>
            <w:tcBorders>
              <w:top w:val="nil"/>
              <w:left w:val="single" w:color="auto" w:sz="4" w:space="0"/>
              <w:bottom w:val="nil"/>
              <w:right w:val="single" w:color="auto" w:sz="4" w:space="0"/>
            </w:tcBorders>
            <w:vAlign w:val="center"/>
          </w:tcPr>
          <w:p w14:paraId="05DC9C98">
            <w:pPr>
              <w:widowControl/>
              <w:spacing w:line="540" w:lineRule="exact"/>
              <w:jc w:val="left"/>
              <w:rPr>
                <w:rFonts w:cs="宋体" w:asciiTheme="minorEastAsia" w:hAnsiTheme="minorEastAsia" w:eastAsiaTheme="minorEastAsia"/>
                <w:kern w:val="0"/>
                <w:sz w:val="28"/>
                <w:szCs w:val="28"/>
              </w:rPr>
            </w:pPr>
          </w:p>
        </w:tc>
        <w:tc>
          <w:tcPr>
            <w:tcW w:w="1600" w:type="dxa"/>
            <w:vMerge w:val="continue"/>
            <w:tcBorders>
              <w:top w:val="nil"/>
              <w:left w:val="single" w:color="auto" w:sz="4" w:space="0"/>
              <w:bottom w:val="single" w:color="auto" w:sz="4" w:space="0"/>
              <w:right w:val="single" w:color="auto" w:sz="4" w:space="0"/>
            </w:tcBorders>
            <w:vAlign w:val="center"/>
          </w:tcPr>
          <w:p w14:paraId="5C00EE1E">
            <w:pPr>
              <w:widowControl/>
              <w:spacing w:line="540" w:lineRule="exact"/>
              <w:jc w:val="left"/>
              <w:rPr>
                <w:rFonts w:cs="宋体" w:asciiTheme="minorEastAsia" w:hAnsiTheme="minorEastAsia" w:eastAsiaTheme="minorEastAsia"/>
                <w:kern w:val="0"/>
                <w:sz w:val="28"/>
                <w:szCs w:val="28"/>
              </w:rPr>
            </w:pPr>
          </w:p>
        </w:tc>
        <w:tc>
          <w:tcPr>
            <w:tcW w:w="3001" w:type="dxa"/>
            <w:tcBorders>
              <w:top w:val="nil"/>
              <w:left w:val="nil"/>
              <w:bottom w:val="single" w:color="auto" w:sz="4" w:space="0"/>
              <w:right w:val="single" w:color="auto" w:sz="4" w:space="0"/>
            </w:tcBorders>
            <w:shd w:val="clear" w:color="auto" w:fill="auto"/>
            <w:vAlign w:val="center"/>
          </w:tcPr>
          <w:p w14:paraId="4BB004D4">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产出时效</w:t>
            </w:r>
          </w:p>
        </w:tc>
        <w:tc>
          <w:tcPr>
            <w:tcW w:w="850" w:type="dxa"/>
            <w:tcBorders>
              <w:top w:val="nil"/>
              <w:left w:val="nil"/>
              <w:bottom w:val="single" w:color="auto" w:sz="4" w:space="0"/>
              <w:right w:val="single" w:color="auto" w:sz="4" w:space="0"/>
            </w:tcBorders>
            <w:shd w:val="clear" w:color="auto" w:fill="auto"/>
            <w:vAlign w:val="center"/>
          </w:tcPr>
          <w:p w14:paraId="724D4AFA">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5</w:t>
            </w:r>
          </w:p>
        </w:tc>
        <w:tc>
          <w:tcPr>
            <w:tcW w:w="992" w:type="dxa"/>
            <w:tcBorders>
              <w:top w:val="nil"/>
              <w:left w:val="nil"/>
              <w:bottom w:val="single" w:color="auto" w:sz="4" w:space="0"/>
              <w:right w:val="single" w:color="auto" w:sz="4" w:space="0"/>
            </w:tcBorders>
            <w:shd w:val="clear" w:color="auto" w:fill="auto"/>
            <w:vAlign w:val="center"/>
          </w:tcPr>
          <w:p w14:paraId="5D9C7494">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5</w:t>
            </w:r>
          </w:p>
        </w:tc>
        <w:tc>
          <w:tcPr>
            <w:tcW w:w="993" w:type="dxa"/>
            <w:tcBorders>
              <w:top w:val="nil"/>
              <w:left w:val="nil"/>
              <w:bottom w:val="single" w:color="auto" w:sz="4" w:space="0"/>
              <w:right w:val="single" w:color="auto" w:sz="4" w:space="0"/>
            </w:tcBorders>
            <w:shd w:val="clear" w:color="auto" w:fill="auto"/>
            <w:vAlign w:val="center"/>
          </w:tcPr>
          <w:p w14:paraId="7DBC2B26">
            <w:pPr>
              <w:widowControl/>
              <w:spacing w:line="540" w:lineRule="exact"/>
              <w:jc w:val="righ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100%</w:t>
            </w:r>
          </w:p>
        </w:tc>
      </w:tr>
      <w:tr w14:paraId="4020E571">
        <w:tblPrEx>
          <w:tblCellMar>
            <w:top w:w="0" w:type="dxa"/>
            <w:left w:w="108" w:type="dxa"/>
            <w:bottom w:w="0" w:type="dxa"/>
            <w:right w:w="108" w:type="dxa"/>
          </w:tblCellMar>
        </w:tblPrEx>
        <w:trPr>
          <w:trHeight w:val="480" w:hRule="atLeast"/>
        </w:trPr>
        <w:tc>
          <w:tcPr>
            <w:tcW w:w="1500" w:type="dxa"/>
            <w:vMerge w:val="continue"/>
            <w:tcBorders>
              <w:top w:val="nil"/>
              <w:left w:val="single" w:color="auto" w:sz="4" w:space="0"/>
              <w:bottom w:val="nil"/>
              <w:right w:val="single" w:color="auto" w:sz="4" w:space="0"/>
            </w:tcBorders>
            <w:vAlign w:val="center"/>
          </w:tcPr>
          <w:p w14:paraId="08197A61">
            <w:pPr>
              <w:widowControl/>
              <w:spacing w:line="540" w:lineRule="exact"/>
              <w:jc w:val="left"/>
              <w:rPr>
                <w:rFonts w:cs="宋体" w:asciiTheme="minorEastAsia" w:hAnsiTheme="minorEastAsia" w:eastAsiaTheme="minorEastAsia"/>
                <w:kern w:val="0"/>
                <w:sz w:val="28"/>
                <w:szCs w:val="28"/>
              </w:rPr>
            </w:pPr>
          </w:p>
        </w:tc>
        <w:tc>
          <w:tcPr>
            <w:tcW w:w="1600" w:type="dxa"/>
            <w:vMerge w:val="continue"/>
            <w:tcBorders>
              <w:top w:val="nil"/>
              <w:left w:val="single" w:color="auto" w:sz="4" w:space="0"/>
              <w:bottom w:val="single" w:color="auto" w:sz="4" w:space="0"/>
              <w:right w:val="single" w:color="auto" w:sz="4" w:space="0"/>
            </w:tcBorders>
            <w:vAlign w:val="center"/>
          </w:tcPr>
          <w:p w14:paraId="6B2ECE5C">
            <w:pPr>
              <w:widowControl/>
              <w:spacing w:line="540" w:lineRule="exact"/>
              <w:jc w:val="left"/>
              <w:rPr>
                <w:rFonts w:cs="宋体" w:asciiTheme="minorEastAsia" w:hAnsiTheme="minorEastAsia" w:eastAsiaTheme="minorEastAsia"/>
                <w:kern w:val="0"/>
                <w:sz w:val="28"/>
                <w:szCs w:val="28"/>
              </w:rPr>
            </w:pPr>
          </w:p>
        </w:tc>
        <w:tc>
          <w:tcPr>
            <w:tcW w:w="3001" w:type="dxa"/>
            <w:tcBorders>
              <w:top w:val="nil"/>
              <w:left w:val="nil"/>
              <w:bottom w:val="single" w:color="auto" w:sz="4" w:space="0"/>
              <w:right w:val="single" w:color="auto" w:sz="4" w:space="0"/>
            </w:tcBorders>
            <w:shd w:val="clear" w:color="auto" w:fill="auto"/>
            <w:vAlign w:val="center"/>
          </w:tcPr>
          <w:p w14:paraId="4AECA693">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数量和质量指标</w:t>
            </w:r>
          </w:p>
        </w:tc>
        <w:tc>
          <w:tcPr>
            <w:tcW w:w="850" w:type="dxa"/>
            <w:tcBorders>
              <w:top w:val="nil"/>
              <w:left w:val="nil"/>
              <w:bottom w:val="single" w:color="auto" w:sz="4" w:space="0"/>
              <w:right w:val="single" w:color="auto" w:sz="4" w:space="0"/>
            </w:tcBorders>
            <w:shd w:val="clear" w:color="auto" w:fill="auto"/>
            <w:vAlign w:val="center"/>
          </w:tcPr>
          <w:p w14:paraId="332BD041">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w:t>
            </w:r>
          </w:p>
        </w:tc>
        <w:tc>
          <w:tcPr>
            <w:tcW w:w="992" w:type="dxa"/>
            <w:tcBorders>
              <w:top w:val="nil"/>
              <w:left w:val="nil"/>
              <w:bottom w:val="single" w:color="auto" w:sz="4" w:space="0"/>
              <w:right w:val="single" w:color="auto" w:sz="4" w:space="0"/>
            </w:tcBorders>
            <w:shd w:val="clear" w:color="auto" w:fill="auto"/>
            <w:vAlign w:val="center"/>
          </w:tcPr>
          <w:p w14:paraId="1E0DE818">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w:t>
            </w:r>
          </w:p>
        </w:tc>
        <w:tc>
          <w:tcPr>
            <w:tcW w:w="993" w:type="dxa"/>
            <w:tcBorders>
              <w:top w:val="nil"/>
              <w:left w:val="nil"/>
              <w:bottom w:val="single" w:color="auto" w:sz="4" w:space="0"/>
              <w:right w:val="single" w:color="auto" w:sz="4" w:space="0"/>
            </w:tcBorders>
            <w:shd w:val="clear" w:color="auto" w:fill="auto"/>
            <w:vAlign w:val="center"/>
          </w:tcPr>
          <w:p w14:paraId="0A982202">
            <w:pPr>
              <w:widowControl/>
              <w:spacing w:line="540" w:lineRule="exact"/>
              <w:jc w:val="righ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100%</w:t>
            </w:r>
          </w:p>
        </w:tc>
      </w:tr>
      <w:tr w14:paraId="0A1DF5AD">
        <w:tblPrEx>
          <w:tblCellMar>
            <w:top w:w="0" w:type="dxa"/>
            <w:left w:w="108" w:type="dxa"/>
            <w:bottom w:w="0" w:type="dxa"/>
            <w:right w:w="108" w:type="dxa"/>
          </w:tblCellMar>
        </w:tblPrEx>
        <w:trPr>
          <w:trHeight w:val="480" w:hRule="atLeast"/>
        </w:trPr>
        <w:tc>
          <w:tcPr>
            <w:tcW w:w="3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D6CCE9">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合计</w:t>
            </w:r>
          </w:p>
        </w:tc>
        <w:tc>
          <w:tcPr>
            <w:tcW w:w="3001" w:type="dxa"/>
            <w:tcBorders>
              <w:top w:val="nil"/>
              <w:left w:val="nil"/>
              <w:bottom w:val="single" w:color="auto" w:sz="4" w:space="0"/>
              <w:right w:val="single" w:color="auto" w:sz="4" w:space="0"/>
            </w:tcBorders>
            <w:shd w:val="clear" w:color="auto" w:fill="auto"/>
            <w:vAlign w:val="center"/>
          </w:tcPr>
          <w:p w14:paraId="19840E68">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w:t>
            </w:r>
          </w:p>
        </w:tc>
        <w:tc>
          <w:tcPr>
            <w:tcW w:w="850" w:type="dxa"/>
            <w:tcBorders>
              <w:top w:val="nil"/>
              <w:left w:val="nil"/>
              <w:bottom w:val="single" w:color="auto" w:sz="4" w:space="0"/>
              <w:right w:val="single" w:color="auto" w:sz="4" w:space="0"/>
            </w:tcBorders>
            <w:shd w:val="clear" w:color="auto" w:fill="auto"/>
            <w:vAlign w:val="center"/>
          </w:tcPr>
          <w:p w14:paraId="167A5256">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30 </w:t>
            </w:r>
          </w:p>
        </w:tc>
        <w:tc>
          <w:tcPr>
            <w:tcW w:w="992" w:type="dxa"/>
            <w:tcBorders>
              <w:top w:val="nil"/>
              <w:left w:val="nil"/>
              <w:bottom w:val="single" w:color="auto" w:sz="4" w:space="0"/>
              <w:right w:val="single" w:color="auto" w:sz="4" w:space="0"/>
            </w:tcBorders>
            <w:shd w:val="clear" w:color="auto" w:fill="auto"/>
            <w:vAlign w:val="center"/>
          </w:tcPr>
          <w:p w14:paraId="7CC37311">
            <w:pPr>
              <w:widowControl/>
              <w:spacing w:line="540" w:lineRule="exact"/>
              <w:jc w:val="center"/>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30</w:t>
            </w:r>
          </w:p>
        </w:tc>
        <w:tc>
          <w:tcPr>
            <w:tcW w:w="993" w:type="dxa"/>
            <w:tcBorders>
              <w:top w:val="nil"/>
              <w:left w:val="nil"/>
              <w:bottom w:val="single" w:color="auto" w:sz="4" w:space="0"/>
              <w:right w:val="single" w:color="auto" w:sz="4" w:space="0"/>
            </w:tcBorders>
            <w:shd w:val="clear" w:color="auto" w:fill="auto"/>
            <w:vAlign w:val="center"/>
          </w:tcPr>
          <w:p w14:paraId="185D3493">
            <w:pPr>
              <w:widowControl/>
              <w:spacing w:line="540" w:lineRule="exact"/>
              <w:jc w:val="righ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100%</w:t>
            </w:r>
          </w:p>
        </w:tc>
      </w:tr>
    </w:tbl>
    <w:p w14:paraId="786777AC">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1.预算控制（自评得分8分）。</w:t>
      </w:r>
    </w:p>
    <w:p w14:paraId="52C50D74">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严格按照专项资金管理办法等有关规定据实支出，保障专项资金平稳运行。项目预算执行进度与工作完成进度相匹配，支出结果未超预算。该项目专项支出按年初预算执行未出现超支现象。该项目满分8分，自评得分8分。</w:t>
      </w:r>
    </w:p>
    <w:p w14:paraId="1CCAE0D7">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2.成本控制（满分7 分，得分 7分）。</w:t>
      </w:r>
    </w:p>
    <w:p w14:paraId="2DFFA16C">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严格按照</w:t>
      </w:r>
      <w:r>
        <w:rPr>
          <w:rStyle w:val="11"/>
          <w:rFonts w:hint="eastAsia" w:asciiTheme="minorEastAsia" w:hAnsiTheme="minorEastAsia" w:eastAsiaTheme="minorEastAsia"/>
          <w:b w:val="0"/>
          <w:bCs w:val="0"/>
          <w:spacing w:val="-4"/>
          <w:sz w:val="28"/>
          <w:szCs w:val="28"/>
          <w:lang w:eastAsia="zh-CN"/>
        </w:rPr>
        <w:t>中央八项规定</w:t>
      </w:r>
      <w:bookmarkStart w:id="10" w:name="_GoBack"/>
      <w:bookmarkEnd w:id="10"/>
      <w:r>
        <w:rPr>
          <w:rStyle w:val="11"/>
          <w:rFonts w:hint="eastAsia" w:asciiTheme="minorEastAsia" w:hAnsiTheme="minorEastAsia" w:eastAsiaTheme="minorEastAsia"/>
          <w:b w:val="0"/>
          <w:bCs w:val="0"/>
          <w:spacing w:val="-4"/>
          <w:sz w:val="28"/>
          <w:szCs w:val="28"/>
        </w:rPr>
        <w:t>及州委州政府厉行节约等有关规定和工作要求控制支出，在保障各项业务工作顺利开展的前提下，尽量节约开支。项目实施成本属于合理范围。该项目满分7分，自评得分7分。</w:t>
      </w:r>
    </w:p>
    <w:p w14:paraId="767ACF49">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3.产出时效（自评得分 5 分）。</w:t>
      </w:r>
    </w:p>
    <w:p w14:paraId="514071A6">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该项目于2019年12月30日前完成。计量器具检定、校准</w:t>
      </w:r>
      <w:r>
        <w:rPr>
          <w:rFonts w:hint="eastAsia" w:ascii="宋体" w:hAnsi="宋体" w:eastAsia="宋体" w:cs="Arial"/>
          <w:color w:val="000000"/>
          <w:kern w:val="0"/>
          <w:sz w:val="28"/>
          <w:szCs w:val="28"/>
        </w:rPr>
        <w:t>在15个工作日内完成，</w:t>
      </w:r>
      <w:r>
        <w:rPr>
          <w:rStyle w:val="11"/>
          <w:rFonts w:hint="eastAsia" w:asciiTheme="minorEastAsia" w:hAnsiTheme="minorEastAsia" w:eastAsiaTheme="minorEastAsia"/>
          <w:b w:val="0"/>
          <w:bCs w:val="0"/>
          <w:spacing w:val="-4"/>
          <w:sz w:val="28"/>
          <w:szCs w:val="28"/>
        </w:rPr>
        <w:t>计量器具出具检定、校准报告在</w:t>
      </w:r>
      <w:r>
        <w:rPr>
          <w:rFonts w:hint="eastAsia" w:ascii="宋体" w:hAnsi="宋体" w:eastAsia="宋体" w:cs="Arial"/>
          <w:color w:val="000000"/>
          <w:kern w:val="0"/>
          <w:sz w:val="28"/>
          <w:szCs w:val="28"/>
        </w:rPr>
        <w:t>15个工作日完成。</w:t>
      </w:r>
      <w:r>
        <w:rPr>
          <w:rStyle w:val="11"/>
          <w:rFonts w:hint="eastAsia" w:asciiTheme="minorEastAsia" w:hAnsiTheme="minorEastAsia" w:eastAsiaTheme="minorEastAsia"/>
          <w:b w:val="0"/>
          <w:bCs w:val="0"/>
          <w:spacing w:val="-4"/>
          <w:sz w:val="28"/>
          <w:szCs w:val="28"/>
        </w:rPr>
        <w:t>该项目满分5分，自评得分5分。</w:t>
      </w:r>
    </w:p>
    <w:p w14:paraId="56AA33D7">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4.产出数量与质量（满分 10 分，得分 10 分）。</w:t>
      </w:r>
    </w:p>
    <w:p w14:paraId="7897A622">
      <w:pPr>
        <w:spacing w:line="540" w:lineRule="exact"/>
        <w:ind w:firstLine="560" w:firstLineChars="200"/>
        <w:rPr>
          <w:rFonts w:ascii="宋体" w:hAnsi="宋体" w:eastAsia="宋体" w:cs="Arial"/>
          <w:color w:val="000000"/>
          <w:kern w:val="0"/>
          <w:sz w:val="28"/>
          <w:szCs w:val="28"/>
        </w:rPr>
      </w:pPr>
      <w:r>
        <w:rPr>
          <w:rFonts w:hint="eastAsia" w:asciiTheme="minorEastAsia" w:hAnsiTheme="minorEastAsia" w:eastAsiaTheme="minorEastAsia"/>
          <w:kern w:val="0"/>
          <w:sz w:val="28"/>
          <w:szCs w:val="28"/>
        </w:rPr>
        <w:t>2019年度年计划送检标准器台件数270台件,实际送检272台件，计划外出送检12人次,实际外出送检12人次。保证量值传递的可靠准确率达99 %。</w:t>
      </w:r>
    </w:p>
    <w:p w14:paraId="2A93ECC0">
      <w:pPr>
        <w:spacing w:line="54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w:t>
      </w:r>
      <w:r>
        <w:rPr>
          <w:rFonts w:hint="eastAsia" w:cs="方正仿宋_GBK" w:asciiTheme="minorEastAsia" w:hAnsiTheme="minorEastAsia" w:eastAsiaTheme="minorEastAsia"/>
          <w:sz w:val="28"/>
          <w:szCs w:val="28"/>
        </w:rPr>
        <w:t>2019</w:t>
      </w:r>
      <w:r>
        <w:rPr>
          <w:rFonts w:hint="eastAsia" w:asciiTheme="minorEastAsia" w:hAnsiTheme="minorEastAsia" w:eastAsiaTheme="minorEastAsia"/>
          <w:kern w:val="0"/>
          <w:sz w:val="28"/>
          <w:szCs w:val="28"/>
        </w:rPr>
        <w:t>巴州计量检定所共计检定、校准各类计量器具共计113668台件，检定强制检定计量器具95666台件，其中：强检工作计量器具用于贸易结算70438台件，用于医疗卫生653台件，用于安全防护24382台件，用于环境监测193台件；非强检计量器具18002台。定量包装商品净含量检验小食品、食用油等12个批次（共计550样本样）</w:t>
      </w:r>
    </w:p>
    <w:p w14:paraId="6B4615CB">
      <w:pPr>
        <w:widowControl/>
        <w:adjustRightInd w:val="0"/>
        <w:snapToGrid w:val="0"/>
        <w:spacing w:line="540" w:lineRule="exact"/>
        <w:ind w:firstLine="560" w:firstLineChars="200"/>
        <w:jc w:val="left"/>
        <w:rPr>
          <w:rFonts w:asciiTheme="minorEastAsia" w:hAnsiTheme="minorEastAsia" w:eastAsiaTheme="minorEastAsia"/>
          <w:sz w:val="28"/>
          <w:szCs w:val="28"/>
        </w:rPr>
      </w:pPr>
      <w:r>
        <w:rPr>
          <w:rFonts w:hint="eastAsia" w:cs="仿宋_GB2312" w:asciiTheme="minorEastAsia" w:hAnsiTheme="minorEastAsia" w:eastAsiaTheme="minorEastAsia"/>
          <w:kern w:val="0"/>
          <w:sz w:val="28"/>
          <w:szCs w:val="28"/>
        </w:rPr>
        <w:t>（2）根据《自治区市场监督管理局关于印发《全区推广强制检定工作计量器具业务管理系统实施方案》的通知要求，完成计量技术机构用户信息、92条检定项目信息录入及自2017年4月停征以来强制检定计量器具27000条信息录入工作，为建立</w:t>
      </w:r>
      <w:r>
        <w:rPr>
          <w:rFonts w:hint="eastAsia" w:asciiTheme="minorEastAsia" w:hAnsiTheme="minorEastAsia" w:eastAsiaTheme="minorEastAsia"/>
          <w:sz w:val="28"/>
          <w:szCs w:val="28"/>
        </w:rPr>
        <w:t>强制检定工作计量器具目录的动态管理机制打好基础。</w:t>
      </w:r>
    </w:p>
    <w:p w14:paraId="21F2E61C">
      <w:pPr>
        <w:widowControl/>
        <w:adjustRightInd w:val="0"/>
        <w:snapToGrid w:val="0"/>
        <w:spacing w:line="540" w:lineRule="exact"/>
        <w:ind w:firstLine="560" w:firstLineChars="200"/>
        <w:jc w:val="left"/>
        <w:rPr>
          <w:rFonts w:asciiTheme="minorEastAsia" w:hAnsiTheme="minorEastAsia" w:eastAsiaTheme="minorEastAsia"/>
          <w:sz w:val="28"/>
          <w:szCs w:val="28"/>
        </w:rPr>
      </w:pPr>
      <w:r>
        <w:rPr>
          <w:rFonts w:hint="eastAsia" w:cs="仿宋_GB2312" w:asciiTheme="minorEastAsia" w:hAnsiTheme="minorEastAsia" w:eastAsiaTheme="minorEastAsia"/>
          <w:kern w:val="0"/>
          <w:sz w:val="28"/>
          <w:szCs w:val="28"/>
        </w:rPr>
        <w:t>（3）根据《关于进一步规范儿童青少年近视矫正工作切实加强监管的通知》要求，对视博眼镜行、巴州作明眼镜行、库尔勒保视康眼镜行等眼镜配制企业进行周期工作，检定光学类项目台件数为270台件（验光机37台，焦度计36台，验光镜片箱47箱）。</w:t>
      </w:r>
    </w:p>
    <w:p w14:paraId="2B0B4CB3">
      <w:pPr>
        <w:spacing w:line="540" w:lineRule="exact"/>
        <w:ind w:firstLine="560" w:firstLine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(4）开展对数字指示秤、加油机、加气机、出租车计价器、民用三表等强制检定计量器具周期检定工作。检定数字指示秤2307台（其中电子汽车衡131台、</w:t>
      </w:r>
      <w:r>
        <w:rPr>
          <w:rFonts w:hint="eastAsia" w:cs="仿宋_GB2312" w:asciiTheme="minorEastAsia" w:hAnsiTheme="minorEastAsia" w:eastAsiaTheme="minorEastAsia"/>
          <w:kern w:val="0"/>
          <w:sz w:val="28"/>
          <w:szCs w:val="28"/>
        </w:rPr>
        <w:t>集贸市场、商场超市</w:t>
      </w:r>
      <w:r>
        <w:rPr>
          <w:rFonts w:hint="eastAsia" w:cs="仿宋_GB2312" w:asciiTheme="minorEastAsia" w:hAnsiTheme="minorEastAsia" w:eastAsiaTheme="minorEastAsia"/>
          <w:sz w:val="28"/>
          <w:szCs w:val="28"/>
        </w:rPr>
        <w:t>用电子计价秤2176台）；检定出租车计价器3911台；</w:t>
      </w:r>
      <w:r>
        <w:rPr>
          <w:rFonts w:hint="eastAsia" w:asciiTheme="minorEastAsia" w:hAnsiTheme="minorEastAsia" w:eastAsiaTheme="minorEastAsia"/>
          <w:sz w:val="28"/>
          <w:szCs w:val="28"/>
        </w:rPr>
        <w:t>检定电能表、电流表、电压表绝缘电阻表等共计3285余台</w:t>
      </w:r>
      <w:r>
        <w:rPr>
          <w:rFonts w:hint="eastAsia" w:cs="仿宋_GB2312" w:asciiTheme="minorEastAsia" w:hAnsiTheme="minorEastAsia" w:eastAsiaTheme="minorEastAsia"/>
          <w:sz w:val="28"/>
          <w:szCs w:val="28"/>
        </w:rPr>
        <w:t>；检定水表20000台；检定燃气表36448台；检定中石油、中石化、洪通燃气等企业的加油机959把枪；加气机1118把枪；检定各类报警器192台。</w:t>
      </w:r>
    </w:p>
    <w:p w14:paraId="2BD5405C">
      <w:pPr>
        <w:widowControl/>
        <w:spacing w:line="540" w:lineRule="exact"/>
        <w:ind w:firstLine="560" w:firstLineChars="200"/>
        <w:jc w:val="left"/>
        <w:rPr>
          <w:rFonts w:cs="仿宋_GB2312" w:asciiTheme="minorEastAsia" w:hAnsiTheme="minorEastAsia" w:eastAsiaTheme="minorEastAsia"/>
          <w:sz w:val="28"/>
          <w:szCs w:val="28"/>
        </w:rPr>
      </w:pPr>
      <w:r>
        <w:rPr>
          <w:rFonts w:hint="eastAsia" w:cs="仿宋_GB2312" w:asciiTheme="minorEastAsia" w:hAnsiTheme="minorEastAsia" w:eastAsiaTheme="minorEastAsia"/>
          <w:kern w:val="0"/>
          <w:sz w:val="28"/>
          <w:szCs w:val="28"/>
        </w:rPr>
        <w:t>（5）</w:t>
      </w:r>
      <w:r>
        <w:rPr>
          <w:rFonts w:hint="eastAsia" w:cs="仿宋_GB2312" w:asciiTheme="minorEastAsia" w:hAnsiTheme="minorEastAsia" w:eastAsiaTheme="minorEastAsia"/>
          <w:sz w:val="28"/>
          <w:szCs w:val="28"/>
        </w:rPr>
        <w:t>积极为当地厂矿、企事业单位提供计量检定、校准服务。</w:t>
      </w:r>
      <w:r>
        <w:rPr>
          <w:rFonts w:hint="eastAsia" w:cs="仿宋_GB2312" w:asciiTheme="minorEastAsia" w:hAnsiTheme="minorEastAsia" w:eastAsiaTheme="minorEastAsia"/>
          <w:kern w:val="0"/>
          <w:sz w:val="28"/>
          <w:szCs w:val="28"/>
        </w:rPr>
        <w:t>开展对州医院、药检所、塔里木油建化学助剂厂、公路、铁路等工程检测中心等实验室计量器具的检定、校准工作。检定心电图机、B超机、血压计、</w:t>
      </w:r>
      <w:r>
        <w:rPr>
          <w:rFonts w:hint="eastAsia" w:cs="仿宋_GB2312" w:asciiTheme="minorEastAsia" w:hAnsiTheme="minorEastAsia" w:eastAsiaTheme="minorEastAsia"/>
          <w:sz w:val="28"/>
          <w:szCs w:val="28"/>
        </w:rPr>
        <w:t>分光光度计、焦度计、验光仪、酸度计、玻璃液体温度计、天平、压力表等计量器具26711台件。</w:t>
      </w:r>
    </w:p>
    <w:p w14:paraId="55E6E172">
      <w:pPr>
        <w:widowControl/>
        <w:adjustRightInd w:val="0"/>
        <w:snapToGrid w:val="0"/>
        <w:spacing w:line="540" w:lineRule="exact"/>
        <w:ind w:firstLine="560" w:firstLineChars="200"/>
        <w:jc w:val="left"/>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（6）顺利</w:t>
      </w:r>
      <w:r>
        <w:rPr>
          <w:rFonts w:hint="eastAsia" w:cs="仿宋_GB2312" w:asciiTheme="minorEastAsia" w:hAnsiTheme="minorEastAsia" w:eastAsiaTheme="minorEastAsia"/>
          <w:kern w:val="0"/>
          <w:sz w:val="28"/>
          <w:szCs w:val="28"/>
        </w:rPr>
        <w:t>完成了中石化西北油田分公司采油一厂压力表等计量器具的检定工作，共检定A类压力表3303块，B类压力表12119块，双金属温度计2262支，温度变送器214台，压力变送器301台，铂电阻28支。为塔河油田采油一厂的生产安全运行，提供了技术支持和保障。</w:t>
      </w:r>
    </w:p>
    <w:p w14:paraId="3351D4AA">
      <w:pPr>
        <w:spacing w:line="540" w:lineRule="exact"/>
        <w:ind w:firstLine="560" w:firstLineChars="200"/>
        <w:rPr>
          <w:rStyle w:val="11"/>
          <w:rFonts w:cs="仿宋_GB2312" w:asciiTheme="minorEastAsia" w:hAnsiTheme="minorEastAsia" w:eastAsiaTheme="minorEastAsia"/>
          <w:b w:val="0"/>
          <w:bCs w:val="0"/>
          <w:sz w:val="28"/>
          <w:szCs w:val="28"/>
        </w:rPr>
      </w:pPr>
      <w:r>
        <w:rPr>
          <w:rFonts w:hint="eastAsia" w:cs="仿宋_GB2312" w:asciiTheme="minorEastAsia" w:hAnsiTheme="minorEastAsia" w:eastAsiaTheme="minorEastAsia"/>
          <w:kern w:val="0"/>
          <w:sz w:val="28"/>
          <w:szCs w:val="28"/>
        </w:rPr>
        <w:t>（7）</w:t>
      </w:r>
      <w:r>
        <w:rPr>
          <w:rFonts w:hint="eastAsia" w:cs="仿宋_GB2312" w:asciiTheme="minorEastAsia" w:hAnsiTheme="minorEastAsia" w:eastAsiaTheme="minorEastAsia"/>
          <w:sz w:val="28"/>
          <w:szCs w:val="28"/>
        </w:rPr>
        <w:t>开展对巴州三联、巴州志远、库尔勒永顺三家机动车检测机构的综合性能检测线、环保检测线的汽车转向盘转向力/转向角检测仪、汽车排放气体测试仪、滚筒反力式制动检验台等240台设备进行检定、校准。</w:t>
      </w:r>
    </w:p>
    <w:bookmarkEnd w:id="9"/>
    <w:p w14:paraId="574EBDC3">
      <w:pPr>
        <w:spacing w:line="540" w:lineRule="exact"/>
        <w:ind w:firstLine="544" w:firstLineChars="200"/>
        <w:jc w:val="left"/>
        <w:rPr>
          <w:rStyle w:val="11"/>
          <w:rFonts w:asciiTheme="minorEastAsia" w:hAnsiTheme="minorEastAsia" w:eastAsiaTheme="minorEastAsia"/>
          <w:b w:val="0"/>
          <w:bCs w:val="0"/>
          <w:spacing w:val="-4"/>
          <w:sz w:val="28"/>
          <w:szCs w:val="28"/>
        </w:rPr>
      </w:pPr>
      <w:r>
        <w:rPr>
          <w:rStyle w:val="11"/>
          <w:rFonts w:hint="eastAsia" w:asciiTheme="minorEastAsia" w:hAnsiTheme="minorEastAsia" w:eastAsiaTheme="minorEastAsia"/>
          <w:b w:val="0"/>
          <w:bCs w:val="0"/>
          <w:spacing w:val="-4"/>
          <w:sz w:val="28"/>
          <w:szCs w:val="28"/>
        </w:rPr>
        <w:t>该项目满分9分，自评得分9分。</w:t>
      </w:r>
    </w:p>
    <w:p w14:paraId="79CFE79B">
      <w:pPr>
        <w:spacing w:line="540" w:lineRule="exact"/>
        <w:ind w:firstLine="600"/>
        <w:jc w:val="left"/>
        <w:rPr>
          <w:rFonts w:cs="方正仿宋_GBK" w:asciiTheme="minorEastAsia" w:hAnsiTheme="minorEastAsia" w:eastAsiaTheme="minorEastAsia"/>
          <w:b/>
          <w:sz w:val="28"/>
          <w:szCs w:val="28"/>
        </w:rPr>
      </w:pPr>
      <w:r>
        <w:rPr>
          <w:rFonts w:hint="eastAsia" w:cs="方正仿宋_GBK" w:asciiTheme="minorEastAsia" w:hAnsiTheme="minorEastAsia" w:eastAsiaTheme="minorEastAsia"/>
          <w:b/>
          <w:sz w:val="28"/>
          <w:szCs w:val="28"/>
        </w:rPr>
        <w:t>（ 四 ） 项目效益情况</w:t>
      </w:r>
    </w:p>
    <w:p w14:paraId="37CDDEED">
      <w:pPr>
        <w:spacing w:line="540" w:lineRule="exact"/>
        <w:ind w:firstLine="600"/>
        <w:jc w:val="left"/>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该类指标满分 30 分，包括经济效益、社会效益、可持续发展、用户满意度等 4 个二级指标（具体分值及得分情况如下表 3-5 所示）。主要考察该项目的资金创造经济收入、社会效益、用户满意度等情况。</w:t>
      </w:r>
    </w:p>
    <w:p w14:paraId="5B8A85B4">
      <w:pPr>
        <w:spacing w:line="540" w:lineRule="exact"/>
        <w:ind w:firstLine="2133" w:firstLineChars="762"/>
        <w:jc w:val="left"/>
        <w:rPr>
          <w:rFonts w:cs="方正仿宋_GBK" w:asciiTheme="minorEastAsia" w:hAnsiTheme="minorEastAsia" w:eastAsiaTheme="minorEastAsia"/>
          <w:sz w:val="28"/>
          <w:szCs w:val="28"/>
        </w:rPr>
      </w:pPr>
    </w:p>
    <w:p w14:paraId="41EB6655">
      <w:pPr>
        <w:spacing w:line="540" w:lineRule="exact"/>
        <w:ind w:firstLine="2133" w:firstLineChars="762"/>
        <w:jc w:val="left"/>
        <w:rPr>
          <w:rFonts w:cs="方正仿宋_GBK" w:asciiTheme="minorEastAsia" w:hAnsiTheme="minorEastAsia" w:eastAsiaTheme="minorEastAsia"/>
          <w:sz w:val="28"/>
          <w:szCs w:val="28"/>
        </w:rPr>
      </w:pPr>
    </w:p>
    <w:p w14:paraId="1BAB2BE8">
      <w:pPr>
        <w:spacing w:line="540" w:lineRule="exact"/>
        <w:ind w:firstLine="2133" w:firstLineChars="762"/>
        <w:jc w:val="left"/>
        <w:rPr>
          <w:rFonts w:cs="方正仿宋_GBK" w:asciiTheme="minorEastAsia" w:hAnsiTheme="minorEastAsia" w:eastAsiaTheme="minorEastAsia"/>
          <w:sz w:val="28"/>
          <w:szCs w:val="28"/>
        </w:rPr>
      </w:pPr>
    </w:p>
    <w:p w14:paraId="3C174EB3">
      <w:pPr>
        <w:spacing w:line="540" w:lineRule="exact"/>
        <w:ind w:firstLine="2133" w:firstLineChars="762"/>
        <w:jc w:val="left"/>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表 4-4 效益类指标具体分值及得分率</w:t>
      </w:r>
    </w:p>
    <w:tbl>
      <w:tblPr>
        <w:tblStyle w:val="8"/>
        <w:tblW w:w="9077" w:type="dxa"/>
        <w:tblInd w:w="103" w:type="dxa"/>
        <w:tblLayout w:type="fixed"/>
        <w:tblCellMar>
          <w:top w:w="0" w:type="dxa"/>
          <w:left w:w="108" w:type="dxa"/>
          <w:bottom w:w="0" w:type="dxa"/>
          <w:right w:w="108" w:type="dxa"/>
        </w:tblCellMar>
      </w:tblPr>
      <w:tblGrid>
        <w:gridCol w:w="1446"/>
        <w:gridCol w:w="1541"/>
        <w:gridCol w:w="3142"/>
        <w:gridCol w:w="964"/>
        <w:gridCol w:w="992"/>
        <w:gridCol w:w="992"/>
      </w:tblGrid>
      <w:tr w14:paraId="69F10277">
        <w:tblPrEx>
          <w:tblCellMar>
            <w:top w:w="0" w:type="dxa"/>
            <w:left w:w="108" w:type="dxa"/>
            <w:bottom w:w="0" w:type="dxa"/>
            <w:right w:w="108" w:type="dxa"/>
          </w:tblCellMar>
        </w:tblPrEx>
        <w:trPr>
          <w:trHeight w:val="480" w:hRule="atLeast"/>
        </w:trPr>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14:paraId="36BF23F0">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一级指标</w:t>
            </w:r>
          </w:p>
        </w:tc>
        <w:tc>
          <w:tcPr>
            <w:tcW w:w="1541" w:type="dxa"/>
            <w:tcBorders>
              <w:top w:val="single" w:color="auto" w:sz="4" w:space="0"/>
              <w:left w:val="nil"/>
              <w:bottom w:val="single" w:color="auto" w:sz="4" w:space="0"/>
              <w:right w:val="single" w:color="auto" w:sz="4" w:space="0"/>
            </w:tcBorders>
            <w:shd w:val="clear" w:color="auto" w:fill="auto"/>
            <w:vAlign w:val="center"/>
          </w:tcPr>
          <w:p w14:paraId="289E888E">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二级指标</w:t>
            </w:r>
          </w:p>
        </w:tc>
        <w:tc>
          <w:tcPr>
            <w:tcW w:w="3142" w:type="dxa"/>
            <w:tcBorders>
              <w:top w:val="single" w:color="auto" w:sz="4" w:space="0"/>
              <w:left w:val="nil"/>
              <w:bottom w:val="single" w:color="auto" w:sz="4" w:space="0"/>
              <w:right w:val="single" w:color="auto" w:sz="4" w:space="0"/>
            </w:tcBorders>
            <w:shd w:val="clear" w:color="auto" w:fill="auto"/>
            <w:vAlign w:val="center"/>
          </w:tcPr>
          <w:p w14:paraId="3C2CA4E7">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三级指标</w:t>
            </w:r>
          </w:p>
        </w:tc>
        <w:tc>
          <w:tcPr>
            <w:tcW w:w="964" w:type="dxa"/>
            <w:tcBorders>
              <w:top w:val="single" w:color="auto" w:sz="4" w:space="0"/>
              <w:left w:val="nil"/>
              <w:bottom w:val="single" w:color="auto" w:sz="4" w:space="0"/>
              <w:right w:val="single" w:color="auto" w:sz="4" w:space="0"/>
            </w:tcBorders>
            <w:shd w:val="clear" w:color="auto" w:fill="auto"/>
            <w:vAlign w:val="center"/>
          </w:tcPr>
          <w:p w14:paraId="79284DB8">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分值</w:t>
            </w:r>
          </w:p>
        </w:tc>
        <w:tc>
          <w:tcPr>
            <w:tcW w:w="992" w:type="dxa"/>
            <w:tcBorders>
              <w:top w:val="single" w:color="auto" w:sz="4" w:space="0"/>
              <w:left w:val="nil"/>
              <w:bottom w:val="single" w:color="auto" w:sz="4" w:space="0"/>
              <w:right w:val="single" w:color="auto" w:sz="4" w:space="0"/>
            </w:tcBorders>
            <w:shd w:val="clear" w:color="auto" w:fill="auto"/>
            <w:vAlign w:val="center"/>
          </w:tcPr>
          <w:p w14:paraId="0340DD3A">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得分</w:t>
            </w:r>
          </w:p>
        </w:tc>
        <w:tc>
          <w:tcPr>
            <w:tcW w:w="992" w:type="dxa"/>
            <w:tcBorders>
              <w:top w:val="single" w:color="auto" w:sz="4" w:space="0"/>
              <w:left w:val="nil"/>
              <w:bottom w:val="single" w:color="auto" w:sz="4" w:space="0"/>
              <w:right w:val="single" w:color="auto" w:sz="4" w:space="0"/>
            </w:tcBorders>
            <w:shd w:val="clear" w:color="auto" w:fill="auto"/>
            <w:vAlign w:val="center"/>
          </w:tcPr>
          <w:p w14:paraId="245AF54D">
            <w:pPr>
              <w:widowControl/>
              <w:spacing w:line="540" w:lineRule="exact"/>
              <w:jc w:val="center"/>
              <w:rPr>
                <w:rFonts w:cs="宋体" w:asciiTheme="minorEastAsia" w:hAnsiTheme="minorEastAsia" w:eastAsiaTheme="minorEastAsia"/>
                <w:b/>
                <w:bCs/>
                <w:kern w:val="0"/>
                <w:sz w:val="24"/>
              </w:rPr>
            </w:pPr>
            <w:r>
              <w:rPr>
                <w:rFonts w:hint="eastAsia" w:cs="宋体" w:asciiTheme="minorEastAsia" w:hAnsiTheme="minorEastAsia" w:eastAsiaTheme="minorEastAsia"/>
                <w:b/>
                <w:bCs/>
                <w:kern w:val="0"/>
                <w:sz w:val="24"/>
              </w:rPr>
              <w:t>得分率</w:t>
            </w:r>
          </w:p>
        </w:tc>
      </w:tr>
      <w:tr w14:paraId="7445B503">
        <w:tblPrEx>
          <w:tblCellMar>
            <w:top w:w="0" w:type="dxa"/>
            <w:left w:w="108" w:type="dxa"/>
            <w:bottom w:w="0" w:type="dxa"/>
            <w:right w:w="108" w:type="dxa"/>
          </w:tblCellMar>
        </w:tblPrEx>
        <w:trPr>
          <w:trHeight w:val="372" w:hRule="atLeast"/>
        </w:trPr>
        <w:tc>
          <w:tcPr>
            <w:tcW w:w="1446" w:type="dxa"/>
            <w:vMerge w:val="restart"/>
            <w:tcBorders>
              <w:top w:val="nil"/>
              <w:left w:val="single" w:color="auto" w:sz="4" w:space="0"/>
              <w:bottom w:val="single" w:color="000000" w:sz="4" w:space="0"/>
              <w:right w:val="single" w:color="auto" w:sz="4" w:space="0"/>
            </w:tcBorders>
            <w:shd w:val="clear" w:color="auto" w:fill="auto"/>
            <w:vAlign w:val="center"/>
          </w:tcPr>
          <w:p w14:paraId="046C9435">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项目效益</w:t>
            </w:r>
          </w:p>
        </w:tc>
        <w:tc>
          <w:tcPr>
            <w:tcW w:w="1541" w:type="dxa"/>
            <w:vMerge w:val="restart"/>
            <w:tcBorders>
              <w:top w:val="nil"/>
              <w:left w:val="single" w:color="auto" w:sz="4" w:space="0"/>
              <w:bottom w:val="single" w:color="auto" w:sz="4" w:space="0"/>
              <w:right w:val="single" w:color="auto" w:sz="4" w:space="0"/>
            </w:tcBorders>
            <w:shd w:val="clear" w:color="auto" w:fill="auto"/>
            <w:vAlign w:val="center"/>
          </w:tcPr>
          <w:p w14:paraId="43670CB7">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效果性</w:t>
            </w:r>
          </w:p>
        </w:tc>
        <w:tc>
          <w:tcPr>
            <w:tcW w:w="3142" w:type="dxa"/>
            <w:tcBorders>
              <w:top w:val="nil"/>
              <w:left w:val="nil"/>
              <w:bottom w:val="single" w:color="auto" w:sz="4" w:space="0"/>
              <w:right w:val="single" w:color="auto" w:sz="4" w:space="0"/>
            </w:tcBorders>
            <w:shd w:val="clear" w:color="auto" w:fill="auto"/>
            <w:vAlign w:val="center"/>
          </w:tcPr>
          <w:p w14:paraId="0A7C4D2C">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经济效益</w:t>
            </w:r>
          </w:p>
        </w:tc>
        <w:tc>
          <w:tcPr>
            <w:tcW w:w="964" w:type="dxa"/>
            <w:tcBorders>
              <w:top w:val="nil"/>
              <w:left w:val="single" w:color="auto" w:sz="4" w:space="0"/>
              <w:bottom w:val="single" w:color="000000" w:sz="4" w:space="0"/>
              <w:right w:val="single" w:color="auto" w:sz="4" w:space="0"/>
            </w:tcBorders>
            <w:shd w:val="clear" w:color="auto" w:fill="auto"/>
            <w:vAlign w:val="center"/>
          </w:tcPr>
          <w:p w14:paraId="00498F5C">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9</w:t>
            </w:r>
          </w:p>
        </w:tc>
        <w:tc>
          <w:tcPr>
            <w:tcW w:w="992" w:type="dxa"/>
            <w:tcBorders>
              <w:top w:val="nil"/>
              <w:left w:val="single" w:color="auto" w:sz="4" w:space="0"/>
              <w:bottom w:val="single" w:color="000000" w:sz="4" w:space="0"/>
              <w:right w:val="single" w:color="auto" w:sz="4" w:space="0"/>
            </w:tcBorders>
            <w:shd w:val="clear" w:color="auto" w:fill="auto"/>
            <w:vAlign w:val="center"/>
          </w:tcPr>
          <w:p w14:paraId="67258EBF">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9</w:t>
            </w:r>
          </w:p>
        </w:tc>
        <w:tc>
          <w:tcPr>
            <w:tcW w:w="992" w:type="dxa"/>
            <w:vMerge w:val="restart"/>
            <w:tcBorders>
              <w:top w:val="nil"/>
              <w:left w:val="single" w:color="auto" w:sz="4" w:space="0"/>
              <w:bottom w:val="single" w:color="000000" w:sz="4" w:space="0"/>
              <w:right w:val="single" w:color="auto" w:sz="4" w:space="0"/>
            </w:tcBorders>
            <w:shd w:val="clear" w:color="auto" w:fill="auto"/>
            <w:vAlign w:val="center"/>
          </w:tcPr>
          <w:p w14:paraId="51455A63">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18288EDA">
        <w:tblPrEx>
          <w:tblCellMar>
            <w:top w:w="0" w:type="dxa"/>
            <w:left w:w="108" w:type="dxa"/>
            <w:bottom w:w="0" w:type="dxa"/>
            <w:right w:w="108" w:type="dxa"/>
          </w:tblCellMar>
        </w:tblPrEx>
        <w:trPr>
          <w:trHeight w:val="394" w:hRule="atLeast"/>
        </w:trPr>
        <w:tc>
          <w:tcPr>
            <w:tcW w:w="1446" w:type="dxa"/>
            <w:vMerge w:val="continue"/>
            <w:tcBorders>
              <w:top w:val="nil"/>
              <w:left w:val="single" w:color="auto" w:sz="4" w:space="0"/>
              <w:bottom w:val="single" w:color="000000" w:sz="4" w:space="0"/>
              <w:right w:val="single" w:color="auto" w:sz="4" w:space="0"/>
            </w:tcBorders>
            <w:vAlign w:val="center"/>
          </w:tcPr>
          <w:p w14:paraId="588FC627">
            <w:pPr>
              <w:widowControl/>
              <w:spacing w:line="540" w:lineRule="exact"/>
              <w:jc w:val="left"/>
              <w:rPr>
                <w:rFonts w:cs="宋体" w:asciiTheme="minorEastAsia" w:hAnsiTheme="minorEastAsia" w:eastAsiaTheme="minorEastAsia"/>
                <w:kern w:val="0"/>
                <w:sz w:val="24"/>
              </w:rPr>
            </w:pPr>
          </w:p>
        </w:tc>
        <w:tc>
          <w:tcPr>
            <w:tcW w:w="1541" w:type="dxa"/>
            <w:vMerge w:val="continue"/>
            <w:tcBorders>
              <w:top w:val="nil"/>
              <w:left w:val="single" w:color="auto" w:sz="4" w:space="0"/>
              <w:bottom w:val="single" w:color="auto" w:sz="4" w:space="0"/>
              <w:right w:val="single" w:color="auto" w:sz="4" w:space="0"/>
            </w:tcBorders>
            <w:vAlign w:val="center"/>
          </w:tcPr>
          <w:p w14:paraId="6C0412A7">
            <w:pPr>
              <w:widowControl/>
              <w:spacing w:line="540" w:lineRule="exact"/>
              <w:jc w:val="left"/>
              <w:rPr>
                <w:rFonts w:cs="宋体" w:asciiTheme="minorEastAsia" w:hAnsiTheme="minorEastAsia" w:eastAsiaTheme="minorEastAsia"/>
                <w:kern w:val="0"/>
                <w:sz w:val="24"/>
              </w:rPr>
            </w:pPr>
          </w:p>
        </w:tc>
        <w:tc>
          <w:tcPr>
            <w:tcW w:w="3142" w:type="dxa"/>
            <w:tcBorders>
              <w:top w:val="nil"/>
              <w:left w:val="nil"/>
              <w:bottom w:val="single" w:color="auto" w:sz="4" w:space="0"/>
              <w:right w:val="single" w:color="auto" w:sz="4" w:space="0"/>
            </w:tcBorders>
            <w:shd w:val="clear" w:color="auto" w:fill="auto"/>
            <w:vAlign w:val="center"/>
          </w:tcPr>
          <w:p w14:paraId="6FE25EB5">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社会效益</w:t>
            </w:r>
          </w:p>
        </w:tc>
        <w:tc>
          <w:tcPr>
            <w:tcW w:w="964" w:type="dxa"/>
            <w:tcBorders>
              <w:top w:val="nil"/>
              <w:left w:val="single" w:color="auto" w:sz="4" w:space="0"/>
              <w:bottom w:val="single" w:color="000000" w:sz="4" w:space="0"/>
              <w:right w:val="single" w:color="auto" w:sz="4" w:space="0"/>
            </w:tcBorders>
            <w:shd w:val="clear" w:color="auto" w:fill="auto"/>
            <w:vAlign w:val="center"/>
          </w:tcPr>
          <w:p w14:paraId="7FC8839C">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9</w:t>
            </w:r>
          </w:p>
        </w:tc>
        <w:tc>
          <w:tcPr>
            <w:tcW w:w="992" w:type="dxa"/>
            <w:tcBorders>
              <w:top w:val="nil"/>
              <w:left w:val="single" w:color="auto" w:sz="4" w:space="0"/>
              <w:bottom w:val="single" w:color="000000" w:sz="4" w:space="0"/>
              <w:right w:val="single" w:color="auto" w:sz="4" w:space="0"/>
            </w:tcBorders>
            <w:shd w:val="clear" w:color="auto" w:fill="auto"/>
            <w:vAlign w:val="center"/>
          </w:tcPr>
          <w:p w14:paraId="4FFFF479">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9</w:t>
            </w:r>
          </w:p>
        </w:tc>
        <w:tc>
          <w:tcPr>
            <w:tcW w:w="992" w:type="dxa"/>
            <w:vMerge w:val="continue"/>
            <w:tcBorders>
              <w:top w:val="nil"/>
              <w:left w:val="single" w:color="auto" w:sz="4" w:space="0"/>
              <w:bottom w:val="single" w:color="000000" w:sz="4" w:space="0"/>
              <w:right w:val="single" w:color="auto" w:sz="4" w:space="0"/>
            </w:tcBorders>
            <w:vAlign w:val="center"/>
          </w:tcPr>
          <w:p w14:paraId="6788D179">
            <w:pPr>
              <w:widowControl/>
              <w:spacing w:line="540" w:lineRule="exact"/>
              <w:jc w:val="left"/>
              <w:rPr>
                <w:rFonts w:cs="宋体" w:asciiTheme="minorEastAsia" w:hAnsiTheme="minorEastAsia" w:eastAsiaTheme="minorEastAsia"/>
                <w:kern w:val="0"/>
                <w:sz w:val="24"/>
              </w:rPr>
            </w:pPr>
          </w:p>
        </w:tc>
      </w:tr>
      <w:tr w14:paraId="7494EB93">
        <w:tblPrEx>
          <w:tblCellMar>
            <w:top w:w="0" w:type="dxa"/>
            <w:left w:w="108" w:type="dxa"/>
            <w:bottom w:w="0" w:type="dxa"/>
            <w:right w:w="108" w:type="dxa"/>
          </w:tblCellMar>
        </w:tblPrEx>
        <w:trPr>
          <w:trHeight w:val="416" w:hRule="atLeast"/>
        </w:trPr>
        <w:tc>
          <w:tcPr>
            <w:tcW w:w="1446" w:type="dxa"/>
            <w:vMerge w:val="continue"/>
            <w:tcBorders>
              <w:top w:val="nil"/>
              <w:left w:val="single" w:color="auto" w:sz="4" w:space="0"/>
              <w:bottom w:val="single" w:color="000000" w:sz="4" w:space="0"/>
              <w:right w:val="single" w:color="auto" w:sz="4" w:space="0"/>
            </w:tcBorders>
            <w:vAlign w:val="center"/>
          </w:tcPr>
          <w:p w14:paraId="26F60C0B">
            <w:pPr>
              <w:widowControl/>
              <w:spacing w:line="540" w:lineRule="exact"/>
              <w:jc w:val="left"/>
              <w:rPr>
                <w:rFonts w:cs="宋体" w:asciiTheme="minorEastAsia" w:hAnsiTheme="minorEastAsia" w:eastAsiaTheme="minorEastAsia"/>
                <w:kern w:val="0"/>
                <w:sz w:val="24"/>
              </w:rPr>
            </w:pPr>
          </w:p>
        </w:tc>
        <w:tc>
          <w:tcPr>
            <w:tcW w:w="1541" w:type="dxa"/>
            <w:vMerge w:val="continue"/>
            <w:tcBorders>
              <w:top w:val="nil"/>
              <w:left w:val="single" w:color="auto" w:sz="4" w:space="0"/>
              <w:bottom w:val="single" w:color="auto" w:sz="4" w:space="0"/>
              <w:right w:val="single" w:color="auto" w:sz="4" w:space="0"/>
            </w:tcBorders>
            <w:vAlign w:val="center"/>
          </w:tcPr>
          <w:p w14:paraId="3928EA07">
            <w:pPr>
              <w:widowControl/>
              <w:spacing w:line="540" w:lineRule="exact"/>
              <w:jc w:val="left"/>
              <w:rPr>
                <w:rFonts w:cs="宋体" w:asciiTheme="minorEastAsia" w:hAnsiTheme="minorEastAsia" w:eastAsiaTheme="minorEastAsia"/>
                <w:kern w:val="0"/>
                <w:sz w:val="24"/>
              </w:rPr>
            </w:pPr>
          </w:p>
        </w:tc>
        <w:tc>
          <w:tcPr>
            <w:tcW w:w="3142" w:type="dxa"/>
            <w:tcBorders>
              <w:top w:val="nil"/>
              <w:left w:val="nil"/>
              <w:bottom w:val="single" w:color="auto" w:sz="4" w:space="0"/>
              <w:right w:val="single" w:color="auto" w:sz="4" w:space="0"/>
            </w:tcBorders>
            <w:shd w:val="clear" w:color="auto" w:fill="auto"/>
            <w:vAlign w:val="center"/>
          </w:tcPr>
          <w:p w14:paraId="194ADD24">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可持续发展影响</w:t>
            </w:r>
          </w:p>
        </w:tc>
        <w:tc>
          <w:tcPr>
            <w:tcW w:w="964" w:type="dxa"/>
            <w:tcBorders>
              <w:top w:val="nil"/>
              <w:left w:val="single" w:color="auto" w:sz="4" w:space="0"/>
              <w:bottom w:val="single" w:color="000000" w:sz="4" w:space="0"/>
              <w:right w:val="single" w:color="auto" w:sz="4" w:space="0"/>
            </w:tcBorders>
            <w:shd w:val="clear" w:color="auto" w:fill="auto"/>
            <w:vAlign w:val="center"/>
          </w:tcPr>
          <w:p w14:paraId="394A865E">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7</w:t>
            </w:r>
          </w:p>
        </w:tc>
        <w:tc>
          <w:tcPr>
            <w:tcW w:w="992" w:type="dxa"/>
            <w:tcBorders>
              <w:top w:val="nil"/>
              <w:left w:val="single" w:color="auto" w:sz="4" w:space="0"/>
              <w:bottom w:val="single" w:color="000000" w:sz="4" w:space="0"/>
              <w:right w:val="single" w:color="auto" w:sz="4" w:space="0"/>
            </w:tcBorders>
            <w:shd w:val="clear" w:color="auto" w:fill="auto"/>
            <w:vAlign w:val="center"/>
          </w:tcPr>
          <w:p w14:paraId="78F8216B">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7</w:t>
            </w:r>
          </w:p>
        </w:tc>
        <w:tc>
          <w:tcPr>
            <w:tcW w:w="992" w:type="dxa"/>
            <w:vMerge w:val="continue"/>
            <w:tcBorders>
              <w:top w:val="nil"/>
              <w:left w:val="single" w:color="auto" w:sz="4" w:space="0"/>
              <w:bottom w:val="single" w:color="000000" w:sz="4" w:space="0"/>
              <w:right w:val="single" w:color="auto" w:sz="4" w:space="0"/>
            </w:tcBorders>
            <w:vAlign w:val="center"/>
          </w:tcPr>
          <w:p w14:paraId="7299B27E">
            <w:pPr>
              <w:widowControl/>
              <w:spacing w:line="540" w:lineRule="exact"/>
              <w:jc w:val="left"/>
              <w:rPr>
                <w:rFonts w:cs="宋体" w:asciiTheme="minorEastAsia" w:hAnsiTheme="minorEastAsia" w:eastAsiaTheme="minorEastAsia"/>
                <w:kern w:val="0"/>
                <w:sz w:val="24"/>
              </w:rPr>
            </w:pPr>
          </w:p>
        </w:tc>
      </w:tr>
      <w:tr w14:paraId="46F8B912">
        <w:tblPrEx>
          <w:tblCellMar>
            <w:top w:w="0" w:type="dxa"/>
            <w:left w:w="108" w:type="dxa"/>
            <w:bottom w:w="0" w:type="dxa"/>
            <w:right w:w="108" w:type="dxa"/>
          </w:tblCellMar>
        </w:tblPrEx>
        <w:trPr>
          <w:trHeight w:val="424" w:hRule="atLeast"/>
        </w:trPr>
        <w:tc>
          <w:tcPr>
            <w:tcW w:w="1446" w:type="dxa"/>
            <w:vMerge w:val="continue"/>
            <w:tcBorders>
              <w:top w:val="nil"/>
              <w:left w:val="single" w:color="auto" w:sz="4" w:space="0"/>
              <w:bottom w:val="single" w:color="000000" w:sz="4" w:space="0"/>
              <w:right w:val="single" w:color="auto" w:sz="4" w:space="0"/>
            </w:tcBorders>
            <w:vAlign w:val="center"/>
          </w:tcPr>
          <w:p w14:paraId="4535188C">
            <w:pPr>
              <w:widowControl/>
              <w:spacing w:line="540" w:lineRule="exact"/>
              <w:jc w:val="left"/>
              <w:rPr>
                <w:rFonts w:cs="宋体" w:asciiTheme="minorEastAsia" w:hAnsiTheme="minorEastAsia" w:eastAsiaTheme="minorEastAsia"/>
                <w:kern w:val="0"/>
                <w:sz w:val="24"/>
              </w:rPr>
            </w:pPr>
          </w:p>
        </w:tc>
        <w:tc>
          <w:tcPr>
            <w:tcW w:w="1541" w:type="dxa"/>
            <w:vMerge w:val="continue"/>
            <w:tcBorders>
              <w:top w:val="nil"/>
              <w:left w:val="single" w:color="auto" w:sz="4" w:space="0"/>
              <w:bottom w:val="single" w:color="auto" w:sz="4" w:space="0"/>
              <w:right w:val="single" w:color="auto" w:sz="4" w:space="0"/>
            </w:tcBorders>
            <w:vAlign w:val="center"/>
          </w:tcPr>
          <w:p w14:paraId="154D05EB">
            <w:pPr>
              <w:widowControl/>
              <w:spacing w:line="540" w:lineRule="exact"/>
              <w:jc w:val="left"/>
              <w:rPr>
                <w:rFonts w:cs="宋体" w:asciiTheme="minorEastAsia" w:hAnsiTheme="minorEastAsia" w:eastAsiaTheme="minorEastAsia"/>
                <w:kern w:val="0"/>
                <w:sz w:val="24"/>
              </w:rPr>
            </w:pPr>
          </w:p>
        </w:tc>
        <w:tc>
          <w:tcPr>
            <w:tcW w:w="3142" w:type="dxa"/>
            <w:tcBorders>
              <w:top w:val="nil"/>
              <w:left w:val="nil"/>
              <w:bottom w:val="single" w:color="auto" w:sz="4" w:space="0"/>
              <w:right w:val="single" w:color="auto" w:sz="4" w:space="0"/>
            </w:tcBorders>
            <w:shd w:val="clear" w:color="auto" w:fill="auto"/>
            <w:vAlign w:val="center"/>
          </w:tcPr>
          <w:p w14:paraId="464ADCC6">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服务对象满意度</w:t>
            </w:r>
          </w:p>
        </w:tc>
        <w:tc>
          <w:tcPr>
            <w:tcW w:w="964" w:type="dxa"/>
            <w:tcBorders>
              <w:top w:val="nil"/>
              <w:left w:val="nil"/>
              <w:bottom w:val="single" w:color="auto" w:sz="4" w:space="0"/>
              <w:right w:val="single" w:color="auto" w:sz="4" w:space="0"/>
            </w:tcBorders>
            <w:shd w:val="clear" w:color="auto" w:fill="auto"/>
            <w:vAlign w:val="center"/>
          </w:tcPr>
          <w:p w14:paraId="1BA8EBC6">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5</w:t>
            </w:r>
          </w:p>
        </w:tc>
        <w:tc>
          <w:tcPr>
            <w:tcW w:w="992" w:type="dxa"/>
            <w:tcBorders>
              <w:top w:val="nil"/>
              <w:left w:val="nil"/>
              <w:bottom w:val="single" w:color="auto" w:sz="4" w:space="0"/>
              <w:right w:val="single" w:color="auto" w:sz="4" w:space="0"/>
            </w:tcBorders>
            <w:shd w:val="clear" w:color="auto" w:fill="auto"/>
            <w:vAlign w:val="center"/>
          </w:tcPr>
          <w:p w14:paraId="717E3381">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5</w:t>
            </w:r>
          </w:p>
        </w:tc>
        <w:tc>
          <w:tcPr>
            <w:tcW w:w="992" w:type="dxa"/>
            <w:tcBorders>
              <w:top w:val="nil"/>
              <w:left w:val="nil"/>
              <w:bottom w:val="single" w:color="auto" w:sz="4" w:space="0"/>
              <w:right w:val="single" w:color="auto" w:sz="4" w:space="0"/>
            </w:tcBorders>
            <w:shd w:val="clear" w:color="auto" w:fill="auto"/>
            <w:vAlign w:val="center"/>
          </w:tcPr>
          <w:p w14:paraId="25773635">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r w14:paraId="7572594C">
        <w:tblPrEx>
          <w:tblCellMar>
            <w:top w:w="0" w:type="dxa"/>
            <w:left w:w="108" w:type="dxa"/>
            <w:bottom w:w="0" w:type="dxa"/>
            <w:right w:w="108" w:type="dxa"/>
          </w:tblCellMar>
        </w:tblPrEx>
        <w:trPr>
          <w:trHeight w:val="417" w:hRule="atLeast"/>
        </w:trPr>
        <w:tc>
          <w:tcPr>
            <w:tcW w:w="298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BF9C98">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合计</w:t>
            </w:r>
          </w:p>
        </w:tc>
        <w:tc>
          <w:tcPr>
            <w:tcW w:w="3142" w:type="dxa"/>
            <w:tcBorders>
              <w:top w:val="single" w:color="auto" w:sz="4" w:space="0"/>
              <w:left w:val="nil"/>
              <w:bottom w:val="single" w:color="auto" w:sz="4" w:space="0"/>
              <w:right w:val="single" w:color="auto" w:sz="4" w:space="0"/>
            </w:tcBorders>
            <w:shd w:val="clear" w:color="auto" w:fill="auto"/>
            <w:vAlign w:val="center"/>
          </w:tcPr>
          <w:p w14:paraId="4F77A3F1">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　</w:t>
            </w:r>
          </w:p>
        </w:tc>
        <w:tc>
          <w:tcPr>
            <w:tcW w:w="964" w:type="dxa"/>
            <w:tcBorders>
              <w:top w:val="single" w:color="auto" w:sz="4" w:space="0"/>
              <w:left w:val="nil"/>
              <w:bottom w:val="single" w:color="auto" w:sz="4" w:space="0"/>
              <w:right w:val="single" w:color="auto" w:sz="4" w:space="0"/>
            </w:tcBorders>
            <w:shd w:val="clear" w:color="auto" w:fill="auto"/>
            <w:vAlign w:val="center"/>
          </w:tcPr>
          <w:p w14:paraId="07237AA8">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 xml:space="preserve">30 </w:t>
            </w:r>
          </w:p>
        </w:tc>
        <w:tc>
          <w:tcPr>
            <w:tcW w:w="992" w:type="dxa"/>
            <w:tcBorders>
              <w:top w:val="single" w:color="auto" w:sz="4" w:space="0"/>
              <w:left w:val="nil"/>
              <w:bottom w:val="single" w:color="auto" w:sz="4" w:space="0"/>
              <w:right w:val="single" w:color="auto" w:sz="4" w:space="0"/>
            </w:tcBorders>
            <w:shd w:val="clear" w:color="auto" w:fill="auto"/>
            <w:vAlign w:val="center"/>
          </w:tcPr>
          <w:p w14:paraId="52842A70">
            <w:pPr>
              <w:widowControl/>
              <w:spacing w:line="54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30</w:t>
            </w:r>
          </w:p>
        </w:tc>
        <w:tc>
          <w:tcPr>
            <w:tcW w:w="992" w:type="dxa"/>
            <w:tcBorders>
              <w:top w:val="single" w:color="auto" w:sz="4" w:space="0"/>
              <w:left w:val="nil"/>
              <w:bottom w:val="single" w:color="auto" w:sz="4" w:space="0"/>
              <w:right w:val="single" w:color="auto" w:sz="4" w:space="0"/>
            </w:tcBorders>
            <w:shd w:val="clear" w:color="auto" w:fill="auto"/>
            <w:vAlign w:val="center"/>
          </w:tcPr>
          <w:p w14:paraId="5EA7A8D3">
            <w:pPr>
              <w:widowControl/>
              <w:spacing w:line="540" w:lineRule="exact"/>
              <w:jc w:val="righ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100%</w:t>
            </w:r>
          </w:p>
        </w:tc>
      </w:tr>
    </w:tbl>
    <w:p w14:paraId="585C1167">
      <w:pPr>
        <w:spacing w:line="540" w:lineRule="exact"/>
        <w:ind w:firstLine="560" w:firstLineChars="200"/>
        <w:jc w:val="left"/>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1.经济效益（自评得分 9分）</w:t>
      </w:r>
    </w:p>
    <w:p w14:paraId="74EDEAD3">
      <w:pPr>
        <w:spacing w:line="540" w:lineRule="exact"/>
        <w:ind w:firstLine="560" w:firstLineChars="200"/>
        <w:rPr>
          <w:rFonts w:asciiTheme="minorEastAsia" w:hAnsiTheme="minorEastAsia" w:eastAsiaTheme="minorEastAsia"/>
          <w:kern w:val="0"/>
          <w:sz w:val="28"/>
          <w:szCs w:val="28"/>
        </w:rPr>
      </w:pPr>
      <w:r>
        <w:rPr>
          <w:rFonts w:hint="eastAsia" w:cs="方正仿宋_GBK" w:asciiTheme="minorEastAsia" w:hAnsiTheme="minorEastAsia" w:eastAsiaTheme="minorEastAsia"/>
          <w:sz w:val="28"/>
          <w:szCs w:val="28"/>
        </w:rPr>
        <w:t>2019</w:t>
      </w:r>
      <w:r>
        <w:rPr>
          <w:rFonts w:hint="eastAsia" w:asciiTheme="minorEastAsia" w:hAnsiTheme="minorEastAsia" w:eastAsiaTheme="minorEastAsia"/>
          <w:kern w:val="0"/>
          <w:sz w:val="28"/>
          <w:szCs w:val="28"/>
        </w:rPr>
        <w:t>巴州计量检定所共检定非强检计量器具18002台。定量包装商品净含量检验小食品、食用油等12个批次（共计550样本样），取得检定收入280.77万元。其中：上缴财政国库280.77万元，上缴税费8.68万元。</w:t>
      </w:r>
    </w:p>
    <w:p w14:paraId="6B0E64EC">
      <w:pPr>
        <w:spacing w:line="540" w:lineRule="exact"/>
        <w:ind w:firstLine="560" w:firstLineChars="20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2.社会效益（自评得分 9分）。</w:t>
      </w:r>
    </w:p>
    <w:p w14:paraId="3FC69AC0">
      <w:pPr>
        <w:spacing w:line="540" w:lineRule="exact"/>
        <w:ind w:firstLine="560" w:firstLineChars="200"/>
        <w:rPr>
          <w:rFonts w:cs="宋体" w:asciiTheme="minorEastAsia" w:hAnsiTheme="minorEastAsia" w:eastAsiaTheme="minorEastAsia"/>
          <w:sz w:val="28"/>
          <w:szCs w:val="28"/>
        </w:rPr>
      </w:pPr>
      <w:r>
        <w:rPr>
          <w:rFonts w:hint="eastAsia" w:asciiTheme="minorEastAsia" w:hAnsiTheme="minorEastAsia" w:eastAsiaTheme="minorEastAsia"/>
          <w:kern w:val="0"/>
          <w:sz w:val="28"/>
          <w:szCs w:val="28"/>
        </w:rPr>
        <w:t>巴州计量检定所按照自治区市场监督管理局的总体安排和部署，从提高政治站位、强化责任担当，积极履行法定职责，提高检定/校准、检测和技术咨询等计量服务能力，努力做好各项工作，圆满完成了各项任务目标。2019年强检工作计量器具用于贸易结算70438台件，用于医疗卫生653台件，用于安全防护24382台件，用于环境监测193台件；非强检计量器具18002台。定量包装商品净含量检验小食品、食用油等12个批次，</w:t>
      </w:r>
      <w:r>
        <w:rPr>
          <w:rFonts w:hint="eastAsia" w:cs="宋体" w:asciiTheme="minorEastAsia" w:hAnsiTheme="minorEastAsia" w:eastAsiaTheme="minorEastAsia"/>
          <w:sz w:val="28"/>
          <w:szCs w:val="28"/>
        </w:rPr>
        <w:t>为贸易结算、安全防护、医疗卫生、环境监测等领域量值的准确一致提供了保障作用。</w:t>
      </w:r>
    </w:p>
    <w:p w14:paraId="43729DF0">
      <w:pPr>
        <w:spacing w:line="54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随着中国特色社会主义进入新时代，推动经济高质量发展、建设现代化经济体系、满足人民日益增长的美好生活需要，对计量工作提出新的更高要求。计量技术基础设施进一步改善， 加快社会公用计量标准升级换代，检测能力进一步增强，量传溯源体系满足巴州经济社会发展需要，计量服务能力普遍提升。</w:t>
      </w:r>
    </w:p>
    <w:p w14:paraId="0447420F">
      <w:pPr>
        <w:spacing w:line="540" w:lineRule="exact"/>
        <w:ind w:firstLine="560" w:firstLineChars="200"/>
        <w:rPr>
          <w:rFonts w:cs="宋体" w:asciiTheme="minorEastAsia" w:hAnsiTheme="minorEastAsia" w:eastAsiaTheme="minorEastAsia"/>
          <w:sz w:val="28"/>
          <w:szCs w:val="28"/>
        </w:rPr>
      </w:pPr>
      <w:r>
        <w:rPr>
          <w:rFonts w:hint="eastAsia" w:cs="方正仿宋_GBK" w:asciiTheme="minorEastAsia" w:hAnsiTheme="minorEastAsia" w:eastAsiaTheme="minorEastAsia"/>
          <w:sz w:val="28"/>
          <w:szCs w:val="28"/>
        </w:rPr>
        <w:t>3.可持续发展影响（自评得分 7分）。</w:t>
      </w:r>
    </w:p>
    <w:p w14:paraId="4984196B">
      <w:pPr>
        <w:spacing w:line="540" w:lineRule="exact"/>
        <w:ind w:firstLine="560" w:firstLineChars="200"/>
        <w:jc w:val="left"/>
        <w:rPr>
          <w:rStyle w:val="11"/>
          <w:rFonts w:asciiTheme="minorEastAsia" w:hAnsiTheme="minorEastAsia" w:eastAsiaTheme="minorEastAsia"/>
          <w:b w:val="0"/>
          <w:bCs w:val="0"/>
          <w:spacing w:val="-4"/>
          <w:sz w:val="28"/>
          <w:szCs w:val="28"/>
        </w:rPr>
      </w:pPr>
      <w:r>
        <w:rPr>
          <w:rFonts w:hint="eastAsia" w:cs="方正仿宋_GBK" w:asciiTheme="minorEastAsia" w:hAnsiTheme="minorEastAsia" w:eastAsiaTheme="minorEastAsia"/>
          <w:sz w:val="28"/>
          <w:szCs w:val="28"/>
        </w:rPr>
        <w:t>2019年初设置保证量值传递的可靠准确率目标值为98%，实际保证量值传递的可靠准确率为99%，</w:t>
      </w:r>
      <w:r>
        <w:rPr>
          <w:rFonts w:hint="eastAsia" w:asciiTheme="minorEastAsia" w:hAnsiTheme="minorEastAsia" w:eastAsiaTheme="minorEastAsia"/>
          <w:kern w:val="0"/>
          <w:sz w:val="28"/>
          <w:szCs w:val="28"/>
        </w:rPr>
        <w:t>巴州计量检定所</w:t>
      </w:r>
      <w:r>
        <w:rPr>
          <w:rFonts w:hint="eastAsia" w:cs="宋体" w:asciiTheme="minorEastAsia" w:hAnsiTheme="minorEastAsia" w:eastAsiaTheme="minorEastAsia"/>
          <w:sz w:val="28"/>
          <w:szCs w:val="28"/>
        </w:rPr>
        <w:t>发挥技术优势，服务经济发展，</w:t>
      </w:r>
      <w:r>
        <w:rPr>
          <w:rFonts w:cs="宋体" w:asciiTheme="minorEastAsia" w:hAnsiTheme="minorEastAsia" w:eastAsiaTheme="minorEastAsia"/>
          <w:sz w:val="28"/>
          <w:szCs w:val="28"/>
        </w:rPr>
        <w:t>不断增强计量服务能力。</w:t>
      </w:r>
      <w:r>
        <w:rPr>
          <w:rFonts w:hint="eastAsia" w:cs="宋体" w:asciiTheme="minorEastAsia" w:hAnsiTheme="minorEastAsia" w:eastAsiaTheme="minorEastAsia"/>
          <w:sz w:val="28"/>
          <w:szCs w:val="28"/>
        </w:rPr>
        <w:t>不断建立完善适应经济社会发展和强制检定需要的社会公用计量标准、计量检定实施条件，推进能源计量、民生计量、安全计量、企业计量等检定工作。在用强检计量器具受检率达到</w:t>
      </w:r>
      <w:r>
        <w:rPr>
          <w:rFonts w:cs="宋体" w:asciiTheme="minorEastAsia" w:hAnsiTheme="minorEastAsia" w:eastAsiaTheme="minorEastAsia"/>
          <w:sz w:val="28"/>
          <w:szCs w:val="28"/>
        </w:rPr>
        <w:t>9</w:t>
      </w:r>
      <w:r>
        <w:rPr>
          <w:rFonts w:hint="eastAsia" w:cs="宋体" w:asciiTheme="minorEastAsia" w:hAnsiTheme="minorEastAsia" w:eastAsiaTheme="minorEastAsia"/>
          <w:sz w:val="28"/>
          <w:szCs w:val="28"/>
        </w:rPr>
        <w:t>0</w:t>
      </w:r>
      <w:r>
        <w:rPr>
          <w:rFonts w:cs="宋体" w:asciiTheme="minorEastAsia" w:hAnsiTheme="minorEastAsia" w:eastAsiaTheme="minorEastAsia"/>
          <w:sz w:val="28"/>
          <w:szCs w:val="28"/>
        </w:rPr>
        <w:t>%</w:t>
      </w:r>
      <w:r>
        <w:rPr>
          <w:rFonts w:hint="eastAsia" w:cs="宋体" w:asciiTheme="minorEastAsia" w:hAnsiTheme="minorEastAsia" w:eastAsiaTheme="minorEastAsia"/>
          <w:sz w:val="28"/>
          <w:szCs w:val="28"/>
        </w:rPr>
        <w:t>以上，其中国家重点管理计量器具受检率达到</w:t>
      </w:r>
      <w:r>
        <w:rPr>
          <w:rFonts w:cs="宋体" w:asciiTheme="minorEastAsia" w:hAnsiTheme="minorEastAsia" w:eastAsiaTheme="minorEastAsia"/>
          <w:sz w:val="28"/>
          <w:szCs w:val="28"/>
        </w:rPr>
        <w:t>95%</w:t>
      </w:r>
      <w:r>
        <w:rPr>
          <w:rFonts w:hint="eastAsia" w:cs="宋体" w:asciiTheme="minorEastAsia" w:hAnsiTheme="minorEastAsia" w:eastAsiaTheme="minorEastAsia"/>
          <w:sz w:val="28"/>
          <w:szCs w:val="28"/>
        </w:rPr>
        <w:t>以上；定量包装商品净含量抽检合格率达到</w:t>
      </w:r>
      <w:r>
        <w:rPr>
          <w:rFonts w:cs="宋体" w:asciiTheme="minorEastAsia" w:hAnsiTheme="minorEastAsia" w:eastAsiaTheme="minorEastAsia"/>
          <w:sz w:val="28"/>
          <w:szCs w:val="28"/>
        </w:rPr>
        <w:t>95%</w:t>
      </w:r>
      <w:r>
        <w:rPr>
          <w:rFonts w:hint="eastAsia" w:cs="宋体" w:asciiTheme="minorEastAsia" w:hAnsiTheme="minorEastAsia" w:eastAsiaTheme="minorEastAsia"/>
          <w:sz w:val="28"/>
          <w:szCs w:val="28"/>
        </w:rPr>
        <w:t>以上。</w:t>
      </w:r>
      <w:r>
        <w:rPr>
          <w:rStyle w:val="11"/>
          <w:rFonts w:hint="eastAsia" w:asciiTheme="minorEastAsia" w:hAnsiTheme="minorEastAsia" w:eastAsiaTheme="minorEastAsia"/>
          <w:b w:val="0"/>
          <w:bCs w:val="0"/>
          <w:spacing w:val="-4"/>
          <w:sz w:val="28"/>
          <w:szCs w:val="28"/>
        </w:rPr>
        <w:t>该项目满分7分，自评得分7分。</w:t>
      </w:r>
    </w:p>
    <w:p w14:paraId="297ED906">
      <w:pPr>
        <w:spacing w:line="540" w:lineRule="exact"/>
        <w:ind w:firstLine="560" w:firstLineChars="200"/>
        <w:jc w:val="left"/>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（4）公众的满意度（自评得分 5分）</w:t>
      </w:r>
    </w:p>
    <w:p w14:paraId="567E3D7C">
      <w:pPr>
        <w:spacing w:line="540" w:lineRule="exact"/>
        <w:ind w:firstLine="560" w:firstLineChars="200"/>
        <w:jc w:val="left"/>
        <w:rPr>
          <w:rFonts w:asciiTheme="minorEastAsia" w:hAnsiTheme="minorEastAsia" w:eastAsiaTheme="minorEastAsia"/>
          <w:spacing w:val="-4"/>
          <w:sz w:val="28"/>
          <w:szCs w:val="28"/>
        </w:rPr>
      </w:pPr>
      <w:r>
        <w:rPr>
          <w:rFonts w:hint="eastAsia" w:cs="方正仿宋_GBK" w:asciiTheme="minorEastAsia" w:hAnsiTheme="minorEastAsia" w:eastAsiaTheme="minorEastAsia"/>
          <w:sz w:val="28"/>
          <w:szCs w:val="28"/>
        </w:rPr>
        <w:t>通过项目实施，对州域范围内用于贸易结算、医疗卫生、安全防护、环境检测的计量器具进行检定，通过</w:t>
      </w:r>
      <w:r>
        <w:rPr>
          <w:rFonts w:hint="eastAsia" w:cs="宋体" w:asciiTheme="minorEastAsia" w:hAnsiTheme="minorEastAsia" w:eastAsiaTheme="minorEastAsia"/>
          <w:sz w:val="28"/>
          <w:szCs w:val="28"/>
        </w:rPr>
        <w:t>社会问卷调查满意度率为100%。</w:t>
      </w:r>
      <w:r>
        <w:rPr>
          <w:rStyle w:val="11"/>
          <w:rFonts w:hint="eastAsia" w:asciiTheme="minorEastAsia" w:hAnsiTheme="minorEastAsia" w:eastAsiaTheme="minorEastAsia"/>
          <w:b w:val="0"/>
          <w:bCs w:val="0"/>
          <w:spacing w:val="-4"/>
          <w:sz w:val="28"/>
          <w:szCs w:val="28"/>
        </w:rPr>
        <w:t>该项目满分5分，自评得分5分。</w:t>
      </w:r>
    </w:p>
    <w:p w14:paraId="38EC572C">
      <w:pPr>
        <w:spacing w:line="600" w:lineRule="exact"/>
        <w:ind w:firstLine="562" w:firstLineChars="200"/>
        <w:rPr>
          <w:rFonts w:ascii="黑体" w:hAnsi="黑体" w:eastAsia="黑体"/>
        </w:rPr>
      </w:pPr>
      <w:r>
        <w:rPr>
          <w:rFonts w:hint="eastAsia" w:cs="方正仿宋_GBK" w:asciiTheme="minorEastAsia" w:hAnsiTheme="minorEastAsia" w:eastAsiaTheme="minorEastAsia"/>
          <w:b/>
          <w:sz w:val="28"/>
          <w:szCs w:val="28"/>
        </w:rPr>
        <w:t>五、主要经验及做法、存在的问题及原因分析</w:t>
      </w:r>
    </w:p>
    <w:p w14:paraId="7F2FC603">
      <w:pPr>
        <w:pStyle w:val="17"/>
        <w:spacing w:line="540" w:lineRule="exact"/>
        <w:ind w:firstLine="281" w:firstLineChars="100"/>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（一）存在的问题</w:t>
      </w:r>
    </w:p>
    <w:p w14:paraId="6F2C5D13">
      <w:pPr>
        <w:spacing w:line="520" w:lineRule="exact"/>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1.在实施绩效评价过程中，由于有些指标设置不规范、合理性较差，不具备评价量化性，不能真实反映该项目的实施效果。</w:t>
      </w:r>
    </w:p>
    <w:p w14:paraId="5F5E39C5">
      <w:pPr>
        <w:pStyle w:val="17"/>
        <w:spacing w:line="540" w:lineRule="exact"/>
        <w:ind w:firstLine="56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2.专业人员不足，严重影响我所检定业务工作的正常开展。我所现有编制41个，现有人员31人空编10个。目前可开展检定、校准、检测项目共有75项，人力资源明显不足，一些检定、校准项目缺少检定人员，由此造成检定工作时效性较差。</w:t>
      </w:r>
    </w:p>
    <w:p w14:paraId="04180E44">
      <w:pPr>
        <w:pStyle w:val="17"/>
        <w:spacing w:line="540" w:lineRule="exact"/>
        <w:ind w:firstLine="56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3.人员综合素质参差不齐、专业技术人员业务培训难，自治区专业人员培训程序复杂，培训经费不足。</w:t>
      </w:r>
    </w:p>
    <w:p w14:paraId="1B41C6BA">
      <w:pPr>
        <w:pStyle w:val="17"/>
        <w:spacing w:line="560" w:lineRule="atLeast"/>
        <w:ind w:firstLine="56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4.现有计量设备陈旧老化，现已经无法满足检定工作的需要；因财政经费限制，设备无法及时更新，无法正常开展检定、校准、检测业务。</w:t>
      </w:r>
    </w:p>
    <w:p w14:paraId="224E79CF">
      <w:pPr>
        <w:spacing w:line="600" w:lineRule="exact"/>
        <w:ind w:firstLine="600" w:firstLineChars="200"/>
        <w:rPr>
          <w:rFonts w:cs="方正仿宋_GBK" w:asciiTheme="minorEastAsia" w:hAnsiTheme="minorEastAsia" w:eastAsiaTheme="minorEastAsia"/>
          <w:sz w:val="28"/>
          <w:szCs w:val="28"/>
        </w:rPr>
      </w:pPr>
      <w:r>
        <w:rPr>
          <w:rFonts w:hint="eastAsia" w:ascii="黑体" w:hAnsi="黑体" w:eastAsia="黑体"/>
        </w:rPr>
        <w:t>六、有关建议</w:t>
      </w:r>
    </w:p>
    <w:p w14:paraId="2700E8B9">
      <w:pPr>
        <w:pStyle w:val="17"/>
        <w:spacing w:line="540" w:lineRule="exact"/>
        <w:ind w:firstLine="560"/>
        <w:rPr>
          <w:rFonts w:cs="宋体" w:asciiTheme="minorEastAsia" w:hAnsiTheme="minorEastAsia" w:eastAsiaTheme="minorEastAsia"/>
          <w:sz w:val="28"/>
          <w:szCs w:val="28"/>
        </w:rPr>
      </w:pPr>
      <w:r>
        <w:rPr>
          <w:rFonts w:hint="eastAsia" w:cs="方正仿宋_GBK" w:asciiTheme="minorEastAsia" w:hAnsiTheme="minorEastAsia" w:eastAsiaTheme="minorEastAsia"/>
          <w:sz w:val="28"/>
          <w:szCs w:val="28"/>
        </w:rPr>
        <w:t>1.改进预算管理、提高预算绩效、加强预算监督。制度明确、细化、量化且科学执行的年度绩效目标，利于计绩效目标的实现程度进行全方位的管理跟踪评价、发挥绩</w:t>
      </w:r>
      <w:r>
        <w:rPr>
          <w:rFonts w:hint="eastAsia" w:cs="宋体" w:asciiTheme="minorEastAsia" w:hAnsiTheme="minorEastAsia" w:eastAsiaTheme="minorEastAsia"/>
          <w:sz w:val="28"/>
          <w:szCs w:val="28"/>
        </w:rPr>
        <w:t>效目标的导向作用。</w:t>
      </w:r>
    </w:p>
    <w:p w14:paraId="58FCF59B">
      <w:pPr>
        <w:spacing w:line="520" w:lineRule="exact"/>
        <w:ind w:firstLine="560" w:firstLineChars="20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2.由于项目绩效评估工作内容多，专业性强，建议加强对项目绩效自评人员业务培训，提高线面实施单位绩效自评各项工作的质量。</w:t>
      </w:r>
    </w:p>
    <w:p w14:paraId="4B5759E3">
      <w:pPr>
        <w:spacing w:line="600" w:lineRule="exact"/>
        <w:ind w:firstLine="560" w:firstLineChars="20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3.引进专业技术人员，更好的开展计量检测工作。</w:t>
      </w:r>
    </w:p>
    <w:p w14:paraId="1E5CCC59">
      <w:pPr>
        <w:spacing w:line="600" w:lineRule="exact"/>
        <w:ind w:firstLine="560" w:firstLineChars="200"/>
        <w:rPr>
          <w:rFonts w:cs="方正仿宋_GBK" w:asciiTheme="minorEastAsia" w:hAnsiTheme="minorEastAsia" w:eastAsiaTheme="minorEastAsia"/>
          <w:sz w:val="28"/>
          <w:szCs w:val="28"/>
        </w:rPr>
      </w:pPr>
      <w:r>
        <w:rPr>
          <w:rFonts w:hint="eastAsia" w:cs="方正仿宋_GBK" w:asciiTheme="minorEastAsia" w:hAnsiTheme="minorEastAsia" w:eastAsiaTheme="minorEastAsia"/>
          <w:sz w:val="28"/>
          <w:szCs w:val="28"/>
        </w:rPr>
        <w:t>4.增加财政拨款，更新检定、校准、检测设备及培训专业技术人员。</w:t>
      </w:r>
    </w:p>
    <w:p w14:paraId="273074C5">
      <w:pPr>
        <w:spacing w:line="600" w:lineRule="exact"/>
        <w:ind w:firstLine="600" w:firstLineChars="200"/>
        <w:rPr>
          <w:rFonts w:ascii="黑体" w:hAnsi="黑体" w:eastAsia="黑体"/>
        </w:rPr>
      </w:pPr>
      <w:r>
        <w:rPr>
          <w:rFonts w:hint="eastAsia" w:ascii="黑体" w:hAnsi="黑体" w:eastAsia="黑体"/>
        </w:rPr>
        <w:t>七、其他需要说明的问题</w:t>
      </w:r>
    </w:p>
    <w:p w14:paraId="7C0F9A42">
      <w:pPr>
        <w:spacing w:line="600" w:lineRule="exact"/>
        <w:ind w:firstLine="600" w:firstLineChars="200"/>
        <w:rPr>
          <w:rFonts w:ascii="黑体" w:hAnsi="黑体" w:eastAsia="黑体"/>
        </w:rPr>
      </w:pPr>
      <w:r>
        <w:rPr>
          <w:rFonts w:hint="eastAsia" w:ascii="黑体" w:hAnsi="黑体" w:eastAsia="黑体"/>
        </w:rPr>
        <w:t>无</w:t>
      </w:r>
    </w:p>
    <w:p w14:paraId="59671625">
      <w:pPr>
        <w:spacing w:line="600" w:lineRule="exact"/>
        <w:ind w:firstLine="600" w:firstLineChars="200"/>
        <w:rPr>
          <w:rFonts w:asciiTheme="minorEastAsia" w:hAnsiTheme="minorEastAsia" w:eastAsiaTheme="minorEastAsia"/>
          <w:color w:val="984806" w:themeColor="accent6" w:themeShade="80"/>
        </w:rPr>
      </w:pPr>
    </w:p>
    <w:p w14:paraId="5BC284AC">
      <w:pPr>
        <w:spacing w:line="600" w:lineRule="exact"/>
        <w:ind w:firstLine="600" w:firstLineChars="200"/>
        <w:rPr>
          <w:rFonts w:asciiTheme="minorEastAsia" w:hAnsiTheme="minorEastAsia" w:eastAsiaTheme="minorEastAsia"/>
          <w:color w:val="984806" w:themeColor="accent6" w:themeShade="80"/>
        </w:rPr>
      </w:pPr>
    </w:p>
    <w:p w14:paraId="01F6D23E">
      <w:pPr>
        <w:spacing w:line="600" w:lineRule="exact"/>
        <w:ind w:firstLine="600" w:firstLineChars="200"/>
        <w:rPr>
          <w:rFonts w:asciiTheme="minorEastAsia" w:hAnsiTheme="minorEastAsia" w:eastAsiaTheme="minorEastAsia"/>
          <w:color w:val="984806" w:themeColor="accent6" w:themeShade="80"/>
        </w:rPr>
      </w:pPr>
    </w:p>
    <w:p w14:paraId="5D9DC825">
      <w:pPr>
        <w:spacing w:line="600" w:lineRule="exact"/>
        <w:ind w:firstLine="600" w:firstLineChars="200"/>
        <w:rPr>
          <w:rFonts w:asciiTheme="minorEastAsia" w:hAnsiTheme="minorEastAsia" w:eastAsiaTheme="minorEastAsia"/>
          <w:color w:val="984806" w:themeColor="accent6" w:themeShade="80"/>
        </w:rPr>
      </w:pPr>
    </w:p>
    <w:p w14:paraId="667EEA95">
      <w:pPr>
        <w:spacing w:line="600" w:lineRule="exact"/>
        <w:ind w:firstLine="600" w:firstLineChars="200"/>
        <w:rPr>
          <w:rFonts w:asciiTheme="minorEastAsia" w:hAnsiTheme="minorEastAsia" w:eastAsiaTheme="minorEastAsia"/>
          <w:color w:val="984806" w:themeColor="accent6" w:themeShade="80"/>
        </w:rPr>
      </w:pPr>
    </w:p>
    <w:p w14:paraId="5159B9D0">
      <w:pPr>
        <w:spacing w:line="600" w:lineRule="exact"/>
        <w:ind w:firstLine="600" w:firstLineChars="200"/>
        <w:rPr>
          <w:rFonts w:asciiTheme="minorEastAsia" w:hAnsiTheme="minorEastAsia" w:eastAsiaTheme="minorEastAsia"/>
          <w:color w:val="984806" w:themeColor="accent6" w:themeShade="80"/>
        </w:rPr>
      </w:pPr>
    </w:p>
    <w:p w14:paraId="7785E27F">
      <w:pPr>
        <w:spacing w:line="600" w:lineRule="exact"/>
        <w:ind w:firstLine="600" w:firstLineChars="200"/>
        <w:rPr>
          <w:rFonts w:asciiTheme="minorEastAsia" w:hAnsiTheme="minorEastAsia" w:eastAsiaTheme="minorEastAsia"/>
          <w:color w:val="984806" w:themeColor="accent6" w:themeShade="80"/>
        </w:rPr>
      </w:pPr>
    </w:p>
    <w:p w14:paraId="7C991C9E">
      <w:pPr>
        <w:spacing w:line="600" w:lineRule="exact"/>
        <w:ind w:firstLine="600" w:firstLineChars="200"/>
        <w:rPr>
          <w:rFonts w:asciiTheme="minorEastAsia" w:hAnsiTheme="minorEastAsia" w:eastAsiaTheme="minorEastAsia"/>
          <w:color w:val="984806" w:themeColor="accent6" w:themeShade="80"/>
        </w:rPr>
      </w:pPr>
    </w:p>
    <w:p w14:paraId="4EF30053">
      <w:pPr>
        <w:spacing w:line="600" w:lineRule="exact"/>
        <w:ind w:firstLine="600" w:firstLineChars="200"/>
        <w:rPr>
          <w:rFonts w:asciiTheme="minorEastAsia" w:hAnsiTheme="minorEastAsia" w:eastAsiaTheme="minorEastAsia"/>
          <w:color w:val="984806" w:themeColor="accent6" w:themeShade="80"/>
        </w:rPr>
      </w:pPr>
    </w:p>
    <w:p w14:paraId="4F9288FD">
      <w:pPr>
        <w:spacing w:line="600" w:lineRule="exact"/>
        <w:ind w:firstLine="600" w:firstLineChars="200"/>
        <w:rPr>
          <w:rFonts w:asciiTheme="minorEastAsia" w:hAnsiTheme="minorEastAsia" w:eastAsiaTheme="minorEastAsia"/>
          <w:color w:val="984806" w:themeColor="accent6" w:themeShade="80"/>
        </w:rPr>
      </w:pPr>
    </w:p>
    <w:p w14:paraId="0ADF1540">
      <w:pPr>
        <w:spacing w:line="600" w:lineRule="exact"/>
        <w:ind w:firstLine="600" w:firstLineChars="200"/>
        <w:rPr>
          <w:rFonts w:asciiTheme="minorEastAsia" w:hAnsiTheme="minorEastAsia" w:eastAsiaTheme="minorEastAsia"/>
          <w:color w:val="984806" w:themeColor="accent6" w:themeShade="80"/>
        </w:rPr>
      </w:pPr>
    </w:p>
    <w:p w14:paraId="655EE7EC">
      <w:pPr>
        <w:spacing w:line="600" w:lineRule="exact"/>
        <w:rPr>
          <w:rFonts w:asciiTheme="minorEastAsia" w:hAnsiTheme="minorEastAsia" w:eastAsiaTheme="minorEastAsia"/>
          <w:color w:val="984806" w:themeColor="accent6" w:themeShade="80"/>
        </w:rPr>
        <w:sectPr>
          <w:pgSz w:w="11906" w:h="16838"/>
          <w:pgMar w:top="1928" w:right="1531" w:bottom="1701" w:left="1531" w:header="737" w:footer="851" w:gutter="0"/>
          <w:cols w:space="720" w:num="1"/>
          <w:docGrid w:type="lines" w:linePitch="408" w:charSpace="0"/>
        </w:sectPr>
      </w:pPr>
    </w:p>
    <w:p w14:paraId="625D5FC8">
      <w:pPr>
        <w:spacing w:line="600" w:lineRule="exact"/>
        <w:jc w:val="center"/>
        <w:rPr>
          <w:rFonts w:ascii="黑体" w:hAnsi="黑体" w:eastAsia="黑体"/>
          <w:color w:val="984806" w:themeColor="accent6" w:themeShade="80"/>
        </w:rPr>
      </w:pPr>
      <w:r>
        <w:rPr>
          <w:rFonts w:hint="eastAsia" w:ascii="黑体" w:hAnsi="黑体" w:eastAsia="黑体" w:cs="宋体"/>
          <w:bCs/>
          <w:color w:val="000000"/>
          <w:sz w:val="36"/>
          <w:szCs w:val="28"/>
        </w:rPr>
        <w:t>项目支出绩效评价指标体系框架</w:t>
      </w:r>
    </w:p>
    <w:tbl>
      <w:tblPr>
        <w:tblStyle w:val="8"/>
        <w:tblW w:w="1342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65"/>
        <w:gridCol w:w="1133"/>
        <w:gridCol w:w="1232"/>
        <w:gridCol w:w="2672"/>
        <w:gridCol w:w="6173"/>
        <w:gridCol w:w="725"/>
        <w:gridCol w:w="8"/>
        <w:gridCol w:w="11"/>
        <w:gridCol w:w="787"/>
        <w:gridCol w:w="8"/>
        <w:gridCol w:w="11"/>
      </w:tblGrid>
      <w:tr w14:paraId="70477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665" w:type="dxa"/>
            <w:tcBorders>
              <w:tl2br w:val="nil"/>
              <w:tr2bl w:val="nil"/>
            </w:tcBorders>
            <w:shd w:val="clear" w:color="auto" w:fill="FFFFFF"/>
            <w:vAlign w:val="center"/>
          </w:tcPr>
          <w:p w14:paraId="1E204945">
            <w:pPr>
              <w:widowControl/>
              <w:spacing w:line="0" w:lineRule="atLeast"/>
              <w:jc w:val="center"/>
              <w:rPr>
                <w:rFonts w:eastAsia="宋体"/>
                <w:b/>
                <w:bCs/>
                <w:color w:val="000000"/>
                <w:kern w:val="0"/>
                <w:sz w:val="22"/>
                <w:szCs w:val="22"/>
              </w:rPr>
            </w:pPr>
            <w:r>
              <w:rPr>
                <w:rFonts w:eastAsia="宋体"/>
                <w:b/>
                <w:bCs/>
                <w:color w:val="000000"/>
                <w:kern w:val="0"/>
                <w:sz w:val="22"/>
                <w:szCs w:val="22"/>
              </w:rPr>
              <w:br w:type="page"/>
            </w:r>
            <w:r>
              <w:rPr>
                <w:rFonts w:eastAsia="宋体"/>
                <w:b/>
                <w:bCs/>
                <w:color w:val="000000"/>
                <w:kern w:val="0"/>
                <w:sz w:val="22"/>
                <w:szCs w:val="22"/>
              </w:rPr>
              <w:t>一级指标</w:t>
            </w:r>
          </w:p>
        </w:tc>
        <w:tc>
          <w:tcPr>
            <w:tcW w:w="1133" w:type="dxa"/>
            <w:tcBorders>
              <w:tl2br w:val="nil"/>
              <w:tr2bl w:val="nil"/>
            </w:tcBorders>
            <w:shd w:val="clear" w:color="auto" w:fill="FFFFFF"/>
            <w:vAlign w:val="center"/>
          </w:tcPr>
          <w:p w14:paraId="4AEAC69E">
            <w:pPr>
              <w:widowControl/>
              <w:spacing w:line="0" w:lineRule="atLeast"/>
              <w:jc w:val="center"/>
              <w:rPr>
                <w:rFonts w:eastAsia="宋体"/>
                <w:b/>
                <w:bCs/>
                <w:color w:val="000000"/>
                <w:kern w:val="0"/>
                <w:sz w:val="22"/>
                <w:szCs w:val="22"/>
              </w:rPr>
            </w:pPr>
            <w:r>
              <w:rPr>
                <w:rFonts w:eastAsia="宋体"/>
                <w:b/>
                <w:bCs/>
                <w:color w:val="000000"/>
                <w:kern w:val="0"/>
                <w:sz w:val="22"/>
                <w:szCs w:val="22"/>
              </w:rPr>
              <w:t>二级指标</w:t>
            </w:r>
          </w:p>
        </w:tc>
        <w:tc>
          <w:tcPr>
            <w:tcW w:w="1232" w:type="dxa"/>
            <w:tcBorders>
              <w:tl2br w:val="nil"/>
              <w:tr2bl w:val="nil"/>
            </w:tcBorders>
            <w:shd w:val="clear" w:color="auto" w:fill="FFFFFF"/>
            <w:vAlign w:val="center"/>
          </w:tcPr>
          <w:p w14:paraId="275DE7BF">
            <w:pPr>
              <w:widowControl/>
              <w:spacing w:line="0" w:lineRule="atLeast"/>
              <w:jc w:val="center"/>
              <w:rPr>
                <w:rFonts w:eastAsia="宋体"/>
                <w:b/>
                <w:bCs/>
                <w:color w:val="000000"/>
                <w:kern w:val="0"/>
                <w:sz w:val="22"/>
                <w:szCs w:val="22"/>
              </w:rPr>
            </w:pPr>
            <w:r>
              <w:rPr>
                <w:rFonts w:eastAsia="宋体"/>
                <w:b/>
                <w:bCs/>
                <w:color w:val="000000"/>
                <w:kern w:val="0"/>
                <w:sz w:val="22"/>
                <w:szCs w:val="22"/>
              </w:rPr>
              <w:t>三级指标</w:t>
            </w:r>
          </w:p>
        </w:tc>
        <w:tc>
          <w:tcPr>
            <w:tcW w:w="2672" w:type="dxa"/>
            <w:tcBorders>
              <w:tl2br w:val="nil"/>
              <w:tr2bl w:val="nil"/>
            </w:tcBorders>
            <w:shd w:val="clear" w:color="auto" w:fill="FFFFFF"/>
            <w:vAlign w:val="center"/>
          </w:tcPr>
          <w:p w14:paraId="05C0299C">
            <w:pPr>
              <w:widowControl/>
              <w:spacing w:line="0" w:lineRule="atLeast"/>
              <w:jc w:val="center"/>
              <w:rPr>
                <w:rFonts w:eastAsia="宋体"/>
                <w:b/>
                <w:bCs/>
                <w:color w:val="000000"/>
                <w:kern w:val="0"/>
                <w:sz w:val="22"/>
                <w:szCs w:val="22"/>
              </w:rPr>
            </w:pPr>
            <w:r>
              <w:rPr>
                <w:rFonts w:eastAsia="宋体"/>
                <w:b/>
                <w:bCs/>
                <w:color w:val="000000"/>
                <w:kern w:val="0"/>
                <w:sz w:val="22"/>
                <w:szCs w:val="22"/>
              </w:rPr>
              <w:t>指标解释</w:t>
            </w:r>
          </w:p>
        </w:tc>
        <w:tc>
          <w:tcPr>
            <w:tcW w:w="6173" w:type="dxa"/>
            <w:tcBorders>
              <w:tl2br w:val="nil"/>
              <w:tr2bl w:val="nil"/>
            </w:tcBorders>
            <w:shd w:val="clear" w:color="auto" w:fill="FFFFFF"/>
            <w:vAlign w:val="center"/>
          </w:tcPr>
          <w:p w14:paraId="5CC09F61">
            <w:pPr>
              <w:widowControl/>
              <w:spacing w:line="0" w:lineRule="atLeast"/>
              <w:jc w:val="center"/>
              <w:rPr>
                <w:rFonts w:eastAsia="宋体"/>
                <w:b/>
                <w:bCs/>
                <w:color w:val="000000"/>
                <w:kern w:val="0"/>
                <w:sz w:val="22"/>
                <w:szCs w:val="22"/>
              </w:rPr>
            </w:pPr>
            <w:r>
              <w:rPr>
                <w:rFonts w:eastAsia="宋体"/>
                <w:b/>
                <w:bCs/>
                <w:color w:val="000000"/>
                <w:kern w:val="0"/>
                <w:sz w:val="22"/>
                <w:szCs w:val="22"/>
              </w:rPr>
              <w:t>指标说明</w:t>
            </w:r>
          </w:p>
        </w:tc>
        <w:tc>
          <w:tcPr>
            <w:tcW w:w="733" w:type="dxa"/>
            <w:gridSpan w:val="2"/>
            <w:tcBorders>
              <w:top w:val="single" w:color="auto" w:sz="4" w:space="0"/>
              <w:bottom w:val="single" w:color="auto" w:sz="4" w:space="0"/>
              <w:right w:val="single" w:color="auto" w:sz="4" w:space="0"/>
            </w:tcBorders>
            <w:shd w:val="clear" w:color="auto" w:fill="auto"/>
          </w:tcPr>
          <w:p w14:paraId="1C24EFA4">
            <w:pPr>
              <w:widowControl/>
              <w:spacing w:line="0" w:lineRule="atLeast"/>
              <w:jc w:val="center"/>
              <w:rPr>
                <w:rFonts w:eastAsia="宋体"/>
                <w:b/>
                <w:bCs/>
                <w:color w:val="000000"/>
                <w:kern w:val="0"/>
                <w:sz w:val="22"/>
                <w:szCs w:val="22"/>
              </w:rPr>
            </w:pPr>
            <w:r>
              <w:rPr>
                <w:rFonts w:eastAsia="宋体"/>
                <w:b/>
                <w:bCs/>
                <w:color w:val="000000"/>
                <w:kern w:val="0"/>
                <w:sz w:val="22"/>
                <w:szCs w:val="22"/>
              </w:rPr>
              <w:t>分值</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tcPr>
          <w:p w14:paraId="0D8A1B4F">
            <w:pPr>
              <w:widowControl/>
              <w:jc w:val="left"/>
              <w:rPr>
                <w:rFonts w:eastAsia="宋体"/>
                <w:b/>
                <w:bCs/>
                <w:color w:val="000000"/>
                <w:kern w:val="0"/>
                <w:sz w:val="22"/>
                <w:szCs w:val="22"/>
              </w:rPr>
            </w:pPr>
            <w:r>
              <w:rPr>
                <w:rFonts w:eastAsia="宋体"/>
                <w:b/>
                <w:bCs/>
                <w:color w:val="000000"/>
                <w:kern w:val="0"/>
                <w:sz w:val="22"/>
                <w:szCs w:val="22"/>
              </w:rPr>
              <w:t>评价</w:t>
            </w:r>
          </w:p>
          <w:p w14:paraId="1D0930BB">
            <w:pPr>
              <w:widowControl/>
              <w:jc w:val="left"/>
              <w:rPr>
                <w:rFonts w:eastAsia="宋体"/>
                <w:b/>
                <w:bCs/>
                <w:color w:val="000000"/>
                <w:kern w:val="0"/>
                <w:sz w:val="22"/>
                <w:szCs w:val="22"/>
              </w:rPr>
            </w:pPr>
            <w:r>
              <w:rPr>
                <w:rFonts w:eastAsia="宋体"/>
                <w:b/>
                <w:bCs/>
                <w:color w:val="000000"/>
                <w:kern w:val="0"/>
                <w:sz w:val="22"/>
                <w:szCs w:val="22"/>
              </w:rPr>
              <w:t>结果</w:t>
            </w:r>
          </w:p>
        </w:tc>
      </w:tr>
      <w:tr w14:paraId="2BB6F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90" w:hRule="atLeast"/>
          <w:jc w:val="center"/>
        </w:trPr>
        <w:tc>
          <w:tcPr>
            <w:tcW w:w="665" w:type="dxa"/>
            <w:vMerge w:val="restart"/>
            <w:tcBorders>
              <w:tl2br w:val="nil"/>
              <w:tr2bl w:val="nil"/>
            </w:tcBorders>
            <w:shd w:val="clear" w:color="auto" w:fill="FFFFFF"/>
            <w:vAlign w:val="center"/>
          </w:tcPr>
          <w:p w14:paraId="4114BACF">
            <w:pPr>
              <w:widowControl/>
              <w:spacing w:line="0" w:lineRule="atLeast"/>
              <w:jc w:val="center"/>
              <w:rPr>
                <w:rFonts w:eastAsia="宋体"/>
                <w:color w:val="000000"/>
                <w:kern w:val="0"/>
                <w:sz w:val="22"/>
                <w:szCs w:val="22"/>
              </w:rPr>
            </w:pPr>
            <w:r>
              <w:rPr>
                <w:rFonts w:eastAsia="宋体"/>
                <w:color w:val="000000"/>
                <w:kern w:val="0"/>
                <w:sz w:val="22"/>
                <w:szCs w:val="22"/>
              </w:rPr>
              <w:t>决策(20分)　</w:t>
            </w:r>
          </w:p>
          <w:p w14:paraId="780E03D4">
            <w:pPr>
              <w:widowControl/>
              <w:spacing w:line="0" w:lineRule="atLeast"/>
              <w:jc w:val="center"/>
              <w:rPr>
                <w:rFonts w:eastAsia="宋体"/>
                <w:color w:val="000000"/>
                <w:kern w:val="0"/>
                <w:sz w:val="22"/>
                <w:szCs w:val="22"/>
              </w:rPr>
            </w:pPr>
            <w:r>
              <w:rPr>
                <w:rFonts w:eastAsia="宋体"/>
                <w:color w:val="000000"/>
                <w:kern w:val="0"/>
                <w:sz w:val="22"/>
                <w:szCs w:val="22"/>
              </w:rPr>
              <w:t>　</w:t>
            </w:r>
          </w:p>
          <w:p w14:paraId="16D3185D">
            <w:pPr>
              <w:spacing w:line="0" w:lineRule="atLeast"/>
              <w:jc w:val="center"/>
              <w:rPr>
                <w:rFonts w:eastAsia="宋体"/>
                <w:color w:val="000000"/>
                <w:kern w:val="0"/>
                <w:sz w:val="22"/>
                <w:szCs w:val="22"/>
              </w:rPr>
            </w:pPr>
            <w:r>
              <w:rPr>
                <w:rFonts w:eastAsia="宋体"/>
                <w:color w:val="000000"/>
                <w:kern w:val="0"/>
                <w:sz w:val="22"/>
                <w:szCs w:val="22"/>
              </w:rPr>
              <w:t>　</w:t>
            </w:r>
          </w:p>
        </w:tc>
        <w:tc>
          <w:tcPr>
            <w:tcW w:w="1133" w:type="dxa"/>
            <w:vMerge w:val="restart"/>
            <w:tcBorders>
              <w:tl2br w:val="nil"/>
              <w:tr2bl w:val="nil"/>
            </w:tcBorders>
            <w:shd w:val="clear" w:color="auto" w:fill="FFFFFF"/>
            <w:vAlign w:val="center"/>
          </w:tcPr>
          <w:p w14:paraId="073B97A0">
            <w:pPr>
              <w:widowControl/>
              <w:spacing w:line="0" w:lineRule="atLeast"/>
              <w:jc w:val="center"/>
              <w:rPr>
                <w:rFonts w:eastAsia="宋体"/>
                <w:color w:val="000000"/>
                <w:kern w:val="0"/>
                <w:sz w:val="22"/>
                <w:szCs w:val="22"/>
              </w:rPr>
            </w:pPr>
            <w:r>
              <w:rPr>
                <w:rFonts w:eastAsia="宋体"/>
                <w:color w:val="000000"/>
                <w:kern w:val="0"/>
                <w:sz w:val="22"/>
                <w:szCs w:val="22"/>
              </w:rPr>
              <w:t>项目立项（5）　</w:t>
            </w:r>
          </w:p>
        </w:tc>
        <w:tc>
          <w:tcPr>
            <w:tcW w:w="1232" w:type="dxa"/>
            <w:tcBorders>
              <w:tl2br w:val="nil"/>
              <w:tr2bl w:val="nil"/>
            </w:tcBorders>
            <w:shd w:val="clear" w:color="auto" w:fill="FFFFFF"/>
            <w:vAlign w:val="center"/>
          </w:tcPr>
          <w:p w14:paraId="131D0003">
            <w:pPr>
              <w:widowControl/>
              <w:spacing w:line="0" w:lineRule="atLeast"/>
              <w:jc w:val="center"/>
              <w:rPr>
                <w:rFonts w:eastAsia="宋体"/>
                <w:color w:val="000000"/>
                <w:kern w:val="0"/>
                <w:sz w:val="22"/>
                <w:szCs w:val="22"/>
              </w:rPr>
            </w:pPr>
            <w:r>
              <w:rPr>
                <w:rFonts w:eastAsia="宋体"/>
                <w:color w:val="000000"/>
                <w:kern w:val="0"/>
                <w:sz w:val="22"/>
                <w:szCs w:val="22"/>
              </w:rPr>
              <w:t>立项依据</w:t>
            </w:r>
          </w:p>
          <w:p w14:paraId="1F6B37E4">
            <w:pPr>
              <w:widowControl/>
              <w:spacing w:line="0" w:lineRule="atLeast"/>
              <w:jc w:val="center"/>
              <w:rPr>
                <w:rFonts w:eastAsia="宋体"/>
                <w:color w:val="000000"/>
                <w:kern w:val="0"/>
                <w:sz w:val="22"/>
                <w:szCs w:val="22"/>
              </w:rPr>
            </w:pPr>
            <w:r>
              <w:rPr>
                <w:rFonts w:eastAsia="宋体"/>
                <w:color w:val="000000"/>
                <w:kern w:val="0"/>
                <w:sz w:val="22"/>
                <w:szCs w:val="22"/>
              </w:rPr>
              <w:t>充分性</w:t>
            </w:r>
          </w:p>
        </w:tc>
        <w:tc>
          <w:tcPr>
            <w:tcW w:w="2672" w:type="dxa"/>
            <w:tcBorders>
              <w:tl2br w:val="nil"/>
              <w:tr2bl w:val="nil"/>
            </w:tcBorders>
            <w:shd w:val="clear" w:color="auto" w:fill="FFFFFF"/>
            <w:vAlign w:val="center"/>
          </w:tcPr>
          <w:p w14:paraId="62D172F8">
            <w:pPr>
              <w:widowControl/>
              <w:spacing w:line="0" w:lineRule="atLeast"/>
              <w:rPr>
                <w:rFonts w:eastAsia="宋体"/>
                <w:color w:val="000000"/>
                <w:kern w:val="0"/>
                <w:sz w:val="22"/>
                <w:szCs w:val="22"/>
              </w:rPr>
            </w:pPr>
            <w:r>
              <w:rPr>
                <w:rFonts w:eastAsia="宋体"/>
                <w:color w:val="000000"/>
                <w:kern w:val="0"/>
                <w:sz w:val="22"/>
                <w:szCs w:val="22"/>
              </w:rPr>
              <w:t>项目立项是否符合法律法规、相关政策、发展规划以及部门职责，用以反映和考核项目立项依据情况。</w:t>
            </w:r>
          </w:p>
        </w:tc>
        <w:tc>
          <w:tcPr>
            <w:tcW w:w="6173" w:type="dxa"/>
            <w:tcBorders>
              <w:bottom w:val="single" w:color="auto" w:sz="4" w:space="0"/>
              <w:tl2br w:val="nil"/>
              <w:tr2bl w:val="nil"/>
            </w:tcBorders>
            <w:shd w:val="clear" w:color="auto" w:fill="FFFFFF"/>
            <w:vAlign w:val="center"/>
          </w:tcPr>
          <w:p w14:paraId="50810C1D">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①项目立项是否符合国家法律法规、国民经济发展规划和相关政策；</w:t>
            </w:r>
            <w:r>
              <w:rPr>
                <w:rFonts w:eastAsia="宋体"/>
                <w:color w:val="000000"/>
                <w:kern w:val="0"/>
                <w:sz w:val="22"/>
                <w:szCs w:val="22"/>
              </w:rPr>
              <w:br w:type="textWrapping"/>
            </w:r>
            <w:r>
              <w:rPr>
                <w:rFonts w:eastAsia="宋体"/>
                <w:color w:val="000000"/>
                <w:kern w:val="0"/>
                <w:sz w:val="22"/>
                <w:szCs w:val="22"/>
              </w:rPr>
              <w:t>②项目立项是否符合行业发展规划和政策要求；</w:t>
            </w:r>
            <w:r>
              <w:rPr>
                <w:rFonts w:eastAsia="宋体"/>
                <w:color w:val="000000"/>
                <w:kern w:val="0"/>
                <w:sz w:val="22"/>
                <w:szCs w:val="22"/>
              </w:rPr>
              <w:br w:type="textWrapping"/>
            </w:r>
            <w:r>
              <w:rPr>
                <w:rFonts w:eastAsia="宋体"/>
                <w:color w:val="000000"/>
                <w:kern w:val="0"/>
                <w:sz w:val="22"/>
                <w:szCs w:val="22"/>
              </w:rPr>
              <w:t>③项目立项是否与部门职责范围相符，属于部门履职所需；</w:t>
            </w:r>
            <w:r>
              <w:rPr>
                <w:rFonts w:eastAsia="宋体"/>
                <w:color w:val="000000"/>
                <w:kern w:val="0"/>
                <w:sz w:val="22"/>
                <w:szCs w:val="22"/>
              </w:rPr>
              <w:br w:type="textWrapping"/>
            </w:r>
            <w:r>
              <w:rPr>
                <w:rFonts w:eastAsia="宋体"/>
                <w:color w:val="000000"/>
                <w:kern w:val="0"/>
                <w:sz w:val="22"/>
                <w:szCs w:val="22"/>
              </w:rPr>
              <w:t>④项目是否属于公共财政支持范围，是否符合中央、地方事权支出责任划分原则；</w:t>
            </w:r>
            <w:r>
              <w:rPr>
                <w:rFonts w:eastAsia="宋体"/>
                <w:color w:val="000000"/>
                <w:kern w:val="0"/>
                <w:sz w:val="22"/>
                <w:szCs w:val="22"/>
              </w:rPr>
              <w:br w:type="textWrapping"/>
            </w:r>
            <w:r>
              <w:rPr>
                <w:rFonts w:eastAsia="宋体"/>
                <w:color w:val="000000"/>
                <w:kern w:val="0"/>
                <w:sz w:val="22"/>
                <w:szCs w:val="22"/>
              </w:rPr>
              <w:t>⑤项目是否与相关部门同类项目或部门内部相关项目重复。</w:t>
            </w:r>
          </w:p>
        </w:tc>
        <w:tc>
          <w:tcPr>
            <w:tcW w:w="733" w:type="dxa"/>
            <w:gridSpan w:val="2"/>
            <w:tcBorders>
              <w:top w:val="single" w:color="auto" w:sz="4" w:space="0"/>
              <w:bottom w:val="single" w:color="auto" w:sz="4" w:space="0"/>
              <w:right w:val="single" w:color="auto" w:sz="4" w:space="0"/>
            </w:tcBorders>
            <w:shd w:val="clear" w:color="auto" w:fill="auto"/>
            <w:vAlign w:val="center"/>
          </w:tcPr>
          <w:p w14:paraId="20D596D2">
            <w:pPr>
              <w:widowControl/>
              <w:jc w:val="center"/>
              <w:rPr>
                <w:rFonts w:eastAsia="宋体"/>
                <w:color w:val="000000"/>
                <w:kern w:val="0"/>
                <w:sz w:val="22"/>
                <w:szCs w:val="22"/>
              </w:rPr>
            </w:pPr>
            <w:r>
              <w:rPr>
                <w:color w:val="000000"/>
                <w:kern w:val="0"/>
                <w:sz w:val="22"/>
                <w:szCs w:val="22"/>
              </w:rPr>
              <w:t>3</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69CDB9">
            <w:pPr>
              <w:widowControl/>
              <w:jc w:val="center"/>
              <w:rPr>
                <w:rFonts w:eastAsia="宋体"/>
                <w:color w:val="000000"/>
                <w:kern w:val="0"/>
                <w:sz w:val="22"/>
                <w:szCs w:val="22"/>
              </w:rPr>
            </w:pPr>
            <w:r>
              <w:rPr>
                <w:color w:val="000000"/>
                <w:kern w:val="0"/>
                <w:sz w:val="22"/>
                <w:szCs w:val="22"/>
              </w:rPr>
              <w:t>3</w:t>
            </w:r>
          </w:p>
        </w:tc>
      </w:tr>
      <w:tr w14:paraId="2B200C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98" w:hRule="atLeast"/>
          <w:jc w:val="center"/>
        </w:trPr>
        <w:tc>
          <w:tcPr>
            <w:tcW w:w="665" w:type="dxa"/>
            <w:vMerge w:val="continue"/>
            <w:tcBorders>
              <w:tl2br w:val="nil"/>
              <w:tr2bl w:val="nil"/>
            </w:tcBorders>
            <w:shd w:val="clear" w:color="auto" w:fill="FFFFFF"/>
            <w:vAlign w:val="center"/>
          </w:tcPr>
          <w:p w14:paraId="19E79D23">
            <w:pPr>
              <w:spacing w:line="0" w:lineRule="atLeast"/>
              <w:jc w:val="center"/>
              <w:rPr>
                <w:rFonts w:eastAsia="宋体"/>
                <w:color w:val="000000"/>
                <w:kern w:val="0"/>
                <w:sz w:val="22"/>
                <w:szCs w:val="22"/>
              </w:rPr>
            </w:pPr>
          </w:p>
        </w:tc>
        <w:tc>
          <w:tcPr>
            <w:tcW w:w="1133" w:type="dxa"/>
            <w:vMerge w:val="continue"/>
            <w:tcBorders>
              <w:tl2br w:val="nil"/>
              <w:tr2bl w:val="nil"/>
            </w:tcBorders>
            <w:shd w:val="clear" w:color="auto" w:fill="FFFFFF"/>
            <w:vAlign w:val="center"/>
          </w:tcPr>
          <w:p w14:paraId="5AEB8E49">
            <w:pPr>
              <w:widowControl/>
              <w:spacing w:line="0" w:lineRule="atLeast"/>
              <w:jc w:val="center"/>
              <w:rPr>
                <w:rFonts w:eastAsia="宋体"/>
                <w:color w:val="000000"/>
                <w:kern w:val="0"/>
                <w:sz w:val="22"/>
                <w:szCs w:val="22"/>
              </w:rPr>
            </w:pPr>
          </w:p>
        </w:tc>
        <w:tc>
          <w:tcPr>
            <w:tcW w:w="1232" w:type="dxa"/>
            <w:tcBorders>
              <w:tl2br w:val="nil"/>
              <w:tr2bl w:val="nil"/>
            </w:tcBorders>
            <w:shd w:val="clear" w:color="auto" w:fill="FFFFFF"/>
            <w:vAlign w:val="center"/>
          </w:tcPr>
          <w:p w14:paraId="1E09D7E7">
            <w:pPr>
              <w:widowControl/>
              <w:spacing w:line="0" w:lineRule="atLeast"/>
              <w:jc w:val="center"/>
              <w:rPr>
                <w:rFonts w:eastAsia="宋体"/>
                <w:color w:val="000000"/>
                <w:kern w:val="0"/>
                <w:sz w:val="22"/>
                <w:szCs w:val="22"/>
              </w:rPr>
            </w:pPr>
            <w:r>
              <w:rPr>
                <w:rFonts w:eastAsia="宋体"/>
                <w:color w:val="000000"/>
                <w:kern w:val="0"/>
                <w:sz w:val="22"/>
                <w:szCs w:val="22"/>
              </w:rPr>
              <w:t>立项程序</w:t>
            </w:r>
          </w:p>
          <w:p w14:paraId="4C2275F7">
            <w:pPr>
              <w:widowControl/>
              <w:spacing w:line="0" w:lineRule="atLeast"/>
              <w:jc w:val="center"/>
              <w:rPr>
                <w:rFonts w:eastAsia="宋体"/>
                <w:color w:val="000000"/>
                <w:kern w:val="0"/>
                <w:sz w:val="22"/>
                <w:szCs w:val="22"/>
              </w:rPr>
            </w:pPr>
            <w:r>
              <w:rPr>
                <w:rFonts w:eastAsia="宋体"/>
                <w:color w:val="000000"/>
                <w:kern w:val="0"/>
                <w:sz w:val="22"/>
                <w:szCs w:val="22"/>
              </w:rPr>
              <w:t>规范性</w:t>
            </w:r>
          </w:p>
        </w:tc>
        <w:tc>
          <w:tcPr>
            <w:tcW w:w="2672" w:type="dxa"/>
            <w:tcBorders>
              <w:tl2br w:val="nil"/>
              <w:tr2bl w:val="nil"/>
            </w:tcBorders>
            <w:shd w:val="clear" w:color="auto" w:fill="FFFFFF"/>
            <w:vAlign w:val="center"/>
          </w:tcPr>
          <w:p w14:paraId="1BD88202">
            <w:pPr>
              <w:widowControl/>
              <w:spacing w:line="0" w:lineRule="atLeast"/>
              <w:rPr>
                <w:rFonts w:eastAsia="宋体"/>
                <w:color w:val="000000"/>
                <w:kern w:val="0"/>
                <w:sz w:val="22"/>
                <w:szCs w:val="22"/>
              </w:rPr>
            </w:pPr>
            <w:r>
              <w:rPr>
                <w:rFonts w:eastAsia="宋体"/>
                <w:color w:val="000000"/>
                <w:kern w:val="0"/>
                <w:sz w:val="22"/>
                <w:szCs w:val="22"/>
              </w:rPr>
              <w:t>项目申请、设立过程是否符合相关要求，用以反映和考核项目立项的规范情况。</w:t>
            </w:r>
          </w:p>
        </w:tc>
        <w:tc>
          <w:tcPr>
            <w:tcW w:w="6173" w:type="dxa"/>
            <w:tcBorders>
              <w:tl2br w:val="nil"/>
              <w:tr2bl w:val="nil"/>
            </w:tcBorders>
            <w:shd w:val="clear" w:color="auto" w:fill="FFFFFF"/>
            <w:vAlign w:val="center"/>
          </w:tcPr>
          <w:p w14:paraId="025AF876">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①项目是否按照规定的程序申请设立；</w:t>
            </w:r>
            <w:r>
              <w:rPr>
                <w:rFonts w:eastAsia="宋体"/>
                <w:color w:val="000000"/>
                <w:kern w:val="0"/>
                <w:sz w:val="22"/>
                <w:szCs w:val="22"/>
              </w:rPr>
              <w:br w:type="textWrapping"/>
            </w:r>
            <w:r>
              <w:rPr>
                <w:rFonts w:eastAsia="宋体"/>
                <w:color w:val="000000"/>
                <w:kern w:val="0"/>
                <w:sz w:val="22"/>
                <w:szCs w:val="22"/>
              </w:rPr>
              <w:t>②审批文件、材料是否符合相关要求；</w:t>
            </w:r>
            <w:r>
              <w:rPr>
                <w:rFonts w:eastAsia="宋体"/>
                <w:color w:val="000000"/>
                <w:kern w:val="0"/>
                <w:sz w:val="22"/>
                <w:szCs w:val="22"/>
              </w:rPr>
              <w:br w:type="textWrapping"/>
            </w:r>
            <w:r>
              <w:rPr>
                <w:rFonts w:eastAsia="宋体"/>
                <w:color w:val="000000"/>
                <w:kern w:val="0"/>
                <w:sz w:val="22"/>
                <w:szCs w:val="22"/>
              </w:rPr>
              <w:t>③事前是否已经过必要的可行性研究、专家论证、风险评估、绩效评估、集体决策。</w:t>
            </w:r>
          </w:p>
        </w:tc>
        <w:tc>
          <w:tcPr>
            <w:tcW w:w="733" w:type="dxa"/>
            <w:gridSpan w:val="2"/>
            <w:tcBorders>
              <w:top w:val="single" w:color="auto" w:sz="4" w:space="0"/>
              <w:bottom w:val="single" w:color="auto" w:sz="4" w:space="0"/>
              <w:right w:val="single" w:color="auto" w:sz="4" w:space="0"/>
            </w:tcBorders>
            <w:shd w:val="clear" w:color="auto" w:fill="auto"/>
            <w:vAlign w:val="center"/>
          </w:tcPr>
          <w:p w14:paraId="4F98B834">
            <w:pPr>
              <w:widowControl/>
              <w:jc w:val="center"/>
              <w:rPr>
                <w:rFonts w:eastAsia="宋体"/>
                <w:color w:val="000000"/>
                <w:kern w:val="0"/>
                <w:sz w:val="22"/>
                <w:szCs w:val="22"/>
              </w:rPr>
            </w:pPr>
          </w:p>
          <w:p w14:paraId="3ECD7D91">
            <w:pPr>
              <w:widowControl/>
              <w:jc w:val="center"/>
              <w:rPr>
                <w:rFonts w:eastAsia="宋体"/>
                <w:color w:val="000000"/>
                <w:kern w:val="0"/>
                <w:sz w:val="22"/>
                <w:szCs w:val="22"/>
              </w:rPr>
            </w:pPr>
            <w:r>
              <w:rPr>
                <w:color w:val="000000"/>
                <w:kern w:val="0"/>
                <w:sz w:val="22"/>
                <w:szCs w:val="22"/>
              </w:rPr>
              <w:t>2</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527BE6">
            <w:pPr>
              <w:widowControl/>
              <w:jc w:val="center"/>
              <w:rPr>
                <w:rFonts w:eastAsia="宋体"/>
                <w:color w:val="000000"/>
                <w:kern w:val="0"/>
                <w:sz w:val="22"/>
                <w:szCs w:val="22"/>
              </w:rPr>
            </w:pPr>
          </w:p>
          <w:p w14:paraId="788A1273">
            <w:pPr>
              <w:widowControl/>
              <w:jc w:val="center"/>
              <w:rPr>
                <w:rFonts w:eastAsia="宋体"/>
                <w:color w:val="000000"/>
                <w:kern w:val="0"/>
                <w:sz w:val="22"/>
                <w:szCs w:val="22"/>
              </w:rPr>
            </w:pPr>
            <w:r>
              <w:rPr>
                <w:color w:val="000000"/>
                <w:kern w:val="0"/>
                <w:sz w:val="22"/>
                <w:szCs w:val="22"/>
              </w:rPr>
              <w:t>2</w:t>
            </w:r>
          </w:p>
        </w:tc>
      </w:tr>
      <w:tr w14:paraId="23A9E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35" w:hRule="atLeast"/>
          <w:jc w:val="center"/>
        </w:trPr>
        <w:tc>
          <w:tcPr>
            <w:tcW w:w="665" w:type="dxa"/>
            <w:vMerge w:val="continue"/>
            <w:tcBorders>
              <w:tl2br w:val="nil"/>
              <w:tr2bl w:val="nil"/>
            </w:tcBorders>
            <w:shd w:val="clear" w:color="auto" w:fill="FFFFFF"/>
            <w:vAlign w:val="center"/>
          </w:tcPr>
          <w:p w14:paraId="3E5087EE">
            <w:pPr>
              <w:spacing w:line="0" w:lineRule="atLeast"/>
              <w:jc w:val="center"/>
              <w:rPr>
                <w:rFonts w:eastAsia="宋体"/>
                <w:color w:val="000000"/>
                <w:kern w:val="0"/>
                <w:sz w:val="22"/>
                <w:szCs w:val="22"/>
              </w:rPr>
            </w:pPr>
          </w:p>
        </w:tc>
        <w:tc>
          <w:tcPr>
            <w:tcW w:w="1133" w:type="dxa"/>
            <w:tcBorders>
              <w:tl2br w:val="nil"/>
              <w:tr2bl w:val="nil"/>
            </w:tcBorders>
            <w:shd w:val="clear" w:color="auto" w:fill="FFFFFF"/>
            <w:vAlign w:val="center"/>
          </w:tcPr>
          <w:p w14:paraId="75499F79">
            <w:pPr>
              <w:widowControl/>
              <w:spacing w:line="0" w:lineRule="atLeast"/>
              <w:jc w:val="center"/>
              <w:rPr>
                <w:rFonts w:eastAsia="宋体"/>
                <w:color w:val="000000"/>
                <w:kern w:val="0"/>
                <w:sz w:val="22"/>
                <w:szCs w:val="22"/>
              </w:rPr>
            </w:pPr>
            <w:r>
              <w:rPr>
                <w:rFonts w:eastAsia="宋体"/>
                <w:color w:val="000000"/>
                <w:kern w:val="0"/>
                <w:sz w:val="22"/>
                <w:szCs w:val="22"/>
              </w:rPr>
              <w:t>绩效目标（10）　</w:t>
            </w:r>
          </w:p>
        </w:tc>
        <w:tc>
          <w:tcPr>
            <w:tcW w:w="1232" w:type="dxa"/>
            <w:tcBorders>
              <w:tl2br w:val="nil"/>
              <w:tr2bl w:val="nil"/>
            </w:tcBorders>
            <w:shd w:val="clear" w:color="auto" w:fill="FFFFFF"/>
            <w:vAlign w:val="center"/>
          </w:tcPr>
          <w:p w14:paraId="211F4943">
            <w:pPr>
              <w:widowControl/>
              <w:spacing w:line="0" w:lineRule="atLeast"/>
              <w:jc w:val="center"/>
              <w:rPr>
                <w:rFonts w:eastAsia="宋体"/>
                <w:color w:val="000000"/>
                <w:kern w:val="0"/>
                <w:sz w:val="22"/>
                <w:szCs w:val="22"/>
              </w:rPr>
            </w:pPr>
            <w:r>
              <w:rPr>
                <w:rFonts w:eastAsia="宋体"/>
                <w:color w:val="000000"/>
                <w:kern w:val="0"/>
                <w:sz w:val="22"/>
                <w:szCs w:val="22"/>
              </w:rPr>
              <w:t>绩效目标</w:t>
            </w:r>
          </w:p>
          <w:p w14:paraId="20B9DEF8">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2672" w:type="dxa"/>
            <w:tcBorders>
              <w:tl2br w:val="nil"/>
              <w:tr2bl w:val="nil"/>
            </w:tcBorders>
            <w:shd w:val="clear" w:color="000000" w:fill="FFFFFF"/>
            <w:vAlign w:val="center"/>
          </w:tcPr>
          <w:p w14:paraId="1F37E50F">
            <w:pPr>
              <w:widowControl/>
              <w:spacing w:line="0" w:lineRule="atLeast"/>
              <w:rPr>
                <w:rFonts w:eastAsia="宋体"/>
                <w:color w:val="000000"/>
                <w:kern w:val="0"/>
                <w:sz w:val="22"/>
                <w:szCs w:val="22"/>
              </w:rPr>
            </w:pPr>
            <w:r>
              <w:rPr>
                <w:rFonts w:eastAsia="宋体"/>
                <w:color w:val="000000"/>
                <w:kern w:val="0"/>
                <w:sz w:val="22"/>
                <w:szCs w:val="22"/>
              </w:rPr>
              <w:t>项目所设定的绩效目标是否依据充分，是否符合客观实际，用以反映和考核项目绩效目标与项目实施的相符情况。</w:t>
            </w:r>
          </w:p>
        </w:tc>
        <w:tc>
          <w:tcPr>
            <w:tcW w:w="6173" w:type="dxa"/>
            <w:tcBorders>
              <w:tl2br w:val="nil"/>
              <w:tr2bl w:val="nil"/>
            </w:tcBorders>
            <w:shd w:val="clear" w:color="000000" w:fill="FFFFFF"/>
            <w:vAlign w:val="center"/>
          </w:tcPr>
          <w:p w14:paraId="374EA7B7">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（如未设定预算绩效目标，也可考核其他工作任务目标）</w:t>
            </w:r>
            <w:r>
              <w:rPr>
                <w:rFonts w:eastAsia="宋体"/>
                <w:color w:val="000000"/>
                <w:kern w:val="0"/>
                <w:sz w:val="22"/>
                <w:szCs w:val="22"/>
              </w:rPr>
              <w:br w:type="textWrapping"/>
            </w:r>
            <w:r>
              <w:rPr>
                <w:rFonts w:eastAsia="宋体"/>
                <w:color w:val="000000"/>
                <w:kern w:val="0"/>
                <w:sz w:val="22"/>
                <w:szCs w:val="22"/>
              </w:rPr>
              <w:t>①项目是否有绩效目标；</w:t>
            </w:r>
            <w:r>
              <w:rPr>
                <w:rFonts w:eastAsia="宋体"/>
                <w:color w:val="000000"/>
                <w:kern w:val="0"/>
                <w:sz w:val="22"/>
                <w:szCs w:val="22"/>
              </w:rPr>
              <w:br w:type="textWrapping"/>
            </w:r>
            <w:r>
              <w:rPr>
                <w:rFonts w:eastAsia="宋体"/>
                <w:color w:val="000000"/>
                <w:kern w:val="0"/>
                <w:sz w:val="22"/>
                <w:szCs w:val="22"/>
              </w:rPr>
              <w:t>②项目绩效目标与实际工作内容是否具有相关性；</w:t>
            </w:r>
            <w:r>
              <w:rPr>
                <w:rFonts w:eastAsia="宋体"/>
                <w:color w:val="000000"/>
                <w:kern w:val="0"/>
                <w:sz w:val="22"/>
                <w:szCs w:val="22"/>
              </w:rPr>
              <w:br w:type="textWrapping"/>
            </w:r>
            <w:r>
              <w:rPr>
                <w:rFonts w:eastAsia="宋体"/>
                <w:color w:val="000000"/>
                <w:kern w:val="0"/>
                <w:sz w:val="22"/>
                <w:szCs w:val="22"/>
              </w:rPr>
              <w:t>③项目预期产出效益和效果是否符合正常的业绩水平；</w:t>
            </w:r>
          </w:p>
          <w:p w14:paraId="5270A58C">
            <w:pPr>
              <w:widowControl/>
              <w:spacing w:line="0" w:lineRule="atLeast"/>
              <w:jc w:val="left"/>
              <w:rPr>
                <w:rFonts w:eastAsia="宋体"/>
                <w:color w:val="000000"/>
                <w:kern w:val="0"/>
                <w:sz w:val="22"/>
                <w:szCs w:val="22"/>
              </w:rPr>
            </w:pPr>
            <w:r>
              <w:rPr>
                <w:rFonts w:eastAsia="宋体"/>
                <w:color w:val="000000"/>
                <w:kern w:val="0"/>
                <w:sz w:val="22"/>
                <w:szCs w:val="22"/>
              </w:rPr>
              <w:t>④是否与预算确定的项目投资额或资金量相匹配。</w:t>
            </w:r>
          </w:p>
        </w:tc>
        <w:tc>
          <w:tcPr>
            <w:tcW w:w="733" w:type="dxa"/>
            <w:gridSpan w:val="2"/>
            <w:tcBorders>
              <w:top w:val="single" w:color="auto" w:sz="4" w:space="0"/>
              <w:bottom w:val="single" w:color="auto" w:sz="4" w:space="0"/>
              <w:right w:val="single" w:color="auto" w:sz="4" w:space="0"/>
            </w:tcBorders>
            <w:shd w:val="clear" w:color="auto" w:fill="auto"/>
            <w:vAlign w:val="center"/>
          </w:tcPr>
          <w:p w14:paraId="15631E24">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607753">
            <w:pPr>
              <w:widowControl/>
              <w:jc w:val="center"/>
              <w:rPr>
                <w:rFonts w:eastAsia="宋体"/>
                <w:color w:val="000000"/>
                <w:kern w:val="0"/>
                <w:sz w:val="22"/>
                <w:szCs w:val="22"/>
              </w:rPr>
            </w:pPr>
            <w:r>
              <w:rPr>
                <w:rFonts w:hint="eastAsia" w:eastAsia="宋体"/>
                <w:color w:val="000000"/>
                <w:kern w:val="0"/>
                <w:sz w:val="22"/>
                <w:szCs w:val="22"/>
              </w:rPr>
              <w:t>8</w:t>
            </w:r>
          </w:p>
        </w:tc>
      </w:tr>
      <w:tr w14:paraId="3BE56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665" w:type="dxa"/>
            <w:vMerge w:val="restart"/>
            <w:tcBorders>
              <w:tl2br w:val="nil"/>
              <w:tr2bl w:val="nil"/>
            </w:tcBorders>
            <w:shd w:val="clear" w:color="auto" w:fill="FFFFFF"/>
            <w:vAlign w:val="center"/>
          </w:tcPr>
          <w:p w14:paraId="3B0218BC">
            <w:pPr>
              <w:widowControl/>
              <w:spacing w:line="0" w:lineRule="atLeast"/>
              <w:jc w:val="center"/>
              <w:rPr>
                <w:rFonts w:eastAsia="宋体"/>
                <w:color w:val="000000"/>
                <w:kern w:val="0"/>
                <w:sz w:val="22"/>
                <w:szCs w:val="22"/>
              </w:rPr>
            </w:pPr>
            <w:r>
              <w:rPr>
                <w:rFonts w:eastAsia="宋体"/>
                <w:color w:val="000000"/>
                <w:kern w:val="0"/>
                <w:sz w:val="22"/>
                <w:szCs w:val="22"/>
              </w:rPr>
              <w:t>决策（20分）　</w:t>
            </w:r>
          </w:p>
        </w:tc>
        <w:tc>
          <w:tcPr>
            <w:tcW w:w="1133" w:type="dxa"/>
            <w:tcBorders>
              <w:tl2br w:val="nil"/>
              <w:tr2bl w:val="nil"/>
            </w:tcBorders>
            <w:shd w:val="clear" w:color="auto" w:fill="FFFFFF"/>
            <w:vAlign w:val="center"/>
          </w:tcPr>
          <w:p w14:paraId="67DDB1C5">
            <w:pPr>
              <w:widowControl/>
              <w:spacing w:line="0" w:lineRule="atLeast"/>
              <w:jc w:val="center"/>
              <w:rPr>
                <w:rFonts w:eastAsia="宋体"/>
                <w:color w:val="000000"/>
                <w:kern w:val="0"/>
                <w:sz w:val="22"/>
                <w:szCs w:val="22"/>
              </w:rPr>
            </w:pPr>
            <w:r>
              <w:rPr>
                <w:rFonts w:eastAsia="宋体"/>
                <w:color w:val="000000"/>
                <w:kern w:val="0"/>
                <w:sz w:val="22"/>
                <w:szCs w:val="22"/>
              </w:rPr>
              <w:t>绩效目标</w:t>
            </w:r>
          </w:p>
        </w:tc>
        <w:tc>
          <w:tcPr>
            <w:tcW w:w="1232" w:type="dxa"/>
            <w:tcBorders>
              <w:tl2br w:val="nil"/>
              <w:tr2bl w:val="nil"/>
            </w:tcBorders>
            <w:shd w:val="clear" w:color="auto" w:fill="FFFFFF"/>
            <w:vAlign w:val="center"/>
          </w:tcPr>
          <w:p w14:paraId="72AAA553">
            <w:pPr>
              <w:widowControl/>
              <w:spacing w:line="0" w:lineRule="atLeast"/>
              <w:jc w:val="center"/>
              <w:rPr>
                <w:rFonts w:eastAsia="宋体"/>
                <w:color w:val="000000"/>
                <w:kern w:val="0"/>
                <w:sz w:val="22"/>
                <w:szCs w:val="22"/>
              </w:rPr>
            </w:pPr>
            <w:r>
              <w:rPr>
                <w:rFonts w:eastAsia="宋体"/>
                <w:color w:val="000000"/>
                <w:kern w:val="0"/>
                <w:sz w:val="22"/>
                <w:szCs w:val="22"/>
              </w:rPr>
              <w:t>绩效指标</w:t>
            </w:r>
          </w:p>
          <w:p w14:paraId="4D27749D">
            <w:pPr>
              <w:widowControl/>
              <w:spacing w:line="0" w:lineRule="atLeast"/>
              <w:jc w:val="center"/>
              <w:rPr>
                <w:rFonts w:eastAsia="宋体"/>
                <w:color w:val="000000"/>
                <w:kern w:val="0"/>
                <w:sz w:val="22"/>
                <w:szCs w:val="22"/>
              </w:rPr>
            </w:pPr>
            <w:r>
              <w:rPr>
                <w:rFonts w:eastAsia="宋体"/>
                <w:color w:val="000000"/>
                <w:kern w:val="0"/>
                <w:sz w:val="22"/>
                <w:szCs w:val="22"/>
              </w:rPr>
              <w:t>明确性</w:t>
            </w:r>
          </w:p>
        </w:tc>
        <w:tc>
          <w:tcPr>
            <w:tcW w:w="2672" w:type="dxa"/>
            <w:tcBorders>
              <w:tl2br w:val="nil"/>
              <w:tr2bl w:val="nil"/>
            </w:tcBorders>
            <w:shd w:val="clear" w:color="000000" w:fill="FFFFFF"/>
            <w:vAlign w:val="center"/>
          </w:tcPr>
          <w:p w14:paraId="0D9365DA">
            <w:pPr>
              <w:widowControl/>
              <w:spacing w:line="0" w:lineRule="atLeast"/>
              <w:rPr>
                <w:rFonts w:eastAsia="宋体"/>
                <w:color w:val="000000"/>
                <w:kern w:val="0"/>
                <w:sz w:val="22"/>
                <w:szCs w:val="22"/>
              </w:rPr>
            </w:pPr>
            <w:r>
              <w:rPr>
                <w:rFonts w:eastAsia="宋体"/>
                <w:color w:val="000000"/>
                <w:kern w:val="0"/>
                <w:sz w:val="22"/>
                <w:szCs w:val="22"/>
              </w:rPr>
              <w:t>依据绩效目标设定的绩效指标是否清晰、细化、可衡量等，用以反映和考核项目绩效目标的明细化情况。</w:t>
            </w:r>
          </w:p>
        </w:tc>
        <w:tc>
          <w:tcPr>
            <w:tcW w:w="6173" w:type="dxa"/>
            <w:tcBorders>
              <w:tl2br w:val="nil"/>
              <w:tr2bl w:val="nil"/>
            </w:tcBorders>
            <w:shd w:val="clear" w:color="000000" w:fill="FFFFFF"/>
            <w:vAlign w:val="center"/>
          </w:tcPr>
          <w:p w14:paraId="1481D928">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①是否将项目绩效目标细化分解为具体的绩效指标；</w:t>
            </w:r>
            <w:r>
              <w:rPr>
                <w:rFonts w:eastAsia="宋体"/>
                <w:color w:val="000000"/>
                <w:kern w:val="0"/>
                <w:sz w:val="22"/>
                <w:szCs w:val="22"/>
              </w:rPr>
              <w:br w:type="textWrapping"/>
            </w:r>
            <w:r>
              <w:rPr>
                <w:rFonts w:eastAsia="宋体"/>
                <w:color w:val="000000"/>
                <w:kern w:val="0"/>
                <w:sz w:val="22"/>
                <w:szCs w:val="22"/>
              </w:rPr>
              <w:t>②是否通过清晰、可衡量的指标值予以体现；</w:t>
            </w:r>
            <w:r>
              <w:rPr>
                <w:rFonts w:eastAsia="宋体"/>
                <w:color w:val="000000"/>
                <w:kern w:val="0"/>
                <w:sz w:val="22"/>
                <w:szCs w:val="22"/>
              </w:rPr>
              <w:br w:type="textWrapping"/>
            </w:r>
            <w:r>
              <w:rPr>
                <w:rFonts w:eastAsia="宋体"/>
                <w:color w:val="000000"/>
                <w:kern w:val="0"/>
                <w:sz w:val="22"/>
                <w:szCs w:val="22"/>
              </w:rPr>
              <w:t>③是否与项目目标任务数或计划数相对应。</w:t>
            </w:r>
            <w:r>
              <w:rPr>
                <w:rFonts w:eastAsia="宋体"/>
                <w:color w:val="000000"/>
                <w:kern w:val="0"/>
                <w:sz w:val="22"/>
                <w:szCs w:val="22"/>
              </w:rPr>
              <w:br w:type="textWrapping"/>
            </w:r>
          </w:p>
        </w:tc>
        <w:tc>
          <w:tcPr>
            <w:tcW w:w="733" w:type="dxa"/>
            <w:gridSpan w:val="2"/>
            <w:tcBorders>
              <w:top w:val="single" w:color="auto" w:sz="4" w:space="0"/>
              <w:bottom w:val="single" w:color="auto" w:sz="4" w:space="0"/>
              <w:right w:val="single" w:color="auto" w:sz="4" w:space="0"/>
            </w:tcBorders>
            <w:shd w:val="clear" w:color="auto" w:fill="auto"/>
            <w:vAlign w:val="center"/>
          </w:tcPr>
          <w:p w14:paraId="3073B027">
            <w:pPr>
              <w:widowControl/>
              <w:jc w:val="center"/>
              <w:rPr>
                <w:rFonts w:eastAsia="宋体"/>
                <w:color w:val="000000"/>
                <w:kern w:val="0"/>
                <w:sz w:val="22"/>
                <w:szCs w:val="22"/>
              </w:rPr>
            </w:pPr>
            <w:r>
              <w:rPr>
                <w:color w:val="000000"/>
                <w:kern w:val="0"/>
                <w:sz w:val="22"/>
                <w:szCs w:val="22"/>
              </w:rPr>
              <w:t>15</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C98743">
            <w:pPr>
              <w:widowControl/>
              <w:jc w:val="center"/>
              <w:rPr>
                <w:rFonts w:eastAsia="宋体"/>
                <w:color w:val="000000"/>
                <w:kern w:val="0"/>
                <w:sz w:val="22"/>
                <w:szCs w:val="22"/>
              </w:rPr>
            </w:pPr>
            <w:r>
              <w:rPr>
                <w:rFonts w:hint="eastAsia" w:eastAsia="宋体"/>
                <w:color w:val="000000"/>
                <w:kern w:val="0"/>
                <w:sz w:val="22"/>
                <w:szCs w:val="22"/>
              </w:rPr>
              <w:t>13</w:t>
            </w:r>
          </w:p>
        </w:tc>
      </w:tr>
      <w:tr w14:paraId="6D947A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550" w:hRule="atLeast"/>
          <w:jc w:val="center"/>
        </w:trPr>
        <w:tc>
          <w:tcPr>
            <w:tcW w:w="665" w:type="dxa"/>
            <w:vMerge w:val="continue"/>
            <w:tcBorders>
              <w:tl2br w:val="nil"/>
              <w:tr2bl w:val="nil"/>
            </w:tcBorders>
            <w:shd w:val="clear" w:color="auto" w:fill="FFFFFF"/>
            <w:vAlign w:val="center"/>
          </w:tcPr>
          <w:p w14:paraId="0B457755">
            <w:pPr>
              <w:spacing w:line="0" w:lineRule="atLeast"/>
              <w:jc w:val="center"/>
              <w:rPr>
                <w:rFonts w:eastAsia="宋体"/>
                <w:color w:val="000000"/>
                <w:kern w:val="0"/>
                <w:sz w:val="22"/>
                <w:szCs w:val="22"/>
              </w:rPr>
            </w:pPr>
          </w:p>
        </w:tc>
        <w:tc>
          <w:tcPr>
            <w:tcW w:w="1133" w:type="dxa"/>
            <w:vMerge w:val="restart"/>
            <w:tcBorders>
              <w:tl2br w:val="nil"/>
              <w:tr2bl w:val="nil"/>
            </w:tcBorders>
            <w:shd w:val="clear" w:color="auto" w:fill="FFFFFF"/>
            <w:vAlign w:val="center"/>
          </w:tcPr>
          <w:p w14:paraId="40879D20">
            <w:pPr>
              <w:widowControl/>
              <w:spacing w:line="0" w:lineRule="atLeast"/>
              <w:jc w:val="center"/>
              <w:rPr>
                <w:rFonts w:eastAsia="宋体"/>
                <w:color w:val="000000"/>
                <w:kern w:val="0"/>
                <w:sz w:val="22"/>
                <w:szCs w:val="22"/>
              </w:rPr>
            </w:pPr>
            <w:r>
              <w:rPr>
                <w:rFonts w:eastAsia="宋体"/>
                <w:color w:val="000000"/>
                <w:kern w:val="0"/>
                <w:sz w:val="22"/>
                <w:szCs w:val="22"/>
              </w:rPr>
              <w:t>资金投入（5）</w:t>
            </w:r>
          </w:p>
          <w:p w14:paraId="2EEE6DF5">
            <w:pPr>
              <w:spacing w:line="0" w:lineRule="atLeast"/>
              <w:jc w:val="center"/>
              <w:rPr>
                <w:rFonts w:eastAsia="宋体"/>
                <w:color w:val="000000"/>
                <w:kern w:val="0"/>
                <w:sz w:val="22"/>
                <w:szCs w:val="22"/>
              </w:rPr>
            </w:pPr>
            <w:r>
              <w:rPr>
                <w:rFonts w:eastAsia="宋体"/>
                <w:color w:val="000000"/>
                <w:kern w:val="0"/>
                <w:sz w:val="22"/>
                <w:szCs w:val="22"/>
              </w:rPr>
              <w:t>　</w:t>
            </w:r>
          </w:p>
        </w:tc>
        <w:tc>
          <w:tcPr>
            <w:tcW w:w="1232" w:type="dxa"/>
            <w:tcBorders>
              <w:tl2br w:val="nil"/>
              <w:tr2bl w:val="nil"/>
            </w:tcBorders>
            <w:shd w:val="clear" w:color="auto" w:fill="FFFFFF"/>
            <w:vAlign w:val="center"/>
          </w:tcPr>
          <w:p w14:paraId="47DBDF4C">
            <w:pPr>
              <w:widowControl/>
              <w:spacing w:line="0" w:lineRule="atLeast"/>
              <w:jc w:val="center"/>
              <w:rPr>
                <w:rFonts w:eastAsia="宋体"/>
                <w:color w:val="000000"/>
                <w:kern w:val="0"/>
                <w:sz w:val="22"/>
                <w:szCs w:val="22"/>
              </w:rPr>
            </w:pPr>
            <w:r>
              <w:rPr>
                <w:rFonts w:eastAsia="宋体"/>
                <w:color w:val="000000"/>
                <w:kern w:val="0"/>
                <w:sz w:val="22"/>
                <w:szCs w:val="22"/>
              </w:rPr>
              <w:t>预算编制</w:t>
            </w:r>
          </w:p>
          <w:p w14:paraId="2852EFD5">
            <w:pPr>
              <w:widowControl/>
              <w:spacing w:line="0" w:lineRule="atLeast"/>
              <w:jc w:val="center"/>
              <w:rPr>
                <w:rFonts w:eastAsia="宋体"/>
                <w:color w:val="000000"/>
                <w:kern w:val="0"/>
                <w:sz w:val="22"/>
                <w:szCs w:val="22"/>
              </w:rPr>
            </w:pPr>
            <w:r>
              <w:rPr>
                <w:rFonts w:eastAsia="宋体"/>
                <w:color w:val="000000"/>
                <w:kern w:val="0"/>
                <w:sz w:val="22"/>
                <w:szCs w:val="22"/>
              </w:rPr>
              <w:t>科学性</w:t>
            </w:r>
          </w:p>
        </w:tc>
        <w:tc>
          <w:tcPr>
            <w:tcW w:w="2672" w:type="dxa"/>
            <w:tcBorders>
              <w:tl2br w:val="nil"/>
              <w:tr2bl w:val="nil"/>
            </w:tcBorders>
            <w:shd w:val="clear" w:color="auto" w:fill="FFFFFF"/>
            <w:vAlign w:val="center"/>
          </w:tcPr>
          <w:p w14:paraId="2C44407E">
            <w:pPr>
              <w:widowControl/>
              <w:spacing w:line="0" w:lineRule="atLeast"/>
              <w:rPr>
                <w:rFonts w:eastAsia="宋体"/>
                <w:color w:val="000000"/>
                <w:kern w:val="0"/>
                <w:sz w:val="22"/>
                <w:szCs w:val="22"/>
              </w:rPr>
            </w:pPr>
            <w:r>
              <w:rPr>
                <w:rFonts w:eastAsia="宋体"/>
                <w:color w:val="000000"/>
                <w:kern w:val="0"/>
                <w:sz w:val="22"/>
                <w:szCs w:val="22"/>
              </w:rPr>
              <w:t>项目预算编制是否经过科学论证、有明确标准，资金额度与年度目标是否相适应，用以反映和考核项目预算编制的科学性、合理性情况。</w:t>
            </w:r>
          </w:p>
        </w:tc>
        <w:tc>
          <w:tcPr>
            <w:tcW w:w="6173" w:type="dxa"/>
            <w:tcBorders>
              <w:tl2br w:val="nil"/>
              <w:tr2bl w:val="nil"/>
            </w:tcBorders>
            <w:shd w:val="clear" w:color="auto" w:fill="FFFFFF"/>
            <w:vAlign w:val="center"/>
          </w:tcPr>
          <w:p w14:paraId="6503AAD6">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①预算编制是否经过科学论证；</w:t>
            </w:r>
            <w:r>
              <w:rPr>
                <w:rFonts w:eastAsia="宋体"/>
                <w:color w:val="000000"/>
                <w:kern w:val="0"/>
                <w:sz w:val="22"/>
                <w:szCs w:val="22"/>
              </w:rPr>
              <w:br w:type="textWrapping"/>
            </w:r>
            <w:r>
              <w:rPr>
                <w:rFonts w:eastAsia="宋体"/>
                <w:color w:val="000000"/>
                <w:kern w:val="0"/>
                <w:sz w:val="22"/>
                <w:szCs w:val="22"/>
              </w:rPr>
              <w:t>②预算内容与项目内容是否匹配；</w:t>
            </w:r>
            <w:r>
              <w:rPr>
                <w:rFonts w:eastAsia="宋体"/>
                <w:color w:val="000000"/>
                <w:kern w:val="0"/>
                <w:sz w:val="22"/>
                <w:szCs w:val="22"/>
              </w:rPr>
              <w:br w:type="textWrapping"/>
            </w:r>
            <w:r>
              <w:rPr>
                <w:rFonts w:eastAsia="宋体"/>
                <w:color w:val="000000"/>
                <w:kern w:val="0"/>
                <w:sz w:val="22"/>
                <w:szCs w:val="22"/>
              </w:rPr>
              <w:t>③预算额度测算依据是否充分，是否按照标准编制；</w:t>
            </w:r>
            <w:r>
              <w:rPr>
                <w:rFonts w:eastAsia="宋体"/>
                <w:color w:val="000000"/>
                <w:kern w:val="0"/>
                <w:sz w:val="22"/>
                <w:szCs w:val="22"/>
              </w:rPr>
              <w:br w:type="textWrapping"/>
            </w:r>
            <w:r>
              <w:rPr>
                <w:rFonts w:eastAsia="宋体"/>
                <w:color w:val="000000"/>
                <w:kern w:val="0"/>
                <w:sz w:val="22"/>
                <w:szCs w:val="22"/>
              </w:rPr>
              <w:t>④预算确定的项目投资额或资金量是否与工作任务相匹配。</w:t>
            </w:r>
          </w:p>
        </w:tc>
        <w:tc>
          <w:tcPr>
            <w:tcW w:w="733" w:type="dxa"/>
            <w:gridSpan w:val="2"/>
            <w:tcBorders>
              <w:top w:val="single" w:color="auto" w:sz="4" w:space="0"/>
              <w:bottom w:val="single" w:color="auto" w:sz="4" w:space="0"/>
              <w:right w:val="single" w:color="auto" w:sz="4" w:space="0"/>
            </w:tcBorders>
            <w:shd w:val="clear" w:color="auto" w:fill="auto"/>
            <w:vAlign w:val="center"/>
          </w:tcPr>
          <w:p w14:paraId="714F313A">
            <w:pPr>
              <w:widowControl/>
              <w:jc w:val="center"/>
              <w:rPr>
                <w:rFonts w:eastAsia="宋体"/>
                <w:color w:val="000000"/>
                <w:kern w:val="0"/>
                <w:sz w:val="22"/>
                <w:szCs w:val="22"/>
              </w:rPr>
            </w:pPr>
            <w:r>
              <w:rPr>
                <w:color w:val="000000"/>
                <w:kern w:val="0"/>
                <w:sz w:val="22"/>
                <w:szCs w:val="22"/>
              </w:rPr>
              <w:t>3</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60F27E">
            <w:pPr>
              <w:widowControl/>
              <w:jc w:val="center"/>
              <w:rPr>
                <w:rFonts w:eastAsia="宋体"/>
                <w:color w:val="000000"/>
                <w:kern w:val="0"/>
                <w:sz w:val="22"/>
                <w:szCs w:val="22"/>
              </w:rPr>
            </w:pPr>
            <w:r>
              <w:rPr>
                <w:color w:val="000000"/>
                <w:kern w:val="0"/>
                <w:sz w:val="22"/>
                <w:szCs w:val="22"/>
              </w:rPr>
              <w:t>3</w:t>
            </w:r>
          </w:p>
        </w:tc>
      </w:tr>
      <w:tr w14:paraId="313ED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41" w:hRule="atLeast"/>
          <w:jc w:val="center"/>
        </w:trPr>
        <w:tc>
          <w:tcPr>
            <w:tcW w:w="665" w:type="dxa"/>
            <w:vMerge w:val="continue"/>
            <w:tcBorders>
              <w:tl2br w:val="nil"/>
              <w:tr2bl w:val="nil"/>
            </w:tcBorders>
            <w:shd w:val="clear" w:color="auto" w:fill="FFFFFF"/>
            <w:vAlign w:val="center"/>
          </w:tcPr>
          <w:p w14:paraId="71B00CDD">
            <w:pPr>
              <w:widowControl/>
              <w:spacing w:line="0" w:lineRule="atLeast"/>
              <w:jc w:val="center"/>
              <w:rPr>
                <w:rFonts w:eastAsia="宋体"/>
                <w:color w:val="000000"/>
                <w:kern w:val="0"/>
                <w:sz w:val="22"/>
                <w:szCs w:val="22"/>
              </w:rPr>
            </w:pPr>
          </w:p>
        </w:tc>
        <w:tc>
          <w:tcPr>
            <w:tcW w:w="1133" w:type="dxa"/>
            <w:vMerge w:val="continue"/>
            <w:tcBorders>
              <w:tl2br w:val="nil"/>
              <w:tr2bl w:val="nil"/>
            </w:tcBorders>
            <w:shd w:val="clear" w:color="auto" w:fill="FFFFFF"/>
            <w:vAlign w:val="center"/>
          </w:tcPr>
          <w:p w14:paraId="3815AD11">
            <w:pPr>
              <w:widowControl/>
              <w:spacing w:line="0" w:lineRule="atLeast"/>
              <w:jc w:val="center"/>
              <w:rPr>
                <w:rFonts w:eastAsia="宋体"/>
                <w:color w:val="000000"/>
                <w:kern w:val="0"/>
                <w:sz w:val="22"/>
                <w:szCs w:val="22"/>
              </w:rPr>
            </w:pPr>
          </w:p>
        </w:tc>
        <w:tc>
          <w:tcPr>
            <w:tcW w:w="1232" w:type="dxa"/>
            <w:tcBorders>
              <w:tl2br w:val="nil"/>
              <w:tr2bl w:val="nil"/>
            </w:tcBorders>
            <w:shd w:val="clear" w:color="auto" w:fill="FFFFFF"/>
            <w:vAlign w:val="center"/>
          </w:tcPr>
          <w:p w14:paraId="5E05F788">
            <w:pPr>
              <w:widowControl/>
              <w:spacing w:line="0" w:lineRule="atLeast"/>
              <w:jc w:val="center"/>
              <w:rPr>
                <w:rFonts w:eastAsia="宋体"/>
                <w:color w:val="000000"/>
                <w:kern w:val="0"/>
                <w:sz w:val="22"/>
                <w:szCs w:val="22"/>
              </w:rPr>
            </w:pPr>
            <w:r>
              <w:rPr>
                <w:rFonts w:eastAsia="宋体"/>
                <w:color w:val="000000"/>
                <w:kern w:val="0"/>
                <w:sz w:val="22"/>
                <w:szCs w:val="22"/>
              </w:rPr>
              <w:t>资金分配</w:t>
            </w:r>
          </w:p>
          <w:p w14:paraId="20734EAC">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2672" w:type="dxa"/>
            <w:tcBorders>
              <w:tl2br w:val="nil"/>
              <w:tr2bl w:val="nil"/>
            </w:tcBorders>
            <w:shd w:val="clear" w:color="auto" w:fill="FFFFFF"/>
            <w:vAlign w:val="center"/>
          </w:tcPr>
          <w:p w14:paraId="7D2716FF">
            <w:pPr>
              <w:widowControl/>
              <w:spacing w:line="0" w:lineRule="atLeast"/>
              <w:rPr>
                <w:rFonts w:eastAsia="宋体"/>
                <w:color w:val="000000"/>
                <w:kern w:val="0"/>
                <w:sz w:val="22"/>
                <w:szCs w:val="22"/>
              </w:rPr>
            </w:pPr>
            <w:r>
              <w:rPr>
                <w:rFonts w:eastAsia="宋体"/>
                <w:color w:val="000000"/>
                <w:kern w:val="0"/>
                <w:sz w:val="22"/>
                <w:szCs w:val="22"/>
              </w:rPr>
              <w:t>项目预算资金分配是否有测算依据，与补助单位或地方实际是否相适应，用以反映和考核项目预算资金分配的科学性、合理性情况。</w:t>
            </w:r>
          </w:p>
        </w:tc>
        <w:tc>
          <w:tcPr>
            <w:tcW w:w="6173" w:type="dxa"/>
            <w:tcBorders>
              <w:bottom w:val="single" w:color="auto" w:sz="4" w:space="0"/>
              <w:tl2br w:val="nil"/>
              <w:tr2bl w:val="nil"/>
            </w:tcBorders>
            <w:shd w:val="clear" w:color="auto" w:fill="FFFFFF"/>
            <w:vAlign w:val="center"/>
          </w:tcPr>
          <w:p w14:paraId="26D06B97">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①预算资金分配依据是否充分；</w:t>
            </w:r>
            <w:r>
              <w:rPr>
                <w:rFonts w:eastAsia="宋体"/>
                <w:color w:val="000000"/>
                <w:kern w:val="0"/>
                <w:sz w:val="22"/>
                <w:szCs w:val="22"/>
              </w:rPr>
              <w:br w:type="textWrapping"/>
            </w:r>
            <w:r>
              <w:rPr>
                <w:rFonts w:eastAsia="宋体"/>
                <w:color w:val="000000"/>
                <w:kern w:val="0"/>
                <w:sz w:val="22"/>
                <w:szCs w:val="22"/>
              </w:rPr>
              <w:t>②资金分配额度是否合理，与项目单位或地方实际是否相适应。</w:t>
            </w:r>
          </w:p>
        </w:tc>
        <w:tc>
          <w:tcPr>
            <w:tcW w:w="733" w:type="dxa"/>
            <w:gridSpan w:val="2"/>
            <w:tcBorders>
              <w:top w:val="single" w:color="auto" w:sz="4" w:space="0"/>
              <w:bottom w:val="single" w:color="auto" w:sz="4" w:space="0"/>
              <w:right w:val="single" w:color="auto" w:sz="4" w:space="0"/>
            </w:tcBorders>
            <w:shd w:val="clear" w:color="auto" w:fill="auto"/>
            <w:vAlign w:val="center"/>
          </w:tcPr>
          <w:p w14:paraId="776124A2">
            <w:pPr>
              <w:widowControl/>
              <w:jc w:val="center"/>
              <w:rPr>
                <w:rFonts w:eastAsia="宋体"/>
                <w:color w:val="000000"/>
                <w:kern w:val="0"/>
                <w:sz w:val="22"/>
                <w:szCs w:val="22"/>
              </w:rPr>
            </w:pPr>
            <w:r>
              <w:rPr>
                <w:color w:val="000000"/>
                <w:kern w:val="0"/>
                <w:sz w:val="22"/>
                <w:szCs w:val="22"/>
              </w:rPr>
              <w:t>2</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556676">
            <w:pPr>
              <w:widowControl/>
              <w:jc w:val="center"/>
              <w:rPr>
                <w:rFonts w:eastAsia="宋体"/>
                <w:color w:val="000000"/>
                <w:kern w:val="0"/>
                <w:sz w:val="22"/>
                <w:szCs w:val="22"/>
              </w:rPr>
            </w:pPr>
            <w:r>
              <w:rPr>
                <w:color w:val="000000"/>
                <w:kern w:val="0"/>
                <w:sz w:val="22"/>
                <w:szCs w:val="22"/>
              </w:rPr>
              <w:t>2</w:t>
            </w:r>
          </w:p>
        </w:tc>
      </w:tr>
      <w:tr w14:paraId="25173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665" w:type="dxa"/>
            <w:vMerge w:val="restart"/>
            <w:tcBorders>
              <w:tl2br w:val="nil"/>
              <w:tr2bl w:val="nil"/>
            </w:tcBorders>
            <w:shd w:val="clear" w:color="auto" w:fill="FFFFFF"/>
            <w:vAlign w:val="center"/>
          </w:tcPr>
          <w:p w14:paraId="71B6D42D">
            <w:pPr>
              <w:spacing w:line="0" w:lineRule="atLeast"/>
              <w:jc w:val="center"/>
              <w:rPr>
                <w:rFonts w:eastAsia="宋体"/>
                <w:color w:val="000000"/>
                <w:kern w:val="0"/>
                <w:sz w:val="22"/>
                <w:szCs w:val="22"/>
              </w:rPr>
            </w:pPr>
            <w:r>
              <w:rPr>
                <w:rFonts w:eastAsia="宋体"/>
                <w:color w:val="000000"/>
                <w:kern w:val="0"/>
                <w:sz w:val="22"/>
                <w:szCs w:val="22"/>
              </w:rPr>
              <w:t>过程（20分）</w:t>
            </w:r>
          </w:p>
        </w:tc>
        <w:tc>
          <w:tcPr>
            <w:tcW w:w="1133" w:type="dxa"/>
            <w:vMerge w:val="restart"/>
            <w:tcBorders>
              <w:tl2br w:val="nil"/>
              <w:tr2bl w:val="nil"/>
            </w:tcBorders>
            <w:shd w:val="clear" w:color="auto" w:fill="FFFFFF"/>
            <w:vAlign w:val="center"/>
          </w:tcPr>
          <w:p w14:paraId="06095809">
            <w:pPr>
              <w:widowControl/>
              <w:spacing w:line="0" w:lineRule="atLeast"/>
              <w:jc w:val="center"/>
              <w:rPr>
                <w:rFonts w:eastAsia="宋体"/>
                <w:color w:val="000000"/>
                <w:kern w:val="0"/>
                <w:sz w:val="22"/>
                <w:szCs w:val="22"/>
              </w:rPr>
            </w:pPr>
            <w:r>
              <w:rPr>
                <w:rFonts w:eastAsia="宋体"/>
                <w:color w:val="000000"/>
                <w:kern w:val="0"/>
                <w:sz w:val="22"/>
                <w:szCs w:val="22"/>
              </w:rPr>
              <w:t>资金管理（10）</w:t>
            </w:r>
          </w:p>
        </w:tc>
        <w:tc>
          <w:tcPr>
            <w:tcW w:w="1232" w:type="dxa"/>
            <w:tcBorders>
              <w:tl2br w:val="nil"/>
              <w:tr2bl w:val="nil"/>
            </w:tcBorders>
            <w:shd w:val="clear" w:color="auto" w:fill="FFFFFF"/>
            <w:vAlign w:val="center"/>
          </w:tcPr>
          <w:p w14:paraId="75567B1B">
            <w:pPr>
              <w:widowControl/>
              <w:spacing w:line="0" w:lineRule="atLeast"/>
              <w:jc w:val="center"/>
              <w:rPr>
                <w:rFonts w:eastAsia="宋体"/>
                <w:color w:val="000000"/>
                <w:kern w:val="0"/>
                <w:sz w:val="22"/>
                <w:szCs w:val="22"/>
              </w:rPr>
            </w:pPr>
            <w:r>
              <w:rPr>
                <w:rFonts w:eastAsia="宋体"/>
                <w:color w:val="000000"/>
                <w:kern w:val="0"/>
                <w:sz w:val="22"/>
                <w:szCs w:val="22"/>
              </w:rPr>
              <w:t>资金到位率</w:t>
            </w:r>
          </w:p>
        </w:tc>
        <w:tc>
          <w:tcPr>
            <w:tcW w:w="2672" w:type="dxa"/>
            <w:tcBorders>
              <w:tl2br w:val="nil"/>
              <w:tr2bl w:val="nil"/>
            </w:tcBorders>
            <w:shd w:val="clear" w:color="000000" w:fill="FFFFFF"/>
            <w:vAlign w:val="center"/>
          </w:tcPr>
          <w:p w14:paraId="1BF58C16">
            <w:pPr>
              <w:widowControl/>
              <w:spacing w:line="0" w:lineRule="atLeast"/>
              <w:rPr>
                <w:rFonts w:eastAsia="宋体"/>
                <w:color w:val="000000"/>
                <w:kern w:val="0"/>
                <w:sz w:val="22"/>
                <w:szCs w:val="22"/>
              </w:rPr>
            </w:pPr>
            <w:r>
              <w:rPr>
                <w:rFonts w:eastAsia="宋体"/>
                <w:color w:val="000000"/>
                <w:kern w:val="0"/>
                <w:sz w:val="22"/>
                <w:szCs w:val="22"/>
              </w:rPr>
              <w:t>实际到位资金与预算资金的比率，用以反映和考核资金落实情况对项目实施的总体保障程度。</w:t>
            </w:r>
          </w:p>
        </w:tc>
        <w:tc>
          <w:tcPr>
            <w:tcW w:w="6173" w:type="dxa"/>
            <w:tcBorders>
              <w:tl2br w:val="nil"/>
              <w:tr2bl w:val="nil"/>
            </w:tcBorders>
            <w:shd w:val="clear" w:color="000000" w:fill="FFFFFF"/>
            <w:vAlign w:val="center"/>
          </w:tcPr>
          <w:p w14:paraId="2E9C6100">
            <w:pPr>
              <w:widowControl/>
              <w:spacing w:line="0" w:lineRule="atLeast"/>
              <w:rPr>
                <w:rFonts w:eastAsia="宋体"/>
                <w:color w:val="000000"/>
                <w:kern w:val="0"/>
                <w:sz w:val="22"/>
                <w:szCs w:val="22"/>
              </w:rPr>
            </w:pPr>
            <w:r>
              <w:rPr>
                <w:rFonts w:eastAsia="宋体"/>
                <w:color w:val="000000"/>
                <w:kern w:val="0"/>
                <w:sz w:val="22"/>
                <w:szCs w:val="22"/>
              </w:rPr>
              <w:t>资金到位率=（实际到位资金/预算资金）×100%。</w:t>
            </w:r>
          </w:p>
          <w:p w14:paraId="5FF593FC">
            <w:pPr>
              <w:widowControl/>
              <w:spacing w:line="0" w:lineRule="atLeast"/>
              <w:rPr>
                <w:rFonts w:eastAsia="宋体"/>
                <w:color w:val="000000"/>
                <w:kern w:val="0"/>
                <w:sz w:val="22"/>
                <w:szCs w:val="22"/>
              </w:rPr>
            </w:pPr>
            <w:r>
              <w:rPr>
                <w:rFonts w:eastAsia="宋体"/>
                <w:color w:val="000000"/>
                <w:kern w:val="0"/>
                <w:sz w:val="22"/>
                <w:szCs w:val="22"/>
              </w:rPr>
              <w:t>实际到位资金：一定时期（本年度或项目期）内落实到具体项目的资金。</w:t>
            </w:r>
          </w:p>
          <w:p w14:paraId="50E7D7F3">
            <w:pPr>
              <w:widowControl/>
              <w:spacing w:line="0" w:lineRule="atLeast"/>
              <w:rPr>
                <w:rFonts w:eastAsia="宋体"/>
                <w:color w:val="000000"/>
                <w:kern w:val="0"/>
                <w:sz w:val="22"/>
                <w:szCs w:val="22"/>
              </w:rPr>
            </w:pPr>
            <w:r>
              <w:rPr>
                <w:rFonts w:eastAsia="宋体"/>
                <w:color w:val="000000"/>
                <w:kern w:val="0"/>
                <w:sz w:val="22"/>
                <w:szCs w:val="22"/>
              </w:rPr>
              <w:t>预算资金：一定时期（本年度或项目期）内预算安排到具体项目的资金。</w:t>
            </w:r>
          </w:p>
        </w:tc>
        <w:tc>
          <w:tcPr>
            <w:tcW w:w="733" w:type="dxa"/>
            <w:gridSpan w:val="2"/>
            <w:tcBorders>
              <w:top w:val="single" w:color="auto" w:sz="4" w:space="0"/>
              <w:bottom w:val="single" w:color="auto" w:sz="4" w:space="0"/>
              <w:right w:val="single" w:color="auto" w:sz="4" w:space="0"/>
            </w:tcBorders>
            <w:shd w:val="clear" w:color="auto" w:fill="auto"/>
            <w:vAlign w:val="center"/>
          </w:tcPr>
          <w:p w14:paraId="082C29B3">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C63B44">
            <w:pPr>
              <w:widowControl/>
              <w:jc w:val="center"/>
              <w:rPr>
                <w:rFonts w:eastAsia="宋体"/>
                <w:color w:val="000000"/>
                <w:kern w:val="0"/>
                <w:sz w:val="22"/>
                <w:szCs w:val="22"/>
              </w:rPr>
            </w:pPr>
            <w:r>
              <w:rPr>
                <w:color w:val="000000"/>
                <w:kern w:val="0"/>
                <w:sz w:val="22"/>
                <w:szCs w:val="22"/>
              </w:rPr>
              <w:t>10</w:t>
            </w:r>
          </w:p>
        </w:tc>
      </w:tr>
      <w:tr w14:paraId="52496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665" w:type="dxa"/>
            <w:vMerge w:val="continue"/>
            <w:tcBorders>
              <w:tl2br w:val="nil"/>
              <w:tr2bl w:val="nil"/>
            </w:tcBorders>
            <w:shd w:val="clear" w:color="auto" w:fill="FFFFFF"/>
            <w:vAlign w:val="center"/>
          </w:tcPr>
          <w:p w14:paraId="3CFDD8F4">
            <w:pPr>
              <w:spacing w:line="0" w:lineRule="atLeast"/>
              <w:jc w:val="center"/>
              <w:rPr>
                <w:rFonts w:eastAsia="宋体"/>
                <w:color w:val="000000"/>
                <w:kern w:val="0"/>
                <w:sz w:val="22"/>
                <w:szCs w:val="22"/>
              </w:rPr>
            </w:pPr>
          </w:p>
        </w:tc>
        <w:tc>
          <w:tcPr>
            <w:tcW w:w="1133" w:type="dxa"/>
            <w:vMerge w:val="continue"/>
            <w:tcBorders>
              <w:tl2br w:val="nil"/>
              <w:tr2bl w:val="nil"/>
            </w:tcBorders>
            <w:shd w:val="clear" w:color="auto" w:fill="FFFFFF"/>
            <w:vAlign w:val="center"/>
          </w:tcPr>
          <w:p w14:paraId="763AA5BC">
            <w:pPr>
              <w:spacing w:line="0" w:lineRule="atLeast"/>
              <w:jc w:val="center"/>
              <w:rPr>
                <w:rFonts w:eastAsia="宋体"/>
                <w:color w:val="000000"/>
                <w:kern w:val="0"/>
                <w:sz w:val="22"/>
                <w:szCs w:val="22"/>
              </w:rPr>
            </w:pPr>
          </w:p>
        </w:tc>
        <w:tc>
          <w:tcPr>
            <w:tcW w:w="1232" w:type="dxa"/>
            <w:tcBorders>
              <w:tl2br w:val="nil"/>
              <w:tr2bl w:val="nil"/>
            </w:tcBorders>
            <w:shd w:val="clear" w:color="auto" w:fill="FFFFFF"/>
            <w:vAlign w:val="center"/>
          </w:tcPr>
          <w:p w14:paraId="1ABE42CD">
            <w:pPr>
              <w:widowControl/>
              <w:spacing w:line="0" w:lineRule="atLeast"/>
              <w:jc w:val="center"/>
              <w:rPr>
                <w:rFonts w:eastAsia="宋体"/>
                <w:color w:val="000000"/>
                <w:kern w:val="0"/>
                <w:sz w:val="22"/>
                <w:szCs w:val="22"/>
              </w:rPr>
            </w:pPr>
            <w:r>
              <w:rPr>
                <w:rFonts w:eastAsia="宋体"/>
                <w:color w:val="000000"/>
                <w:kern w:val="0"/>
                <w:sz w:val="22"/>
                <w:szCs w:val="22"/>
              </w:rPr>
              <w:t>预算执行率</w:t>
            </w:r>
          </w:p>
        </w:tc>
        <w:tc>
          <w:tcPr>
            <w:tcW w:w="2672" w:type="dxa"/>
            <w:tcBorders>
              <w:tl2br w:val="nil"/>
              <w:tr2bl w:val="nil"/>
            </w:tcBorders>
            <w:shd w:val="clear" w:color="auto" w:fill="FFFFFF"/>
            <w:vAlign w:val="center"/>
          </w:tcPr>
          <w:p w14:paraId="1AF90337">
            <w:pPr>
              <w:widowControl/>
              <w:spacing w:line="0" w:lineRule="atLeast"/>
              <w:rPr>
                <w:rFonts w:eastAsia="宋体"/>
                <w:color w:val="000000"/>
                <w:kern w:val="0"/>
                <w:sz w:val="22"/>
                <w:szCs w:val="22"/>
              </w:rPr>
            </w:pPr>
            <w:r>
              <w:rPr>
                <w:rFonts w:eastAsia="宋体"/>
                <w:color w:val="000000"/>
                <w:kern w:val="0"/>
                <w:sz w:val="22"/>
                <w:szCs w:val="22"/>
              </w:rPr>
              <w:t>项目预算资金是否按照计划执行，用以反映或考核项目预算执行情况。</w:t>
            </w:r>
          </w:p>
        </w:tc>
        <w:tc>
          <w:tcPr>
            <w:tcW w:w="6173" w:type="dxa"/>
            <w:tcBorders>
              <w:tl2br w:val="nil"/>
              <w:tr2bl w:val="nil"/>
            </w:tcBorders>
            <w:shd w:val="clear" w:color="auto" w:fill="FFFFFF"/>
            <w:vAlign w:val="center"/>
          </w:tcPr>
          <w:p w14:paraId="442854C4">
            <w:pPr>
              <w:widowControl/>
              <w:spacing w:line="0" w:lineRule="atLeast"/>
              <w:rPr>
                <w:rFonts w:eastAsia="宋体"/>
                <w:color w:val="000000"/>
                <w:kern w:val="0"/>
                <w:sz w:val="22"/>
                <w:szCs w:val="22"/>
              </w:rPr>
            </w:pPr>
            <w:r>
              <w:rPr>
                <w:rFonts w:eastAsia="宋体"/>
                <w:color w:val="000000"/>
                <w:kern w:val="0"/>
                <w:sz w:val="22"/>
                <w:szCs w:val="22"/>
              </w:rPr>
              <w:t>预算执行率=（实际支出资金/实际到位资金）×100%。</w:t>
            </w:r>
            <w:r>
              <w:rPr>
                <w:rFonts w:eastAsia="宋体"/>
                <w:color w:val="000000"/>
                <w:kern w:val="0"/>
                <w:sz w:val="22"/>
                <w:szCs w:val="22"/>
              </w:rPr>
              <w:br w:type="textWrapping"/>
            </w:r>
            <w:r>
              <w:rPr>
                <w:rFonts w:eastAsia="宋体"/>
                <w:color w:val="000000"/>
                <w:kern w:val="0"/>
                <w:sz w:val="22"/>
                <w:szCs w:val="22"/>
              </w:rPr>
              <w:t>实际支出资金：一定时期（本年度或项目期）内项目实际拨付的资金。</w:t>
            </w:r>
          </w:p>
        </w:tc>
        <w:tc>
          <w:tcPr>
            <w:tcW w:w="733" w:type="dxa"/>
            <w:gridSpan w:val="2"/>
            <w:tcBorders>
              <w:top w:val="single" w:color="auto" w:sz="4" w:space="0"/>
              <w:bottom w:val="single" w:color="auto" w:sz="4" w:space="0"/>
              <w:right w:val="single" w:color="auto" w:sz="4" w:space="0"/>
            </w:tcBorders>
            <w:shd w:val="clear" w:color="auto" w:fill="auto"/>
            <w:vAlign w:val="center"/>
          </w:tcPr>
          <w:p w14:paraId="31B9D9C5">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C9DFBE">
            <w:pPr>
              <w:widowControl/>
              <w:jc w:val="center"/>
              <w:rPr>
                <w:rFonts w:eastAsia="宋体"/>
                <w:color w:val="000000"/>
                <w:kern w:val="0"/>
                <w:sz w:val="22"/>
                <w:szCs w:val="22"/>
              </w:rPr>
            </w:pPr>
            <w:r>
              <w:rPr>
                <w:color w:val="000000"/>
                <w:kern w:val="0"/>
                <w:sz w:val="22"/>
                <w:szCs w:val="22"/>
              </w:rPr>
              <w:t>10</w:t>
            </w:r>
          </w:p>
        </w:tc>
      </w:tr>
      <w:tr w14:paraId="523F9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19" w:type="dxa"/>
          <w:trHeight w:val="2076" w:hRule="atLeast"/>
          <w:jc w:val="center"/>
        </w:trPr>
        <w:tc>
          <w:tcPr>
            <w:tcW w:w="665" w:type="dxa"/>
            <w:vMerge w:val="restart"/>
            <w:tcBorders>
              <w:tl2br w:val="nil"/>
              <w:tr2bl w:val="nil"/>
            </w:tcBorders>
            <w:shd w:val="clear" w:color="auto" w:fill="FFFFFF"/>
            <w:vAlign w:val="center"/>
          </w:tcPr>
          <w:p w14:paraId="5078F99E">
            <w:pPr>
              <w:widowControl/>
              <w:spacing w:line="0" w:lineRule="atLeast"/>
              <w:jc w:val="center"/>
              <w:rPr>
                <w:rFonts w:eastAsia="宋体"/>
                <w:color w:val="000000"/>
                <w:kern w:val="0"/>
                <w:sz w:val="22"/>
                <w:szCs w:val="22"/>
              </w:rPr>
            </w:pPr>
            <w:r>
              <w:rPr>
                <w:rFonts w:eastAsia="宋体"/>
                <w:color w:val="000000"/>
                <w:kern w:val="0"/>
                <w:sz w:val="22"/>
                <w:szCs w:val="22"/>
              </w:rPr>
              <w:t>　</w:t>
            </w:r>
          </w:p>
          <w:p w14:paraId="2AA0B092">
            <w:pPr>
              <w:spacing w:line="0" w:lineRule="atLeast"/>
              <w:jc w:val="center"/>
              <w:rPr>
                <w:rFonts w:eastAsia="宋体"/>
                <w:color w:val="000000"/>
                <w:kern w:val="0"/>
                <w:sz w:val="22"/>
                <w:szCs w:val="22"/>
              </w:rPr>
            </w:pPr>
            <w:r>
              <w:rPr>
                <w:rFonts w:eastAsia="宋体"/>
                <w:color w:val="000000"/>
                <w:kern w:val="0"/>
                <w:sz w:val="22"/>
                <w:szCs w:val="22"/>
              </w:rPr>
              <w:t>过程（20分）　</w:t>
            </w:r>
          </w:p>
        </w:tc>
        <w:tc>
          <w:tcPr>
            <w:tcW w:w="1133" w:type="dxa"/>
            <w:tcBorders>
              <w:tl2br w:val="nil"/>
              <w:tr2bl w:val="nil"/>
            </w:tcBorders>
            <w:shd w:val="clear" w:color="auto" w:fill="FFFFFF"/>
            <w:vAlign w:val="center"/>
          </w:tcPr>
          <w:p w14:paraId="52DDA9F9">
            <w:pPr>
              <w:widowControl/>
              <w:spacing w:line="0" w:lineRule="atLeast"/>
              <w:jc w:val="center"/>
              <w:rPr>
                <w:rFonts w:eastAsia="宋体"/>
                <w:color w:val="000000"/>
                <w:kern w:val="0"/>
                <w:sz w:val="22"/>
                <w:szCs w:val="22"/>
              </w:rPr>
            </w:pPr>
            <w:r>
              <w:rPr>
                <w:rFonts w:eastAsia="宋体"/>
                <w:color w:val="000000"/>
                <w:kern w:val="0"/>
                <w:sz w:val="22"/>
                <w:szCs w:val="22"/>
              </w:rPr>
              <w:t>资金管理</w:t>
            </w:r>
          </w:p>
        </w:tc>
        <w:tc>
          <w:tcPr>
            <w:tcW w:w="1232" w:type="dxa"/>
            <w:tcBorders>
              <w:tl2br w:val="nil"/>
              <w:tr2bl w:val="nil"/>
            </w:tcBorders>
            <w:shd w:val="clear" w:color="auto" w:fill="FFFFFF"/>
            <w:vAlign w:val="center"/>
          </w:tcPr>
          <w:p w14:paraId="4B54C6BD">
            <w:pPr>
              <w:widowControl/>
              <w:spacing w:line="0" w:lineRule="atLeast"/>
              <w:jc w:val="center"/>
              <w:rPr>
                <w:rFonts w:eastAsia="宋体"/>
                <w:color w:val="000000"/>
                <w:kern w:val="0"/>
                <w:sz w:val="22"/>
                <w:szCs w:val="22"/>
              </w:rPr>
            </w:pPr>
            <w:r>
              <w:rPr>
                <w:rFonts w:eastAsia="宋体"/>
                <w:color w:val="000000"/>
                <w:kern w:val="0"/>
                <w:sz w:val="22"/>
                <w:szCs w:val="22"/>
              </w:rPr>
              <w:t>资金使用</w:t>
            </w:r>
          </w:p>
          <w:p w14:paraId="64862B49">
            <w:pPr>
              <w:widowControl/>
              <w:spacing w:line="0" w:lineRule="atLeast"/>
              <w:jc w:val="center"/>
              <w:rPr>
                <w:rFonts w:eastAsia="宋体"/>
                <w:color w:val="000000"/>
                <w:kern w:val="0"/>
                <w:sz w:val="22"/>
                <w:szCs w:val="22"/>
              </w:rPr>
            </w:pPr>
            <w:r>
              <w:rPr>
                <w:rFonts w:eastAsia="宋体"/>
                <w:color w:val="000000"/>
                <w:kern w:val="0"/>
                <w:sz w:val="22"/>
                <w:szCs w:val="22"/>
              </w:rPr>
              <w:t>合规性</w:t>
            </w:r>
          </w:p>
        </w:tc>
        <w:tc>
          <w:tcPr>
            <w:tcW w:w="2672" w:type="dxa"/>
            <w:tcBorders>
              <w:tl2br w:val="nil"/>
              <w:tr2bl w:val="nil"/>
            </w:tcBorders>
            <w:shd w:val="clear" w:color="000000" w:fill="FFFFFF"/>
            <w:vAlign w:val="center"/>
          </w:tcPr>
          <w:p w14:paraId="5F399982">
            <w:pPr>
              <w:widowControl/>
              <w:spacing w:line="0" w:lineRule="atLeast"/>
              <w:rPr>
                <w:rFonts w:eastAsia="宋体"/>
                <w:color w:val="000000"/>
                <w:kern w:val="0"/>
                <w:sz w:val="22"/>
                <w:szCs w:val="22"/>
              </w:rPr>
            </w:pPr>
            <w:r>
              <w:rPr>
                <w:rFonts w:eastAsia="宋体"/>
                <w:color w:val="000000"/>
                <w:kern w:val="0"/>
                <w:sz w:val="22"/>
                <w:szCs w:val="22"/>
              </w:rPr>
              <w:t>项目资金使用是否符合相关的财务管理制度规定，用以反映和考核项目资金的规范运行情况。</w:t>
            </w:r>
          </w:p>
        </w:tc>
        <w:tc>
          <w:tcPr>
            <w:tcW w:w="6173" w:type="dxa"/>
            <w:tcBorders>
              <w:bottom w:val="single" w:color="auto" w:sz="4" w:space="0"/>
              <w:tl2br w:val="nil"/>
              <w:tr2bl w:val="nil"/>
            </w:tcBorders>
            <w:shd w:val="clear" w:color="000000" w:fill="FFFFFF"/>
            <w:vAlign w:val="center"/>
          </w:tcPr>
          <w:p w14:paraId="76A8F3FC">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①是否符合国家财经法规和财务管理制度以及有关专项资金管理办法的规定；</w:t>
            </w:r>
            <w:r>
              <w:rPr>
                <w:rFonts w:eastAsia="宋体"/>
                <w:color w:val="000000"/>
                <w:kern w:val="0"/>
                <w:sz w:val="22"/>
                <w:szCs w:val="22"/>
              </w:rPr>
              <w:br w:type="textWrapping"/>
            </w:r>
            <w:r>
              <w:rPr>
                <w:rFonts w:eastAsia="宋体"/>
                <w:color w:val="000000"/>
                <w:kern w:val="0"/>
                <w:sz w:val="22"/>
                <w:szCs w:val="22"/>
              </w:rPr>
              <w:t>②资金的拨付是否有完整的审批程序和手续；</w:t>
            </w:r>
            <w:r>
              <w:rPr>
                <w:rFonts w:eastAsia="宋体"/>
                <w:color w:val="000000"/>
                <w:kern w:val="0"/>
                <w:sz w:val="22"/>
                <w:szCs w:val="22"/>
              </w:rPr>
              <w:br w:type="textWrapping"/>
            </w:r>
            <w:r>
              <w:rPr>
                <w:rFonts w:eastAsia="宋体"/>
                <w:color w:val="000000"/>
                <w:kern w:val="0"/>
                <w:sz w:val="22"/>
                <w:szCs w:val="22"/>
              </w:rPr>
              <w:t>③是否符合项目预算批复或合同规定的用途；</w:t>
            </w:r>
            <w:r>
              <w:rPr>
                <w:rFonts w:eastAsia="宋体"/>
                <w:color w:val="000000"/>
                <w:kern w:val="0"/>
                <w:sz w:val="22"/>
                <w:szCs w:val="22"/>
              </w:rPr>
              <w:br w:type="textWrapping"/>
            </w:r>
            <w:r>
              <w:rPr>
                <w:rFonts w:eastAsia="宋体"/>
                <w:color w:val="000000"/>
                <w:kern w:val="0"/>
                <w:sz w:val="22"/>
                <w:szCs w:val="22"/>
              </w:rPr>
              <w:t>④是否存在截留、挤占、挪用、虚列支出等情况。</w:t>
            </w:r>
          </w:p>
        </w:tc>
        <w:tc>
          <w:tcPr>
            <w:tcW w:w="725" w:type="dxa"/>
            <w:tcBorders>
              <w:top w:val="single" w:color="auto" w:sz="4" w:space="0"/>
              <w:bottom w:val="single" w:color="auto" w:sz="4" w:space="0"/>
              <w:right w:val="single" w:color="auto" w:sz="4" w:space="0"/>
            </w:tcBorders>
            <w:shd w:val="clear" w:color="auto" w:fill="auto"/>
            <w:vAlign w:val="center"/>
          </w:tcPr>
          <w:p w14:paraId="1604E841">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6637E8">
            <w:pPr>
              <w:widowControl/>
              <w:jc w:val="center"/>
              <w:rPr>
                <w:rFonts w:eastAsia="宋体"/>
                <w:color w:val="000000"/>
                <w:kern w:val="0"/>
                <w:sz w:val="22"/>
                <w:szCs w:val="22"/>
              </w:rPr>
            </w:pPr>
            <w:r>
              <w:rPr>
                <w:color w:val="000000"/>
                <w:kern w:val="0"/>
                <w:sz w:val="22"/>
                <w:szCs w:val="22"/>
              </w:rPr>
              <w:t>10</w:t>
            </w:r>
          </w:p>
        </w:tc>
      </w:tr>
      <w:tr w14:paraId="4C0D3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19" w:type="dxa"/>
          <w:trHeight w:val="1797" w:hRule="atLeast"/>
          <w:jc w:val="center"/>
        </w:trPr>
        <w:tc>
          <w:tcPr>
            <w:tcW w:w="665" w:type="dxa"/>
            <w:vMerge w:val="continue"/>
            <w:tcBorders>
              <w:tl2br w:val="nil"/>
              <w:tr2bl w:val="nil"/>
            </w:tcBorders>
            <w:shd w:val="clear" w:color="auto" w:fill="FFFFFF"/>
            <w:vAlign w:val="center"/>
          </w:tcPr>
          <w:p w14:paraId="4DEEC8C3">
            <w:pPr>
              <w:spacing w:line="0" w:lineRule="atLeast"/>
              <w:jc w:val="center"/>
              <w:rPr>
                <w:rFonts w:eastAsia="宋体"/>
                <w:color w:val="000000"/>
                <w:kern w:val="0"/>
                <w:sz w:val="22"/>
                <w:szCs w:val="22"/>
              </w:rPr>
            </w:pPr>
          </w:p>
        </w:tc>
        <w:tc>
          <w:tcPr>
            <w:tcW w:w="1133" w:type="dxa"/>
            <w:vMerge w:val="restart"/>
            <w:tcBorders>
              <w:tl2br w:val="nil"/>
              <w:tr2bl w:val="nil"/>
            </w:tcBorders>
            <w:shd w:val="clear" w:color="auto" w:fill="FFFFFF"/>
            <w:vAlign w:val="center"/>
          </w:tcPr>
          <w:p w14:paraId="339C41DB">
            <w:pPr>
              <w:widowControl/>
              <w:spacing w:line="0" w:lineRule="atLeast"/>
              <w:jc w:val="center"/>
              <w:rPr>
                <w:rFonts w:eastAsia="宋体"/>
                <w:color w:val="000000"/>
                <w:kern w:val="0"/>
                <w:sz w:val="22"/>
                <w:szCs w:val="22"/>
              </w:rPr>
            </w:pPr>
            <w:r>
              <w:rPr>
                <w:rFonts w:eastAsia="宋体"/>
                <w:color w:val="000000"/>
                <w:kern w:val="0"/>
                <w:sz w:val="22"/>
                <w:szCs w:val="22"/>
              </w:rPr>
              <w:t>组织实施（10）</w:t>
            </w:r>
          </w:p>
          <w:p w14:paraId="718A56D6">
            <w:pPr>
              <w:spacing w:line="0" w:lineRule="atLeast"/>
              <w:jc w:val="center"/>
              <w:rPr>
                <w:rFonts w:eastAsia="宋体"/>
                <w:color w:val="000000"/>
                <w:kern w:val="0"/>
                <w:sz w:val="22"/>
                <w:szCs w:val="22"/>
              </w:rPr>
            </w:pPr>
            <w:r>
              <w:rPr>
                <w:rFonts w:eastAsia="宋体"/>
                <w:color w:val="000000"/>
                <w:kern w:val="0"/>
                <w:sz w:val="22"/>
                <w:szCs w:val="22"/>
              </w:rPr>
              <w:t>　</w:t>
            </w:r>
          </w:p>
        </w:tc>
        <w:tc>
          <w:tcPr>
            <w:tcW w:w="1232" w:type="dxa"/>
            <w:tcBorders>
              <w:tl2br w:val="nil"/>
              <w:tr2bl w:val="nil"/>
            </w:tcBorders>
            <w:shd w:val="clear" w:color="auto" w:fill="FFFFFF"/>
            <w:vAlign w:val="center"/>
          </w:tcPr>
          <w:p w14:paraId="5F1BEA1B">
            <w:pPr>
              <w:widowControl/>
              <w:spacing w:line="0" w:lineRule="atLeast"/>
              <w:jc w:val="center"/>
              <w:rPr>
                <w:rFonts w:eastAsia="宋体"/>
                <w:color w:val="000000"/>
                <w:kern w:val="0"/>
                <w:sz w:val="22"/>
                <w:szCs w:val="22"/>
              </w:rPr>
            </w:pPr>
            <w:r>
              <w:rPr>
                <w:rFonts w:eastAsia="宋体"/>
                <w:color w:val="000000"/>
                <w:kern w:val="0"/>
                <w:sz w:val="22"/>
                <w:szCs w:val="22"/>
              </w:rPr>
              <w:t>管理制度</w:t>
            </w:r>
          </w:p>
          <w:p w14:paraId="31FA67CE">
            <w:pPr>
              <w:widowControl/>
              <w:spacing w:line="0" w:lineRule="atLeast"/>
              <w:jc w:val="center"/>
              <w:rPr>
                <w:rFonts w:eastAsia="宋体"/>
                <w:color w:val="000000"/>
                <w:kern w:val="0"/>
                <w:sz w:val="22"/>
                <w:szCs w:val="22"/>
              </w:rPr>
            </w:pPr>
            <w:r>
              <w:rPr>
                <w:rFonts w:eastAsia="宋体"/>
                <w:color w:val="000000"/>
                <w:kern w:val="0"/>
                <w:sz w:val="22"/>
                <w:szCs w:val="22"/>
              </w:rPr>
              <w:t>健全性</w:t>
            </w:r>
          </w:p>
        </w:tc>
        <w:tc>
          <w:tcPr>
            <w:tcW w:w="2672" w:type="dxa"/>
            <w:tcBorders>
              <w:tl2br w:val="nil"/>
              <w:tr2bl w:val="nil"/>
            </w:tcBorders>
            <w:shd w:val="clear" w:color="000000" w:fill="FFFFFF"/>
            <w:vAlign w:val="center"/>
          </w:tcPr>
          <w:p w14:paraId="09AF536B">
            <w:pPr>
              <w:widowControl/>
              <w:spacing w:line="0" w:lineRule="atLeast"/>
              <w:rPr>
                <w:rFonts w:eastAsia="宋体"/>
                <w:color w:val="000000"/>
                <w:kern w:val="0"/>
                <w:sz w:val="22"/>
                <w:szCs w:val="22"/>
              </w:rPr>
            </w:pPr>
            <w:r>
              <w:rPr>
                <w:rFonts w:eastAsia="宋体"/>
                <w:color w:val="000000"/>
                <w:kern w:val="0"/>
                <w:sz w:val="22"/>
                <w:szCs w:val="22"/>
              </w:rPr>
              <w:t>项目实施单位的财务和业务管理制度是否健全，用以反映和考核财务和业务管理制度对项目顺利实施的保障情况。</w:t>
            </w:r>
          </w:p>
        </w:tc>
        <w:tc>
          <w:tcPr>
            <w:tcW w:w="6173" w:type="dxa"/>
            <w:tcBorders>
              <w:tl2br w:val="nil"/>
              <w:tr2bl w:val="nil"/>
            </w:tcBorders>
            <w:shd w:val="clear" w:color="000000" w:fill="FFFFFF"/>
            <w:vAlign w:val="center"/>
          </w:tcPr>
          <w:p w14:paraId="15179F00">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①是否已制定或具有相应的财务和业务管理制度；</w:t>
            </w:r>
            <w:r>
              <w:rPr>
                <w:rFonts w:eastAsia="宋体"/>
                <w:color w:val="000000"/>
                <w:kern w:val="0"/>
                <w:sz w:val="22"/>
                <w:szCs w:val="22"/>
              </w:rPr>
              <w:br w:type="textWrapping"/>
            </w:r>
            <w:r>
              <w:rPr>
                <w:rFonts w:eastAsia="宋体"/>
                <w:color w:val="000000"/>
                <w:kern w:val="0"/>
                <w:sz w:val="22"/>
                <w:szCs w:val="22"/>
              </w:rPr>
              <w:t>②财务和业务管理制度是否合法、合规、完整。</w:t>
            </w:r>
          </w:p>
        </w:tc>
        <w:tc>
          <w:tcPr>
            <w:tcW w:w="725" w:type="dxa"/>
            <w:tcBorders>
              <w:top w:val="single" w:color="auto" w:sz="4" w:space="0"/>
              <w:bottom w:val="single" w:color="auto" w:sz="4" w:space="0"/>
              <w:right w:val="single" w:color="auto" w:sz="4" w:space="0"/>
            </w:tcBorders>
            <w:shd w:val="clear" w:color="auto" w:fill="auto"/>
            <w:vAlign w:val="center"/>
          </w:tcPr>
          <w:p w14:paraId="75D23C9B">
            <w:pPr>
              <w:widowControl/>
              <w:jc w:val="center"/>
              <w:rPr>
                <w:rFonts w:eastAsia="宋体"/>
                <w:color w:val="000000"/>
                <w:kern w:val="0"/>
                <w:sz w:val="22"/>
                <w:szCs w:val="22"/>
              </w:rPr>
            </w:pPr>
            <w:r>
              <w:rPr>
                <w:color w:val="000000"/>
                <w:kern w:val="0"/>
                <w:sz w:val="22"/>
                <w:szCs w:val="22"/>
              </w:rPr>
              <w:t>5</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4D4C1C">
            <w:pPr>
              <w:widowControl/>
              <w:jc w:val="center"/>
              <w:rPr>
                <w:rFonts w:eastAsia="宋体"/>
                <w:color w:val="000000"/>
                <w:kern w:val="0"/>
                <w:sz w:val="22"/>
                <w:szCs w:val="22"/>
              </w:rPr>
            </w:pPr>
            <w:r>
              <w:rPr>
                <w:rFonts w:hint="eastAsia" w:eastAsia="宋体"/>
                <w:color w:val="000000"/>
                <w:kern w:val="0"/>
                <w:sz w:val="22"/>
                <w:szCs w:val="22"/>
              </w:rPr>
              <w:t>5</w:t>
            </w:r>
          </w:p>
        </w:tc>
      </w:tr>
      <w:tr w14:paraId="1515D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19" w:type="dxa"/>
          <w:trHeight w:val="1769" w:hRule="atLeast"/>
          <w:jc w:val="center"/>
        </w:trPr>
        <w:tc>
          <w:tcPr>
            <w:tcW w:w="665" w:type="dxa"/>
            <w:vMerge w:val="continue"/>
            <w:tcBorders>
              <w:tl2br w:val="nil"/>
              <w:tr2bl w:val="nil"/>
            </w:tcBorders>
            <w:shd w:val="clear" w:color="auto" w:fill="FFFFFF"/>
            <w:vAlign w:val="center"/>
          </w:tcPr>
          <w:p w14:paraId="626E18F4">
            <w:pPr>
              <w:widowControl/>
              <w:spacing w:line="0" w:lineRule="atLeast"/>
              <w:jc w:val="center"/>
              <w:rPr>
                <w:rFonts w:eastAsia="宋体"/>
                <w:color w:val="000000"/>
                <w:kern w:val="0"/>
                <w:sz w:val="22"/>
                <w:szCs w:val="22"/>
              </w:rPr>
            </w:pPr>
          </w:p>
        </w:tc>
        <w:tc>
          <w:tcPr>
            <w:tcW w:w="1133" w:type="dxa"/>
            <w:vMerge w:val="continue"/>
            <w:tcBorders>
              <w:tl2br w:val="nil"/>
              <w:tr2bl w:val="nil"/>
            </w:tcBorders>
            <w:shd w:val="clear" w:color="auto" w:fill="FFFFFF"/>
            <w:vAlign w:val="center"/>
          </w:tcPr>
          <w:p w14:paraId="08114F10">
            <w:pPr>
              <w:widowControl/>
              <w:spacing w:line="0" w:lineRule="atLeast"/>
              <w:jc w:val="center"/>
              <w:rPr>
                <w:rFonts w:eastAsia="宋体"/>
                <w:color w:val="000000"/>
                <w:kern w:val="0"/>
                <w:sz w:val="22"/>
                <w:szCs w:val="22"/>
              </w:rPr>
            </w:pPr>
          </w:p>
        </w:tc>
        <w:tc>
          <w:tcPr>
            <w:tcW w:w="1232" w:type="dxa"/>
            <w:tcBorders>
              <w:tl2br w:val="nil"/>
              <w:tr2bl w:val="nil"/>
            </w:tcBorders>
            <w:shd w:val="clear" w:color="auto" w:fill="FFFFFF"/>
            <w:vAlign w:val="center"/>
          </w:tcPr>
          <w:p w14:paraId="37C87F48">
            <w:pPr>
              <w:widowControl/>
              <w:spacing w:line="0" w:lineRule="atLeast"/>
              <w:jc w:val="center"/>
              <w:rPr>
                <w:rFonts w:eastAsia="宋体"/>
                <w:color w:val="000000"/>
                <w:kern w:val="0"/>
                <w:sz w:val="22"/>
                <w:szCs w:val="22"/>
              </w:rPr>
            </w:pPr>
            <w:r>
              <w:rPr>
                <w:rFonts w:eastAsia="宋体"/>
                <w:color w:val="000000"/>
                <w:kern w:val="0"/>
                <w:sz w:val="22"/>
                <w:szCs w:val="22"/>
              </w:rPr>
              <w:t>制度执行</w:t>
            </w:r>
          </w:p>
          <w:p w14:paraId="14914474">
            <w:pPr>
              <w:widowControl/>
              <w:spacing w:line="0" w:lineRule="atLeast"/>
              <w:jc w:val="center"/>
              <w:rPr>
                <w:rFonts w:eastAsia="宋体"/>
                <w:color w:val="000000"/>
                <w:kern w:val="0"/>
                <w:sz w:val="22"/>
                <w:szCs w:val="22"/>
              </w:rPr>
            </w:pPr>
            <w:r>
              <w:rPr>
                <w:rFonts w:eastAsia="宋体"/>
                <w:color w:val="000000"/>
                <w:kern w:val="0"/>
                <w:sz w:val="22"/>
                <w:szCs w:val="22"/>
              </w:rPr>
              <w:t>有效性</w:t>
            </w:r>
          </w:p>
        </w:tc>
        <w:tc>
          <w:tcPr>
            <w:tcW w:w="2672" w:type="dxa"/>
            <w:tcBorders>
              <w:tl2br w:val="nil"/>
              <w:tr2bl w:val="nil"/>
            </w:tcBorders>
            <w:shd w:val="clear" w:color="000000" w:fill="FFFFFF"/>
            <w:vAlign w:val="center"/>
          </w:tcPr>
          <w:p w14:paraId="5E526CF8">
            <w:pPr>
              <w:widowControl/>
              <w:spacing w:line="0" w:lineRule="atLeast"/>
              <w:rPr>
                <w:rFonts w:eastAsia="宋体"/>
                <w:color w:val="000000"/>
                <w:kern w:val="0"/>
                <w:sz w:val="22"/>
                <w:szCs w:val="22"/>
              </w:rPr>
            </w:pPr>
            <w:r>
              <w:rPr>
                <w:rFonts w:eastAsia="宋体"/>
                <w:color w:val="000000"/>
                <w:kern w:val="0"/>
                <w:sz w:val="22"/>
                <w:szCs w:val="22"/>
              </w:rPr>
              <w:t>项目实施是否符合相关管理规定，用以反映和考核相关管理制度的有效执行情况。</w:t>
            </w:r>
          </w:p>
        </w:tc>
        <w:tc>
          <w:tcPr>
            <w:tcW w:w="6173" w:type="dxa"/>
            <w:tcBorders>
              <w:tl2br w:val="nil"/>
              <w:tr2bl w:val="nil"/>
            </w:tcBorders>
            <w:shd w:val="clear" w:color="000000" w:fill="FFFFFF"/>
            <w:vAlign w:val="center"/>
          </w:tcPr>
          <w:p w14:paraId="5D8E20A0">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①是否遵守相关法律法规和相关管理规定；</w:t>
            </w:r>
            <w:r>
              <w:rPr>
                <w:rFonts w:eastAsia="宋体"/>
                <w:color w:val="000000"/>
                <w:kern w:val="0"/>
                <w:sz w:val="22"/>
                <w:szCs w:val="22"/>
              </w:rPr>
              <w:br w:type="textWrapping"/>
            </w:r>
            <w:r>
              <w:rPr>
                <w:rFonts w:eastAsia="宋体"/>
                <w:color w:val="000000"/>
                <w:kern w:val="0"/>
                <w:sz w:val="22"/>
                <w:szCs w:val="22"/>
              </w:rPr>
              <w:t>②项目调整及支出调整手续是否完备；</w:t>
            </w:r>
            <w:r>
              <w:rPr>
                <w:rFonts w:eastAsia="宋体"/>
                <w:color w:val="000000"/>
                <w:kern w:val="0"/>
                <w:sz w:val="22"/>
                <w:szCs w:val="22"/>
              </w:rPr>
              <w:br w:type="textWrapping"/>
            </w:r>
            <w:r>
              <w:rPr>
                <w:rFonts w:eastAsia="宋体"/>
                <w:color w:val="000000"/>
                <w:kern w:val="0"/>
                <w:sz w:val="22"/>
                <w:szCs w:val="22"/>
              </w:rPr>
              <w:t>③项目合同书、验收报告、技术鉴定等资料是否齐全并及时归档；</w:t>
            </w:r>
            <w:r>
              <w:rPr>
                <w:rFonts w:eastAsia="宋体"/>
                <w:color w:val="000000"/>
                <w:kern w:val="0"/>
                <w:sz w:val="22"/>
                <w:szCs w:val="22"/>
              </w:rPr>
              <w:br w:type="textWrapping"/>
            </w:r>
            <w:r>
              <w:rPr>
                <w:rFonts w:eastAsia="宋体"/>
                <w:color w:val="000000"/>
                <w:kern w:val="0"/>
                <w:sz w:val="22"/>
                <w:szCs w:val="22"/>
              </w:rPr>
              <w:t>④项目实施的人员条件、场地设备、信息支撑等是否落实到位。</w:t>
            </w:r>
          </w:p>
        </w:tc>
        <w:tc>
          <w:tcPr>
            <w:tcW w:w="725" w:type="dxa"/>
            <w:tcBorders>
              <w:top w:val="single" w:color="auto" w:sz="4" w:space="0"/>
              <w:bottom w:val="single" w:color="auto" w:sz="4" w:space="0"/>
              <w:right w:val="single" w:color="auto" w:sz="4" w:space="0"/>
            </w:tcBorders>
            <w:shd w:val="clear" w:color="auto" w:fill="auto"/>
            <w:vAlign w:val="center"/>
          </w:tcPr>
          <w:p w14:paraId="4762B977">
            <w:pPr>
              <w:widowControl/>
              <w:jc w:val="center"/>
              <w:rPr>
                <w:rFonts w:eastAsia="宋体"/>
                <w:color w:val="000000"/>
                <w:kern w:val="0"/>
                <w:sz w:val="22"/>
                <w:szCs w:val="22"/>
              </w:rPr>
            </w:pPr>
            <w:r>
              <w:rPr>
                <w:color w:val="000000"/>
                <w:kern w:val="0"/>
                <w:sz w:val="22"/>
                <w:szCs w:val="22"/>
              </w:rPr>
              <w:t>5</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35043D">
            <w:pPr>
              <w:widowControl/>
              <w:jc w:val="center"/>
              <w:rPr>
                <w:rFonts w:eastAsia="宋体"/>
                <w:color w:val="000000"/>
                <w:kern w:val="0"/>
                <w:sz w:val="22"/>
                <w:szCs w:val="22"/>
              </w:rPr>
            </w:pPr>
            <w:r>
              <w:rPr>
                <w:color w:val="000000"/>
                <w:kern w:val="0"/>
                <w:sz w:val="22"/>
                <w:szCs w:val="22"/>
              </w:rPr>
              <w:t>5</w:t>
            </w:r>
          </w:p>
        </w:tc>
      </w:tr>
      <w:tr w14:paraId="57C60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19" w:type="dxa"/>
          <w:trHeight w:val="1917" w:hRule="atLeast"/>
          <w:jc w:val="center"/>
        </w:trPr>
        <w:tc>
          <w:tcPr>
            <w:tcW w:w="665" w:type="dxa"/>
            <w:tcBorders>
              <w:tl2br w:val="nil"/>
              <w:tr2bl w:val="nil"/>
            </w:tcBorders>
            <w:shd w:val="clear" w:color="auto" w:fill="FFFFFF"/>
            <w:vAlign w:val="center"/>
          </w:tcPr>
          <w:p w14:paraId="3D7E02A5">
            <w:pPr>
              <w:widowControl/>
              <w:spacing w:line="0" w:lineRule="atLeast"/>
              <w:jc w:val="center"/>
              <w:rPr>
                <w:rFonts w:eastAsia="宋体"/>
                <w:color w:val="000000"/>
                <w:kern w:val="0"/>
                <w:sz w:val="22"/>
                <w:szCs w:val="22"/>
              </w:rPr>
            </w:pPr>
            <w:r>
              <w:rPr>
                <w:rFonts w:eastAsia="宋体"/>
                <w:color w:val="000000"/>
                <w:kern w:val="0"/>
                <w:sz w:val="22"/>
                <w:szCs w:val="22"/>
              </w:rPr>
              <w:t>产出（30分）</w:t>
            </w:r>
          </w:p>
        </w:tc>
        <w:tc>
          <w:tcPr>
            <w:tcW w:w="1133" w:type="dxa"/>
            <w:tcBorders>
              <w:tl2br w:val="nil"/>
              <w:tr2bl w:val="nil"/>
            </w:tcBorders>
            <w:shd w:val="clear" w:color="auto" w:fill="FFFFFF"/>
            <w:vAlign w:val="center"/>
          </w:tcPr>
          <w:p w14:paraId="69DF98D1">
            <w:pPr>
              <w:widowControl/>
              <w:spacing w:line="0" w:lineRule="atLeast"/>
              <w:jc w:val="center"/>
              <w:rPr>
                <w:rFonts w:eastAsia="宋体"/>
                <w:color w:val="000000"/>
                <w:kern w:val="0"/>
                <w:sz w:val="22"/>
                <w:szCs w:val="22"/>
              </w:rPr>
            </w:pPr>
            <w:r>
              <w:rPr>
                <w:rFonts w:eastAsia="宋体"/>
                <w:color w:val="000000"/>
                <w:kern w:val="0"/>
                <w:sz w:val="22"/>
                <w:szCs w:val="22"/>
              </w:rPr>
              <w:t>产出数量（10分）</w:t>
            </w:r>
          </w:p>
        </w:tc>
        <w:tc>
          <w:tcPr>
            <w:tcW w:w="1232" w:type="dxa"/>
            <w:tcBorders>
              <w:tl2br w:val="nil"/>
              <w:tr2bl w:val="nil"/>
            </w:tcBorders>
            <w:shd w:val="clear" w:color="auto" w:fill="FFFFFF"/>
            <w:vAlign w:val="center"/>
          </w:tcPr>
          <w:p w14:paraId="75681A4D">
            <w:pPr>
              <w:widowControl/>
              <w:spacing w:line="0" w:lineRule="atLeast"/>
              <w:jc w:val="center"/>
              <w:rPr>
                <w:rFonts w:eastAsia="宋体"/>
                <w:color w:val="000000"/>
                <w:kern w:val="0"/>
                <w:sz w:val="22"/>
                <w:szCs w:val="22"/>
              </w:rPr>
            </w:pPr>
            <w:r>
              <w:rPr>
                <w:rFonts w:eastAsia="宋体"/>
                <w:color w:val="000000"/>
                <w:kern w:val="0"/>
                <w:sz w:val="22"/>
                <w:szCs w:val="22"/>
              </w:rPr>
              <w:t>实际完成率</w:t>
            </w:r>
          </w:p>
        </w:tc>
        <w:tc>
          <w:tcPr>
            <w:tcW w:w="2672" w:type="dxa"/>
            <w:tcBorders>
              <w:tl2br w:val="nil"/>
              <w:tr2bl w:val="nil"/>
            </w:tcBorders>
            <w:shd w:val="clear" w:color="000000" w:fill="FFFFFF"/>
            <w:vAlign w:val="center"/>
          </w:tcPr>
          <w:p w14:paraId="43C8205F">
            <w:pPr>
              <w:widowControl/>
              <w:spacing w:line="0" w:lineRule="atLeast"/>
              <w:rPr>
                <w:rFonts w:eastAsia="宋体"/>
                <w:color w:val="000000"/>
                <w:kern w:val="0"/>
                <w:sz w:val="22"/>
                <w:szCs w:val="22"/>
              </w:rPr>
            </w:pPr>
            <w:r>
              <w:rPr>
                <w:rFonts w:eastAsia="宋体"/>
                <w:color w:val="000000"/>
                <w:kern w:val="0"/>
                <w:sz w:val="22"/>
                <w:szCs w:val="22"/>
              </w:rPr>
              <w:t>项目实施的实际产出数与计划产出数的比率，用以反映和考核项目产出数量目标的实现程度。</w:t>
            </w:r>
          </w:p>
        </w:tc>
        <w:tc>
          <w:tcPr>
            <w:tcW w:w="6173" w:type="dxa"/>
            <w:tcBorders>
              <w:tl2br w:val="nil"/>
              <w:tr2bl w:val="nil"/>
            </w:tcBorders>
            <w:shd w:val="clear" w:color="000000" w:fill="FFFFFF"/>
            <w:vAlign w:val="center"/>
          </w:tcPr>
          <w:p w14:paraId="4C669BF0">
            <w:pPr>
              <w:widowControl/>
              <w:spacing w:line="0" w:lineRule="atLeast"/>
              <w:rPr>
                <w:rFonts w:eastAsia="宋体"/>
                <w:color w:val="000000"/>
                <w:kern w:val="0"/>
                <w:sz w:val="22"/>
                <w:szCs w:val="22"/>
              </w:rPr>
            </w:pPr>
            <w:r>
              <w:rPr>
                <w:rFonts w:eastAsia="宋体"/>
                <w:color w:val="000000"/>
                <w:kern w:val="0"/>
                <w:sz w:val="22"/>
                <w:szCs w:val="22"/>
              </w:rPr>
              <w:t>实际完成率=（实际产出数/计划产出数）×100%。</w:t>
            </w:r>
            <w:r>
              <w:rPr>
                <w:rFonts w:eastAsia="宋体"/>
                <w:color w:val="000000"/>
                <w:kern w:val="0"/>
                <w:sz w:val="22"/>
                <w:szCs w:val="22"/>
              </w:rPr>
              <w:br w:type="textWrapping"/>
            </w:r>
            <w:r>
              <w:rPr>
                <w:rFonts w:eastAsia="宋体"/>
                <w:color w:val="000000"/>
                <w:kern w:val="0"/>
                <w:sz w:val="22"/>
                <w:szCs w:val="22"/>
              </w:rPr>
              <w:t>实际产出数：一定时期（本年度或项目期）内项目实际产出的产品或提供的服务数量。</w:t>
            </w:r>
            <w:r>
              <w:rPr>
                <w:rFonts w:eastAsia="宋体"/>
                <w:color w:val="000000"/>
                <w:kern w:val="0"/>
                <w:sz w:val="22"/>
                <w:szCs w:val="22"/>
              </w:rPr>
              <w:br w:type="textWrapping"/>
            </w:r>
            <w:r>
              <w:rPr>
                <w:rFonts w:eastAsia="宋体"/>
                <w:color w:val="000000"/>
                <w:kern w:val="0"/>
                <w:sz w:val="22"/>
                <w:szCs w:val="22"/>
              </w:rPr>
              <w:t>计划产出数：项目绩效目标确定的在一定时期（本年度或项目期）内计划产出的产品或提供的服务数量。</w:t>
            </w:r>
          </w:p>
        </w:tc>
        <w:tc>
          <w:tcPr>
            <w:tcW w:w="725" w:type="dxa"/>
            <w:tcBorders>
              <w:top w:val="single" w:color="auto" w:sz="4" w:space="0"/>
              <w:bottom w:val="single" w:color="auto" w:sz="4" w:space="0"/>
              <w:right w:val="single" w:color="auto" w:sz="4" w:space="0"/>
            </w:tcBorders>
            <w:shd w:val="clear" w:color="auto" w:fill="auto"/>
            <w:vAlign w:val="center"/>
          </w:tcPr>
          <w:p w14:paraId="0ED5AE17">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B1F9BC">
            <w:pPr>
              <w:widowControl/>
              <w:jc w:val="center"/>
              <w:rPr>
                <w:rFonts w:eastAsia="宋体"/>
                <w:color w:val="000000"/>
                <w:kern w:val="0"/>
                <w:sz w:val="22"/>
                <w:szCs w:val="22"/>
              </w:rPr>
            </w:pPr>
            <w:r>
              <w:rPr>
                <w:color w:val="000000"/>
                <w:kern w:val="0"/>
                <w:sz w:val="22"/>
                <w:szCs w:val="22"/>
              </w:rPr>
              <w:t>10</w:t>
            </w:r>
          </w:p>
        </w:tc>
      </w:tr>
      <w:tr w14:paraId="411CD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65" w:type="dxa"/>
            <w:vMerge w:val="restart"/>
            <w:tcBorders>
              <w:tl2br w:val="nil"/>
              <w:tr2bl w:val="nil"/>
            </w:tcBorders>
            <w:shd w:val="clear" w:color="auto" w:fill="FFFFFF"/>
            <w:vAlign w:val="center"/>
          </w:tcPr>
          <w:p w14:paraId="40ECFED6">
            <w:pPr>
              <w:widowControl/>
              <w:spacing w:line="0" w:lineRule="atLeast"/>
              <w:jc w:val="center"/>
              <w:rPr>
                <w:rFonts w:eastAsia="宋体"/>
                <w:color w:val="000000"/>
                <w:kern w:val="0"/>
                <w:sz w:val="22"/>
                <w:szCs w:val="22"/>
              </w:rPr>
            </w:pPr>
            <w:r>
              <w:rPr>
                <w:rFonts w:eastAsia="宋体"/>
                <w:color w:val="000000"/>
                <w:kern w:val="0"/>
                <w:sz w:val="22"/>
                <w:szCs w:val="22"/>
              </w:rPr>
              <w:t>产出（30分）</w:t>
            </w:r>
          </w:p>
        </w:tc>
        <w:tc>
          <w:tcPr>
            <w:tcW w:w="1133" w:type="dxa"/>
            <w:tcBorders>
              <w:tl2br w:val="nil"/>
              <w:tr2bl w:val="nil"/>
            </w:tcBorders>
            <w:shd w:val="clear" w:color="auto" w:fill="FFFFFF"/>
            <w:vAlign w:val="center"/>
          </w:tcPr>
          <w:p w14:paraId="65CD21CD">
            <w:pPr>
              <w:widowControl/>
              <w:spacing w:line="0" w:lineRule="atLeast"/>
              <w:jc w:val="center"/>
              <w:rPr>
                <w:rFonts w:eastAsia="宋体"/>
                <w:color w:val="000000"/>
                <w:kern w:val="0"/>
                <w:sz w:val="22"/>
                <w:szCs w:val="22"/>
              </w:rPr>
            </w:pPr>
            <w:r>
              <w:rPr>
                <w:rFonts w:eastAsia="宋体"/>
                <w:color w:val="000000"/>
                <w:kern w:val="0"/>
                <w:sz w:val="22"/>
                <w:szCs w:val="22"/>
              </w:rPr>
              <w:t>产出质量（10分）</w:t>
            </w:r>
          </w:p>
        </w:tc>
        <w:tc>
          <w:tcPr>
            <w:tcW w:w="1232" w:type="dxa"/>
            <w:tcBorders>
              <w:tl2br w:val="nil"/>
              <w:tr2bl w:val="nil"/>
            </w:tcBorders>
            <w:shd w:val="clear" w:color="auto" w:fill="FFFFFF"/>
            <w:vAlign w:val="center"/>
          </w:tcPr>
          <w:p w14:paraId="06502110">
            <w:pPr>
              <w:widowControl/>
              <w:spacing w:line="0" w:lineRule="atLeast"/>
              <w:jc w:val="center"/>
              <w:rPr>
                <w:rFonts w:eastAsia="宋体"/>
                <w:color w:val="000000"/>
                <w:kern w:val="0"/>
                <w:sz w:val="22"/>
                <w:szCs w:val="22"/>
              </w:rPr>
            </w:pPr>
            <w:r>
              <w:rPr>
                <w:rFonts w:eastAsia="宋体"/>
                <w:color w:val="000000"/>
                <w:kern w:val="0"/>
                <w:sz w:val="22"/>
                <w:szCs w:val="22"/>
              </w:rPr>
              <w:t>质量达标率</w:t>
            </w:r>
          </w:p>
        </w:tc>
        <w:tc>
          <w:tcPr>
            <w:tcW w:w="2672" w:type="dxa"/>
            <w:tcBorders>
              <w:tl2br w:val="nil"/>
              <w:tr2bl w:val="nil"/>
            </w:tcBorders>
            <w:shd w:val="clear" w:color="000000" w:fill="FFFFFF"/>
            <w:vAlign w:val="center"/>
          </w:tcPr>
          <w:p w14:paraId="224B2253">
            <w:pPr>
              <w:widowControl/>
              <w:spacing w:line="0" w:lineRule="atLeast"/>
              <w:rPr>
                <w:rFonts w:eastAsia="宋体"/>
                <w:color w:val="000000"/>
                <w:kern w:val="0"/>
                <w:sz w:val="22"/>
                <w:szCs w:val="22"/>
              </w:rPr>
            </w:pPr>
            <w:r>
              <w:rPr>
                <w:rFonts w:eastAsia="宋体"/>
                <w:color w:val="000000"/>
                <w:kern w:val="0"/>
                <w:sz w:val="22"/>
                <w:szCs w:val="22"/>
              </w:rPr>
              <w:t>项目完成的质量达标产出数与实际产出数的比率，用以反映和考核项目产出质量目标的实现程度。</w:t>
            </w:r>
          </w:p>
        </w:tc>
        <w:tc>
          <w:tcPr>
            <w:tcW w:w="6173" w:type="dxa"/>
            <w:tcBorders>
              <w:bottom w:val="single" w:color="auto" w:sz="4" w:space="0"/>
              <w:tl2br w:val="nil"/>
              <w:tr2bl w:val="nil"/>
            </w:tcBorders>
            <w:shd w:val="clear" w:color="000000" w:fill="FFFFFF"/>
            <w:vAlign w:val="center"/>
          </w:tcPr>
          <w:p w14:paraId="12858B1C">
            <w:pPr>
              <w:widowControl/>
              <w:spacing w:line="0" w:lineRule="atLeast"/>
              <w:rPr>
                <w:rFonts w:eastAsia="宋体"/>
                <w:color w:val="000000"/>
                <w:kern w:val="0"/>
                <w:sz w:val="22"/>
                <w:szCs w:val="22"/>
              </w:rPr>
            </w:pPr>
            <w:r>
              <w:rPr>
                <w:rFonts w:eastAsia="宋体"/>
                <w:color w:val="000000"/>
                <w:kern w:val="0"/>
                <w:sz w:val="22"/>
                <w:szCs w:val="22"/>
              </w:rPr>
              <w:t>质量达标率=（质量达标产出数/实际产出数）×100%。</w:t>
            </w:r>
          </w:p>
          <w:p w14:paraId="5792C94B">
            <w:pPr>
              <w:widowControl/>
              <w:spacing w:line="0" w:lineRule="atLeast"/>
              <w:rPr>
                <w:rFonts w:eastAsia="宋体"/>
                <w:color w:val="000000"/>
                <w:kern w:val="0"/>
                <w:sz w:val="22"/>
                <w:szCs w:val="22"/>
              </w:rPr>
            </w:pPr>
            <w:r>
              <w:rPr>
                <w:rFonts w:eastAsia="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44" w:type="dxa"/>
            <w:gridSpan w:val="3"/>
            <w:tcBorders>
              <w:top w:val="single" w:color="auto" w:sz="4" w:space="0"/>
              <w:bottom w:val="single" w:color="auto" w:sz="4" w:space="0"/>
              <w:right w:val="single" w:color="auto" w:sz="4" w:space="0"/>
            </w:tcBorders>
            <w:shd w:val="clear" w:color="auto" w:fill="auto"/>
            <w:vAlign w:val="center"/>
          </w:tcPr>
          <w:p w14:paraId="6AD10BDA">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1342B0">
            <w:pPr>
              <w:widowControl/>
              <w:jc w:val="center"/>
              <w:rPr>
                <w:rFonts w:eastAsia="宋体"/>
                <w:color w:val="000000"/>
                <w:kern w:val="0"/>
                <w:sz w:val="22"/>
                <w:szCs w:val="22"/>
              </w:rPr>
            </w:pPr>
            <w:r>
              <w:rPr>
                <w:color w:val="000000"/>
                <w:kern w:val="0"/>
                <w:sz w:val="22"/>
                <w:szCs w:val="22"/>
              </w:rPr>
              <w:t>10</w:t>
            </w:r>
          </w:p>
        </w:tc>
      </w:tr>
      <w:tr w14:paraId="7BF2FB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65" w:type="dxa"/>
            <w:vMerge w:val="continue"/>
            <w:tcBorders>
              <w:tl2br w:val="nil"/>
              <w:tr2bl w:val="nil"/>
            </w:tcBorders>
            <w:shd w:val="clear" w:color="auto" w:fill="FFFFFF"/>
            <w:vAlign w:val="center"/>
          </w:tcPr>
          <w:p w14:paraId="47CF01F0">
            <w:pPr>
              <w:spacing w:line="0" w:lineRule="atLeast"/>
              <w:jc w:val="center"/>
              <w:rPr>
                <w:rFonts w:eastAsia="宋体"/>
                <w:color w:val="000000"/>
                <w:kern w:val="0"/>
                <w:sz w:val="22"/>
                <w:szCs w:val="22"/>
              </w:rPr>
            </w:pPr>
          </w:p>
        </w:tc>
        <w:tc>
          <w:tcPr>
            <w:tcW w:w="1133" w:type="dxa"/>
            <w:tcBorders>
              <w:tl2br w:val="nil"/>
              <w:tr2bl w:val="nil"/>
            </w:tcBorders>
            <w:shd w:val="clear" w:color="auto" w:fill="FFFFFF"/>
            <w:vAlign w:val="center"/>
          </w:tcPr>
          <w:p w14:paraId="206A2CFE">
            <w:pPr>
              <w:spacing w:line="0" w:lineRule="atLeast"/>
              <w:jc w:val="center"/>
              <w:rPr>
                <w:rFonts w:eastAsia="宋体"/>
                <w:color w:val="000000"/>
                <w:kern w:val="0"/>
                <w:sz w:val="22"/>
                <w:szCs w:val="22"/>
              </w:rPr>
            </w:pPr>
            <w:r>
              <w:rPr>
                <w:rFonts w:eastAsia="宋体"/>
                <w:color w:val="000000"/>
                <w:kern w:val="0"/>
                <w:sz w:val="22"/>
                <w:szCs w:val="22"/>
              </w:rPr>
              <w:t>产出时效（5分）</w:t>
            </w:r>
          </w:p>
        </w:tc>
        <w:tc>
          <w:tcPr>
            <w:tcW w:w="1232" w:type="dxa"/>
            <w:tcBorders>
              <w:tl2br w:val="nil"/>
              <w:tr2bl w:val="nil"/>
            </w:tcBorders>
            <w:shd w:val="clear" w:color="auto" w:fill="FFFFFF"/>
            <w:vAlign w:val="center"/>
          </w:tcPr>
          <w:p w14:paraId="573D02F2">
            <w:pPr>
              <w:widowControl/>
              <w:spacing w:line="0" w:lineRule="atLeast"/>
              <w:jc w:val="center"/>
              <w:rPr>
                <w:rFonts w:eastAsia="宋体"/>
                <w:color w:val="000000"/>
                <w:kern w:val="0"/>
                <w:sz w:val="22"/>
                <w:szCs w:val="22"/>
              </w:rPr>
            </w:pPr>
            <w:r>
              <w:rPr>
                <w:rFonts w:eastAsia="宋体"/>
                <w:color w:val="000000"/>
                <w:kern w:val="0"/>
                <w:sz w:val="22"/>
                <w:szCs w:val="22"/>
              </w:rPr>
              <w:t>完成及时性</w:t>
            </w:r>
          </w:p>
        </w:tc>
        <w:tc>
          <w:tcPr>
            <w:tcW w:w="2672" w:type="dxa"/>
            <w:tcBorders>
              <w:tl2br w:val="nil"/>
              <w:tr2bl w:val="nil"/>
            </w:tcBorders>
            <w:shd w:val="clear" w:color="000000" w:fill="FFFFFF"/>
            <w:vAlign w:val="center"/>
          </w:tcPr>
          <w:p w14:paraId="6869D412">
            <w:pPr>
              <w:widowControl/>
              <w:spacing w:line="0" w:lineRule="atLeast"/>
              <w:rPr>
                <w:rFonts w:eastAsia="宋体"/>
                <w:color w:val="000000"/>
                <w:kern w:val="0"/>
                <w:sz w:val="22"/>
                <w:szCs w:val="22"/>
              </w:rPr>
            </w:pPr>
            <w:r>
              <w:rPr>
                <w:rFonts w:eastAsia="宋体"/>
                <w:color w:val="000000"/>
                <w:kern w:val="0"/>
                <w:sz w:val="22"/>
                <w:szCs w:val="22"/>
              </w:rPr>
              <w:t>项目实际完成时间与计划完成时间的比较，用以反映和考核项目产出时效目标的实现程度。</w:t>
            </w:r>
          </w:p>
        </w:tc>
        <w:tc>
          <w:tcPr>
            <w:tcW w:w="6173" w:type="dxa"/>
            <w:tcBorders>
              <w:tl2br w:val="nil"/>
              <w:tr2bl w:val="nil"/>
            </w:tcBorders>
            <w:shd w:val="clear" w:color="000000" w:fill="FFFFFF"/>
            <w:vAlign w:val="center"/>
          </w:tcPr>
          <w:p w14:paraId="6CD507AE">
            <w:pPr>
              <w:widowControl/>
              <w:spacing w:line="0" w:lineRule="atLeast"/>
              <w:rPr>
                <w:rFonts w:eastAsia="宋体"/>
                <w:color w:val="000000"/>
                <w:kern w:val="0"/>
                <w:sz w:val="22"/>
                <w:szCs w:val="22"/>
              </w:rPr>
            </w:pPr>
            <w:r>
              <w:rPr>
                <w:rFonts w:eastAsia="宋体"/>
                <w:color w:val="000000"/>
                <w:kern w:val="0"/>
                <w:sz w:val="22"/>
                <w:szCs w:val="22"/>
              </w:rPr>
              <w:t>实际完成时间：项目实施单位完成该项目实际所耗用的时间。</w:t>
            </w:r>
            <w:r>
              <w:rPr>
                <w:rFonts w:eastAsia="宋体"/>
                <w:color w:val="000000"/>
                <w:kern w:val="0"/>
                <w:sz w:val="22"/>
                <w:szCs w:val="22"/>
              </w:rPr>
              <w:br w:type="textWrapping"/>
            </w:r>
            <w:r>
              <w:rPr>
                <w:rFonts w:eastAsia="宋体"/>
                <w:color w:val="000000"/>
                <w:kern w:val="0"/>
                <w:sz w:val="22"/>
                <w:szCs w:val="22"/>
              </w:rPr>
              <w:t>计划完成时间：按照项目实施计划或相关规定完成该项目所需的时间。</w:t>
            </w:r>
          </w:p>
        </w:tc>
        <w:tc>
          <w:tcPr>
            <w:tcW w:w="744" w:type="dxa"/>
            <w:gridSpan w:val="3"/>
            <w:tcBorders>
              <w:top w:val="single" w:color="auto" w:sz="4" w:space="0"/>
              <w:bottom w:val="single" w:color="auto" w:sz="4" w:space="0"/>
              <w:right w:val="single" w:color="auto" w:sz="4" w:space="0"/>
            </w:tcBorders>
            <w:shd w:val="clear" w:color="auto" w:fill="auto"/>
            <w:vAlign w:val="center"/>
          </w:tcPr>
          <w:p w14:paraId="55E8BFC5">
            <w:pPr>
              <w:widowControl/>
              <w:jc w:val="center"/>
              <w:rPr>
                <w:rFonts w:eastAsia="宋体"/>
                <w:color w:val="000000"/>
                <w:kern w:val="0"/>
                <w:sz w:val="22"/>
                <w:szCs w:val="22"/>
              </w:rPr>
            </w:pPr>
            <w:r>
              <w:rPr>
                <w:color w:val="000000"/>
                <w:kern w:val="0"/>
                <w:sz w:val="22"/>
                <w:szCs w:val="22"/>
              </w:rPr>
              <w:t>5</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30A90E">
            <w:pPr>
              <w:widowControl/>
              <w:jc w:val="center"/>
              <w:rPr>
                <w:rFonts w:eastAsia="宋体"/>
                <w:color w:val="000000"/>
                <w:kern w:val="0"/>
                <w:sz w:val="22"/>
                <w:szCs w:val="22"/>
              </w:rPr>
            </w:pPr>
            <w:r>
              <w:rPr>
                <w:color w:val="000000"/>
                <w:kern w:val="0"/>
                <w:sz w:val="22"/>
                <w:szCs w:val="22"/>
              </w:rPr>
              <w:t>5</w:t>
            </w:r>
          </w:p>
        </w:tc>
      </w:tr>
      <w:tr w14:paraId="413D5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65" w:type="dxa"/>
            <w:vMerge w:val="continue"/>
            <w:tcBorders>
              <w:tl2br w:val="nil"/>
              <w:tr2bl w:val="nil"/>
            </w:tcBorders>
            <w:shd w:val="clear" w:color="auto" w:fill="FFFFFF"/>
            <w:vAlign w:val="center"/>
          </w:tcPr>
          <w:p w14:paraId="2C766123">
            <w:pPr>
              <w:widowControl/>
              <w:spacing w:line="0" w:lineRule="atLeast"/>
              <w:jc w:val="center"/>
              <w:rPr>
                <w:rFonts w:eastAsia="宋体"/>
                <w:color w:val="000000"/>
                <w:kern w:val="0"/>
                <w:sz w:val="22"/>
                <w:szCs w:val="22"/>
              </w:rPr>
            </w:pPr>
          </w:p>
        </w:tc>
        <w:tc>
          <w:tcPr>
            <w:tcW w:w="1133" w:type="dxa"/>
            <w:tcBorders>
              <w:tl2br w:val="nil"/>
              <w:tr2bl w:val="nil"/>
            </w:tcBorders>
            <w:shd w:val="clear" w:color="auto" w:fill="FFFFFF"/>
            <w:vAlign w:val="center"/>
          </w:tcPr>
          <w:p w14:paraId="16011638">
            <w:pPr>
              <w:widowControl/>
              <w:spacing w:line="0" w:lineRule="atLeast"/>
              <w:jc w:val="center"/>
              <w:rPr>
                <w:rFonts w:eastAsia="宋体"/>
                <w:color w:val="000000"/>
                <w:kern w:val="0"/>
                <w:sz w:val="22"/>
                <w:szCs w:val="22"/>
              </w:rPr>
            </w:pPr>
            <w:r>
              <w:rPr>
                <w:rFonts w:eastAsia="宋体"/>
                <w:color w:val="000000"/>
                <w:kern w:val="0"/>
                <w:sz w:val="22"/>
                <w:szCs w:val="22"/>
              </w:rPr>
              <w:t>产出成本（5分）</w:t>
            </w:r>
          </w:p>
        </w:tc>
        <w:tc>
          <w:tcPr>
            <w:tcW w:w="1232" w:type="dxa"/>
            <w:tcBorders>
              <w:tl2br w:val="nil"/>
              <w:tr2bl w:val="nil"/>
            </w:tcBorders>
            <w:shd w:val="clear" w:color="auto" w:fill="FFFFFF"/>
            <w:vAlign w:val="center"/>
          </w:tcPr>
          <w:p w14:paraId="660AC5DE">
            <w:pPr>
              <w:widowControl/>
              <w:spacing w:line="0" w:lineRule="atLeast"/>
              <w:jc w:val="center"/>
              <w:rPr>
                <w:rFonts w:eastAsia="宋体"/>
                <w:color w:val="000000"/>
                <w:kern w:val="0"/>
                <w:sz w:val="22"/>
                <w:szCs w:val="22"/>
              </w:rPr>
            </w:pPr>
            <w:r>
              <w:rPr>
                <w:rFonts w:eastAsia="宋体"/>
                <w:color w:val="000000"/>
                <w:kern w:val="0"/>
                <w:sz w:val="22"/>
                <w:szCs w:val="22"/>
              </w:rPr>
              <w:t>成本节约率</w:t>
            </w:r>
          </w:p>
        </w:tc>
        <w:tc>
          <w:tcPr>
            <w:tcW w:w="2672" w:type="dxa"/>
            <w:tcBorders>
              <w:tl2br w:val="nil"/>
              <w:tr2bl w:val="nil"/>
            </w:tcBorders>
            <w:shd w:val="clear" w:color="000000" w:fill="FFFFFF"/>
            <w:vAlign w:val="center"/>
          </w:tcPr>
          <w:p w14:paraId="51D36180">
            <w:pPr>
              <w:widowControl/>
              <w:spacing w:line="0" w:lineRule="atLeast"/>
              <w:rPr>
                <w:rFonts w:eastAsia="宋体"/>
                <w:color w:val="000000"/>
                <w:kern w:val="0"/>
                <w:sz w:val="22"/>
                <w:szCs w:val="22"/>
              </w:rPr>
            </w:pPr>
            <w:r>
              <w:rPr>
                <w:rFonts w:eastAsia="宋体"/>
                <w:color w:val="000000"/>
                <w:kern w:val="0"/>
                <w:sz w:val="22"/>
                <w:szCs w:val="22"/>
              </w:rPr>
              <w:t>完成项目计划工作目标的实际节约成本与计划成本的比率，用以反映和考核项目的成本节约程度。</w:t>
            </w:r>
          </w:p>
        </w:tc>
        <w:tc>
          <w:tcPr>
            <w:tcW w:w="6173" w:type="dxa"/>
            <w:tcBorders>
              <w:tl2br w:val="nil"/>
              <w:tr2bl w:val="nil"/>
            </w:tcBorders>
            <w:shd w:val="clear" w:color="000000" w:fill="FFFFFF"/>
            <w:vAlign w:val="center"/>
          </w:tcPr>
          <w:p w14:paraId="6C531014">
            <w:pPr>
              <w:widowControl/>
              <w:spacing w:line="0" w:lineRule="atLeast"/>
              <w:rPr>
                <w:rFonts w:eastAsia="宋体"/>
                <w:color w:val="000000"/>
                <w:kern w:val="0"/>
                <w:sz w:val="22"/>
                <w:szCs w:val="22"/>
              </w:rPr>
            </w:pPr>
            <w:r>
              <w:rPr>
                <w:rFonts w:eastAsia="宋体"/>
                <w:color w:val="000000"/>
                <w:kern w:val="0"/>
                <w:sz w:val="22"/>
                <w:szCs w:val="22"/>
              </w:rPr>
              <w:br w:type="textWrapping"/>
            </w:r>
            <w:r>
              <w:rPr>
                <w:rFonts w:eastAsia="宋体"/>
                <w:color w:val="000000"/>
                <w:kern w:val="0"/>
                <w:sz w:val="22"/>
                <w:szCs w:val="22"/>
              </w:rPr>
              <w:t>成本节约率=[（计划成本-实际成本）/计划成本]×100%。</w:t>
            </w:r>
            <w:r>
              <w:rPr>
                <w:rFonts w:eastAsia="宋体"/>
                <w:color w:val="000000"/>
                <w:kern w:val="0"/>
                <w:sz w:val="22"/>
                <w:szCs w:val="22"/>
              </w:rPr>
              <w:br w:type="textWrapping"/>
            </w:r>
            <w:r>
              <w:rPr>
                <w:rFonts w:eastAsia="宋体"/>
                <w:color w:val="000000"/>
                <w:kern w:val="0"/>
                <w:sz w:val="22"/>
                <w:szCs w:val="22"/>
              </w:rPr>
              <w:t>实际成本：项目实施单位如期、保质、保量完成既定工作目标实际所耗费的支出。</w:t>
            </w:r>
            <w:r>
              <w:rPr>
                <w:rFonts w:eastAsia="宋体"/>
                <w:color w:val="000000"/>
                <w:kern w:val="0"/>
                <w:sz w:val="22"/>
                <w:szCs w:val="22"/>
              </w:rPr>
              <w:br w:type="textWrapping"/>
            </w:r>
            <w:r>
              <w:rPr>
                <w:rFonts w:eastAsia="宋体"/>
                <w:color w:val="000000"/>
                <w:kern w:val="0"/>
                <w:sz w:val="22"/>
                <w:szCs w:val="22"/>
              </w:rPr>
              <w:t>计划成本：项目实施单位为完成工作目标计划安排的支出，一般以项目预算为参考。</w:t>
            </w:r>
          </w:p>
        </w:tc>
        <w:tc>
          <w:tcPr>
            <w:tcW w:w="744" w:type="dxa"/>
            <w:gridSpan w:val="3"/>
            <w:tcBorders>
              <w:top w:val="single" w:color="auto" w:sz="4" w:space="0"/>
              <w:bottom w:val="single" w:color="auto" w:sz="4" w:space="0"/>
              <w:right w:val="single" w:color="auto" w:sz="4" w:space="0"/>
            </w:tcBorders>
            <w:shd w:val="clear" w:color="auto" w:fill="auto"/>
            <w:vAlign w:val="center"/>
          </w:tcPr>
          <w:p w14:paraId="2545D57F">
            <w:pPr>
              <w:widowControl/>
              <w:jc w:val="center"/>
              <w:rPr>
                <w:rFonts w:eastAsia="宋体"/>
                <w:color w:val="000000"/>
                <w:kern w:val="0"/>
                <w:sz w:val="22"/>
                <w:szCs w:val="22"/>
              </w:rPr>
            </w:pPr>
            <w:r>
              <w:rPr>
                <w:color w:val="000000"/>
                <w:kern w:val="0"/>
                <w:sz w:val="22"/>
                <w:szCs w:val="22"/>
              </w:rPr>
              <w:t>5</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C20958">
            <w:pPr>
              <w:widowControl/>
              <w:jc w:val="center"/>
              <w:rPr>
                <w:rFonts w:eastAsia="宋体"/>
                <w:color w:val="000000"/>
                <w:kern w:val="0"/>
                <w:sz w:val="22"/>
                <w:szCs w:val="22"/>
              </w:rPr>
            </w:pPr>
            <w:r>
              <w:rPr>
                <w:color w:val="000000"/>
                <w:kern w:val="0"/>
                <w:sz w:val="22"/>
                <w:szCs w:val="22"/>
              </w:rPr>
              <w:t>5</w:t>
            </w:r>
          </w:p>
        </w:tc>
      </w:tr>
      <w:tr w14:paraId="3D8F9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665" w:type="dxa"/>
            <w:vMerge w:val="restart"/>
            <w:tcBorders>
              <w:tl2br w:val="nil"/>
              <w:tr2bl w:val="nil"/>
            </w:tcBorders>
            <w:shd w:val="clear" w:color="auto" w:fill="FFFFFF"/>
            <w:vAlign w:val="center"/>
          </w:tcPr>
          <w:p w14:paraId="46D099C4">
            <w:pPr>
              <w:widowControl/>
              <w:spacing w:line="0" w:lineRule="atLeast"/>
              <w:jc w:val="center"/>
              <w:rPr>
                <w:rFonts w:eastAsia="宋体"/>
                <w:color w:val="000000"/>
                <w:kern w:val="0"/>
                <w:sz w:val="22"/>
                <w:szCs w:val="22"/>
              </w:rPr>
            </w:pPr>
            <w:r>
              <w:rPr>
                <w:rFonts w:eastAsia="宋体"/>
                <w:color w:val="000000"/>
                <w:kern w:val="0"/>
                <w:sz w:val="22"/>
                <w:szCs w:val="22"/>
              </w:rPr>
              <w:t>效益（30分）　</w:t>
            </w:r>
          </w:p>
        </w:tc>
        <w:tc>
          <w:tcPr>
            <w:tcW w:w="1133" w:type="dxa"/>
            <w:vMerge w:val="restart"/>
            <w:tcBorders>
              <w:tl2br w:val="nil"/>
              <w:tr2bl w:val="nil"/>
            </w:tcBorders>
            <w:shd w:val="clear" w:color="auto" w:fill="FFFFFF"/>
            <w:vAlign w:val="center"/>
          </w:tcPr>
          <w:p w14:paraId="77216ADC">
            <w:pPr>
              <w:widowControl/>
              <w:spacing w:line="0" w:lineRule="atLeast"/>
              <w:jc w:val="center"/>
              <w:rPr>
                <w:rFonts w:eastAsia="宋体"/>
                <w:color w:val="000000"/>
                <w:kern w:val="0"/>
                <w:sz w:val="22"/>
                <w:szCs w:val="22"/>
              </w:rPr>
            </w:pPr>
            <w:r>
              <w:rPr>
                <w:rFonts w:eastAsia="宋体"/>
                <w:color w:val="000000"/>
                <w:kern w:val="0"/>
                <w:sz w:val="22"/>
                <w:szCs w:val="22"/>
              </w:rPr>
              <w:t>项目效益（30分）　</w:t>
            </w:r>
          </w:p>
        </w:tc>
        <w:tc>
          <w:tcPr>
            <w:tcW w:w="1232" w:type="dxa"/>
            <w:tcBorders>
              <w:tl2br w:val="nil"/>
              <w:tr2bl w:val="nil"/>
            </w:tcBorders>
            <w:shd w:val="clear" w:color="auto" w:fill="FFFFFF"/>
            <w:vAlign w:val="center"/>
          </w:tcPr>
          <w:p w14:paraId="65D9A8AA">
            <w:pPr>
              <w:widowControl/>
              <w:spacing w:line="0" w:lineRule="atLeast"/>
              <w:jc w:val="center"/>
              <w:rPr>
                <w:rFonts w:eastAsia="宋体"/>
                <w:color w:val="000000"/>
                <w:kern w:val="0"/>
                <w:sz w:val="22"/>
                <w:szCs w:val="22"/>
              </w:rPr>
            </w:pPr>
            <w:r>
              <w:rPr>
                <w:rFonts w:eastAsia="宋体"/>
                <w:color w:val="000000"/>
                <w:kern w:val="0"/>
                <w:sz w:val="22"/>
                <w:szCs w:val="22"/>
              </w:rPr>
              <w:t>实施效益</w:t>
            </w:r>
          </w:p>
        </w:tc>
        <w:tc>
          <w:tcPr>
            <w:tcW w:w="2672" w:type="dxa"/>
            <w:tcBorders>
              <w:tl2br w:val="nil"/>
              <w:tr2bl w:val="nil"/>
            </w:tcBorders>
            <w:shd w:val="clear" w:color="auto" w:fill="FFFFFF"/>
            <w:vAlign w:val="center"/>
          </w:tcPr>
          <w:p w14:paraId="343CE133">
            <w:pPr>
              <w:widowControl/>
              <w:spacing w:line="0" w:lineRule="atLeast"/>
              <w:jc w:val="left"/>
              <w:rPr>
                <w:rFonts w:eastAsia="宋体"/>
                <w:color w:val="000000"/>
                <w:kern w:val="0"/>
                <w:sz w:val="22"/>
                <w:szCs w:val="22"/>
              </w:rPr>
            </w:pPr>
            <w:r>
              <w:rPr>
                <w:rFonts w:eastAsia="宋体"/>
                <w:color w:val="000000"/>
                <w:kern w:val="0"/>
                <w:sz w:val="22"/>
                <w:szCs w:val="22"/>
              </w:rPr>
              <w:t>项目实施所产生的效益。</w:t>
            </w:r>
          </w:p>
        </w:tc>
        <w:tc>
          <w:tcPr>
            <w:tcW w:w="6173" w:type="dxa"/>
            <w:tcBorders>
              <w:tl2br w:val="nil"/>
              <w:tr2bl w:val="nil"/>
            </w:tcBorders>
            <w:shd w:val="clear" w:color="auto" w:fill="FFFFFF"/>
            <w:vAlign w:val="center"/>
          </w:tcPr>
          <w:p w14:paraId="46DABD5B">
            <w:pPr>
              <w:widowControl/>
              <w:spacing w:line="0" w:lineRule="atLeast"/>
              <w:rPr>
                <w:rFonts w:eastAsia="宋体"/>
                <w:color w:val="000000"/>
                <w:kern w:val="0"/>
                <w:sz w:val="22"/>
                <w:szCs w:val="22"/>
              </w:rPr>
            </w:pPr>
            <w:r>
              <w:rPr>
                <w:rFonts w:eastAsia="宋体"/>
                <w:color w:val="000000"/>
                <w:kern w:val="0"/>
                <w:sz w:val="22"/>
                <w:szCs w:val="22"/>
              </w:rPr>
              <w:t>项目实施所产生的社会效益、经济效益、生态效益、可持续影响等。可根据项目实际情况有选择地设置和细化。</w:t>
            </w:r>
          </w:p>
        </w:tc>
        <w:tc>
          <w:tcPr>
            <w:tcW w:w="744" w:type="dxa"/>
            <w:gridSpan w:val="3"/>
            <w:tcBorders>
              <w:top w:val="single" w:color="auto" w:sz="4" w:space="0"/>
              <w:bottom w:val="single" w:color="auto" w:sz="4" w:space="0"/>
              <w:right w:val="single" w:color="auto" w:sz="4" w:space="0"/>
            </w:tcBorders>
            <w:shd w:val="clear" w:color="auto" w:fill="auto"/>
            <w:vAlign w:val="center"/>
          </w:tcPr>
          <w:p w14:paraId="4E498386">
            <w:pPr>
              <w:widowControl/>
              <w:jc w:val="center"/>
              <w:rPr>
                <w:rFonts w:eastAsia="宋体"/>
                <w:color w:val="000000"/>
                <w:kern w:val="0"/>
                <w:sz w:val="22"/>
                <w:szCs w:val="22"/>
              </w:rPr>
            </w:pPr>
            <w:r>
              <w:rPr>
                <w:color w:val="000000"/>
                <w:kern w:val="0"/>
                <w:sz w:val="22"/>
                <w:szCs w:val="22"/>
              </w:rPr>
              <w:t>20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80559C">
            <w:pPr>
              <w:widowControl/>
              <w:jc w:val="center"/>
              <w:rPr>
                <w:rFonts w:eastAsia="宋体"/>
                <w:color w:val="000000"/>
                <w:kern w:val="0"/>
                <w:sz w:val="22"/>
                <w:szCs w:val="22"/>
              </w:rPr>
            </w:pPr>
            <w:r>
              <w:rPr>
                <w:color w:val="000000"/>
                <w:kern w:val="0"/>
                <w:sz w:val="22"/>
                <w:szCs w:val="22"/>
              </w:rPr>
              <w:t>20</w:t>
            </w:r>
          </w:p>
        </w:tc>
      </w:tr>
      <w:tr w14:paraId="252A9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665" w:type="dxa"/>
            <w:vMerge w:val="continue"/>
            <w:tcBorders>
              <w:tl2br w:val="nil"/>
              <w:tr2bl w:val="nil"/>
            </w:tcBorders>
            <w:shd w:val="clear" w:color="auto" w:fill="FFFFFF"/>
            <w:vAlign w:val="center"/>
          </w:tcPr>
          <w:p w14:paraId="4E4EB3D8">
            <w:pPr>
              <w:widowControl/>
              <w:spacing w:line="0" w:lineRule="atLeast"/>
              <w:jc w:val="center"/>
              <w:rPr>
                <w:rFonts w:eastAsia="宋体"/>
                <w:color w:val="000000"/>
                <w:kern w:val="0"/>
                <w:sz w:val="22"/>
                <w:szCs w:val="22"/>
              </w:rPr>
            </w:pPr>
          </w:p>
        </w:tc>
        <w:tc>
          <w:tcPr>
            <w:tcW w:w="1133" w:type="dxa"/>
            <w:vMerge w:val="continue"/>
            <w:tcBorders>
              <w:tl2br w:val="nil"/>
              <w:tr2bl w:val="nil"/>
            </w:tcBorders>
            <w:shd w:val="clear" w:color="auto" w:fill="FFFFFF"/>
            <w:vAlign w:val="center"/>
          </w:tcPr>
          <w:p w14:paraId="32C1AFFB">
            <w:pPr>
              <w:widowControl/>
              <w:spacing w:line="0" w:lineRule="atLeast"/>
              <w:jc w:val="center"/>
              <w:rPr>
                <w:rFonts w:eastAsia="宋体"/>
                <w:color w:val="000000"/>
                <w:kern w:val="0"/>
                <w:sz w:val="22"/>
                <w:szCs w:val="22"/>
              </w:rPr>
            </w:pPr>
          </w:p>
        </w:tc>
        <w:tc>
          <w:tcPr>
            <w:tcW w:w="1232" w:type="dxa"/>
            <w:tcBorders>
              <w:tl2br w:val="nil"/>
              <w:tr2bl w:val="nil"/>
            </w:tcBorders>
            <w:shd w:val="clear" w:color="auto" w:fill="FFFFFF"/>
            <w:vAlign w:val="center"/>
          </w:tcPr>
          <w:p w14:paraId="207A23A3">
            <w:pPr>
              <w:widowControl/>
              <w:spacing w:line="0" w:lineRule="atLeast"/>
              <w:jc w:val="center"/>
              <w:rPr>
                <w:rFonts w:eastAsia="宋体"/>
                <w:color w:val="000000"/>
                <w:kern w:val="0"/>
                <w:sz w:val="22"/>
                <w:szCs w:val="22"/>
              </w:rPr>
            </w:pPr>
            <w:r>
              <w:rPr>
                <w:rFonts w:eastAsia="宋体"/>
                <w:color w:val="000000"/>
                <w:kern w:val="0"/>
                <w:sz w:val="22"/>
                <w:szCs w:val="22"/>
              </w:rPr>
              <w:t>满意度</w:t>
            </w:r>
          </w:p>
        </w:tc>
        <w:tc>
          <w:tcPr>
            <w:tcW w:w="2672" w:type="dxa"/>
            <w:tcBorders>
              <w:tl2br w:val="nil"/>
              <w:tr2bl w:val="nil"/>
            </w:tcBorders>
            <w:shd w:val="clear" w:color="000000" w:fill="FFFFFF"/>
            <w:vAlign w:val="center"/>
          </w:tcPr>
          <w:p w14:paraId="084D5C30">
            <w:pPr>
              <w:widowControl/>
              <w:spacing w:line="0" w:lineRule="atLeast"/>
              <w:rPr>
                <w:rFonts w:eastAsia="宋体"/>
                <w:color w:val="000000"/>
                <w:kern w:val="0"/>
                <w:sz w:val="22"/>
                <w:szCs w:val="22"/>
              </w:rPr>
            </w:pPr>
            <w:r>
              <w:rPr>
                <w:rFonts w:eastAsia="宋体"/>
                <w:color w:val="000000"/>
                <w:kern w:val="0"/>
                <w:sz w:val="22"/>
                <w:szCs w:val="22"/>
              </w:rPr>
              <w:t>社会公众或服务对象对项目实施效果的满意程度。</w:t>
            </w:r>
          </w:p>
        </w:tc>
        <w:tc>
          <w:tcPr>
            <w:tcW w:w="6173" w:type="dxa"/>
            <w:tcBorders>
              <w:tl2br w:val="nil"/>
              <w:tr2bl w:val="nil"/>
            </w:tcBorders>
            <w:shd w:val="clear" w:color="000000" w:fill="FFFFFF"/>
            <w:vAlign w:val="center"/>
          </w:tcPr>
          <w:p w14:paraId="16EF1098">
            <w:pPr>
              <w:widowControl/>
              <w:spacing w:line="0" w:lineRule="atLeast"/>
              <w:rPr>
                <w:rFonts w:eastAsia="宋体"/>
                <w:color w:val="000000"/>
                <w:kern w:val="0"/>
                <w:sz w:val="22"/>
                <w:szCs w:val="22"/>
              </w:rPr>
            </w:pPr>
            <w:r>
              <w:rPr>
                <w:rFonts w:eastAsia="宋体"/>
                <w:color w:val="000000"/>
                <w:kern w:val="0"/>
                <w:sz w:val="22"/>
                <w:szCs w:val="22"/>
              </w:rPr>
              <w:t>社会公众或服务对象是指因该项目实施而受到影响的部门（单位）、群体或个人。一般采取社会调查的方式。</w:t>
            </w:r>
          </w:p>
        </w:tc>
        <w:tc>
          <w:tcPr>
            <w:tcW w:w="744" w:type="dxa"/>
            <w:gridSpan w:val="3"/>
            <w:tcBorders>
              <w:top w:val="single" w:color="auto" w:sz="4" w:space="0"/>
              <w:bottom w:val="single" w:color="auto" w:sz="4" w:space="0"/>
              <w:right w:val="single" w:color="auto" w:sz="4" w:space="0"/>
            </w:tcBorders>
            <w:shd w:val="clear" w:color="auto" w:fill="auto"/>
            <w:vAlign w:val="center"/>
          </w:tcPr>
          <w:p w14:paraId="254CCD58">
            <w:pPr>
              <w:widowControl/>
              <w:jc w:val="center"/>
              <w:rPr>
                <w:rFonts w:eastAsia="宋体"/>
                <w:color w:val="000000"/>
                <w:kern w:val="0"/>
                <w:sz w:val="22"/>
                <w:szCs w:val="22"/>
              </w:rPr>
            </w:pPr>
            <w:r>
              <w:rPr>
                <w:color w:val="000000"/>
                <w:kern w:val="0"/>
                <w:sz w:val="22"/>
                <w:szCs w:val="22"/>
              </w:rPr>
              <w:t>10</w:t>
            </w:r>
          </w:p>
        </w:tc>
        <w:tc>
          <w:tcPr>
            <w:tcW w:w="8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244FD1">
            <w:pPr>
              <w:widowControl/>
              <w:jc w:val="center"/>
              <w:rPr>
                <w:rFonts w:eastAsia="宋体"/>
                <w:color w:val="000000"/>
                <w:kern w:val="0"/>
                <w:sz w:val="22"/>
                <w:szCs w:val="22"/>
              </w:rPr>
            </w:pPr>
            <w:r>
              <w:rPr>
                <w:color w:val="000000"/>
                <w:kern w:val="0"/>
                <w:sz w:val="22"/>
                <w:szCs w:val="22"/>
              </w:rPr>
              <w:t>10</w:t>
            </w:r>
          </w:p>
        </w:tc>
      </w:tr>
    </w:tbl>
    <w:p w14:paraId="24550B04">
      <w:pPr>
        <w:spacing w:line="600" w:lineRule="exact"/>
        <w:jc w:val="left"/>
        <w:rPr>
          <w:rFonts w:asciiTheme="minorEastAsia" w:hAnsiTheme="minorEastAsia" w:eastAsiaTheme="minorEastAsia"/>
          <w:color w:val="984806" w:themeColor="accent6" w:themeShade="80"/>
        </w:rPr>
      </w:pPr>
    </w:p>
    <w:sectPr>
      <w:pgSz w:w="16838" w:h="11906" w:orient="landscape"/>
      <w:pgMar w:top="1418" w:right="1928" w:bottom="1304"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75051F7-5873-447D-AD5A-FA6B9D32254F}"/>
  </w:font>
  <w:font w:name="黑体">
    <w:panose1 w:val="02010609060101010101"/>
    <w:charset w:val="86"/>
    <w:family w:val="auto"/>
    <w:pitch w:val="default"/>
    <w:sig w:usb0="800002BF" w:usb1="38CF7CFA" w:usb2="00000016" w:usb3="00000000" w:csb0="00040001" w:csb1="00000000"/>
    <w:embedRegular r:id="rId2" w:fontKey="{AA1C88E3-B63B-498A-AFE9-F73BA672F7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3" w:fontKey="{6477069D-5A48-446E-A7B5-CEC4C3222678}"/>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script"/>
    <w:pitch w:val="default"/>
    <w:sig w:usb0="A00002BF" w:usb1="38CF7CFA" w:usb2="00082016" w:usb3="00000000" w:csb0="00040001" w:csb1="00000000"/>
    <w:embedRegular r:id="rId4" w:fontKey="{9B1AE8A8-0018-49D9-AB8E-151A16B0A100}"/>
  </w:font>
  <w:font w:name="华文中宋">
    <w:panose1 w:val="02010600040101010101"/>
    <w:charset w:val="86"/>
    <w:family w:val="auto"/>
    <w:pitch w:val="default"/>
    <w:sig w:usb0="00000287" w:usb1="080F0000" w:usb2="00000000" w:usb3="00000000" w:csb0="0004009F" w:csb1="DFD70000"/>
    <w:embedRegular r:id="rId5" w:fontKey="{2987032A-67E1-44B0-88E9-5F988AB05943}"/>
  </w:font>
  <w:font w:name="方正仿宋_GBK">
    <w:panose1 w:val="02000000000000000000"/>
    <w:charset w:val="86"/>
    <w:family w:val="script"/>
    <w:pitch w:val="default"/>
    <w:sig w:usb0="A00002BF" w:usb1="38CF7CFA" w:usb2="00082016" w:usb3="00000000" w:csb0="00040001" w:csb1="00000000"/>
    <w:embedRegular r:id="rId6" w:fontKey="{0B12B6DA-E588-458B-8B89-1BB529A550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D8D22">
    <w:pPr>
      <w:pStyle w:val="5"/>
      <w:jc w:val="center"/>
    </w:pPr>
    <w:r>
      <w:fldChar w:fldCharType="begin"/>
    </w:r>
    <w:r>
      <w:instrText xml:space="preserve"> PAGE   \* MERGEFORMAT </w:instrText>
    </w:r>
    <w:r>
      <w:fldChar w:fldCharType="separate"/>
    </w:r>
    <w:r>
      <w:rPr>
        <w:lang w:val="zh-CN"/>
      </w:rPr>
      <w:t>6</w:t>
    </w:r>
    <w:r>
      <w:fldChar w:fldCharType="end"/>
    </w:r>
  </w:p>
  <w:p w14:paraId="6C1C6A05">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44254B"/>
    <w:multiLevelType w:val="multilevel"/>
    <w:tmpl w:val="1F44254B"/>
    <w:lvl w:ilvl="0" w:tentative="0">
      <w:start w:val="1"/>
      <w:numFmt w:val="decimal"/>
      <w:lvlText w:val="%1"/>
      <w:lvlJc w:val="left"/>
      <w:pPr>
        <w:tabs>
          <w:tab w:val="left" w:pos="432"/>
        </w:tabs>
        <w:ind w:left="432" w:hanging="432"/>
      </w:pPr>
    </w:lvl>
    <w:lvl w:ilvl="1" w:tentative="0">
      <w:start w:val="1"/>
      <w:numFmt w:val="decimal"/>
      <w:pStyle w:val="3"/>
      <w:lvlText w:val="%1.%2"/>
      <w:lvlJc w:val="left"/>
      <w:pPr>
        <w:tabs>
          <w:tab w:val="left" w:pos="576"/>
        </w:tabs>
        <w:ind w:left="576" w:hanging="576"/>
      </w:pPr>
      <w:rPr>
        <w:rFonts w:hint="default" w:ascii="Times New Roman" w:hAnsi="Times New Roman" w:cs="Times New Roman"/>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535AC9"/>
    <w:rsid w:val="0000432E"/>
    <w:rsid w:val="00017A0F"/>
    <w:rsid w:val="0002343B"/>
    <w:rsid w:val="0002465C"/>
    <w:rsid w:val="00034ADF"/>
    <w:rsid w:val="00077DDE"/>
    <w:rsid w:val="000B4E42"/>
    <w:rsid w:val="000B536E"/>
    <w:rsid w:val="000D091E"/>
    <w:rsid w:val="001000CB"/>
    <w:rsid w:val="0011273C"/>
    <w:rsid w:val="0013038F"/>
    <w:rsid w:val="00131B19"/>
    <w:rsid w:val="0013625F"/>
    <w:rsid w:val="001511C5"/>
    <w:rsid w:val="00156300"/>
    <w:rsid w:val="001854E9"/>
    <w:rsid w:val="00192844"/>
    <w:rsid w:val="001B53C2"/>
    <w:rsid w:val="001C18E4"/>
    <w:rsid w:val="001E7867"/>
    <w:rsid w:val="00204EA1"/>
    <w:rsid w:val="00214CF6"/>
    <w:rsid w:val="002221E3"/>
    <w:rsid w:val="002226B4"/>
    <w:rsid w:val="00224C41"/>
    <w:rsid w:val="002812F9"/>
    <w:rsid w:val="002828CD"/>
    <w:rsid w:val="00290B7B"/>
    <w:rsid w:val="0029419A"/>
    <w:rsid w:val="002B545E"/>
    <w:rsid w:val="002F3285"/>
    <w:rsid w:val="002F3919"/>
    <w:rsid w:val="00326703"/>
    <w:rsid w:val="00334DA7"/>
    <w:rsid w:val="00335385"/>
    <w:rsid w:val="003578E6"/>
    <w:rsid w:val="00361CE4"/>
    <w:rsid w:val="003840CF"/>
    <w:rsid w:val="0039246D"/>
    <w:rsid w:val="00397782"/>
    <w:rsid w:val="003A168B"/>
    <w:rsid w:val="003B2B1C"/>
    <w:rsid w:val="003C3C94"/>
    <w:rsid w:val="003E2895"/>
    <w:rsid w:val="003E41A0"/>
    <w:rsid w:val="003E4D26"/>
    <w:rsid w:val="00403722"/>
    <w:rsid w:val="00406CB6"/>
    <w:rsid w:val="004173D2"/>
    <w:rsid w:val="004300A2"/>
    <w:rsid w:val="0043448B"/>
    <w:rsid w:val="00435214"/>
    <w:rsid w:val="0045764D"/>
    <w:rsid w:val="00466626"/>
    <w:rsid w:val="004712BF"/>
    <w:rsid w:val="00476A4E"/>
    <w:rsid w:val="00494241"/>
    <w:rsid w:val="004B3BF2"/>
    <w:rsid w:val="004C7CD9"/>
    <w:rsid w:val="004E68CC"/>
    <w:rsid w:val="004F1B8C"/>
    <w:rsid w:val="00512B25"/>
    <w:rsid w:val="00535AC9"/>
    <w:rsid w:val="00537637"/>
    <w:rsid w:val="00547963"/>
    <w:rsid w:val="005600E7"/>
    <w:rsid w:val="00577BBA"/>
    <w:rsid w:val="00581C50"/>
    <w:rsid w:val="00592B52"/>
    <w:rsid w:val="005A4B02"/>
    <w:rsid w:val="005B7ABB"/>
    <w:rsid w:val="005D121C"/>
    <w:rsid w:val="005E18E9"/>
    <w:rsid w:val="005E4884"/>
    <w:rsid w:val="005E7210"/>
    <w:rsid w:val="00615E77"/>
    <w:rsid w:val="00620A5B"/>
    <w:rsid w:val="006548F2"/>
    <w:rsid w:val="0067743B"/>
    <w:rsid w:val="00680C58"/>
    <w:rsid w:val="0068712C"/>
    <w:rsid w:val="006C1253"/>
    <w:rsid w:val="006F0092"/>
    <w:rsid w:val="00710908"/>
    <w:rsid w:val="00730E35"/>
    <w:rsid w:val="00746FB5"/>
    <w:rsid w:val="00774E8A"/>
    <w:rsid w:val="0078256C"/>
    <w:rsid w:val="00787EB0"/>
    <w:rsid w:val="007A6DF7"/>
    <w:rsid w:val="007C0106"/>
    <w:rsid w:val="007D725B"/>
    <w:rsid w:val="00843572"/>
    <w:rsid w:val="00852E0C"/>
    <w:rsid w:val="00861810"/>
    <w:rsid w:val="00862E10"/>
    <w:rsid w:val="008F2E4C"/>
    <w:rsid w:val="008F6E96"/>
    <w:rsid w:val="00901FE2"/>
    <w:rsid w:val="0090364E"/>
    <w:rsid w:val="00911CCB"/>
    <w:rsid w:val="00925901"/>
    <w:rsid w:val="00976A1F"/>
    <w:rsid w:val="00983E69"/>
    <w:rsid w:val="00984FB0"/>
    <w:rsid w:val="00987F1E"/>
    <w:rsid w:val="0099549C"/>
    <w:rsid w:val="009B424D"/>
    <w:rsid w:val="009C6C26"/>
    <w:rsid w:val="009D1209"/>
    <w:rsid w:val="009D16A8"/>
    <w:rsid w:val="009D23CE"/>
    <w:rsid w:val="009D6F73"/>
    <w:rsid w:val="009D7BF6"/>
    <w:rsid w:val="00A16EA9"/>
    <w:rsid w:val="00A27598"/>
    <w:rsid w:val="00A4201F"/>
    <w:rsid w:val="00A55D52"/>
    <w:rsid w:val="00A55EB0"/>
    <w:rsid w:val="00A57B39"/>
    <w:rsid w:val="00A67ACC"/>
    <w:rsid w:val="00A92A6A"/>
    <w:rsid w:val="00A94484"/>
    <w:rsid w:val="00A97AEB"/>
    <w:rsid w:val="00AB14FA"/>
    <w:rsid w:val="00AD22D4"/>
    <w:rsid w:val="00B003CA"/>
    <w:rsid w:val="00B34FBC"/>
    <w:rsid w:val="00B63FBD"/>
    <w:rsid w:val="00B845B2"/>
    <w:rsid w:val="00BA1EE4"/>
    <w:rsid w:val="00BB09E4"/>
    <w:rsid w:val="00BD6EEC"/>
    <w:rsid w:val="00C07B90"/>
    <w:rsid w:val="00C309C8"/>
    <w:rsid w:val="00C47F61"/>
    <w:rsid w:val="00C50566"/>
    <w:rsid w:val="00C526B4"/>
    <w:rsid w:val="00C52ED9"/>
    <w:rsid w:val="00C7033B"/>
    <w:rsid w:val="00CB0322"/>
    <w:rsid w:val="00CD2BF4"/>
    <w:rsid w:val="00CD4048"/>
    <w:rsid w:val="00CF4100"/>
    <w:rsid w:val="00D001A5"/>
    <w:rsid w:val="00D33D2B"/>
    <w:rsid w:val="00D3770B"/>
    <w:rsid w:val="00D6225F"/>
    <w:rsid w:val="00D65995"/>
    <w:rsid w:val="00D83F07"/>
    <w:rsid w:val="00DA3DF6"/>
    <w:rsid w:val="00DB44E6"/>
    <w:rsid w:val="00DD0047"/>
    <w:rsid w:val="00E3118B"/>
    <w:rsid w:val="00E32964"/>
    <w:rsid w:val="00E42665"/>
    <w:rsid w:val="00EB6CE3"/>
    <w:rsid w:val="00ED162A"/>
    <w:rsid w:val="00EE432F"/>
    <w:rsid w:val="00EE6A8F"/>
    <w:rsid w:val="00EF1BEF"/>
    <w:rsid w:val="00EF2313"/>
    <w:rsid w:val="00F13D00"/>
    <w:rsid w:val="00F71B14"/>
    <w:rsid w:val="00F71DF3"/>
    <w:rsid w:val="00F83808"/>
    <w:rsid w:val="00FA7468"/>
    <w:rsid w:val="00FB7B4C"/>
    <w:rsid w:val="00FC6057"/>
    <w:rsid w:val="00FE406C"/>
    <w:rsid w:val="0184150D"/>
    <w:rsid w:val="019B1662"/>
    <w:rsid w:val="037D0349"/>
    <w:rsid w:val="03AB2609"/>
    <w:rsid w:val="03C408AD"/>
    <w:rsid w:val="04177243"/>
    <w:rsid w:val="06582C75"/>
    <w:rsid w:val="0666580E"/>
    <w:rsid w:val="06765AA8"/>
    <w:rsid w:val="08A15A24"/>
    <w:rsid w:val="092D4D1C"/>
    <w:rsid w:val="09BC1108"/>
    <w:rsid w:val="0A3A19D7"/>
    <w:rsid w:val="0A4F2875"/>
    <w:rsid w:val="0A573505"/>
    <w:rsid w:val="0A8C26DA"/>
    <w:rsid w:val="0AB24B18"/>
    <w:rsid w:val="0AF34340"/>
    <w:rsid w:val="0C794484"/>
    <w:rsid w:val="0D4B47DC"/>
    <w:rsid w:val="0E110D22"/>
    <w:rsid w:val="0E3F056D"/>
    <w:rsid w:val="0E9A3205"/>
    <w:rsid w:val="0FE86799"/>
    <w:rsid w:val="11670F9F"/>
    <w:rsid w:val="117F1CC3"/>
    <w:rsid w:val="12A01D9B"/>
    <w:rsid w:val="13304A59"/>
    <w:rsid w:val="136F49F2"/>
    <w:rsid w:val="137D63EC"/>
    <w:rsid w:val="14B8240A"/>
    <w:rsid w:val="16296DE9"/>
    <w:rsid w:val="1722157F"/>
    <w:rsid w:val="17841624"/>
    <w:rsid w:val="18592901"/>
    <w:rsid w:val="19640835"/>
    <w:rsid w:val="197F26E3"/>
    <w:rsid w:val="1CF27B0C"/>
    <w:rsid w:val="1E482840"/>
    <w:rsid w:val="1F466CDC"/>
    <w:rsid w:val="1F63408D"/>
    <w:rsid w:val="225536D8"/>
    <w:rsid w:val="228C11F6"/>
    <w:rsid w:val="23A93B88"/>
    <w:rsid w:val="23D4732E"/>
    <w:rsid w:val="24C45AFE"/>
    <w:rsid w:val="268C6DE9"/>
    <w:rsid w:val="26E63E5F"/>
    <w:rsid w:val="271A3342"/>
    <w:rsid w:val="27CD08D9"/>
    <w:rsid w:val="28105ECB"/>
    <w:rsid w:val="290030DC"/>
    <w:rsid w:val="298015A5"/>
    <w:rsid w:val="29974A4D"/>
    <w:rsid w:val="29DB4653"/>
    <w:rsid w:val="2A8B2D5C"/>
    <w:rsid w:val="2B0B6A65"/>
    <w:rsid w:val="2B247925"/>
    <w:rsid w:val="2B9D3E9D"/>
    <w:rsid w:val="2CD15194"/>
    <w:rsid w:val="2E0C5173"/>
    <w:rsid w:val="2E8E096D"/>
    <w:rsid w:val="2EA06694"/>
    <w:rsid w:val="2F055134"/>
    <w:rsid w:val="2FDB3E92"/>
    <w:rsid w:val="307E369B"/>
    <w:rsid w:val="314011DB"/>
    <w:rsid w:val="315E6372"/>
    <w:rsid w:val="31696B1C"/>
    <w:rsid w:val="31972E09"/>
    <w:rsid w:val="31F65728"/>
    <w:rsid w:val="3237046E"/>
    <w:rsid w:val="331039D5"/>
    <w:rsid w:val="33684063"/>
    <w:rsid w:val="347A64D2"/>
    <w:rsid w:val="348134C8"/>
    <w:rsid w:val="35384B7E"/>
    <w:rsid w:val="354A24C2"/>
    <w:rsid w:val="35870A6D"/>
    <w:rsid w:val="37317C9C"/>
    <w:rsid w:val="3A271813"/>
    <w:rsid w:val="3AAF34F8"/>
    <w:rsid w:val="3AE635B0"/>
    <w:rsid w:val="3B381D36"/>
    <w:rsid w:val="3C242C38"/>
    <w:rsid w:val="3C8E2667"/>
    <w:rsid w:val="3DDF6944"/>
    <w:rsid w:val="3EF065CE"/>
    <w:rsid w:val="3F3073B8"/>
    <w:rsid w:val="3F4E21EB"/>
    <w:rsid w:val="3FFB3608"/>
    <w:rsid w:val="402866CB"/>
    <w:rsid w:val="411462D3"/>
    <w:rsid w:val="411E2817"/>
    <w:rsid w:val="414E1930"/>
    <w:rsid w:val="41A41DDB"/>
    <w:rsid w:val="41B119D5"/>
    <w:rsid w:val="429F5EBA"/>
    <w:rsid w:val="433462CE"/>
    <w:rsid w:val="441311BF"/>
    <w:rsid w:val="451517E2"/>
    <w:rsid w:val="462A70C0"/>
    <w:rsid w:val="469559DB"/>
    <w:rsid w:val="47F46C1C"/>
    <w:rsid w:val="484506B4"/>
    <w:rsid w:val="49781202"/>
    <w:rsid w:val="498B1E3F"/>
    <w:rsid w:val="49946522"/>
    <w:rsid w:val="4A41127B"/>
    <w:rsid w:val="4A5C030F"/>
    <w:rsid w:val="4A952667"/>
    <w:rsid w:val="4AF64C8A"/>
    <w:rsid w:val="4BE3360E"/>
    <w:rsid w:val="4E53210E"/>
    <w:rsid w:val="4F234D65"/>
    <w:rsid w:val="4F3A498A"/>
    <w:rsid w:val="4F7675EC"/>
    <w:rsid w:val="4F8A3F18"/>
    <w:rsid w:val="4FA07B47"/>
    <w:rsid w:val="50E56BC4"/>
    <w:rsid w:val="51B1402C"/>
    <w:rsid w:val="532209CE"/>
    <w:rsid w:val="53892C47"/>
    <w:rsid w:val="53B312E1"/>
    <w:rsid w:val="53F80B29"/>
    <w:rsid w:val="55514205"/>
    <w:rsid w:val="57306836"/>
    <w:rsid w:val="57B534EF"/>
    <w:rsid w:val="587250A7"/>
    <w:rsid w:val="58C81854"/>
    <w:rsid w:val="58E37964"/>
    <w:rsid w:val="59281352"/>
    <w:rsid w:val="593D5A74"/>
    <w:rsid w:val="59B1667B"/>
    <w:rsid w:val="59E376A9"/>
    <w:rsid w:val="5A897C95"/>
    <w:rsid w:val="5D4546B4"/>
    <w:rsid w:val="5D8B3B05"/>
    <w:rsid w:val="5F163AB1"/>
    <w:rsid w:val="5FE55C6B"/>
    <w:rsid w:val="6039376E"/>
    <w:rsid w:val="61DC3CD4"/>
    <w:rsid w:val="62AB7AD8"/>
    <w:rsid w:val="65407929"/>
    <w:rsid w:val="65B740EF"/>
    <w:rsid w:val="66C06B20"/>
    <w:rsid w:val="6706064D"/>
    <w:rsid w:val="67310B65"/>
    <w:rsid w:val="67336E5F"/>
    <w:rsid w:val="67A96A9E"/>
    <w:rsid w:val="67D6020A"/>
    <w:rsid w:val="682E257A"/>
    <w:rsid w:val="68670155"/>
    <w:rsid w:val="690E1BE8"/>
    <w:rsid w:val="69507453"/>
    <w:rsid w:val="6A1530FA"/>
    <w:rsid w:val="6ADF4062"/>
    <w:rsid w:val="6BFA5AB3"/>
    <w:rsid w:val="6C2A21F5"/>
    <w:rsid w:val="6D134340"/>
    <w:rsid w:val="6F232C27"/>
    <w:rsid w:val="71DA733B"/>
    <w:rsid w:val="72532C9F"/>
    <w:rsid w:val="72552836"/>
    <w:rsid w:val="72CD12E4"/>
    <w:rsid w:val="74200DBC"/>
    <w:rsid w:val="744C085C"/>
    <w:rsid w:val="74C04F97"/>
    <w:rsid w:val="74C30C15"/>
    <w:rsid w:val="750F447D"/>
    <w:rsid w:val="75F95F98"/>
    <w:rsid w:val="7647429D"/>
    <w:rsid w:val="76D953E3"/>
    <w:rsid w:val="770E5386"/>
    <w:rsid w:val="77877B9B"/>
    <w:rsid w:val="784C2F6A"/>
    <w:rsid w:val="79C11BD2"/>
    <w:rsid w:val="7AB02903"/>
    <w:rsid w:val="7AE514A5"/>
    <w:rsid w:val="7BD834BB"/>
    <w:rsid w:val="7C6D42FA"/>
    <w:rsid w:val="7CA97EE4"/>
    <w:rsid w:val="7E05604E"/>
    <w:rsid w:val="7E65736C"/>
    <w:rsid w:val="7EB503F0"/>
    <w:rsid w:val="7ED8498E"/>
    <w:rsid w:val="7F0F1567"/>
    <w:rsid w:val="7F6F74F6"/>
    <w:rsid w:val="7FD629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9"/>
    <w:pPr>
      <w:keepNext/>
      <w:keepLines/>
      <w:numPr>
        <w:ilvl w:val="1"/>
        <w:numId w:val="1"/>
      </w:numPr>
      <w:tabs>
        <w:tab w:val="left" w:pos="432"/>
      </w:tabs>
      <w:spacing w:before="260" w:after="260" w:line="416" w:lineRule="auto"/>
      <w:outlineLvl w:val="1"/>
    </w:pPr>
    <w:rPr>
      <w:rFonts w:ascii="Arial" w:hAnsi="Arial" w:eastAsia="黑体"/>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unhideWhenUsed/>
    <w:qFormat/>
    <w:uiPriority w:val="99"/>
    <w:pPr>
      <w:spacing w:beforeAutospacing="1" w:afterAutospacing="1"/>
      <w:jc w:val="left"/>
    </w:pPr>
    <w:rPr>
      <w:kern w:val="0"/>
      <w:sz w:val="24"/>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22"/>
    <w:rPr>
      <w:b/>
      <w:bCs/>
    </w:rPr>
  </w:style>
  <w:style w:type="character" w:styleId="12">
    <w:name w:val="Hyperlink"/>
    <w:basedOn w:val="10"/>
    <w:autoRedefine/>
    <w:unhideWhenUsed/>
    <w:qFormat/>
    <w:uiPriority w:val="99"/>
    <w:rPr>
      <w:color w:val="0000FF" w:themeColor="hyperlink"/>
      <w:u w:val="single"/>
    </w:rPr>
  </w:style>
  <w:style w:type="character" w:customStyle="1" w:styleId="13">
    <w:name w:val="页眉 Char"/>
    <w:basedOn w:val="10"/>
    <w:link w:val="6"/>
    <w:autoRedefine/>
    <w:semiHidden/>
    <w:qFormat/>
    <w:uiPriority w:val="99"/>
    <w:rPr>
      <w:sz w:val="18"/>
      <w:szCs w:val="18"/>
    </w:rPr>
  </w:style>
  <w:style w:type="character" w:customStyle="1" w:styleId="14">
    <w:name w:val="页脚 Char"/>
    <w:basedOn w:val="10"/>
    <w:link w:val="5"/>
    <w:autoRedefine/>
    <w:semiHidden/>
    <w:qFormat/>
    <w:uiPriority w:val="99"/>
    <w:rPr>
      <w:sz w:val="18"/>
      <w:szCs w:val="18"/>
    </w:rPr>
  </w:style>
  <w:style w:type="paragraph" w:customStyle="1" w:styleId="15">
    <w:name w:val="无间隔1"/>
    <w:autoRedefine/>
    <w:qFormat/>
    <w:uiPriority w:val="1"/>
    <w:pPr>
      <w:widowControl w:val="0"/>
      <w:jc w:val="both"/>
    </w:pPr>
    <w:rPr>
      <w:rFonts w:ascii="Times New Roman" w:hAnsi="Times New Roman" w:eastAsia="仿宋_GB2312" w:cs="Times New Roman"/>
      <w:kern w:val="2"/>
      <w:sz w:val="30"/>
      <w:szCs w:val="24"/>
      <w:lang w:val="en-US" w:eastAsia="zh-CN" w:bidi="ar-SA"/>
    </w:rPr>
  </w:style>
  <w:style w:type="character" w:customStyle="1" w:styleId="16">
    <w:name w:val="font21"/>
    <w:basedOn w:val="10"/>
    <w:autoRedefine/>
    <w:qFormat/>
    <w:uiPriority w:val="0"/>
    <w:rPr>
      <w:rFonts w:hint="default" w:ascii="Tahoma" w:hAnsi="Tahoma" w:eastAsia="Tahoma" w:cs="Tahoma"/>
      <w:color w:val="333333"/>
      <w:sz w:val="20"/>
      <w:szCs w:val="20"/>
      <w:u w:val="none"/>
    </w:rPr>
  </w:style>
  <w:style w:type="paragraph" w:customStyle="1" w:styleId="17">
    <w:name w:val="列出段落1"/>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D14DD-9A22-4EF8-BCAE-8F5AEA49EC4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22</Pages>
  <Words>10120</Words>
  <Characters>10629</Characters>
  <Lines>91</Lines>
  <Paragraphs>25</Paragraphs>
  <TotalTime>2</TotalTime>
  <ScaleCrop>false</ScaleCrop>
  <LinksUpToDate>false</LinksUpToDate>
  <CharactersWithSpaces>10729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2020-05-26T09:54:00Z</dcterms:created>
  <dc:creator>CurUserName</dc:creator>
  <cp:lastModifiedBy>Qxb</cp:lastModifiedBy>
  <dcterms:modified xsi:type="dcterms:W3CDTF">2025-02-07T04:10:34Z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E204E5E5F190448A8EC6DB4398D97EF8_12</vt:lpwstr>
  </property>
  <property fmtid="{D5CDD505-2E9C-101B-9397-08002B2CF9AE}" pid="4" name="KSOTemplateDocerSaveRecord">
    <vt:lpwstr>eyJoZGlkIjoiNjhiMzgzMWJiNDVmMjc4YmZhYzYxZmZlMGEwZTI0MDIiLCJ1c2VySWQiOiIxMDczMzg0NjQwIn0=</vt:lpwstr>
  </property>
</Properties>
</file>