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E4907">
      <w:pPr>
        <w:jc w:val="center"/>
        <w:rPr>
          <w:rFonts w:ascii="Arial" w:hAnsi="Arial" w:eastAsia="宋体" w:cs="Arial"/>
          <w:b/>
          <w:bCs/>
          <w:sz w:val="36"/>
          <w:szCs w:val="36"/>
        </w:rPr>
      </w:pPr>
      <w:r>
        <w:rPr>
          <w:rFonts w:hint="eastAsia" w:ascii="宋体" w:hAnsi="宋体" w:eastAsia="宋体" w:cs="Arial"/>
          <w:b/>
          <w:bCs/>
          <w:sz w:val="36"/>
          <w:szCs w:val="36"/>
        </w:rPr>
        <w:t>巴州石油第四中学校园维修专项经费项目支出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28D2DDA">
      <w:pPr>
        <w:spacing w:line="600" w:lineRule="exact"/>
        <w:ind w:firstLine="600" w:firstLineChars="200"/>
        <w:rPr>
          <w:rFonts w:ascii="黑体" w:hAnsi="黑体" w:eastAsia="黑体"/>
        </w:rPr>
      </w:pPr>
      <w:r>
        <w:rPr>
          <w:rFonts w:hint="eastAsia" w:ascii="黑体" w:hAnsi="黑体" w:eastAsia="黑体"/>
        </w:rPr>
        <w:t>一、基本情况</w:t>
      </w:r>
    </w:p>
    <w:p w14:paraId="464C6CD2">
      <w:pPr>
        <w:spacing w:line="600" w:lineRule="exact"/>
        <w:ind w:firstLine="600" w:firstLineChars="200"/>
        <w:outlineLvl w:val="0"/>
        <w:rPr>
          <w:rFonts w:ascii="仿宋_GB2312"/>
        </w:rPr>
      </w:pPr>
      <w:r>
        <w:rPr>
          <w:rFonts w:hint="eastAsia" w:ascii="仿宋_GB2312"/>
        </w:rPr>
        <w:t>（一）项目概况</w:t>
      </w:r>
    </w:p>
    <w:p w14:paraId="1BD886E3">
      <w:pPr>
        <w:spacing w:line="600" w:lineRule="exact"/>
        <w:ind w:firstLine="600" w:firstLineChars="200"/>
        <w:outlineLvl w:val="0"/>
        <w:rPr>
          <w:rFonts w:ascii="仿宋_GB2312"/>
        </w:rPr>
      </w:pPr>
      <w:r>
        <w:rPr>
          <w:rFonts w:hint="eastAsia" w:ascii="仿宋_GB2312"/>
        </w:rPr>
        <w:t>1、项目背景</w:t>
      </w:r>
    </w:p>
    <w:p w14:paraId="1E58A0B1">
      <w:pPr>
        <w:spacing w:line="600" w:lineRule="exact"/>
        <w:ind w:firstLine="900" w:firstLineChars="300"/>
        <w:rPr>
          <w:rFonts w:ascii="仿宋_GB2312" w:hAnsi="仿宋_GB2312" w:cs="仿宋_GB2312"/>
          <w:szCs w:val="30"/>
        </w:rPr>
      </w:pPr>
      <w:r>
        <w:rPr>
          <w:rFonts w:hint="eastAsia" w:ascii="仿宋_GB2312" w:hAnsi="仿宋_GB2312" w:cs="仿宋_GB2312"/>
          <w:szCs w:val="30"/>
        </w:rPr>
        <w:t>根据巴州石油第四中学党政联席会议和《巴州石油第四中学2018-2019学年度工作计划》提出的做好后勤保障，确保全体师生又一个安全、舒适的教学环境，做好实现校园美化、净化、绿化工程，使校区布局合理、和谐的办学条件要求。</w:t>
      </w:r>
    </w:p>
    <w:p w14:paraId="082AC829">
      <w:pPr>
        <w:spacing w:line="600" w:lineRule="exact"/>
        <w:ind w:firstLine="600" w:firstLineChars="200"/>
        <w:outlineLvl w:val="0"/>
        <w:rPr>
          <w:rFonts w:ascii="仿宋_GB2312"/>
        </w:rPr>
      </w:pPr>
      <w:r>
        <w:rPr>
          <w:rFonts w:hint="eastAsia" w:ascii="仿宋_GB2312"/>
        </w:rPr>
        <w:t>2、项目主要内容</w:t>
      </w:r>
    </w:p>
    <w:p w14:paraId="6D6AA889">
      <w:pPr>
        <w:spacing w:line="600" w:lineRule="exact"/>
        <w:ind w:firstLine="600" w:firstLineChars="200"/>
        <w:outlineLvl w:val="0"/>
        <w:rPr>
          <w:rFonts w:ascii="仿宋_GB2312"/>
        </w:rPr>
      </w:pPr>
      <w:r>
        <w:rPr>
          <w:rFonts w:hint="eastAsia" w:ascii="仿宋_GB2312"/>
        </w:rPr>
        <w:t>教学楼内水电暖维修及日常维护，校园园林绿化及安保设施等维修，确保正常开展教育教学工作。</w:t>
      </w:r>
    </w:p>
    <w:p w14:paraId="3D40C906">
      <w:pPr>
        <w:spacing w:line="600" w:lineRule="exact"/>
        <w:ind w:firstLine="600" w:firstLineChars="200"/>
        <w:outlineLvl w:val="0"/>
        <w:rPr>
          <w:rFonts w:ascii="仿宋_GB2312"/>
        </w:rPr>
      </w:pPr>
      <w:r>
        <w:rPr>
          <w:rFonts w:hint="eastAsia" w:ascii="仿宋_GB2312"/>
        </w:rPr>
        <w:t>3、项目实施情况</w:t>
      </w:r>
    </w:p>
    <w:p w14:paraId="0E03CAD3">
      <w:pPr>
        <w:spacing w:line="600" w:lineRule="exact"/>
        <w:ind w:firstLine="600" w:firstLineChars="200"/>
        <w:outlineLvl w:val="0"/>
        <w:rPr>
          <w:rFonts w:ascii="仿宋_GB2312"/>
        </w:rPr>
      </w:pPr>
      <w:r>
        <w:rPr>
          <w:rFonts w:hint="eastAsia" w:ascii="仿宋_GB2312"/>
        </w:rPr>
        <w:t>校园维修专项经费项目通过政采云平台定点服务的采购方式，对校园内绿化设施、安保设施、日常水电暖管道等进行了各项维修。</w:t>
      </w:r>
    </w:p>
    <w:p w14:paraId="368D0EA7">
      <w:pPr>
        <w:spacing w:line="600" w:lineRule="exact"/>
        <w:ind w:firstLine="600" w:firstLineChars="200"/>
        <w:outlineLvl w:val="0"/>
        <w:rPr>
          <w:rFonts w:ascii="仿宋_GB2312"/>
        </w:rPr>
      </w:pPr>
      <w:r>
        <w:rPr>
          <w:rFonts w:hint="eastAsia" w:ascii="仿宋_GB2312"/>
        </w:rPr>
        <w:t>4、项目资金投入和使用情况</w:t>
      </w:r>
    </w:p>
    <w:p w14:paraId="4E2D21C0">
      <w:pPr>
        <w:spacing w:line="600" w:lineRule="exact"/>
        <w:ind w:firstLine="600" w:firstLineChars="200"/>
        <w:outlineLvl w:val="0"/>
        <w:rPr>
          <w:rFonts w:ascii="仿宋_GB2312"/>
        </w:rPr>
      </w:pPr>
      <w:r>
        <w:rPr>
          <w:rFonts w:hint="eastAsia" w:ascii="仿宋_GB2312"/>
        </w:rPr>
        <w:t>校园维修专项经费项目总共投入资金12万元，全部纳入2019年州财政部门预算并全部到位，资金到位率100%。2019年1月与施工单位进行协商并签订施工合同，总共分1-4月（维修费用54166.6元）、4-8月（维修费用33886元）、8-9月（维修费用28816元）、9-11月（维修费用3131.4元）四个批次进行阶段性维修，组织学校验收小组成员进行验收，</w:t>
      </w:r>
      <w:r>
        <w:rPr>
          <w:rFonts w:hint="eastAsia" w:ascii="仿宋_GB2312"/>
          <w:lang w:eastAsia="zh-CN"/>
        </w:rPr>
        <w:t>截至</w:t>
      </w:r>
      <w:bookmarkStart w:id="0" w:name="_GoBack"/>
      <w:bookmarkEnd w:id="0"/>
      <w:r>
        <w:rPr>
          <w:rFonts w:hint="eastAsia" w:ascii="仿宋_GB2312"/>
        </w:rPr>
        <w:t>2019年12月25日，实际使用资金12万元，执行率100%。</w:t>
      </w:r>
    </w:p>
    <w:p w14:paraId="4FA79C80">
      <w:pPr>
        <w:numPr>
          <w:ilvl w:val="0"/>
          <w:numId w:val="1"/>
        </w:numPr>
        <w:spacing w:line="600" w:lineRule="exact"/>
        <w:ind w:firstLine="600" w:firstLineChars="200"/>
        <w:rPr>
          <w:rFonts w:ascii="仿宋_GB2312" w:hAnsi="仿宋_GB2312" w:cs="仿宋_GB2312"/>
        </w:rPr>
      </w:pPr>
      <w:r>
        <w:rPr>
          <w:rFonts w:hint="eastAsia" w:ascii="仿宋_GB2312" w:hAnsi="仿宋_GB2312" w:cs="仿宋_GB2312"/>
        </w:rPr>
        <w:t>项目绩效目标。</w:t>
      </w:r>
    </w:p>
    <w:p w14:paraId="3BC68843">
      <w:pPr>
        <w:spacing w:line="600" w:lineRule="exact"/>
        <w:ind w:firstLine="600" w:firstLineChars="200"/>
        <w:rPr>
          <w:rFonts w:ascii="仿宋_GB2312" w:hAnsi="仿宋_GB2312" w:cs="仿宋_GB2312"/>
          <w:szCs w:val="30"/>
        </w:rPr>
      </w:pPr>
      <w:r>
        <w:rPr>
          <w:rFonts w:hint="eastAsia" w:ascii="仿宋_GB2312" w:hAnsi="仿宋_GB2312" w:cs="仿宋_GB2312"/>
          <w:szCs w:val="30"/>
        </w:rPr>
        <w:t>1、总体目标</w:t>
      </w:r>
    </w:p>
    <w:p w14:paraId="22995346">
      <w:pPr>
        <w:spacing w:line="600" w:lineRule="exact"/>
        <w:ind w:firstLine="600" w:firstLineChars="200"/>
        <w:rPr>
          <w:rFonts w:ascii="仿宋_GB2312" w:hAnsi="仿宋_GB2312" w:cs="仿宋_GB2312"/>
          <w:szCs w:val="30"/>
        </w:rPr>
      </w:pPr>
      <w:r>
        <w:rPr>
          <w:rFonts w:hint="eastAsia" w:ascii="仿宋_GB2312" w:hAnsi="仿宋_GB2312" w:cs="仿宋_GB2312"/>
          <w:szCs w:val="30"/>
        </w:rPr>
        <w:t>确保校内水、电、暖等设施更换，使水电暖正常工作。确保教学楼基本日常维修、绿化管网维护、安保设施维修等使用，保证校内师生安全，保障教育教学正常开展。</w:t>
      </w:r>
    </w:p>
    <w:p w14:paraId="3118ED2B">
      <w:pPr>
        <w:spacing w:line="600" w:lineRule="exact"/>
        <w:ind w:firstLine="600" w:firstLineChars="200"/>
        <w:rPr>
          <w:rFonts w:ascii="仿宋_GB2312" w:hAnsi="仿宋_GB2312" w:cs="仿宋_GB2312"/>
          <w:szCs w:val="30"/>
        </w:rPr>
      </w:pPr>
      <w:r>
        <w:rPr>
          <w:rFonts w:hint="eastAsia" w:ascii="仿宋_GB2312" w:hAnsi="仿宋_GB2312" w:cs="仿宋_GB2312"/>
          <w:szCs w:val="30"/>
        </w:rPr>
        <w:t>2、阶段性目标</w:t>
      </w:r>
    </w:p>
    <w:p w14:paraId="7D0F29BE">
      <w:pPr>
        <w:spacing w:line="600" w:lineRule="exact"/>
        <w:ind w:firstLine="600" w:firstLineChars="200"/>
        <w:rPr>
          <w:rFonts w:ascii="仿宋_GB2312" w:hAnsi="仿宋_GB2312" w:cs="仿宋_GB2312"/>
          <w:szCs w:val="30"/>
        </w:rPr>
      </w:pPr>
      <w:r>
        <w:rPr>
          <w:rFonts w:hint="eastAsia" w:ascii="仿宋_GB2312" w:hAnsi="仿宋_GB2312" w:cs="仿宋_GB2312"/>
          <w:szCs w:val="30"/>
        </w:rPr>
        <w:t>此项目为当年项目，无阶段性目标。</w:t>
      </w:r>
    </w:p>
    <w:p w14:paraId="07C6A1DC">
      <w:pPr>
        <w:spacing w:line="600" w:lineRule="exact"/>
        <w:ind w:firstLine="600" w:firstLineChars="200"/>
        <w:rPr>
          <w:rFonts w:ascii="仿宋_GB2312" w:hAnsi="仿宋_GB2312" w:cs="仿宋_GB2312"/>
          <w:szCs w:val="30"/>
        </w:rPr>
      </w:pPr>
      <w:r>
        <w:rPr>
          <w:rFonts w:hint="eastAsia" w:ascii="仿宋_GB2312" w:hAnsi="仿宋_GB2312" w:cs="仿宋_GB2312"/>
          <w:szCs w:val="30"/>
        </w:rPr>
        <w:t>二、绩效评价工作开展情况</w:t>
      </w:r>
    </w:p>
    <w:p w14:paraId="1B6D9281">
      <w:pPr>
        <w:spacing w:line="600" w:lineRule="exact"/>
        <w:ind w:firstLine="600" w:firstLineChars="200"/>
        <w:rPr>
          <w:rFonts w:ascii="仿宋_GB2312" w:hAnsi="仿宋_GB2312" w:cs="仿宋_GB2312"/>
        </w:rPr>
      </w:pPr>
      <w:r>
        <w:rPr>
          <w:rFonts w:hint="eastAsia" w:ascii="仿宋_GB2312" w:hAnsi="仿宋_GB2312" w:cs="仿宋_GB2312"/>
        </w:rPr>
        <w:t>（一）绩效评价目的、对象和范围。</w:t>
      </w:r>
    </w:p>
    <w:p w14:paraId="77709B40">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绩效评价旨在通过评价改善预算部门的财政支出管理，优化资源配置及提高公共服务水平。本次绩效评价遵循《中共中央 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2019年校园维修专项经费项目，及时总结经验，分析存在问题及原因，切实采取有效措施进一步改进和加强财政专项资金管理，推动财政资金聚力增效，提高公共服务供给质量，增强政府公信力和执行力。</w:t>
      </w:r>
    </w:p>
    <w:p w14:paraId="216BFEC6">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w:t>
      </w:r>
      <w:r>
        <w:rPr>
          <w:rFonts w:ascii="仿宋_GB2312" w:hAnsi="仿宋_GB2312" w:cs="仿宋_GB2312"/>
          <w:bCs/>
          <w:szCs w:val="30"/>
          <w:lang w:bidi="en-US"/>
        </w:rPr>
        <w:t>的对象：巴州石油第四中学</w:t>
      </w:r>
      <w:r>
        <w:rPr>
          <w:rFonts w:hint="eastAsia" w:ascii="仿宋_GB2312" w:hAnsi="仿宋_GB2312" w:cs="仿宋_GB2312"/>
          <w:bCs/>
          <w:szCs w:val="30"/>
          <w:lang w:bidi="en-US"/>
        </w:rPr>
        <w:t>校园维修专项经费</w:t>
      </w:r>
    </w:p>
    <w:p w14:paraId="5753ED57">
      <w:pPr>
        <w:spacing w:line="600" w:lineRule="exact"/>
        <w:ind w:firstLine="600" w:firstLineChars="200"/>
        <w:rPr>
          <w:rFonts w:ascii="仿宋_GB2312"/>
        </w:rPr>
      </w:pPr>
      <w:r>
        <w:rPr>
          <w:rFonts w:hint="eastAsia" w:ascii="仿宋_GB2312" w:hAnsi="仿宋_GB2312" w:cs="仿宋_GB2312"/>
          <w:bCs/>
          <w:szCs w:val="30"/>
          <w:lang w:bidi="en-US"/>
        </w:rPr>
        <w:t>绩效评价</w:t>
      </w:r>
      <w:r>
        <w:rPr>
          <w:rFonts w:ascii="仿宋_GB2312" w:hAnsi="仿宋_GB2312" w:cs="仿宋_GB2312"/>
          <w:bCs/>
          <w:szCs w:val="30"/>
          <w:lang w:bidi="en-US"/>
        </w:rPr>
        <w:t>的范围：</w:t>
      </w:r>
      <w:r>
        <w:rPr>
          <w:rFonts w:hint="eastAsia" w:ascii="仿宋_GB2312"/>
        </w:rPr>
        <w:t>对校园内绿化设施、安保设施、日常水电暖管道等进行了各项维修。</w:t>
      </w:r>
    </w:p>
    <w:p w14:paraId="4DED036E">
      <w:pPr>
        <w:spacing w:line="600" w:lineRule="exact"/>
        <w:ind w:firstLine="602" w:firstLineChars="200"/>
        <w:rPr>
          <w:rFonts w:ascii="仿宋_GB2312" w:hAnsi="仿宋_GB2312" w:cs="仿宋_GB2312"/>
          <w:b/>
        </w:rPr>
      </w:pPr>
      <w:r>
        <w:rPr>
          <w:rFonts w:hint="eastAsia" w:ascii="仿宋_GB2312" w:hAnsi="仿宋_GB2312" w:cs="仿宋_GB2312"/>
          <w:b/>
        </w:rPr>
        <w:t>（二）绩效评价原则、评价指标体系（附表说明）、评价方法、评价标准等。</w:t>
      </w:r>
    </w:p>
    <w:p w14:paraId="3433E71C">
      <w:pPr>
        <w:spacing w:line="600" w:lineRule="exact"/>
        <w:ind w:firstLine="640"/>
        <w:rPr>
          <w:rFonts w:ascii="仿宋_GB2312" w:hAnsi="仿宋_GB2312" w:cs="仿宋_GB2312"/>
          <w:bCs/>
          <w:szCs w:val="30"/>
        </w:rPr>
      </w:pPr>
      <w:r>
        <w:rPr>
          <w:rFonts w:hint="eastAsia" w:ascii="仿宋_GB2312" w:hAnsi="仿宋_GB2312" w:cs="仿宋_GB2312"/>
          <w:bCs/>
          <w:szCs w:val="30"/>
        </w:rPr>
        <w:t>1、绩效评价原则：</w:t>
      </w:r>
    </w:p>
    <w:p w14:paraId="0D144CD1">
      <w:pPr>
        <w:spacing w:line="600" w:lineRule="exact"/>
        <w:ind w:firstLine="640"/>
        <w:rPr>
          <w:rFonts w:ascii="仿宋_GB2312"/>
          <w:bCs/>
          <w:sz w:val="32"/>
          <w:szCs w:val="32"/>
        </w:rPr>
      </w:pPr>
      <w:r>
        <w:rPr>
          <w:rFonts w:hint="eastAsia" w:ascii="仿宋_GB2312"/>
          <w:bCs/>
          <w:sz w:val="32"/>
          <w:szCs w:val="32"/>
        </w:rPr>
        <w:t>（1）科学公正。绩效评价应当运用科学合理的方法，按照规范的程序，对项目绩效进行客观、公正的反映。</w:t>
      </w:r>
    </w:p>
    <w:p w14:paraId="6D3ED162">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FF798B7">
      <w:pPr>
        <w:spacing w:line="600" w:lineRule="exact"/>
        <w:ind w:firstLine="640"/>
        <w:rPr>
          <w:rFonts w:ascii="仿宋_GB2312"/>
          <w:bCs/>
          <w:sz w:val="32"/>
          <w:szCs w:val="32"/>
        </w:rPr>
      </w:pPr>
      <w:r>
        <w:rPr>
          <w:rFonts w:hint="eastAsia" w:ascii="仿宋_GB2312"/>
          <w:bCs/>
          <w:sz w:val="32"/>
          <w:szCs w:val="32"/>
        </w:rPr>
        <w:t>（3）激励约束。绩效评价结果应与预算安排、政策调整、改进管理实质性挂钩，体现奖优罚劣和激励相容导向，有效要安排、低效要压减、无效要问责。</w:t>
      </w:r>
    </w:p>
    <w:p w14:paraId="34E18D6F">
      <w:pPr>
        <w:spacing w:line="600" w:lineRule="exact"/>
        <w:ind w:firstLine="640" w:firstLineChars="200"/>
        <w:rPr>
          <w:rFonts w:ascii="仿宋_GB2312"/>
        </w:rPr>
      </w:pPr>
      <w:r>
        <w:rPr>
          <w:rFonts w:hint="eastAsia" w:ascii="仿宋_GB2312"/>
          <w:bCs/>
          <w:sz w:val="32"/>
          <w:szCs w:val="32"/>
        </w:rPr>
        <w:t>（4）公开透明。绩效评价结果应依法依规公开，并自觉接受社会监督。</w:t>
      </w:r>
    </w:p>
    <w:p w14:paraId="3F8D4ACE">
      <w:pPr>
        <w:spacing w:line="600" w:lineRule="exact"/>
        <w:ind w:firstLine="600" w:firstLineChars="200"/>
        <w:rPr>
          <w:rFonts w:ascii="仿宋_GB2312"/>
        </w:rPr>
      </w:pPr>
    </w:p>
    <w:p w14:paraId="5314A1F9">
      <w:pPr>
        <w:spacing w:line="600" w:lineRule="exact"/>
        <w:ind w:firstLine="600" w:firstLineChars="200"/>
        <w:rPr>
          <w:rFonts w:ascii="仿宋_GB2312" w:hAnsi="仿宋_GB2312" w:cs="仿宋_GB2312"/>
          <w:bCs/>
          <w:szCs w:val="30"/>
        </w:rPr>
      </w:pPr>
      <w:r>
        <w:rPr>
          <w:rFonts w:hint="eastAsia" w:ascii="仿宋_GB2312" w:hAnsi="仿宋_GB2312" w:cs="仿宋_GB2312"/>
          <w:bCs/>
          <w:szCs w:val="30"/>
        </w:rPr>
        <w:t>2、</w:t>
      </w:r>
      <w:r>
        <w:rPr>
          <w:rFonts w:hint="eastAsia" w:ascii="仿宋_GB2312" w:hAnsi="仿宋_GB2312" w:cs="仿宋_GB2312"/>
          <w:szCs w:val="30"/>
        </w:rPr>
        <w:t>项</w:t>
      </w:r>
      <w:r>
        <w:rPr>
          <w:rFonts w:hint="eastAsia" w:ascii="仿宋_GB2312" w:hAnsi="仿宋_GB2312" w:cs="仿宋_GB2312"/>
          <w:bCs/>
          <w:szCs w:val="30"/>
        </w:rPr>
        <w:t>支出绩效评价指标体系框架：</w:t>
      </w:r>
    </w:p>
    <w:p w14:paraId="0C8ACF14">
      <w:pPr>
        <w:pStyle w:val="13"/>
        <w:spacing w:line="520" w:lineRule="exact"/>
        <w:ind w:firstLine="708" w:firstLineChars="233"/>
        <w:rPr>
          <w:rFonts w:ascii="Times New Roman" w:eastAsia="仿宋_GB2312" w:cs="Times New Roman"/>
          <w:spacing w:val="-8"/>
          <w:sz w:val="32"/>
          <w:szCs w:val="32"/>
        </w:rPr>
      </w:pPr>
      <w:r>
        <w:rPr>
          <w:rFonts w:hint="eastAsia" w:ascii="Times New Roman" w:eastAsia="仿宋_GB2312" w:cs="Times New Roman"/>
          <w:spacing w:val="-8"/>
          <w:sz w:val="32"/>
          <w:szCs w:val="32"/>
        </w:rPr>
        <w:t>2019年校园维修专项经费</w:t>
      </w:r>
      <w:r>
        <w:rPr>
          <w:rFonts w:ascii="Times New Roman" w:eastAsia="仿宋_GB2312" w:cs="Times New Roman"/>
          <w:spacing w:val="-8"/>
          <w:sz w:val="32"/>
          <w:szCs w:val="32"/>
        </w:rPr>
        <w:t>项目绩效评价指标体系的设计参照财政部《项目支出绩效评价指标体系框架》决策和过程在此框架的基础上结合项目的特点适当进行完善，产出和效益根据项目特点进行了细化。</w:t>
      </w:r>
    </w:p>
    <w:p w14:paraId="351D8A81">
      <w:pPr>
        <w:pStyle w:val="13"/>
        <w:spacing w:line="520" w:lineRule="exact"/>
        <w:ind w:firstLine="708" w:firstLineChars="233"/>
        <w:rPr>
          <w:rFonts w:ascii="Times New Roman" w:eastAsia="仿宋_GB2312" w:cs="Times New Roman"/>
          <w:spacing w:val="-8"/>
          <w:sz w:val="32"/>
          <w:szCs w:val="32"/>
        </w:rPr>
      </w:pPr>
      <w:r>
        <w:rPr>
          <w:rFonts w:ascii="Times New Roman" w:eastAsia="仿宋_GB2312" w:cs="Times New Roman"/>
          <w:spacing w:val="-8"/>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hint="eastAsia" w:ascii="Times New Roman" w:eastAsia="仿宋_GB2312" w:cs="Times New Roman"/>
          <w:spacing w:val="-8"/>
          <w:sz w:val="32"/>
          <w:szCs w:val="32"/>
        </w:rPr>
        <w:t>2019年校园维修专项经费</w:t>
      </w:r>
      <w:r>
        <w:rPr>
          <w:rFonts w:ascii="Times New Roman" w:eastAsia="仿宋_GB2312" w:cs="Times New Roman"/>
          <w:spacing w:val="-8"/>
          <w:sz w:val="32"/>
          <w:szCs w:val="32"/>
        </w:rPr>
        <w:t>项目绩效评价指标体系</w:t>
      </w:r>
    </w:p>
    <w:p w14:paraId="17FB601B">
      <w:pPr>
        <w:pStyle w:val="13"/>
        <w:spacing w:line="520" w:lineRule="exact"/>
        <w:ind w:firstLine="708"/>
        <w:rPr>
          <w:rFonts w:ascii="Times New Roman" w:eastAsia="仿宋_GB2312" w:cs="Times New Roman"/>
          <w:spacing w:val="-8"/>
          <w:sz w:val="32"/>
          <w:szCs w:val="32"/>
        </w:rPr>
      </w:pPr>
      <w:r>
        <w:rPr>
          <w:rFonts w:hint="eastAsia" w:ascii="Times New Roman" w:eastAsia="仿宋_GB2312" w:cs="Times New Roman"/>
          <w:spacing w:val="-8"/>
          <w:sz w:val="32"/>
          <w:szCs w:val="32"/>
        </w:rPr>
        <w:t>3、评价方法</w:t>
      </w:r>
    </w:p>
    <w:p w14:paraId="36DD8F20">
      <w:pPr>
        <w:spacing w:line="580" w:lineRule="exact"/>
        <w:ind w:firstLine="600" w:firstLineChars="200"/>
        <w:rPr>
          <w:rFonts w:hint="eastAsia" w:ascii="仿宋_GB2312"/>
        </w:rPr>
      </w:pPr>
      <w:r>
        <w:rPr>
          <w:rFonts w:hint="eastAsia" w:ascii="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hint="eastAsia" w:ascii="仿宋_GB2312"/>
        </w:rPr>
        <w:t>我单位采用公众评判法。</w:t>
      </w:r>
    </w:p>
    <w:p w14:paraId="692CE2AF">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公众评判法。是指通过校领导班子开会讨论、全体教职工大会表决等对该项目效果进行评判，并通过家长和学生满意度调查，使该项目评价绩效目标实现。</w:t>
      </w:r>
    </w:p>
    <w:p w14:paraId="40459E12">
      <w:pPr>
        <w:spacing w:line="520" w:lineRule="exact"/>
        <w:ind w:firstLine="699" w:firstLineChars="233"/>
        <w:outlineLvl w:val="0"/>
        <w:rPr>
          <w:szCs w:val="32"/>
        </w:rPr>
      </w:pPr>
      <w:r>
        <w:rPr>
          <w:szCs w:val="32"/>
        </w:rPr>
        <w:t>4.绩效评价标准</w:t>
      </w:r>
    </w:p>
    <w:p w14:paraId="24979DE4">
      <w:pPr>
        <w:pStyle w:val="13"/>
        <w:spacing w:line="520" w:lineRule="exact"/>
        <w:rPr>
          <w:rFonts w:ascii="Times New Roman" w:eastAsia="仿宋_GB2312" w:cs="Times New Roman"/>
          <w:spacing w:val="-8"/>
          <w:sz w:val="32"/>
          <w:szCs w:val="32"/>
        </w:rPr>
      </w:pPr>
      <w:r>
        <w:rPr>
          <w:rFonts w:ascii="Times New Roman" w:eastAsia="仿宋_GB2312" w:cs="Times New Roman"/>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14:paraId="45F0B5C2">
      <w:pPr>
        <w:spacing w:line="600" w:lineRule="exact"/>
        <w:ind w:firstLine="301" w:firstLineChars="100"/>
        <w:rPr>
          <w:rFonts w:ascii="仿宋_GB2312" w:hAnsi="仿宋_GB2312" w:cs="仿宋_GB2312"/>
          <w:b/>
        </w:rPr>
      </w:pPr>
      <w:r>
        <w:rPr>
          <w:rFonts w:hint="eastAsia" w:ascii="仿宋_GB2312" w:hAnsi="仿宋_GB2312" w:cs="仿宋_GB2312"/>
          <w:b/>
        </w:rPr>
        <w:t>（三）绩效评价工作过程。</w:t>
      </w:r>
    </w:p>
    <w:p w14:paraId="71970391">
      <w:pPr>
        <w:spacing w:line="580" w:lineRule="exact"/>
        <w:ind w:firstLine="600" w:firstLineChars="200"/>
        <w:rPr>
          <w:rFonts w:ascii="仿宋_GB2312"/>
        </w:rPr>
      </w:pPr>
      <w:r>
        <w:rPr>
          <w:rFonts w:hint="eastAsia" w:ascii="仿宋_GB2312"/>
        </w:rPr>
        <w:t>为了提高财政资金分配的科学性、有效性，加强财政专项资金管理，提高支出效益，我单位自项目下达之日高度重视，专门成立了绩效评价工作小组，具体绩效评价工作过程如下:</w:t>
      </w:r>
    </w:p>
    <w:p w14:paraId="0A6E109C">
      <w:pPr>
        <w:spacing w:line="580" w:lineRule="exact"/>
        <w:ind w:firstLine="600" w:firstLineChars="200"/>
        <w:rPr>
          <w:rFonts w:ascii="仿宋_GB2312"/>
        </w:rPr>
      </w:pPr>
      <w:r>
        <w:rPr>
          <w:rFonts w:hint="eastAsia" w:ascii="仿宋_GB2312"/>
        </w:rPr>
        <w:t>1、确定绩效评价对象和范围</w:t>
      </w:r>
    </w:p>
    <w:p w14:paraId="7BE6CB31">
      <w:pPr>
        <w:spacing w:line="580" w:lineRule="exact"/>
        <w:ind w:firstLine="600" w:firstLineChars="200"/>
        <w:rPr>
          <w:rFonts w:ascii="仿宋_GB2312"/>
        </w:rPr>
      </w:pPr>
      <w:r>
        <w:rPr>
          <w:rFonts w:hint="eastAsia" w:ascii="仿宋_GB2312"/>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14:paraId="6C60367C">
      <w:pPr>
        <w:spacing w:line="580" w:lineRule="exact"/>
        <w:ind w:firstLine="600" w:firstLineChars="200"/>
        <w:rPr>
          <w:rFonts w:ascii="仿宋_GB2312"/>
        </w:rPr>
      </w:pPr>
      <w:r>
        <w:rPr>
          <w:rFonts w:hint="eastAsia" w:ascii="仿宋_GB2312"/>
        </w:rPr>
        <w:t>2、研究制订绩效评价工作方案</w:t>
      </w:r>
    </w:p>
    <w:p w14:paraId="0944D14C">
      <w:pPr>
        <w:spacing w:line="580" w:lineRule="exact"/>
        <w:ind w:firstLine="600" w:firstLineChars="200"/>
        <w:rPr>
          <w:rFonts w:ascii="仿宋_GB2312"/>
        </w:rPr>
      </w:pPr>
      <w:r>
        <w:rPr>
          <w:rFonts w:hint="eastAsia" w:ascii="仿宋_GB2312"/>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14:paraId="4F1562A2">
      <w:pPr>
        <w:spacing w:line="580" w:lineRule="exact"/>
        <w:ind w:firstLine="600" w:firstLineChars="200"/>
        <w:rPr>
          <w:rFonts w:ascii="仿宋_GB2312"/>
        </w:rPr>
      </w:pPr>
      <w:r>
        <w:rPr>
          <w:rFonts w:hint="eastAsia" w:ascii="仿宋_GB2312"/>
        </w:rPr>
        <w:t>3、核实有关情况，分析形成初步结论</w:t>
      </w:r>
    </w:p>
    <w:p w14:paraId="64CB5421">
      <w:pPr>
        <w:spacing w:line="580" w:lineRule="exact"/>
        <w:ind w:firstLine="600" w:firstLineChars="200"/>
        <w:rPr>
          <w:rFonts w:ascii="仿宋_GB2312"/>
        </w:rPr>
      </w:pPr>
      <w:r>
        <w:rPr>
          <w:rFonts w:hint="eastAsia" w:ascii="仿宋_GB2312"/>
        </w:rPr>
        <w:t>对于收集的基础资料和相关数据，绩效评价小组成员核实有关数据的全面性、真实性，进而整理出可供财政资金绩效评价之用的相关资料和基础数据。</w:t>
      </w:r>
    </w:p>
    <w:p w14:paraId="6E136073">
      <w:pPr>
        <w:spacing w:line="580" w:lineRule="exact"/>
        <w:ind w:firstLine="600" w:firstLineChars="200"/>
        <w:rPr>
          <w:rFonts w:ascii="仿宋_GB2312"/>
        </w:rPr>
      </w:pPr>
      <w:r>
        <w:rPr>
          <w:rFonts w:hint="eastAsia" w:ascii="仿宋_GB2312"/>
        </w:rPr>
        <w:t>4、综合分析并形成评价结论</w:t>
      </w:r>
    </w:p>
    <w:p w14:paraId="03C200A9">
      <w:pPr>
        <w:spacing w:line="580" w:lineRule="exact"/>
        <w:ind w:firstLine="600" w:firstLineChars="200"/>
        <w:rPr>
          <w:rFonts w:ascii="仿宋_GB2312"/>
        </w:rPr>
      </w:pPr>
      <w:r>
        <w:rPr>
          <w:rFonts w:hint="eastAsia" w:ascii="仿宋_GB2312"/>
        </w:rPr>
        <w:t>评价小组按照评价方案的要求进行评价工作，并作出评价的初步结论。</w:t>
      </w:r>
    </w:p>
    <w:p w14:paraId="75533A5F">
      <w:pPr>
        <w:spacing w:line="580" w:lineRule="exact"/>
        <w:ind w:firstLine="600" w:firstLineChars="200"/>
        <w:rPr>
          <w:rFonts w:ascii="仿宋_GB2312"/>
        </w:rPr>
      </w:pPr>
      <w:r>
        <w:rPr>
          <w:rFonts w:hint="eastAsia" w:ascii="仿宋_GB2312"/>
        </w:rPr>
        <w:t>5、提交绩效评价报告</w:t>
      </w:r>
    </w:p>
    <w:p w14:paraId="2750A8AA">
      <w:pPr>
        <w:pStyle w:val="13"/>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评价报告是评价工作的成果，也是对被评价对象财政资金绩效情况的结论性报告。我单位根据公众评判法对本项目进行了绩效评价，并最终形成绩效评价报告。我单位对绩效评价报告涉及基础资料的真实性、合法性、完整性负责。</w:t>
      </w:r>
    </w:p>
    <w:p w14:paraId="32C935CD">
      <w:pPr>
        <w:spacing w:line="600" w:lineRule="exact"/>
        <w:ind w:firstLine="301" w:firstLineChars="100"/>
        <w:rPr>
          <w:rFonts w:ascii="仿宋_GB2312" w:hAnsi="仿宋_GB2312" w:cs="仿宋_GB2312"/>
        </w:rPr>
      </w:pPr>
      <w:r>
        <w:rPr>
          <w:rFonts w:hint="eastAsia" w:ascii="仿宋_GB2312" w:hAnsi="仿宋_GB2312" w:cs="仿宋_GB2312"/>
          <w:b/>
          <w:bCs/>
        </w:rPr>
        <w:t>三、综合评价情况及评价结论</w:t>
      </w:r>
    </w:p>
    <w:p w14:paraId="272D28A7">
      <w:pPr>
        <w:spacing w:line="600" w:lineRule="exact"/>
        <w:ind w:firstLine="600" w:firstLineChars="200"/>
        <w:rPr>
          <w:rFonts w:hint="eastAsia" w:ascii="仿宋_GB2312" w:hAnsi="仿宋_GB2312" w:cs="仿宋_GB2312"/>
          <w:bCs/>
          <w:sz w:val="31"/>
          <w:szCs w:val="31"/>
        </w:rPr>
      </w:pPr>
      <w:r>
        <w:rPr>
          <w:rFonts w:hint="eastAsia" w:ascii="仿宋_GB2312" w:hAnsi="仿宋_GB2312" w:cs="仿宋_GB2312"/>
          <w:szCs w:val="30"/>
        </w:rPr>
        <w:t>2019年校园维修专项经费项目综合评价情况：校园维修专项经费项目预算资金12万元，实际执行12万元。确保校内水、电、暖等设施更换，使水电暖正常工作。确保教学楼基本日常维修、绿化管网维护、安保设施维修等使用，保证校内师生安全，保障教育教学正常开展。2019年校园维修专项经费项目</w:t>
      </w:r>
      <w:r>
        <w:rPr>
          <w:rFonts w:hint="eastAsia" w:ascii="仿宋_GB2312" w:hAnsi="仿宋_GB2312" w:cs="仿宋_GB2312"/>
          <w:bCs/>
          <w:sz w:val="31"/>
          <w:szCs w:val="31"/>
        </w:rPr>
        <w:t>支出绩效评价得分98分，评价结果为优秀。</w:t>
      </w:r>
    </w:p>
    <w:p w14:paraId="16BB3EBF">
      <w:pPr>
        <w:spacing w:line="600" w:lineRule="exact"/>
        <w:ind w:firstLine="600" w:firstLineChars="200"/>
        <w:rPr>
          <w:rFonts w:hint="eastAsia" w:ascii="仿宋_GB2312" w:hAnsi="仿宋_GB2312" w:cs="仿宋_GB2312"/>
          <w:bCs/>
          <w:sz w:val="31"/>
          <w:szCs w:val="31"/>
        </w:rPr>
      </w:pPr>
      <w:r>
        <w:rPr>
          <w:rFonts w:hint="eastAsia" w:ascii="仿宋_GB2312" w:hAnsi="仿宋_GB2312" w:cs="仿宋_GB2312"/>
        </w:rPr>
        <w:t>四、绩效评价指标分析</w:t>
      </w:r>
    </w:p>
    <w:p w14:paraId="19306D0A">
      <w:pPr>
        <w:spacing w:line="600" w:lineRule="exact"/>
        <w:ind w:firstLine="600" w:firstLineChars="200"/>
        <w:rPr>
          <w:rFonts w:hint="eastAsia" w:ascii="仿宋_GB2312" w:hAnsi="仿宋_GB2312" w:cs="仿宋_GB2312"/>
          <w:bCs/>
          <w:sz w:val="31"/>
          <w:szCs w:val="31"/>
        </w:rPr>
      </w:pPr>
      <w:r>
        <w:rPr>
          <w:rFonts w:hint="eastAsia" w:ascii="仿宋_GB2312"/>
        </w:rPr>
        <w:t>（一）项目决策情况：严格遵守“三重一大”制度，一万元以上的开支均在党委会上讨论通过，学校成立了采购领导小组监督领导小组，所有经费的管理使用实行公开。</w:t>
      </w:r>
    </w:p>
    <w:p w14:paraId="57CF7356">
      <w:pPr>
        <w:spacing w:line="600" w:lineRule="exact"/>
        <w:ind w:firstLine="600" w:firstLineChars="200"/>
        <w:rPr>
          <w:rFonts w:hint="eastAsia" w:ascii="仿宋_GB2312" w:hAnsi="仿宋_GB2312" w:cs="仿宋_GB2312"/>
          <w:bCs/>
          <w:sz w:val="31"/>
          <w:szCs w:val="31"/>
        </w:rPr>
      </w:pPr>
      <w:r>
        <w:rPr>
          <w:rFonts w:hint="eastAsia" w:ascii="仿宋_GB2312"/>
        </w:rPr>
        <w:t>（二）项目过程情况：严格财务管理工作，在项目资金使用过程中严把监督审核关，建立健全内部审批制度。</w:t>
      </w:r>
    </w:p>
    <w:p w14:paraId="78AED962">
      <w:pPr>
        <w:spacing w:line="600" w:lineRule="exact"/>
        <w:ind w:firstLine="600" w:firstLineChars="200"/>
        <w:rPr>
          <w:rFonts w:hint="eastAsia" w:ascii="仿宋_GB2312" w:hAnsi="仿宋_GB2312" w:cs="仿宋_GB2312"/>
          <w:bCs/>
          <w:sz w:val="31"/>
          <w:szCs w:val="31"/>
        </w:rPr>
      </w:pPr>
      <w:r>
        <w:rPr>
          <w:rFonts w:hint="eastAsia" w:ascii="仿宋_GB2312"/>
        </w:rPr>
        <w:t>（三）项目产出情况：1、全年维修批次年度指标为10批次，</w:t>
      </w:r>
      <w:r>
        <w:rPr>
          <w:rFonts w:ascii="仿宋_GB2312"/>
        </w:rPr>
        <w:t xml:space="preserve"> 数量指标完成率达</w:t>
      </w:r>
      <w:r>
        <w:rPr>
          <w:rFonts w:hint="eastAsia" w:ascii="仿宋_GB2312"/>
        </w:rPr>
        <w:t>100%；2、项目执行完毕后，验收合格率达100%；3、该项目在2019年12月31日前全部完成，时效指标达标；4、校园内各项维修成本在年度指标成本范围内完成，完成率100%。</w:t>
      </w:r>
    </w:p>
    <w:p w14:paraId="50D1DEC5">
      <w:pPr>
        <w:spacing w:line="600" w:lineRule="exact"/>
        <w:ind w:firstLine="600" w:firstLineChars="200"/>
        <w:rPr>
          <w:rFonts w:ascii="仿宋_GB2312" w:hAnsi="仿宋_GB2312" w:cs="仿宋_GB2312"/>
          <w:bCs/>
          <w:sz w:val="31"/>
          <w:szCs w:val="31"/>
        </w:rPr>
      </w:pPr>
      <w:r>
        <w:rPr>
          <w:rFonts w:hint="eastAsia" w:ascii="仿宋_GB2312"/>
        </w:rPr>
        <w:t>（四）项目效益情况：教学楼内水电暖维修及日常维护，校园园林绿化及安保设施等维修，确保教育教学工作开展正常，使校园整体环境有所提升，给师生提供了一个良好的教学环境。</w:t>
      </w:r>
    </w:p>
    <w:p w14:paraId="3A134F4B">
      <w:pPr>
        <w:spacing w:line="600" w:lineRule="exact"/>
        <w:ind w:firstLine="663" w:firstLineChars="221"/>
        <w:rPr>
          <w:rFonts w:ascii="仿宋_GB2312" w:hAnsi="仿宋_GB2312" w:cs="仿宋_GB2312"/>
        </w:rPr>
      </w:pPr>
      <w:r>
        <w:rPr>
          <w:rFonts w:hint="eastAsia" w:ascii="仿宋_GB2312" w:hAnsi="仿宋_GB2312" w:cs="仿宋_GB2312"/>
        </w:rPr>
        <w:t>五、主要经验及做法、存在的问题及原因分析</w:t>
      </w:r>
    </w:p>
    <w:p w14:paraId="14663A5A">
      <w:pPr>
        <w:spacing w:line="600" w:lineRule="exact"/>
        <w:ind w:firstLine="543" w:firstLineChars="181"/>
        <w:rPr>
          <w:rFonts w:ascii="仿宋_GB2312" w:hAnsi="仿宋_GB2312" w:cs="仿宋_GB2312"/>
          <w:szCs w:val="30"/>
        </w:rPr>
      </w:pPr>
      <w:r>
        <w:rPr>
          <w:rFonts w:hint="eastAsia" w:ascii="仿宋_GB2312" w:hAnsi="仿宋_GB2312" w:cs="仿宋_GB2312"/>
          <w:szCs w:val="30"/>
        </w:rPr>
        <w:t>（一）主要经验及做法</w:t>
      </w:r>
    </w:p>
    <w:p w14:paraId="3310C6E9">
      <w:pPr>
        <w:spacing w:line="600" w:lineRule="exact"/>
        <w:ind w:firstLine="600" w:firstLineChars="200"/>
        <w:rPr>
          <w:rFonts w:ascii="仿宋_GB2312" w:hAnsi="仿宋_GB2312" w:cs="仿宋_GB2312"/>
          <w:szCs w:val="30"/>
        </w:rPr>
      </w:pPr>
      <w:r>
        <w:rPr>
          <w:rFonts w:hint="eastAsia" w:ascii="仿宋_GB2312" w:hAnsi="仿宋_GB2312" w:cs="仿宋_GB2312"/>
          <w:szCs w:val="30"/>
        </w:rPr>
        <w:t>我校为了有效开展校园维修专项经费项目，进一步提高专项资金管理水平，我校党政联席会在内控的建立与实施过程中，紧密结合本单位工作实际，以问题为导向，有效实现了权力制衡，使单位领导从源头上规避了经济责任风险。主要做法是：</w:t>
      </w:r>
    </w:p>
    <w:p w14:paraId="6B8D9561">
      <w:pPr>
        <w:spacing w:line="600" w:lineRule="exact"/>
        <w:rPr>
          <w:rFonts w:ascii="仿宋_GB2312" w:hAnsi="仿宋_GB2312" w:cs="仿宋_GB2312"/>
          <w:szCs w:val="30"/>
        </w:rPr>
      </w:pPr>
      <w:r>
        <w:rPr>
          <w:rFonts w:hint="eastAsia" w:ascii="仿宋_GB2312" w:hAnsi="仿宋_GB2312" w:cs="仿宋_GB2312"/>
          <w:szCs w:val="30"/>
        </w:rPr>
        <w:t>　　1、组建领导小组，作为内控抓手</w:t>
      </w:r>
    </w:p>
    <w:p w14:paraId="0DECE5DF">
      <w:pPr>
        <w:spacing w:line="600" w:lineRule="exact"/>
        <w:ind w:firstLine="543" w:firstLineChars="181"/>
        <w:rPr>
          <w:rFonts w:ascii="仿宋_GB2312" w:hAnsi="仿宋_GB2312" w:cs="仿宋_GB2312"/>
          <w:szCs w:val="30"/>
        </w:rPr>
      </w:pPr>
      <w:r>
        <w:rPr>
          <w:rFonts w:hint="eastAsia" w:ascii="仿宋_GB2312" w:hAnsi="仿宋_GB2312" w:cs="仿宋_GB2312"/>
          <w:szCs w:val="30"/>
        </w:rPr>
        <w:t>　单位内控是一个复杂的体系，工作涉及到预算业务、收支业务、采购业务、资产管理、建设项目、合同管理、内外监督等各项经济活动，需要内部各处室的协作和配合。校领导班子在工作中意识到单位领导重视是推动实施内控的关键。工作中与党风廉政建设密切结合，使单位领导树立起风险防控意识，为内控工作的推进奠定了基础。</w:t>
      </w:r>
    </w:p>
    <w:p w14:paraId="7664E627">
      <w:pPr>
        <w:spacing w:line="600" w:lineRule="exact"/>
        <w:ind w:firstLine="543" w:firstLineChars="181"/>
        <w:rPr>
          <w:rFonts w:ascii="仿宋_GB2312" w:hAnsi="仿宋_GB2312" w:cs="仿宋_GB2312"/>
          <w:szCs w:val="30"/>
        </w:rPr>
      </w:pPr>
      <w:r>
        <w:rPr>
          <w:rFonts w:hint="eastAsia" w:ascii="仿宋_GB2312" w:hAnsi="仿宋_GB2312" w:cs="仿宋_GB2312"/>
          <w:szCs w:val="30"/>
        </w:rPr>
        <w:t>2、构建内控机制，保障内控实施</w:t>
      </w:r>
    </w:p>
    <w:p w14:paraId="320598D0">
      <w:pPr>
        <w:spacing w:line="600" w:lineRule="exact"/>
        <w:ind w:firstLine="543" w:firstLineChars="181"/>
        <w:rPr>
          <w:rFonts w:ascii="仿宋_GB2312" w:hAnsi="仿宋_GB2312" w:cs="仿宋_GB2312"/>
          <w:szCs w:val="30"/>
        </w:rPr>
      </w:pPr>
      <w:r>
        <w:rPr>
          <w:rFonts w:hint="eastAsia" w:ascii="仿宋_GB2312" w:hAnsi="仿宋_GB2312" w:cs="仿宋_GB2312"/>
          <w:szCs w:val="30"/>
        </w:rPr>
        <w:t>　建立了单位层面的内控运行制约机制。主要包括8个方面的内容：内控管理职责分工，经济活动决策机制，关键岗位责任机制，关键人员资质能力，财务信息编报要求，信息技术应用要求，经济活动风险评估，内部控制监督评价。</w:t>
      </w:r>
    </w:p>
    <w:p w14:paraId="268EB96A">
      <w:pPr>
        <w:spacing w:line="600" w:lineRule="exact"/>
        <w:ind w:firstLine="543" w:firstLineChars="181"/>
        <w:rPr>
          <w:rFonts w:ascii="仿宋_GB2312" w:hAnsi="仿宋_GB2312" w:cs="仿宋_GB2312"/>
          <w:szCs w:val="30"/>
        </w:rPr>
      </w:pPr>
      <w:r>
        <w:rPr>
          <w:rFonts w:hint="eastAsia" w:ascii="仿宋_GB2312" w:hAnsi="仿宋_GB2312" w:cs="仿宋_GB2312"/>
          <w:szCs w:val="30"/>
        </w:rPr>
        <w:t>二、存在问题及原因</w:t>
      </w:r>
    </w:p>
    <w:p w14:paraId="3B98223C">
      <w:pPr>
        <w:spacing w:line="600" w:lineRule="exact"/>
        <w:ind w:firstLine="543" w:firstLineChars="181"/>
        <w:rPr>
          <w:rFonts w:ascii="仿宋_GB2312" w:hAnsi="仿宋_GB2312" w:cs="仿宋_GB2312"/>
          <w:szCs w:val="30"/>
        </w:rPr>
      </w:pPr>
      <w:r>
        <w:rPr>
          <w:rFonts w:hint="eastAsia" w:ascii="仿宋_GB2312" w:hAnsi="仿宋_GB2312" w:cs="仿宋_GB2312"/>
          <w:szCs w:val="30"/>
        </w:rPr>
        <w:t>由于我校项目实施验收致使拨付资金也多累计后按季度支付，不利于项目绩效监控。</w:t>
      </w:r>
    </w:p>
    <w:p w14:paraId="498AF73C">
      <w:pPr>
        <w:spacing w:line="600" w:lineRule="exact"/>
        <w:ind w:firstLine="543" w:firstLineChars="181"/>
        <w:rPr>
          <w:rFonts w:ascii="仿宋_GB2312" w:hAnsi="仿宋_GB2312" w:cs="仿宋_GB2312"/>
          <w:szCs w:val="30"/>
        </w:rPr>
      </w:pPr>
      <w:r>
        <w:rPr>
          <w:rFonts w:hint="eastAsia" w:ascii="仿宋_GB2312" w:hAnsi="仿宋_GB2312" w:cs="仿宋_GB2312"/>
        </w:rPr>
        <w:t>六、有关建议</w:t>
      </w:r>
    </w:p>
    <w:p w14:paraId="54608601">
      <w:pPr>
        <w:spacing w:line="600" w:lineRule="exact"/>
        <w:ind w:firstLine="543" w:firstLineChars="181"/>
        <w:rPr>
          <w:bCs/>
        </w:rPr>
      </w:pPr>
      <w:r>
        <w:rPr>
          <w:rFonts w:hint="eastAsia"/>
          <w:bCs/>
        </w:rPr>
        <w:t>1、加强项目资金的预算管理，认真准确及时编制单位部门项目资金预算计划，在执行过程中加强监督管理，细化项目实施过程，分时段拨付资金。</w:t>
      </w:r>
    </w:p>
    <w:p w14:paraId="3C15D769">
      <w:pPr>
        <w:spacing w:line="600" w:lineRule="exact"/>
        <w:ind w:firstLine="543" w:firstLineChars="181"/>
        <w:rPr>
          <w:rFonts w:ascii="仿宋_GB2312" w:hAnsi="仿宋_GB2312" w:cs="仿宋_GB2312"/>
          <w:szCs w:val="30"/>
        </w:rPr>
      </w:pPr>
      <w:r>
        <w:rPr>
          <w:rFonts w:hint="eastAsia"/>
          <w:bCs/>
        </w:rPr>
        <w:t>2、</w:t>
      </w:r>
      <w:r>
        <w:rPr>
          <w:rFonts w:hint="eastAsia" w:ascii="仿宋_GB2312" w:hAnsi="仿宋_GB2312" w:cs="仿宋_GB2312"/>
          <w:szCs w:val="30"/>
        </w:rPr>
        <w:t>以现有职责范围内的项目业务活动为基础，根据现有工作制度和业务内容进行全面梳理，依据相关法律法规、监管要求，进一步完善项目业务流程，形成规范的项目业务流程目录。同时，在流程梳理的基础上，按照绩效评价指标体系，结合管理现状，开展项目活动的绩效评价工作，年终形成项目支出绩效评价自评报告。</w:t>
      </w:r>
    </w:p>
    <w:p w14:paraId="0F56B901">
      <w:pPr>
        <w:spacing w:line="600" w:lineRule="exact"/>
        <w:ind w:firstLine="543" w:firstLineChars="181"/>
        <w:rPr>
          <w:rFonts w:ascii="仿宋_GB2312" w:hAnsi="仿宋_GB2312" w:cs="仿宋_GB2312"/>
        </w:rPr>
      </w:pPr>
      <w:r>
        <w:rPr>
          <w:rFonts w:hint="eastAsia" w:ascii="仿宋_GB2312" w:hAnsi="仿宋_GB2312" w:cs="仿宋_GB2312"/>
        </w:rPr>
        <w:t>七、其他需要说明的问题</w:t>
      </w:r>
    </w:p>
    <w:p w14:paraId="1FE26E09">
      <w:pPr>
        <w:pStyle w:val="5"/>
        <w:shd w:val="clear" w:color="auto" w:fill="FFFFFF"/>
        <w:spacing w:before="0" w:beforeAutospacing="0" w:after="120" w:afterAutospacing="0" w:line="320" w:lineRule="atLeast"/>
        <w:ind w:firstLine="480"/>
        <w:jc w:val="both"/>
        <w:rPr>
          <w:rFonts w:ascii="仿宋_GB2312" w:hAnsi="仿宋_GB2312" w:cs="仿宋_GB2312"/>
          <w:sz w:val="32"/>
          <w:szCs w:val="32"/>
        </w:rPr>
      </w:pPr>
      <w:r>
        <w:rPr>
          <w:rFonts w:hint="eastAsia" w:ascii="仿宋_GB2312" w:hAnsi="仿宋_GB2312" w:cs="仿宋_GB2312"/>
          <w:kern w:val="2"/>
          <w:sz w:val="30"/>
          <w:szCs w:val="30"/>
        </w:rPr>
        <w:t>无</w:t>
      </w:r>
    </w:p>
    <w:p w14:paraId="23CDF8CF">
      <w:pPr>
        <w:pStyle w:val="5"/>
        <w:shd w:val="clear" w:color="auto" w:fill="FFFFFF"/>
        <w:spacing w:before="0" w:beforeAutospacing="0" w:after="120" w:afterAutospacing="0" w:line="320" w:lineRule="atLeast"/>
        <w:ind w:firstLine="480"/>
        <w:jc w:val="both"/>
        <w:rPr>
          <w:rFonts w:ascii="仿宋_GB2312" w:hAnsi="仿宋_GB2312" w:cs="仿宋_GB2312"/>
          <w:sz w:val="32"/>
          <w:szCs w:val="32"/>
        </w:rPr>
      </w:pPr>
      <w:r>
        <w:rPr>
          <w:rFonts w:hint="eastAsia" w:ascii="仿宋_GB2312" w:hAnsi="仿宋_GB2312" w:cs="仿宋_GB2312"/>
          <w:sz w:val="32"/>
          <w:szCs w:val="32"/>
        </w:rPr>
        <w:t>附</w:t>
      </w:r>
      <w:r>
        <w:rPr>
          <w:rFonts w:ascii="仿宋_GB2312" w:hAnsi="仿宋_GB2312" w:cs="仿宋_GB2312"/>
          <w:sz w:val="32"/>
          <w:szCs w:val="32"/>
        </w:rPr>
        <w:t>：</w:t>
      </w:r>
      <w:r>
        <w:rPr>
          <w:rFonts w:hint="eastAsia" w:ascii="仿宋_GB2312" w:hAnsi="仿宋_GB2312" w:cs="仿宋_GB2312"/>
          <w:sz w:val="32"/>
          <w:szCs w:val="32"/>
        </w:rPr>
        <w:t>绩效</w:t>
      </w:r>
      <w:r>
        <w:rPr>
          <w:rFonts w:ascii="仿宋_GB2312" w:hAnsi="仿宋_GB2312" w:cs="仿宋_GB2312"/>
          <w:sz w:val="32"/>
          <w:szCs w:val="32"/>
        </w:rPr>
        <w:t>评价指标体系</w:t>
      </w:r>
      <w:r>
        <w:rPr>
          <w:rFonts w:hint="eastAsia" w:ascii="仿宋_GB2312" w:hAnsi="仿宋_GB2312" w:cs="仿宋_GB2312"/>
          <w:sz w:val="32"/>
          <w:szCs w:val="32"/>
        </w:rPr>
        <w:t>评分表</w:t>
      </w:r>
    </w:p>
    <w:p w14:paraId="016514B4">
      <w:pPr>
        <w:pStyle w:val="2"/>
        <w:spacing w:before="0" w:after="0" w:line="240" w:lineRule="auto"/>
        <w:jc w:val="center"/>
        <w:rPr>
          <w:rFonts w:ascii="宋体" w:hAnsi="宋体" w:eastAsia="宋体" w:cs="宋体"/>
          <w:bCs/>
          <w:color w:val="000000"/>
          <w:sz w:val="36"/>
          <w:szCs w:val="28"/>
        </w:rPr>
        <w:sectPr>
          <w:footerReference r:id="rId3" w:type="default"/>
          <w:pgSz w:w="11906" w:h="16838"/>
          <w:pgMar w:top="1928" w:right="1531" w:bottom="1701" w:left="1531" w:header="737" w:footer="850" w:gutter="0"/>
          <w:cols w:space="0" w:num="1"/>
          <w:docGrid w:type="lines" w:linePitch="408" w:charSpace="0"/>
        </w:sectPr>
      </w:pPr>
    </w:p>
    <w:p w14:paraId="439D44AA">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38349FB9">
      <w:pPr>
        <w:pStyle w:val="2"/>
        <w:spacing w:before="0" w:after="0" w:line="240" w:lineRule="auto"/>
        <w:jc w:val="center"/>
        <w:rPr>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0E654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4A94AF3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1119DCD8">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330E30A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6ED54C9C">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1E1154A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4D4B49F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9CD2452">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211EDC68">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48A504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3E51B37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4A818CD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7E43BF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48CAB26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0A3029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1580104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7207E4B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4776D912">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1369E12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A51951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73FAA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6EA522E7">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47853F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2366B5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7196B5E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4E09C8D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E15C2C8">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237BA4BB">
            <w:pPr>
              <w:widowControl/>
              <w:jc w:val="left"/>
              <w:rPr>
                <w:rFonts w:ascii="宋体" w:hAnsi="宋体" w:eastAsia="宋体" w:cs="宋体"/>
                <w:color w:val="000000"/>
                <w:kern w:val="0"/>
                <w:sz w:val="22"/>
                <w:szCs w:val="22"/>
              </w:rPr>
            </w:pPr>
          </w:p>
          <w:p w14:paraId="7002D88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7A5291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617F2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7AA075DF">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60C5300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2EFA9B0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FEA550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451913B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5613027F">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48494EE6">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17D4982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4240C2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r w14:paraId="639AD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00C3193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4D37C6E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2CC0AAC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70048A1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7737EA7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364F3B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1FB034B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BFA51A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6981C2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2AB96DAB">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547E02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1AB7E89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411B21B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4B68C13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1B42DA3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3A39FE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036094C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8AC109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EE171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0C03C4E1">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FF24A8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633B77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103FA14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7892235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6D0EE4F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2108477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E7E658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C921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4D3E9C4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5B2B23E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67439D7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4C8BCE5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4AD78D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4A58F05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7472D9D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5DBFB2C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A72A9F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33A9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3746B3FE">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470CC87">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B64BC1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330265F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73F2156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15B5FA1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15C507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40980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6D84053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B072EFF">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056D5AF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3DD7A1E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9FAE52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014FC6D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78F8B90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5C6538F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596C2F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9.8</w:t>
            </w:r>
          </w:p>
        </w:tc>
      </w:tr>
      <w:tr w14:paraId="4A91D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653027E9">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764E6A1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2961FD7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2140E4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69D82B0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5895C6D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2D52C3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333140D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20990C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4.5</w:t>
            </w:r>
          </w:p>
        </w:tc>
      </w:tr>
      <w:tr w14:paraId="6AD51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5864AF6F">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46D4A76">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B52A02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2B33632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1CFE564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ED9E4A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3073D69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A02B0E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2.8</w:t>
            </w:r>
          </w:p>
        </w:tc>
      </w:tr>
      <w:tr w14:paraId="2312E0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4EA89CA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4BB0A49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2A175CB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04B00D4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0CA02F1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053F1F4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86608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2.8</w:t>
            </w:r>
          </w:p>
        </w:tc>
      </w:tr>
      <w:tr w14:paraId="25D90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2CC32DD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27F039E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68D4508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3185B63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7DE46CB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12AD852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720FCE8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426805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9.8</w:t>
            </w:r>
          </w:p>
        </w:tc>
      </w:tr>
      <w:tr w14:paraId="3F67B2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3431E87B">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5D02FC30">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1BFD62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7D2A6AC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38E48DD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263374E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8E1F86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13205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27691DEF">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75D90B0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1551BC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4FF5D73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1628EAE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4E0E14D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F980EB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5735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28F456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59A4538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7466E43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4C9362FE">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5134C66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0A4653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581779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7101B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25AED022">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02BB8ECB">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50DED9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24BDC2D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0B8CBFD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3927F7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7F4B64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bl>
    <w:p w14:paraId="40EF44BC">
      <w:pPr>
        <w:spacing w:line="600" w:lineRule="exact"/>
        <w:rPr>
          <w:rFonts w:ascii="仿宋_GB2312"/>
          <w:bCs/>
          <w:sz w:val="32"/>
          <w:szCs w:val="32"/>
        </w:rPr>
        <w:sectPr>
          <w:pgSz w:w="16838" w:h="11906" w:orient="landscape"/>
          <w:pgMar w:top="1531" w:right="1928" w:bottom="1531" w:left="1701" w:header="737" w:footer="850" w:gutter="0"/>
          <w:cols w:space="0" w:num="1"/>
          <w:docGrid w:type="lines" w:linePitch="421" w:charSpace="0"/>
        </w:sectPr>
      </w:pPr>
    </w:p>
    <w:p w14:paraId="07C90FF0"/>
    <w:sectPr>
      <w:pgSz w:w="16838" w:h="11906" w:orient="landscape"/>
      <w:pgMar w:top="1531" w:right="1928" w:bottom="1531" w:left="170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65BB">
    <w:pPr>
      <w:pStyle w:val="3"/>
      <w:jc w:val="center"/>
    </w:pPr>
    <w:r>
      <w:fldChar w:fldCharType="begin"/>
    </w:r>
    <w:r>
      <w:instrText xml:space="preserve"> PAGE   \* MERGEFORMAT </w:instrText>
    </w:r>
    <w:r>
      <w:fldChar w:fldCharType="separate"/>
    </w:r>
    <w:r>
      <w:rPr>
        <w:lang w:val="zh-CN"/>
      </w:rPr>
      <w:t>6</w:t>
    </w:r>
    <w:r>
      <w:fldChar w:fldCharType="end"/>
    </w:r>
  </w:p>
  <w:p w14:paraId="6C2DF530">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99EE3"/>
    <w:multiLevelType w:val="singleLevel"/>
    <w:tmpl w:val="41199EE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0B43E4"/>
    <w:rsid w:val="000D5235"/>
    <w:rsid w:val="001227D4"/>
    <w:rsid w:val="0018238C"/>
    <w:rsid w:val="00247F91"/>
    <w:rsid w:val="00251A9F"/>
    <w:rsid w:val="0034709C"/>
    <w:rsid w:val="004313FD"/>
    <w:rsid w:val="005858F5"/>
    <w:rsid w:val="00585FA2"/>
    <w:rsid w:val="005B6100"/>
    <w:rsid w:val="005B6C99"/>
    <w:rsid w:val="00632F7B"/>
    <w:rsid w:val="007026C4"/>
    <w:rsid w:val="007705DC"/>
    <w:rsid w:val="007B0C86"/>
    <w:rsid w:val="007F6592"/>
    <w:rsid w:val="00820096"/>
    <w:rsid w:val="00937F4F"/>
    <w:rsid w:val="00962C50"/>
    <w:rsid w:val="00963A63"/>
    <w:rsid w:val="00A77C8A"/>
    <w:rsid w:val="00BD2BDA"/>
    <w:rsid w:val="00C419FB"/>
    <w:rsid w:val="00C460D9"/>
    <w:rsid w:val="00C470BD"/>
    <w:rsid w:val="00CC10B5"/>
    <w:rsid w:val="00D043E9"/>
    <w:rsid w:val="00EA03A9"/>
    <w:rsid w:val="00ED61D9"/>
    <w:rsid w:val="00F26A36"/>
    <w:rsid w:val="00FA49EB"/>
    <w:rsid w:val="00FB45E1"/>
    <w:rsid w:val="1FF871A6"/>
    <w:rsid w:val="25577858"/>
    <w:rsid w:val="28FC30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bCs/>
    </w:rPr>
  </w:style>
  <w:style w:type="character" w:customStyle="1" w:styleId="9">
    <w:name w:val="页眉 Char"/>
    <w:basedOn w:val="7"/>
    <w:link w:val="4"/>
    <w:semiHidden/>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标题 2 Char"/>
    <w:basedOn w:val="7"/>
    <w:link w:val="2"/>
    <w:qFormat/>
    <w:uiPriority w:val="0"/>
    <w:rPr>
      <w:rFonts w:ascii="Arial" w:hAnsi="Arial" w:eastAsia="黑体" w:cs="Times New Roman"/>
      <w:b/>
      <w:sz w:val="32"/>
      <w:szCs w:val="24"/>
    </w:rPr>
  </w:style>
  <w:style w:type="paragraph" w:styleId="12">
    <w:name w:val="List Paragraph"/>
    <w:basedOn w:val="1"/>
    <w:unhideWhenUsed/>
    <w:uiPriority w:val="99"/>
    <w:pPr>
      <w:ind w:firstLine="420" w:firstLineChars="200"/>
    </w:pPr>
  </w:style>
  <w:style w:type="paragraph" w:customStyle="1" w:styleId="13">
    <w:name w:val="Defaul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B0A7-BD08-4EE9-B163-07C76805B097}">
  <ds:schemaRefs/>
</ds:datastoreItem>
</file>

<file path=docProps/app.xml><?xml version="1.0" encoding="utf-8"?>
<Properties xmlns="http://schemas.openxmlformats.org/officeDocument/2006/extended-properties" xmlns:vt="http://schemas.openxmlformats.org/officeDocument/2006/docPropsVTypes">
  <Template>Normal</Template>
  <Pages>13</Pages>
  <Words>4506</Words>
  <Characters>4627</Characters>
  <Lines>46</Lines>
  <Paragraphs>12</Paragraphs>
  <TotalTime>22</TotalTime>
  <ScaleCrop>false</ScaleCrop>
  <LinksUpToDate>false</LinksUpToDate>
  <CharactersWithSpaces>4640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2020-06-03T10:35:00Z</dcterms:created>
  <dc:creator>CurUserName</dc:creator>
  <cp:lastModifiedBy>Qxb</cp:lastModifiedBy>
  <dcterms:modified xsi:type="dcterms:W3CDTF">2025-02-10T09:54:14Z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8E6A86BE844845689DB4E05532433C49_12</vt:lpwstr>
  </property>
</Properties>
</file>