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9E9F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巴州动物疾病控制与诊断中心项目支出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1BF4BFA6">
      <w:pPr>
        <w:spacing w:line="540" w:lineRule="exact"/>
        <w:jc w:val="center"/>
        <w:rPr>
          <w:rFonts w:ascii="华文中宋" w:hAnsi="华文中宋" w:eastAsia="华文中宋" w:cs="宋体"/>
          <w:b/>
          <w:kern w:val="0"/>
          <w:sz w:val="52"/>
          <w:szCs w:val="52"/>
        </w:rPr>
      </w:pPr>
    </w:p>
    <w:p w14:paraId="779EA5AD">
      <w:pPr>
        <w:spacing w:line="540" w:lineRule="exact"/>
        <w:jc w:val="center"/>
        <w:rPr>
          <w:rFonts w:ascii="华文中宋" w:hAnsi="华文中宋" w:eastAsia="华文中宋" w:cs="宋体"/>
          <w:b/>
          <w:kern w:val="0"/>
          <w:sz w:val="52"/>
          <w:szCs w:val="52"/>
        </w:rPr>
      </w:pPr>
    </w:p>
    <w:p w14:paraId="5570F112">
      <w:pPr>
        <w:spacing w:line="540" w:lineRule="exact"/>
        <w:jc w:val="center"/>
        <w:rPr>
          <w:rFonts w:ascii="华文中宋" w:hAnsi="华文中宋" w:eastAsia="华文中宋" w:cs="宋体"/>
          <w:b/>
          <w:kern w:val="0"/>
          <w:sz w:val="52"/>
          <w:szCs w:val="52"/>
        </w:rPr>
      </w:pPr>
    </w:p>
    <w:p w14:paraId="7AE1DA2E">
      <w:pPr>
        <w:spacing w:line="540" w:lineRule="exact"/>
        <w:jc w:val="center"/>
        <w:rPr>
          <w:rFonts w:hAnsi="宋体" w:cs="宋体"/>
          <w:kern w:val="0"/>
          <w:sz w:val="36"/>
          <w:szCs w:val="36"/>
        </w:rPr>
      </w:pPr>
      <w:r>
        <w:rPr>
          <w:rFonts w:hint="eastAsia" w:hAnsi="宋体" w:cs="宋体"/>
          <w:kern w:val="0"/>
          <w:sz w:val="36"/>
          <w:szCs w:val="36"/>
        </w:rPr>
        <w:t>（2019年度）</w:t>
      </w:r>
    </w:p>
    <w:p w14:paraId="304ADD53">
      <w:pPr>
        <w:spacing w:line="540" w:lineRule="exact"/>
        <w:jc w:val="center"/>
        <w:rPr>
          <w:rFonts w:hAnsi="宋体" w:cs="宋体"/>
          <w:kern w:val="0"/>
          <w:szCs w:val="30"/>
        </w:rPr>
      </w:pPr>
    </w:p>
    <w:p w14:paraId="25FE301B">
      <w:pPr>
        <w:spacing w:line="540" w:lineRule="exact"/>
        <w:jc w:val="center"/>
        <w:rPr>
          <w:rFonts w:hAnsi="宋体" w:cs="宋体"/>
          <w:kern w:val="0"/>
          <w:szCs w:val="30"/>
        </w:rPr>
      </w:pPr>
    </w:p>
    <w:p w14:paraId="2A8B8E74">
      <w:pPr>
        <w:spacing w:line="540" w:lineRule="exact"/>
        <w:jc w:val="center"/>
        <w:rPr>
          <w:rFonts w:hAnsi="宋体" w:cs="宋体"/>
          <w:kern w:val="0"/>
          <w:szCs w:val="30"/>
        </w:rPr>
      </w:pPr>
    </w:p>
    <w:p w14:paraId="1B993E1A">
      <w:pPr>
        <w:spacing w:line="540" w:lineRule="exact"/>
        <w:jc w:val="center"/>
        <w:rPr>
          <w:rFonts w:hAnsi="宋体" w:cs="宋体"/>
          <w:kern w:val="0"/>
          <w:szCs w:val="30"/>
        </w:rPr>
      </w:pPr>
    </w:p>
    <w:p w14:paraId="25030D4D">
      <w:pPr>
        <w:spacing w:line="540" w:lineRule="exact"/>
        <w:jc w:val="center"/>
        <w:rPr>
          <w:rFonts w:hAnsi="宋体" w:cs="宋体"/>
          <w:kern w:val="0"/>
          <w:szCs w:val="30"/>
        </w:rPr>
      </w:pPr>
    </w:p>
    <w:p w14:paraId="65CE05DD">
      <w:pPr>
        <w:spacing w:line="540" w:lineRule="exact"/>
        <w:rPr>
          <w:rFonts w:hAnsi="宋体" w:cs="宋体"/>
          <w:kern w:val="0"/>
          <w:szCs w:val="30"/>
        </w:rPr>
      </w:pPr>
    </w:p>
    <w:p w14:paraId="785D2059">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项目名称：动物防疫体系建设</w:t>
      </w:r>
    </w:p>
    <w:p w14:paraId="20DCDDB5">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实施单位（公章）：巴州动物疾病控制与诊断中心</w:t>
      </w:r>
      <w:r>
        <w:rPr>
          <w:rFonts w:hAnsi="宋体" w:cs="宋体"/>
          <w:kern w:val="0"/>
          <w:sz w:val="36"/>
          <w:szCs w:val="36"/>
        </w:rPr>
        <w:t xml:space="preserve"> </w:t>
      </w:r>
    </w:p>
    <w:p w14:paraId="3AB0A9BE">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w:t>
      </w:r>
      <w:r>
        <w:rPr>
          <w:rFonts w:hint="eastAsia" w:hAnsi="宋体" w:cs="宋体"/>
          <w:kern w:val="0"/>
          <w:sz w:val="36"/>
          <w:szCs w:val="36"/>
        </w:rPr>
        <w:t>巴州畜牧兽医局</w:t>
      </w:r>
    </w:p>
    <w:p w14:paraId="560C287B">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项目负责人（签章）：汪忠</w:t>
      </w:r>
      <w:r>
        <w:rPr>
          <w:rFonts w:hAnsi="宋体" w:cs="宋体"/>
          <w:kern w:val="0"/>
          <w:sz w:val="36"/>
          <w:szCs w:val="36"/>
        </w:rPr>
        <w:t xml:space="preserve">  </w:t>
      </w:r>
    </w:p>
    <w:p w14:paraId="560AC7CC">
      <w:pPr>
        <w:spacing w:line="700" w:lineRule="exact"/>
        <w:ind w:firstLine="849" w:firstLineChars="236"/>
        <w:jc w:val="left"/>
        <w:rPr>
          <w:rFonts w:hAnsi="宋体" w:cs="宋体"/>
          <w:kern w:val="0"/>
          <w:sz w:val="36"/>
          <w:szCs w:val="36"/>
        </w:rPr>
      </w:pPr>
      <w:r>
        <w:rPr>
          <w:rFonts w:hint="eastAsia" w:hAnsi="宋体" w:cs="宋体"/>
          <w:kern w:val="0"/>
          <w:sz w:val="36"/>
          <w:szCs w:val="36"/>
        </w:rPr>
        <w:t xml:space="preserve">填报时间：2020年5月 </w:t>
      </w:r>
      <w:r>
        <w:rPr>
          <w:rFonts w:hAnsi="宋体" w:cs="宋体"/>
          <w:kern w:val="0"/>
          <w:sz w:val="36"/>
          <w:szCs w:val="36"/>
        </w:rPr>
        <w:t xml:space="preserve"> </w:t>
      </w:r>
    </w:p>
    <w:p w14:paraId="5994BC75">
      <w:pPr>
        <w:spacing w:line="540" w:lineRule="exact"/>
        <w:jc w:val="center"/>
        <w:rPr>
          <w:rFonts w:hAnsi="宋体" w:cs="宋体"/>
          <w:kern w:val="0"/>
          <w:szCs w:val="30"/>
        </w:rPr>
      </w:pPr>
    </w:p>
    <w:p w14:paraId="0D5296AA">
      <w:pPr>
        <w:rPr>
          <w:rFonts w:ascii="黑体" w:hAnsi="黑体" w:eastAsia="黑体"/>
        </w:rPr>
      </w:pPr>
    </w:p>
    <w:p w14:paraId="4DABD27C">
      <w:pPr>
        <w:rPr>
          <w:rFonts w:ascii="黑体" w:hAnsi="黑体" w:eastAsia="黑体"/>
        </w:rPr>
      </w:pPr>
    </w:p>
    <w:p w14:paraId="3CD0F2FD">
      <w:pPr>
        <w:rPr>
          <w:rFonts w:ascii="黑体" w:hAnsi="黑体" w:eastAsia="黑体"/>
        </w:rPr>
      </w:pPr>
    </w:p>
    <w:p w14:paraId="17E14C22">
      <w:pPr>
        <w:rPr>
          <w:rFonts w:ascii="黑体" w:hAnsi="黑体" w:eastAsia="黑体"/>
        </w:rPr>
      </w:pPr>
    </w:p>
    <w:p w14:paraId="04F9FE0E">
      <w:pPr>
        <w:rPr>
          <w:rFonts w:ascii="黑体" w:hAnsi="黑体" w:eastAsia="黑体"/>
        </w:rPr>
      </w:pPr>
    </w:p>
    <w:p w14:paraId="3D20E763">
      <w:pPr>
        <w:rPr>
          <w:rFonts w:ascii="黑体" w:hAnsi="黑体" w:eastAsia="黑体"/>
        </w:rPr>
      </w:pPr>
    </w:p>
    <w:p w14:paraId="28F2B630">
      <w:pPr>
        <w:rPr>
          <w:rFonts w:ascii="黑体" w:hAnsi="黑体" w:eastAsia="黑体"/>
        </w:rPr>
      </w:pPr>
    </w:p>
    <w:p w14:paraId="639D8F23">
      <w:pPr>
        <w:rPr>
          <w:rFonts w:ascii="黑体" w:hAnsi="黑体" w:eastAsia="黑体"/>
        </w:rPr>
      </w:pPr>
    </w:p>
    <w:p w14:paraId="27C60CA6">
      <w:pPr>
        <w:rPr>
          <w:rFonts w:ascii="黑体" w:hAnsi="黑体" w:eastAsia="黑体"/>
        </w:rPr>
      </w:pPr>
      <w:r>
        <w:rPr>
          <w:rFonts w:hint="eastAsia" w:ascii="黑体" w:hAnsi="黑体" w:eastAsia="黑体"/>
        </w:rPr>
        <w:t>附件·2</w:t>
      </w:r>
    </w:p>
    <w:p w14:paraId="4ACA852A">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4DC8D88">
      <w:pPr>
        <w:jc w:val="center"/>
        <w:rPr>
          <w:rFonts w:ascii="仿宋_GB2312"/>
          <w:szCs w:val="30"/>
        </w:rPr>
      </w:pPr>
      <w:r>
        <w:rPr>
          <w:rFonts w:hint="eastAsia" w:ascii="仿宋_GB2312"/>
        </w:rPr>
        <w:t>动物防疫体系建设</w:t>
      </w:r>
    </w:p>
    <w:p w14:paraId="076EC617">
      <w:pPr>
        <w:spacing w:line="600" w:lineRule="exact"/>
        <w:ind w:firstLine="600" w:firstLineChars="200"/>
        <w:rPr>
          <w:rFonts w:ascii="黑体" w:hAnsi="黑体" w:eastAsia="黑体"/>
        </w:rPr>
      </w:pPr>
      <w:r>
        <w:rPr>
          <w:rFonts w:hint="eastAsia" w:ascii="黑体" w:hAnsi="黑体" w:eastAsia="黑体"/>
        </w:rPr>
        <w:t>一、基本情况</w:t>
      </w:r>
    </w:p>
    <w:p w14:paraId="48FE9ACF">
      <w:pPr>
        <w:spacing w:line="600" w:lineRule="exact"/>
        <w:ind w:firstLine="600" w:firstLineChars="200"/>
        <w:outlineLvl w:val="0"/>
        <w:rPr>
          <w:rFonts w:ascii="仿宋_GB2312"/>
        </w:rPr>
      </w:pPr>
      <w:r>
        <w:rPr>
          <w:rFonts w:hint="eastAsia" w:ascii="仿宋_GB2312"/>
        </w:rPr>
        <w:t>（一）项目概况。</w:t>
      </w:r>
    </w:p>
    <w:p w14:paraId="06A30120">
      <w:pPr>
        <w:numPr>
          <w:ilvl w:val="0"/>
          <w:numId w:val="1"/>
        </w:numPr>
        <w:spacing w:line="480" w:lineRule="auto"/>
        <w:ind w:firstLine="600" w:firstLineChars="200"/>
        <w:jc w:val="left"/>
        <w:rPr>
          <w:rFonts w:eastAsia="方正仿宋_GBK"/>
          <w:sz w:val="32"/>
          <w:szCs w:val="32"/>
        </w:rPr>
      </w:pPr>
      <w:r>
        <w:rPr>
          <w:rFonts w:hint="eastAsia" w:ascii="仿宋_GB2312"/>
        </w:rPr>
        <w:t>包括项目背景：</w:t>
      </w:r>
      <w:r>
        <w:rPr>
          <w:rFonts w:eastAsia="方正仿宋_GBK"/>
          <w:sz w:val="32"/>
          <w:szCs w:val="32"/>
        </w:rPr>
        <w:t>按照巴州动物疾病控制与诊断中心的工作职责，运行2019年中央财政动物防疫补助资金项目，项目内容共4项（非洲猪瘟防控、监测评估预警、布病包虫病防控、马传贫消灭工作）；2019年巴州动物疾病控制与诊断中心按照国家、自治区及自治州动物疫病防控的总体要求和安排部署，狠抓各项工作措施的落实落地，以防控非洲猪瘟、口蹄疫、高致病性禽流感、小反刍兽疫等重大动物疫病为重点，确保不发生区域性重大动物疫情，为助推脱贫攻坚，助力乡村振兴，保障巴州畜牧业健康发展作出新贡献。</w:t>
      </w:r>
    </w:p>
    <w:p w14:paraId="50979EBD">
      <w:pPr>
        <w:numPr>
          <w:ilvl w:val="0"/>
          <w:numId w:val="1"/>
        </w:numPr>
        <w:ind w:firstLine="600" w:firstLineChars="200"/>
        <w:jc w:val="left"/>
        <w:rPr>
          <w:rFonts w:ascii="仿宋_GB2312"/>
        </w:rPr>
      </w:pPr>
      <w:r>
        <w:rPr>
          <w:rFonts w:hint="eastAsia" w:ascii="仿宋_GB2312"/>
        </w:rPr>
        <w:t>主要内容及实施情况、</w:t>
      </w:r>
      <w:r>
        <w:rPr>
          <w:rFonts w:eastAsia="方正仿宋_GBK"/>
          <w:sz w:val="32"/>
          <w:szCs w:val="32"/>
        </w:rPr>
        <w:t>运行2019年中央财政动物防疫补助资金项目，项目内容共4项（非洲猪瘟防控、监测评估预警、布病包虫病防控、马传贫消灭工作）；2019年巴州动物疾病控制与诊断中心按照国家、自治区及自治州动物疫病防控的总体要求和安排部署，狠抓各项工作措施的落实落地，以防控非洲猪瘟、口蹄疫、高致病性禽流感、小反刍兽疫等重大动物疫病为重点，确保不发生区域性重大动物疫情，（1）动物疫病强制免疫工作。制定了《2019年重大动物疫病强制免疫工作实施方案》、组织全州各县市开展动物疫病强制免疫疫苗的免疫工作，督促达到应免尽免，全州集中免疫各类畜禽2152.14万头/只/羽，免疫密度达95%以上。（2）动物疫病监测工作。动物疫病监测与流行病学调查计划、外来动物疫病监测计划等，加强日常血清学监测，全年全州共检测各类疫病血清样品155148份。向自治区动物疾病预防控制中心送检小反刍兽疫棉拭子、非洲猪瘟组织样品等病原学样品共计1520份；开展高致病性禽流感、口蹄疫等疫病病原学检测共计5683份；抓实抓好春、秋免疫效果“飞行抽检”工作，共采集畜禽血清样品7190份，对O型口蹄疫、小反刍兽疫等疫病的免疫抗体水平进行检测，共检测20578份次样品，免疫抗体合格率均达到70%以上。开展全州兽医实验室检测技术培训班，对全州40余名实验室检测技术人员进行培训，提高了非洲猪瘟等重大动物疫病的监测能力，</w:t>
      </w:r>
      <w:r>
        <w:rPr>
          <w:rFonts w:eastAsia="方正仿宋_GBK"/>
          <w:sz w:val="31"/>
          <w:szCs w:val="31"/>
        </w:rPr>
        <w:t>为升级各县市兽医实验室检测技术打下良好基础，</w:t>
      </w:r>
      <w:r>
        <w:rPr>
          <w:rFonts w:hint="eastAsia" w:eastAsia="方正仿宋_GBK"/>
          <w:sz w:val="31"/>
          <w:szCs w:val="31"/>
          <w:lang w:eastAsia="zh-CN"/>
        </w:rPr>
        <w:t>更好地为</w:t>
      </w:r>
      <w:bookmarkStart w:id="1" w:name="_GoBack"/>
      <w:bookmarkEnd w:id="1"/>
      <w:r>
        <w:rPr>
          <w:rFonts w:eastAsia="方正仿宋_GBK"/>
          <w:sz w:val="31"/>
          <w:szCs w:val="31"/>
        </w:rPr>
        <w:t>全州动物疫病防控工作提供技术支撑。</w:t>
      </w:r>
      <w:r>
        <w:rPr>
          <w:rFonts w:eastAsia="方正仿宋_GBK"/>
          <w:sz w:val="32"/>
          <w:szCs w:val="32"/>
        </w:rPr>
        <w:t>（3）马传贫净化、包虫病监测、布病监测与净化工作。中心6名专业技术人员进入和静县山区协助和静县完成六轮检测工作，累计工作100余天，检测样品90028份；对巴州种畜场、和静县巴音布鲁克种羊场等5个自治区级种畜场开展了布病检疫净化工作，检测血清样本8426份；对采集的856份犬粪、540份未免疫羊血清进行检测。（4）非洲猪瘟防控工作。</w:t>
      </w:r>
      <w:r>
        <w:rPr>
          <w:rFonts w:eastAsia="方正仿宋_GBK"/>
          <w:sz w:val="31"/>
          <w:szCs w:val="31"/>
        </w:rPr>
        <w:t>2019年共检测猪血清样品32049份，市场监测生猪产品530个批次（份），进入各县市175家养殖户（企业）和7家生猪屠宰场共排查生猪106866头，参与培训人员134人次，共报送非洲猪瘟紧急排查日报表242份，共向自治区动物疫病预防控制中心送检非洲猪瘟样品共计517份。</w:t>
      </w:r>
    </w:p>
    <w:p w14:paraId="079BF7BE">
      <w:pPr>
        <w:numPr>
          <w:ilvl w:val="0"/>
          <w:numId w:val="1"/>
        </w:numPr>
        <w:spacing w:line="600" w:lineRule="exact"/>
        <w:ind w:firstLine="600" w:firstLineChars="200"/>
        <w:outlineLvl w:val="0"/>
        <w:rPr>
          <w:rFonts w:ascii="仿宋_GB2312"/>
        </w:rPr>
      </w:pPr>
      <w:r>
        <w:rPr>
          <w:rFonts w:hint="eastAsia" w:ascii="仿宋_GB2312"/>
        </w:rPr>
        <w:t>资金投入和使用情况等。</w:t>
      </w:r>
      <w:r>
        <w:rPr>
          <w:rFonts w:eastAsia="方正仿宋_GBK"/>
          <w:sz w:val="32"/>
          <w:szCs w:val="32"/>
        </w:rPr>
        <w:t>中央资金投入资金共计10万元；为开展好项目，达到项目预期计划，</w:t>
      </w:r>
    </w:p>
    <w:p w14:paraId="76608FC7">
      <w:pPr>
        <w:spacing w:line="480" w:lineRule="auto"/>
        <w:ind w:firstLine="300" w:firstLineChars="100"/>
        <w:jc w:val="left"/>
        <w:rPr>
          <w:rFonts w:ascii="仿宋_GB2312"/>
        </w:rPr>
      </w:pPr>
    </w:p>
    <w:p w14:paraId="49661BE9">
      <w:pPr>
        <w:spacing w:line="480" w:lineRule="auto"/>
        <w:ind w:firstLine="300" w:firstLineChars="100"/>
        <w:jc w:val="left"/>
        <w:rPr>
          <w:rFonts w:ascii="仿宋_GB2312"/>
        </w:rPr>
      </w:pPr>
      <w:r>
        <w:rPr>
          <w:rFonts w:hint="eastAsia" w:ascii="仿宋_GB2312"/>
        </w:rPr>
        <w:t>（二）项目绩效目标。</w:t>
      </w:r>
    </w:p>
    <w:p w14:paraId="37B00021">
      <w:pPr>
        <w:spacing w:line="480" w:lineRule="auto"/>
        <w:ind w:firstLine="300" w:firstLineChars="100"/>
        <w:jc w:val="left"/>
        <w:rPr>
          <w:rFonts w:eastAsia="方正仿宋_GBK"/>
          <w:sz w:val="32"/>
          <w:szCs w:val="32"/>
        </w:rPr>
      </w:pPr>
      <w:r>
        <w:rPr>
          <w:rFonts w:hint="eastAsia" w:ascii="仿宋_GB2312"/>
        </w:rPr>
        <w:t>（1）</w:t>
      </w:r>
      <w:r>
        <w:rPr>
          <w:rFonts w:eastAsia="方正仿宋_GBK"/>
          <w:sz w:val="32"/>
          <w:szCs w:val="32"/>
        </w:rPr>
        <w:t>总体目标。以防控非洲猪瘟、口蹄疫、高致病性禽流感、小反刍兽疫等重大动物疫病为重点，确保不发生区域性重大动物疫情，为助推脱贫攻坚，助力乡村振兴，保障巴州畜牧业健康发展作出新贡献。</w:t>
      </w:r>
      <w:r>
        <w:rPr>
          <w:rFonts w:eastAsia="方正仿宋_GBK"/>
          <w:sz w:val="32"/>
          <w:szCs w:val="32"/>
        </w:rPr>
        <w:br w:type="textWrapping"/>
      </w:r>
      <w:r>
        <w:rPr>
          <w:rFonts w:eastAsia="方正仿宋_GBK"/>
          <w:sz w:val="32"/>
          <w:szCs w:val="32"/>
        </w:rPr>
        <w:t xml:space="preserve">    （2）阶段性目标。圆满的完成了自治区下达的各项动物疫病防控工作任务，提高了广大养殖户的动物疫病防控意识，养殖环境进一步提升，减少了养殖动物的死亡率，提升了养殖经济效益，巴州未发生非洲猪瘟动物疫情，保证了我州生猪生产，广大养殖户满意率提升，补齐了防控工作的短板。</w:t>
      </w:r>
    </w:p>
    <w:p w14:paraId="00D63C32">
      <w:pPr>
        <w:spacing w:line="600" w:lineRule="exact"/>
        <w:ind w:firstLine="600" w:firstLineChars="200"/>
        <w:rPr>
          <w:rFonts w:ascii="仿宋_GB2312"/>
        </w:rPr>
      </w:pPr>
      <w:r>
        <w:rPr>
          <w:rFonts w:hint="eastAsia" w:ascii="仿宋_GB2312"/>
        </w:rPr>
        <w:t>包括总体目标动物疫病监测工作采取日常监测、集中监测和春秋季防重督导相结合方式，监测覆盖全州八县一市。确保预算编制科学性；财务监控有效性；应急机制健全性；项目管理制度健全性；政策宣传到位；相关受益人满意度提高；长效管理制度健全性。</w:t>
      </w:r>
    </w:p>
    <w:p w14:paraId="42B29038">
      <w:pPr>
        <w:spacing w:line="600" w:lineRule="exact"/>
        <w:ind w:firstLine="600" w:firstLineChars="200"/>
        <w:rPr>
          <w:rFonts w:ascii="仿宋_GB2312"/>
        </w:rPr>
      </w:pPr>
      <w:r>
        <w:rPr>
          <w:rFonts w:hint="eastAsia" w:ascii="仿宋_GB2312"/>
        </w:rPr>
        <w:t>具体如下：1、重大动物疫病强制免疫疫苗调运和发放工作2、非强制免疫疫苗调运和发放工作3、动物防疫应急物资管理1、食品市场非洲猪瘟监测工作2、非洲猪瘟排查与抽检工作3、外调生猪非洲猪瘟检测工作4、生猪屠宰环节及再抽检检测工作5、马传贫防控工作开展情况6、布鲁氏菌病防控工作7、春季重大动物疫病免疫效果飞行抽检工作8、病原学送样及检测工作9、日常监测10、全州生鲜牛乳抽样检测工作11、各类报表及信息上报工作12、专业技术培训和阶段性目标。</w:t>
      </w:r>
    </w:p>
    <w:p w14:paraId="63DBF152">
      <w:pPr>
        <w:spacing w:line="600" w:lineRule="exact"/>
        <w:ind w:firstLine="300" w:firstLineChars="100"/>
        <w:rPr>
          <w:rFonts w:ascii="黑体" w:hAnsi="黑体" w:eastAsia="黑体"/>
        </w:rPr>
      </w:pPr>
      <w:r>
        <w:rPr>
          <w:rFonts w:hint="eastAsia" w:ascii="黑体" w:hAnsi="黑体" w:eastAsia="黑体"/>
        </w:rPr>
        <w:t>二、绩效评价工作开展情况</w:t>
      </w:r>
    </w:p>
    <w:p w14:paraId="773986DF">
      <w:pPr>
        <w:spacing w:line="600" w:lineRule="exact"/>
        <w:ind w:firstLine="600" w:firstLineChars="200"/>
        <w:rPr>
          <w:rFonts w:ascii="仿宋_GB2312"/>
        </w:rPr>
      </w:pPr>
      <w:r>
        <w:rPr>
          <w:rFonts w:hint="eastAsia" w:ascii="仿宋_GB2312"/>
        </w:rPr>
        <w:t>（一）绩效评价目的、对象和范围。</w:t>
      </w:r>
    </w:p>
    <w:p w14:paraId="7BD986EA">
      <w:pPr>
        <w:spacing w:line="480" w:lineRule="auto"/>
        <w:ind w:firstLine="640" w:firstLineChars="200"/>
        <w:jc w:val="left"/>
        <w:rPr>
          <w:rFonts w:eastAsia="方正仿宋_GBK"/>
          <w:sz w:val="32"/>
          <w:szCs w:val="32"/>
        </w:rPr>
      </w:pPr>
      <w:r>
        <w:rPr>
          <w:rFonts w:eastAsia="方正仿宋_GBK"/>
          <w:sz w:val="32"/>
          <w:szCs w:val="32"/>
        </w:rPr>
        <w:t>按照决策、过程、产出、效益四类指标，对巴州动物疾病控制与诊断中心执行的《2019年中央财政动物防疫补助资金项目》进行综合性评价和判断，评价资金的科学性、合理性和有效性，分析存在的问题，提出完善资金管理和项目管理的制度机制、为年度预算编制提供参考依据，提升资金使用绩效，进一步贯彻落实《中共中央 国务院关于全面实施预算绩效管理的意见》，财政部和农业农村部《关于开展2019年动物防疫等补助经费绩效评价工作的通知》（财农便</w:t>
      </w:r>
      <w:r>
        <w:rPr>
          <w:rFonts w:eastAsia="方正仿宋_GBK"/>
          <w:bCs/>
          <w:sz w:val="32"/>
          <w:szCs w:val="32"/>
        </w:rPr>
        <w:t>〔</w:t>
      </w:r>
      <w:r>
        <w:rPr>
          <w:rFonts w:eastAsia="方正仿宋_GBK"/>
          <w:sz w:val="31"/>
          <w:szCs w:val="31"/>
        </w:rPr>
        <w:t>2019</w:t>
      </w:r>
      <w:r>
        <w:rPr>
          <w:rFonts w:eastAsia="方正仿宋_GBK"/>
          <w:bCs/>
          <w:sz w:val="32"/>
          <w:szCs w:val="32"/>
        </w:rPr>
        <w:t>〕</w:t>
      </w:r>
      <w:r>
        <w:rPr>
          <w:rFonts w:eastAsia="方正仿宋_GBK"/>
          <w:sz w:val="31"/>
          <w:szCs w:val="31"/>
        </w:rPr>
        <w:t>27号</w:t>
      </w:r>
      <w:r>
        <w:rPr>
          <w:rFonts w:eastAsia="方正仿宋_GBK"/>
          <w:sz w:val="32"/>
          <w:szCs w:val="32"/>
        </w:rPr>
        <w:t>），《动物防疫等补助经费财政专项支出重点绩效评价工作实施方案》的要求，全面提升动物防疫等补助资金资源配置效率和使用效益，加强绩效管理，进一步强化责任意识不断提高项目管理水平。</w:t>
      </w:r>
    </w:p>
    <w:p w14:paraId="13B43242">
      <w:pPr>
        <w:spacing w:line="600" w:lineRule="exact"/>
        <w:ind w:firstLine="600" w:firstLineChars="200"/>
        <w:rPr>
          <w:rFonts w:ascii="仿宋_GB2312"/>
        </w:rPr>
      </w:pPr>
    </w:p>
    <w:p w14:paraId="41C5447A">
      <w:pPr>
        <w:spacing w:line="600" w:lineRule="exact"/>
        <w:ind w:firstLine="600" w:firstLineChars="200"/>
        <w:rPr>
          <w:rFonts w:ascii="仿宋_GB2312"/>
        </w:rPr>
      </w:pPr>
    </w:p>
    <w:p w14:paraId="2663A58F">
      <w:pPr>
        <w:numPr>
          <w:ilvl w:val="0"/>
          <w:numId w:val="2"/>
        </w:numPr>
        <w:spacing w:line="480" w:lineRule="auto"/>
        <w:ind w:firstLine="600" w:firstLineChars="200"/>
        <w:jc w:val="left"/>
        <w:rPr>
          <w:rFonts w:ascii="仿宋_GB2312"/>
        </w:rPr>
      </w:pPr>
      <w:r>
        <w:rPr>
          <w:rFonts w:hint="eastAsia" w:ascii="仿宋_GB2312"/>
        </w:rPr>
        <w:t>绩效评价原则、评价指标体系（附表说明）、评价方法、评价标准等。</w:t>
      </w:r>
    </w:p>
    <w:p w14:paraId="01618E0D">
      <w:pPr>
        <w:spacing w:line="480" w:lineRule="auto"/>
        <w:ind w:firstLine="643" w:firstLineChars="200"/>
        <w:jc w:val="left"/>
        <w:rPr>
          <w:rFonts w:eastAsia="方正仿宋_GBK"/>
          <w:sz w:val="32"/>
          <w:szCs w:val="32"/>
        </w:rPr>
      </w:pPr>
      <w:r>
        <w:rPr>
          <w:rFonts w:eastAsia="方正仿宋_GBK"/>
          <w:b/>
          <w:bCs/>
          <w:sz w:val="32"/>
          <w:szCs w:val="32"/>
        </w:rPr>
        <w:t>1、评价原则。</w:t>
      </w:r>
      <w:r>
        <w:rPr>
          <w:rFonts w:eastAsia="方正仿宋_GBK"/>
          <w:sz w:val="32"/>
          <w:szCs w:val="32"/>
        </w:rPr>
        <w:t>根据《中共中央 国务院关于全面实施预算绩效管理的意见》，财政部和农业农村部《关于开展2019年动物防疫等补助经费绩效评价工作的通知》（财农便</w:t>
      </w:r>
      <w:r>
        <w:rPr>
          <w:rFonts w:eastAsia="方正仿宋_GBK"/>
          <w:bCs/>
          <w:sz w:val="32"/>
          <w:szCs w:val="32"/>
        </w:rPr>
        <w:t>〔</w:t>
      </w:r>
      <w:r>
        <w:rPr>
          <w:rFonts w:eastAsia="方正仿宋_GBK"/>
          <w:sz w:val="31"/>
          <w:szCs w:val="31"/>
        </w:rPr>
        <w:t>2019</w:t>
      </w:r>
      <w:r>
        <w:rPr>
          <w:rFonts w:eastAsia="方正仿宋_GBK"/>
          <w:bCs/>
          <w:sz w:val="32"/>
          <w:szCs w:val="32"/>
        </w:rPr>
        <w:t>〕</w:t>
      </w:r>
      <w:r>
        <w:rPr>
          <w:rFonts w:eastAsia="方正仿宋_GBK"/>
          <w:sz w:val="31"/>
          <w:szCs w:val="31"/>
        </w:rPr>
        <w:t>27号</w:t>
      </w:r>
      <w:r>
        <w:rPr>
          <w:rFonts w:eastAsia="方正仿宋_GBK"/>
          <w:sz w:val="32"/>
          <w:szCs w:val="32"/>
        </w:rPr>
        <w:t>），《动物防疫等补助经费财政专项支出重点绩效评价工作实施方案》，《关于开展中央财政动物防疫等补助经费重点绩效评价结果整改工作的通知》（新牧技字</w:t>
      </w:r>
      <w:r>
        <w:rPr>
          <w:rFonts w:eastAsia="方正仿宋_GBK"/>
          <w:bCs/>
          <w:sz w:val="32"/>
          <w:szCs w:val="32"/>
        </w:rPr>
        <w:t>〔</w:t>
      </w:r>
      <w:r>
        <w:rPr>
          <w:rFonts w:eastAsia="方正仿宋_GBK"/>
          <w:sz w:val="31"/>
          <w:szCs w:val="31"/>
        </w:rPr>
        <w:t>2020</w:t>
      </w:r>
      <w:r>
        <w:rPr>
          <w:rFonts w:eastAsia="方正仿宋_GBK"/>
          <w:bCs/>
          <w:sz w:val="32"/>
          <w:szCs w:val="32"/>
        </w:rPr>
        <w:t>〕6</w:t>
      </w:r>
      <w:r>
        <w:rPr>
          <w:rFonts w:eastAsia="方正仿宋_GBK"/>
          <w:sz w:val="31"/>
          <w:szCs w:val="31"/>
        </w:rPr>
        <w:t>号</w:t>
      </w:r>
      <w:r>
        <w:rPr>
          <w:rFonts w:eastAsia="方正仿宋_GBK"/>
          <w:sz w:val="32"/>
          <w:szCs w:val="32"/>
        </w:rPr>
        <w:t>）的精神，对项目进行评价。</w:t>
      </w:r>
    </w:p>
    <w:p w14:paraId="34C0BC49">
      <w:pPr>
        <w:spacing w:line="480" w:lineRule="auto"/>
        <w:ind w:firstLine="643" w:firstLineChars="200"/>
        <w:jc w:val="left"/>
        <w:rPr>
          <w:rFonts w:eastAsia="方正仿宋_GBK"/>
          <w:sz w:val="32"/>
          <w:szCs w:val="32"/>
        </w:rPr>
      </w:pPr>
      <w:r>
        <w:rPr>
          <w:rFonts w:eastAsia="方正仿宋_GBK"/>
          <w:b/>
          <w:bCs/>
          <w:sz w:val="32"/>
          <w:szCs w:val="32"/>
        </w:rPr>
        <w:t>2、评价指标体系。</w:t>
      </w:r>
      <w:r>
        <w:rPr>
          <w:rFonts w:eastAsia="方正仿宋_GBK"/>
          <w:sz w:val="32"/>
          <w:szCs w:val="32"/>
        </w:rPr>
        <w:t>根据项目的实际情况，科学制定绩</w:t>
      </w:r>
    </w:p>
    <w:p w14:paraId="174EFC1F">
      <w:pPr>
        <w:spacing w:line="480" w:lineRule="auto"/>
        <w:jc w:val="left"/>
        <w:rPr>
          <w:rFonts w:eastAsia="方正仿宋_GBK"/>
          <w:sz w:val="32"/>
          <w:szCs w:val="32"/>
          <w:highlight w:val="yellow"/>
        </w:rPr>
      </w:pPr>
      <w:r>
        <w:rPr>
          <w:rFonts w:eastAsia="方正仿宋_GBK"/>
          <w:sz w:val="32"/>
          <w:szCs w:val="32"/>
        </w:rPr>
        <w:t>效评价指标体系</w:t>
      </w:r>
    </w:p>
    <w:p w14:paraId="62832629">
      <w:pPr>
        <w:numPr>
          <w:ilvl w:val="0"/>
          <w:numId w:val="1"/>
        </w:numPr>
        <w:spacing w:line="480" w:lineRule="auto"/>
        <w:ind w:firstLine="643" w:firstLineChars="200"/>
        <w:rPr>
          <w:rFonts w:eastAsia="方正仿宋_GBK"/>
          <w:sz w:val="32"/>
          <w:szCs w:val="32"/>
        </w:rPr>
      </w:pPr>
      <w:r>
        <w:rPr>
          <w:rFonts w:eastAsia="方正仿宋_GBK"/>
          <w:b/>
          <w:bCs/>
          <w:sz w:val="32"/>
          <w:szCs w:val="32"/>
        </w:rPr>
        <w:t>评价方法。</w:t>
      </w:r>
      <w:r>
        <w:rPr>
          <w:rFonts w:eastAsia="方正仿宋_GBK"/>
          <w:sz w:val="32"/>
          <w:szCs w:val="32"/>
        </w:rPr>
        <w:t>自我评价和他评相结合、资料审查和现场抽查相结合。</w:t>
      </w:r>
    </w:p>
    <w:p w14:paraId="4B9E1095">
      <w:pPr>
        <w:spacing w:line="480" w:lineRule="auto"/>
        <w:ind w:firstLine="643" w:firstLineChars="200"/>
        <w:jc w:val="left"/>
        <w:rPr>
          <w:rFonts w:eastAsia="方正仿宋_GBK"/>
          <w:sz w:val="32"/>
          <w:szCs w:val="32"/>
        </w:rPr>
      </w:pPr>
      <w:r>
        <w:rPr>
          <w:rFonts w:eastAsia="方正仿宋_GBK"/>
          <w:b/>
          <w:bCs/>
          <w:sz w:val="32"/>
          <w:szCs w:val="32"/>
        </w:rPr>
        <w:t>4、评价标准。</w:t>
      </w:r>
      <w:r>
        <w:rPr>
          <w:rFonts w:eastAsia="方正仿宋_GBK"/>
          <w:sz w:val="32"/>
          <w:szCs w:val="32"/>
        </w:rPr>
        <w:t>是否严格执行国家预算管理、国库集中</w:t>
      </w:r>
    </w:p>
    <w:p w14:paraId="0765B797">
      <w:pPr>
        <w:spacing w:line="480" w:lineRule="auto"/>
        <w:jc w:val="left"/>
        <w:rPr>
          <w:rFonts w:eastAsia="方正仿宋_GBK"/>
          <w:sz w:val="32"/>
          <w:szCs w:val="32"/>
        </w:rPr>
      </w:pPr>
      <w:r>
        <w:rPr>
          <w:rFonts w:eastAsia="方正仿宋_GBK"/>
          <w:sz w:val="32"/>
          <w:szCs w:val="32"/>
        </w:rPr>
        <w:t>支付和政府购买服务有关规定，规范管理，保证资金安全。</w:t>
      </w:r>
    </w:p>
    <w:p w14:paraId="277D4A69">
      <w:pPr>
        <w:spacing w:line="600" w:lineRule="exact"/>
        <w:ind w:firstLine="600" w:firstLineChars="200"/>
        <w:rPr>
          <w:rFonts w:ascii="仿宋_GB2312"/>
        </w:rPr>
      </w:pPr>
    </w:p>
    <w:p w14:paraId="3A49245D">
      <w:pPr>
        <w:spacing w:line="600" w:lineRule="exact"/>
        <w:ind w:firstLine="600" w:firstLineChars="200"/>
        <w:rPr>
          <w:rFonts w:ascii="仿宋_GB2312"/>
        </w:rPr>
      </w:pPr>
      <w:r>
        <w:rPr>
          <w:rFonts w:hint="eastAsia" w:ascii="仿宋_GB2312"/>
        </w:rPr>
        <w:t>（三）绩效评价工作过程。</w:t>
      </w:r>
    </w:p>
    <w:p w14:paraId="1F52A159">
      <w:pPr>
        <w:pStyle w:val="10"/>
        <w:spacing w:line="520" w:lineRule="exact"/>
        <w:ind w:firstLine="708" w:firstLineChars="233"/>
        <w:rPr>
          <w:rFonts w:ascii="仿宋_GB2312" w:hAnsi="仿宋" w:eastAsia="仿宋_GB2312" w:cs="仿宋_GB2312"/>
          <w:color w:val="auto"/>
          <w:spacing w:val="-8"/>
          <w:sz w:val="32"/>
          <w:szCs w:val="32"/>
        </w:rPr>
      </w:pPr>
      <w:r>
        <w:rPr>
          <w:rFonts w:hint="eastAsia" w:ascii="仿宋_GB2312" w:hAnsi="仿宋" w:eastAsia="仿宋_GB2312" w:cs="仿宋_GB2312"/>
          <w:color w:val="auto"/>
          <w:spacing w:val="-8"/>
          <w:sz w:val="32"/>
          <w:szCs w:val="32"/>
        </w:rPr>
        <w:t>1、前期准备工作</w:t>
      </w:r>
    </w:p>
    <w:p w14:paraId="19487461">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14:paraId="69393FE0">
      <w:pPr>
        <w:pStyle w:val="10"/>
        <w:spacing w:line="520" w:lineRule="exact"/>
        <w:ind w:firstLine="708" w:firstLineChars="233"/>
        <w:rPr>
          <w:rFonts w:ascii="仿宋_GB2312" w:hAnsi="仿宋" w:eastAsia="仿宋_GB2312" w:cs="仿宋_GB2312"/>
          <w:color w:val="auto"/>
          <w:spacing w:val="-8"/>
          <w:sz w:val="32"/>
          <w:szCs w:val="32"/>
        </w:rPr>
      </w:pPr>
      <w:r>
        <w:rPr>
          <w:rFonts w:hint="eastAsia" w:ascii="仿宋_GB2312" w:hAnsi="仿宋" w:eastAsia="仿宋_GB2312" w:cs="仿宋_GB2312"/>
          <w:spacing w:val="-8"/>
          <w:sz w:val="32"/>
          <w:szCs w:val="32"/>
        </w:rPr>
        <w:t>此次评价工作，在收集并熟悉了项目实施、管理及其他文件资料后，全面了解此次绩效评价的内容、方法和要求。评价小组收集了项目立项文件、项目预算资金材料、项目工作总结，完成了项目</w:t>
      </w:r>
      <w:r>
        <w:rPr>
          <w:rFonts w:hint="eastAsia" w:ascii="仿宋_GB2312" w:hAnsi="仿宋" w:eastAsia="仿宋_GB2312" w:cs="仿宋_GB2312"/>
          <w:color w:val="auto"/>
          <w:spacing w:val="-8"/>
          <w:sz w:val="32"/>
          <w:szCs w:val="32"/>
        </w:rPr>
        <w:t>基础信息表并形成绩效评价框架，指导具体的绩效评价工作。</w:t>
      </w:r>
    </w:p>
    <w:p w14:paraId="74273CE9">
      <w:pPr>
        <w:pStyle w:val="10"/>
        <w:spacing w:line="520" w:lineRule="exact"/>
        <w:ind w:firstLine="708" w:firstLineChars="233"/>
        <w:rPr>
          <w:rFonts w:ascii="仿宋_GB2312" w:hAnsi="仿宋" w:eastAsia="仿宋_GB2312" w:cs="仿宋_GB2312"/>
          <w:color w:val="auto"/>
          <w:spacing w:val="-8"/>
          <w:sz w:val="32"/>
          <w:szCs w:val="32"/>
        </w:rPr>
      </w:pPr>
      <w:r>
        <w:rPr>
          <w:rFonts w:hint="eastAsia" w:ascii="仿宋_GB2312" w:hAnsi="仿宋" w:eastAsia="仿宋_GB2312" w:cs="仿宋_GB2312"/>
          <w:color w:val="auto"/>
          <w:spacing w:val="-8"/>
          <w:sz w:val="32"/>
          <w:szCs w:val="32"/>
        </w:rPr>
        <w:t>2、组织实施过程内容</w:t>
      </w:r>
    </w:p>
    <w:p w14:paraId="3D3BC425">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14:paraId="1AC695B4">
      <w:pPr>
        <w:pStyle w:val="10"/>
        <w:spacing w:line="520" w:lineRule="exact"/>
        <w:ind w:firstLine="708" w:firstLineChars="233"/>
        <w:rPr>
          <w:rFonts w:ascii="仿宋_GB2312" w:hAnsi="仿宋" w:eastAsia="仿宋_GB2312" w:cs="仿宋_GB2312"/>
          <w:color w:val="auto"/>
          <w:spacing w:val="-8"/>
          <w:sz w:val="32"/>
          <w:szCs w:val="32"/>
        </w:rPr>
      </w:pPr>
      <w:bookmarkStart w:id="0" w:name="_Toc403599257"/>
      <w:r>
        <w:rPr>
          <w:rFonts w:hint="eastAsia" w:ascii="仿宋_GB2312" w:hAnsi="仿宋" w:eastAsia="仿宋_GB2312" w:cs="仿宋_GB2312"/>
          <w:color w:val="auto"/>
          <w:spacing w:val="-8"/>
          <w:sz w:val="32"/>
          <w:szCs w:val="32"/>
        </w:rPr>
        <w:t>3、绩效评价分析阶段</w:t>
      </w:r>
      <w:bookmarkEnd w:id="0"/>
    </w:p>
    <w:p w14:paraId="07A54466">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经过对收集到的资料进行比对和交叉验证后，确定用于继续分析和评价的证据，通过比较指标的实际情况与预期数据对应程度，最终确认评价结果。</w:t>
      </w:r>
    </w:p>
    <w:p w14:paraId="13C7796B">
      <w:pPr>
        <w:spacing w:line="600" w:lineRule="exact"/>
        <w:ind w:firstLine="600" w:firstLineChars="200"/>
        <w:rPr>
          <w:rFonts w:ascii="仿宋_GB2312"/>
        </w:rPr>
      </w:pPr>
    </w:p>
    <w:p w14:paraId="78B3795A">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7A6BE7BC">
      <w:pPr>
        <w:spacing w:line="600" w:lineRule="exact"/>
        <w:ind w:firstLine="600" w:firstLineChars="200"/>
        <w:rPr>
          <w:rFonts w:ascii="黑体" w:hAnsi="黑体" w:eastAsia="黑体"/>
        </w:rPr>
      </w:pPr>
      <w:r>
        <w:rPr>
          <w:rFonts w:hint="eastAsia" w:ascii="黑体" w:hAnsi="黑体" w:eastAsia="黑体"/>
        </w:rPr>
        <w:t>四、绩效评价指标分析</w:t>
      </w:r>
    </w:p>
    <w:p w14:paraId="057FB51E">
      <w:pPr>
        <w:numPr>
          <w:ilvl w:val="0"/>
          <w:numId w:val="3"/>
        </w:numPr>
        <w:spacing w:line="480" w:lineRule="auto"/>
        <w:ind w:firstLine="640" w:firstLineChars="200"/>
        <w:jc w:val="left"/>
        <w:rPr>
          <w:rFonts w:eastAsia="方正仿宋_GBK"/>
          <w:sz w:val="32"/>
          <w:szCs w:val="32"/>
        </w:rPr>
      </w:pPr>
      <w:r>
        <w:rPr>
          <w:rFonts w:eastAsia="方正仿宋_GBK"/>
          <w:sz w:val="32"/>
          <w:szCs w:val="32"/>
        </w:rPr>
        <w:t>项目决策情况。项目编制内容严格按照巴州动物疫病防控实际，按照相关文件及政策合理制定《2019年动物疫病防控工作资金使用实施方案》，并将方案上报州财政局。目标合理，与实际相符。</w:t>
      </w:r>
    </w:p>
    <w:p w14:paraId="520E98C8">
      <w:pPr>
        <w:numPr>
          <w:ilvl w:val="0"/>
          <w:numId w:val="3"/>
        </w:numPr>
        <w:spacing w:line="480" w:lineRule="auto"/>
        <w:ind w:firstLine="640" w:firstLineChars="200"/>
        <w:jc w:val="left"/>
        <w:rPr>
          <w:rFonts w:eastAsia="方正仿宋_GBK"/>
          <w:sz w:val="32"/>
          <w:szCs w:val="32"/>
        </w:rPr>
      </w:pPr>
      <w:r>
        <w:rPr>
          <w:rFonts w:eastAsia="方正仿宋_GBK"/>
          <w:sz w:val="32"/>
          <w:szCs w:val="32"/>
        </w:rPr>
        <w:t>项目过程情况。</w:t>
      </w:r>
    </w:p>
    <w:p w14:paraId="47D17384">
      <w:pPr>
        <w:numPr>
          <w:ilvl w:val="0"/>
          <w:numId w:val="3"/>
        </w:numPr>
        <w:spacing w:line="480" w:lineRule="auto"/>
        <w:ind w:firstLine="640" w:firstLineChars="200"/>
        <w:jc w:val="left"/>
        <w:rPr>
          <w:rFonts w:eastAsia="方正仿宋_GBK"/>
          <w:sz w:val="32"/>
          <w:szCs w:val="32"/>
        </w:rPr>
      </w:pPr>
      <w:r>
        <w:rPr>
          <w:rFonts w:eastAsia="方正仿宋_GBK"/>
          <w:sz w:val="32"/>
          <w:szCs w:val="32"/>
        </w:rPr>
        <w:t>项目产出情况。</w:t>
      </w:r>
    </w:p>
    <w:p w14:paraId="4CBAF032">
      <w:pPr>
        <w:numPr>
          <w:ilvl w:val="0"/>
          <w:numId w:val="3"/>
        </w:numPr>
        <w:spacing w:line="480" w:lineRule="auto"/>
        <w:ind w:firstLine="640" w:firstLineChars="200"/>
        <w:jc w:val="left"/>
        <w:rPr>
          <w:rFonts w:eastAsia="方正仿宋_GBK"/>
          <w:sz w:val="32"/>
          <w:szCs w:val="32"/>
        </w:rPr>
      </w:pPr>
      <w:r>
        <w:rPr>
          <w:rFonts w:eastAsia="方正仿宋_GBK"/>
          <w:sz w:val="32"/>
          <w:szCs w:val="32"/>
        </w:rPr>
        <w:t>项目效益情况。1、社会效益：本项目的实施，保证了全州未发生非洲猪瘟区域性重大动物疫病促进畜牧业增产，农牧民增收，为全面实现小康社会起到积极的作用2、经济效益：为全州畜牧业发展、环境公共卫生、食品安全提供了技术服务，提高了生产性能，降低动物疫病造成的经济损失，以此推进养殖者的经济收入。</w:t>
      </w:r>
    </w:p>
    <w:p w14:paraId="5FEC9A12">
      <w:pPr>
        <w:numPr>
          <w:ilvl w:val="0"/>
          <w:numId w:val="4"/>
        </w:numPr>
        <w:spacing w:line="600" w:lineRule="exact"/>
        <w:rPr>
          <w:rFonts w:ascii="黑体" w:hAnsi="黑体" w:eastAsia="黑体"/>
        </w:rPr>
      </w:pPr>
      <w:r>
        <w:rPr>
          <w:rFonts w:hint="eastAsia" w:ascii="黑体" w:hAnsi="黑体" w:eastAsia="黑体"/>
        </w:rPr>
        <w:t>主要经验及做法、存在的问题及原因分析</w:t>
      </w:r>
    </w:p>
    <w:p w14:paraId="455933DD">
      <w:pPr>
        <w:spacing w:line="480" w:lineRule="auto"/>
        <w:ind w:firstLine="640" w:firstLineChars="200"/>
        <w:jc w:val="left"/>
        <w:rPr>
          <w:rFonts w:eastAsia="方正仿宋_GBK"/>
          <w:sz w:val="32"/>
          <w:szCs w:val="32"/>
        </w:rPr>
      </w:pPr>
      <w:r>
        <w:rPr>
          <w:rFonts w:eastAsia="方正仿宋_GBK"/>
          <w:sz w:val="32"/>
          <w:szCs w:val="32"/>
        </w:rPr>
        <w:t>1、主要经验及做法。</w:t>
      </w:r>
      <w:r>
        <w:rPr>
          <w:rFonts w:hint="eastAsia" w:eastAsia="方正仿宋_GBK"/>
          <w:sz w:val="32"/>
          <w:szCs w:val="32"/>
        </w:rPr>
        <w:t>为更好的进行全州重大动物疫病防控工作，建立州、县、乡防控体系，进行群防群控机制，有效提升了动物疫病防控工作能力和水平。</w:t>
      </w:r>
    </w:p>
    <w:p w14:paraId="09A8C220">
      <w:pPr>
        <w:spacing w:line="480" w:lineRule="auto"/>
        <w:ind w:firstLine="640" w:firstLineChars="200"/>
        <w:jc w:val="left"/>
        <w:rPr>
          <w:rFonts w:ascii="黑体" w:hAnsi="黑体" w:eastAsia="黑体"/>
        </w:rPr>
      </w:pPr>
      <w:r>
        <w:rPr>
          <w:rFonts w:eastAsia="方正仿宋_GBK"/>
          <w:sz w:val="32"/>
          <w:szCs w:val="32"/>
        </w:rPr>
        <w:t>2、存在问题及原因分析。存在实施方案不明确情况，制定的《2019年动物疫病防控工作资金使用实施方案》未明确时间相关信息，不便于资金的时效管理。主要原因是对动物疫病防控工作的</w:t>
      </w:r>
    </w:p>
    <w:p w14:paraId="2D1C1015">
      <w:pPr>
        <w:spacing w:line="600" w:lineRule="exact"/>
        <w:ind w:firstLine="600" w:firstLineChars="200"/>
        <w:rPr>
          <w:rFonts w:ascii="黑体" w:hAnsi="黑体" w:eastAsia="黑体"/>
        </w:rPr>
      </w:pPr>
      <w:r>
        <w:rPr>
          <w:rFonts w:hint="eastAsia" w:ascii="黑体" w:hAnsi="黑体" w:eastAsia="黑体"/>
        </w:rPr>
        <w:t>六、有关建议</w:t>
      </w:r>
    </w:p>
    <w:p w14:paraId="212DF7CA">
      <w:pPr>
        <w:spacing w:line="480" w:lineRule="auto"/>
        <w:ind w:left="600" w:leftChars="200"/>
        <w:jc w:val="left"/>
        <w:rPr>
          <w:rFonts w:eastAsia="方正仿宋_GBK"/>
          <w:sz w:val="32"/>
          <w:szCs w:val="32"/>
        </w:rPr>
      </w:pPr>
      <w:r>
        <w:rPr>
          <w:rFonts w:eastAsia="方正仿宋_GBK"/>
          <w:sz w:val="32"/>
          <w:szCs w:val="32"/>
        </w:rPr>
        <w:t>做好防疫工作。</w:t>
      </w:r>
    </w:p>
    <w:p w14:paraId="0CA103F0">
      <w:pPr>
        <w:spacing w:line="600" w:lineRule="exact"/>
        <w:ind w:firstLine="600" w:firstLineChars="200"/>
        <w:rPr>
          <w:rFonts w:ascii="黑体" w:hAnsi="黑体" w:eastAsia="黑体"/>
        </w:rPr>
      </w:pPr>
    </w:p>
    <w:p w14:paraId="797490D5">
      <w:pPr>
        <w:spacing w:line="600" w:lineRule="exact"/>
        <w:ind w:firstLine="600" w:firstLineChars="200"/>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r>
        <w:rPr>
          <w:rFonts w:hint="eastAsia" w:ascii="黑体" w:hAnsi="黑体" w:eastAsia="黑体"/>
        </w:rPr>
        <w:t>七、其他需要说明的问题</w:t>
      </w:r>
    </w:p>
    <w:p w14:paraId="327A695A">
      <w:pPr>
        <w:pStyle w:val="2"/>
        <w:spacing w:before="0" w:after="0" w:line="240" w:lineRule="auto"/>
        <w:jc w:val="center"/>
        <w:rPr>
          <w:rFonts w:eastAsia="宋体"/>
          <w:bCs/>
          <w:color w:val="000000"/>
        </w:rPr>
      </w:pPr>
      <w:r>
        <w:rPr>
          <w:rFonts w:hint="eastAsia" w:ascii="宋体" w:hAnsi="宋体" w:eastAsia="宋体" w:cs="宋体"/>
          <w:bCs/>
          <w:color w:val="000000"/>
          <w:sz w:val="36"/>
          <w:szCs w:val="28"/>
        </w:rPr>
        <w:t>项目支出绩效评价评分表</w:t>
      </w: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19A1A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65243AB5">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532D57C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40417250">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145D5B0F">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2DAD9454">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39A975BC">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C192A0E">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4797BF17">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737BA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7666673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20598DB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02653FE">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17F6D09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5701B73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41C7FE1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6E981DA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1E1C804F">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1E40531A">
            <w:pPr>
              <w:widowControl/>
              <w:jc w:val="left"/>
              <w:rPr>
                <w:rFonts w:ascii="宋体" w:hAnsi="宋体" w:eastAsia="宋体" w:cs="宋体"/>
                <w:color w:val="000000"/>
                <w:kern w:val="0"/>
                <w:sz w:val="22"/>
                <w:szCs w:val="22"/>
              </w:rPr>
            </w:pPr>
          </w:p>
          <w:p w14:paraId="7C99954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05A8F8B">
            <w:pPr>
              <w:widowControl/>
              <w:jc w:val="left"/>
              <w:rPr>
                <w:rFonts w:ascii="宋体" w:hAnsi="宋体" w:eastAsia="宋体" w:cs="宋体"/>
                <w:color w:val="000000"/>
                <w:kern w:val="0"/>
                <w:sz w:val="22"/>
                <w:szCs w:val="22"/>
              </w:rPr>
            </w:pPr>
          </w:p>
          <w:p w14:paraId="6A3798B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334E5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0ED5E01F">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C23C9E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112C00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734DCD4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227B062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6384D8A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7A3412E2">
            <w:pPr>
              <w:widowControl/>
              <w:jc w:val="left"/>
              <w:rPr>
                <w:rFonts w:ascii="宋体" w:hAnsi="宋体" w:eastAsia="宋体" w:cs="宋体"/>
                <w:color w:val="000000"/>
                <w:kern w:val="0"/>
                <w:sz w:val="22"/>
                <w:szCs w:val="22"/>
              </w:rPr>
            </w:pPr>
          </w:p>
          <w:p w14:paraId="56CB9A0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5F256BB">
            <w:pPr>
              <w:widowControl/>
              <w:jc w:val="left"/>
              <w:rPr>
                <w:rFonts w:ascii="宋体" w:hAnsi="宋体" w:eastAsia="宋体" w:cs="宋体"/>
                <w:color w:val="000000"/>
                <w:kern w:val="0"/>
                <w:sz w:val="22"/>
                <w:szCs w:val="22"/>
              </w:rPr>
            </w:pPr>
          </w:p>
          <w:p w14:paraId="6C7C1FE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E6E52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21DD0736">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CF889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6C0718D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3692AF6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258542A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F2A17CD">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6A118340">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2F317009">
            <w:pPr>
              <w:widowControl/>
              <w:jc w:val="left"/>
              <w:rPr>
                <w:rFonts w:ascii="宋体" w:hAnsi="宋体" w:eastAsia="宋体" w:cs="宋体"/>
                <w:color w:val="000000"/>
                <w:kern w:val="0"/>
                <w:sz w:val="22"/>
                <w:szCs w:val="22"/>
              </w:rPr>
            </w:pPr>
          </w:p>
          <w:p w14:paraId="0ACE7C5E">
            <w:pPr>
              <w:widowControl/>
              <w:jc w:val="left"/>
              <w:rPr>
                <w:rFonts w:ascii="宋体" w:hAnsi="宋体" w:eastAsia="宋体" w:cs="宋体"/>
                <w:color w:val="000000"/>
                <w:kern w:val="0"/>
                <w:sz w:val="22"/>
                <w:szCs w:val="22"/>
              </w:rPr>
            </w:pPr>
          </w:p>
          <w:p w14:paraId="1B6EC7A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08BCAE3">
            <w:pPr>
              <w:widowControl/>
              <w:jc w:val="left"/>
              <w:rPr>
                <w:rFonts w:ascii="宋体" w:hAnsi="宋体" w:eastAsia="宋体" w:cs="宋体"/>
                <w:color w:val="000000"/>
                <w:kern w:val="0"/>
                <w:sz w:val="22"/>
                <w:szCs w:val="22"/>
              </w:rPr>
            </w:pPr>
          </w:p>
          <w:p w14:paraId="527F62E4">
            <w:pPr>
              <w:widowControl/>
              <w:jc w:val="left"/>
              <w:rPr>
                <w:rFonts w:ascii="宋体" w:hAnsi="宋体" w:eastAsia="宋体" w:cs="宋体"/>
                <w:color w:val="000000"/>
                <w:kern w:val="0"/>
                <w:sz w:val="22"/>
                <w:szCs w:val="22"/>
              </w:rPr>
            </w:pPr>
          </w:p>
          <w:p w14:paraId="5F310D1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r>
      <w:tr w14:paraId="0A534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038F61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727AC07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20B2145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45ABE04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4030DC1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993EF4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45D3B03B">
            <w:pPr>
              <w:widowControl/>
              <w:jc w:val="left"/>
              <w:rPr>
                <w:rFonts w:ascii="宋体" w:hAnsi="宋体" w:eastAsia="宋体" w:cs="宋体"/>
                <w:color w:val="000000"/>
                <w:kern w:val="0"/>
                <w:sz w:val="22"/>
                <w:szCs w:val="22"/>
              </w:rPr>
            </w:pPr>
          </w:p>
          <w:p w14:paraId="74FDC7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1341DBD">
            <w:pPr>
              <w:widowControl/>
              <w:jc w:val="left"/>
              <w:rPr>
                <w:rFonts w:ascii="宋体" w:hAnsi="宋体" w:eastAsia="宋体" w:cs="宋体"/>
                <w:color w:val="000000"/>
                <w:kern w:val="0"/>
                <w:sz w:val="22"/>
                <w:szCs w:val="22"/>
              </w:rPr>
            </w:pPr>
          </w:p>
          <w:p w14:paraId="483C09D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7A22C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0736A13C">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749F302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514DD2C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42CCC5D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37056F9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47D737B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165C7DD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538BE8A0">
            <w:pPr>
              <w:widowControl/>
              <w:jc w:val="left"/>
              <w:rPr>
                <w:rFonts w:ascii="宋体" w:hAnsi="宋体" w:eastAsia="宋体" w:cs="宋体"/>
                <w:color w:val="000000"/>
                <w:kern w:val="0"/>
                <w:sz w:val="22"/>
                <w:szCs w:val="22"/>
              </w:rPr>
            </w:pPr>
          </w:p>
          <w:p w14:paraId="099FD813">
            <w:pPr>
              <w:widowControl/>
              <w:jc w:val="left"/>
              <w:rPr>
                <w:rFonts w:ascii="宋体" w:hAnsi="宋体" w:eastAsia="宋体" w:cs="宋体"/>
                <w:color w:val="000000"/>
                <w:kern w:val="0"/>
                <w:sz w:val="22"/>
                <w:szCs w:val="22"/>
              </w:rPr>
            </w:pPr>
          </w:p>
          <w:p w14:paraId="2013E3C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637E00A">
            <w:pPr>
              <w:widowControl/>
              <w:jc w:val="left"/>
              <w:rPr>
                <w:rFonts w:ascii="宋体" w:hAnsi="宋体" w:eastAsia="宋体" w:cs="宋体"/>
                <w:color w:val="000000"/>
                <w:kern w:val="0"/>
                <w:sz w:val="22"/>
                <w:szCs w:val="22"/>
              </w:rPr>
            </w:pPr>
          </w:p>
          <w:p w14:paraId="789A76C3">
            <w:pPr>
              <w:widowControl/>
              <w:jc w:val="left"/>
              <w:rPr>
                <w:rFonts w:ascii="宋体" w:hAnsi="宋体" w:eastAsia="宋体" w:cs="宋体"/>
                <w:color w:val="000000"/>
                <w:kern w:val="0"/>
                <w:sz w:val="22"/>
                <w:szCs w:val="22"/>
              </w:rPr>
            </w:pPr>
          </w:p>
          <w:p w14:paraId="6BF5E7A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EFA5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1D532A9B">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D895A0B">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9AEA1E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57D7143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7DF4790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2B3D603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50E92503">
            <w:pPr>
              <w:widowControl/>
              <w:jc w:val="left"/>
              <w:rPr>
                <w:rFonts w:ascii="宋体" w:hAnsi="宋体" w:eastAsia="宋体" w:cs="宋体"/>
                <w:color w:val="000000"/>
                <w:kern w:val="0"/>
                <w:sz w:val="22"/>
                <w:szCs w:val="22"/>
              </w:rPr>
            </w:pPr>
          </w:p>
          <w:p w14:paraId="528611F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F35800F">
            <w:pPr>
              <w:widowControl/>
              <w:jc w:val="left"/>
              <w:rPr>
                <w:rFonts w:ascii="宋体" w:hAnsi="宋体" w:eastAsia="宋体" w:cs="宋体"/>
                <w:color w:val="000000"/>
                <w:kern w:val="0"/>
                <w:sz w:val="22"/>
                <w:szCs w:val="22"/>
              </w:rPr>
            </w:pPr>
          </w:p>
          <w:p w14:paraId="76EEF4A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3F753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62C20456">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4677180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7CAF820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1BC526E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1260A92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35CCEB4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220DA92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40C7630A">
            <w:pPr>
              <w:widowControl/>
              <w:jc w:val="left"/>
              <w:rPr>
                <w:rFonts w:ascii="宋体" w:hAnsi="宋体" w:eastAsia="宋体" w:cs="宋体"/>
                <w:color w:val="000000"/>
                <w:kern w:val="0"/>
                <w:sz w:val="22"/>
                <w:szCs w:val="22"/>
              </w:rPr>
            </w:pPr>
          </w:p>
          <w:p w14:paraId="63E13B5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A1DFDDF">
            <w:pPr>
              <w:widowControl/>
              <w:jc w:val="left"/>
              <w:rPr>
                <w:rFonts w:ascii="宋体" w:hAnsi="宋体" w:eastAsia="宋体" w:cs="宋体"/>
                <w:color w:val="000000"/>
                <w:kern w:val="0"/>
                <w:sz w:val="22"/>
                <w:szCs w:val="22"/>
              </w:rPr>
            </w:pPr>
          </w:p>
          <w:p w14:paraId="407238D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F819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354148B0">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2A3B843">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0A4738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00406CA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0018969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005C9813">
            <w:pPr>
              <w:widowControl/>
              <w:jc w:val="left"/>
              <w:rPr>
                <w:rFonts w:ascii="宋体" w:hAnsi="宋体" w:eastAsia="宋体" w:cs="宋体"/>
                <w:color w:val="000000"/>
                <w:kern w:val="0"/>
                <w:sz w:val="22"/>
                <w:szCs w:val="22"/>
              </w:rPr>
            </w:pPr>
          </w:p>
          <w:p w14:paraId="3FC3666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69A66BF">
            <w:pPr>
              <w:widowControl/>
              <w:jc w:val="left"/>
              <w:rPr>
                <w:rFonts w:ascii="宋体" w:hAnsi="宋体" w:eastAsia="宋体" w:cs="宋体"/>
                <w:color w:val="000000"/>
                <w:kern w:val="0"/>
                <w:sz w:val="22"/>
                <w:szCs w:val="22"/>
              </w:rPr>
            </w:pPr>
          </w:p>
          <w:p w14:paraId="48D0697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4C824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3A8E511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528FBE2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44582AC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291AC85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22994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3D818A7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0942660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706A1CC1">
            <w:pPr>
              <w:widowControl/>
              <w:jc w:val="left"/>
              <w:rPr>
                <w:rFonts w:ascii="宋体" w:hAnsi="宋体" w:eastAsia="宋体" w:cs="宋体"/>
                <w:color w:val="000000"/>
                <w:kern w:val="0"/>
                <w:sz w:val="22"/>
                <w:szCs w:val="22"/>
              </w:rPr>
            </w:pPr>
          </w:p>
          <w:p w14:paraId="209DB78D">
            <w:pPr>
              <w:widowControl/>
              <w:jc w:val="left"/>
              <w:rPr>
                <w:rFonts w:ascii="宋体" w:hAnsi="宋体" w:eastAsia="宋体" w:cs="宋体"/>
                <w:color w:val="000000"/>
                <w:kern w:val="0"/>
                <w:sz w:val="22"/>
                <w:szCs w:val="22"/>
              </w:rPr>
            </w:pPr>
          </w:p>
          <w:p w14:paraId="433C406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C2D8F4D">
            <w:pPr>
              <w:widowControl/>
              <w:jc w:val="left"/>
              <w:rPr>
                <w:rFonts w:ascii="宋体" w:hAnsi="宋体" w:eastAsia="宋体" w:cs="宋体"/>
                <w:color w:val="000000"/>
                <w:kern w:val="0"/>
                <w:sz w:val="22"/>
                <w:szCs w:val="22"/>
              </w:rPr>
            </w:pPr>
          </w:p>
          <w:p w14:paraId="76F16CCB">
            <w:pPr>
              <w:widowControl/>
              <w:jc w:val="left"/>
              <w:rPr>
                <w:rFonts w:ascii="宋体" w:hAnsi="宋体" w:eastAsia="宋体" w:cs="宋体"/>
                <w:color w:val="000000"/>
                <w:kern w:val="0"/>
                <w:sz w:val="22"/>
                <w:szCs w:val="22"/>
              </w:rPr>
            </w:pPr>
          </w:p>
          <w:p w14:paraId="443875C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69A9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1F830831">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6A6D851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569DD65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7276AD1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7678E4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1EB640B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6867D9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0B82F30B">
            <w:pPr>
              <w:widowControl/>
              <w:jc w:val="left"/>
              <w:rPr>
                <w:rFonts w:ascii="宋体" w:hAnsi="宋体" w:eastAsia="宋体" w:cs="宋体"/>
                <w:color w:val="000000"/>
                <w:kern w:val="0"/>
                <w:sz w:val="22"/>
                <w:szCs w:val="22"/>
              </w:rPr>
            </w:pPr>
          </w:p>
          <w:p w14:paraId="0015C5BB">
            <w:pPr>
              <w:widowControl/>
              <w:jc w:val="left"/>
              <w:rPr>
                <w:rFonts w:ascii="宋体" w:hAnsi="宋体" w:eastAsia="宋体" w:cs="宋体"/>
                <w:color w:val="000000"/>
                <w:kern w:val="0"/>
                <w:sz w:val="22"/>
                <w:szCs w:val="22"/>
              </w:rPr>
            </w:pPr>
          </w:p>
          <w:p w14:paraId="1E0ECED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58C748E">
            <w:pPr>
              <w:widowControl/>
              <w:jc w:val="left"/>
              <w:rPr>
                <w:rFonts w:ascii="宋体" w:hAnsi="宋体" w:eastAsia="宋体" w:cs="宋体"/>
                <w:color w:val="000000"/>
                <w:kern w:val="0"/>
                <w:sz w:val="22"/>
                <w:szCs w:val="22"/>
              </w:rPr>
            </w:pPr>
          </w:p>
          <w:p w14:paraId="6325C98C">
            <w:pPr>
              <w:widowControl/>
              <w:jc w:val="left"/>
              <w:rPr>
                <w:rFonts w:ascii="宋体" w:hAnsi="宋体" w:eastAsia="宋体" w:cs="宋体"/>
                <w:color w:val="000000"/>
                <w:kern w:val="0"/>
                <w:sz w:val="22"/>
                <w:szCs w:val="22"/>
              </w:rPr>
            </w:pPr>
          </w:p>
          <w:p w14:paraId="5723147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3B86E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2A0AD199">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3FD48F6">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4A1786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1E53F45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6B69007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2D51EA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0A0397A9">
            <w:pPr>
              <w:widowControl/>
              <w:jc w:val="left"/>
              <w:rPr>
                <w:rFonts w:ascii="宋体" w:hAnsi="宋体" w:eastAsia="宋体" w:cs="宋体"/>
                <w:color w:val="000000"/>
                <w:kern w:val="0"/>
                <w:sz w:val="22"/>
                <w:szCs w:val="22"/>
              </w:rPr>
            </w:pPr>
          </w:p>
          <w:p w14:paraId="4565A9B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B813CD4">
            <w:pPr>
              <w:widowControl/>
              <w:jc w:val="left"/>
              <w:rPr>
                <w:rFonts w:ascii="宋体" w:hAnsi="宋体" w:eastAsia="宋体" w:cs="宋体"/>
                <w:color w:val="000000"/>
                <w:kern w:val="0"/>
                <w:sz w:val="22"/>
                <w:szCs w:val="22"/>
              </w:rPr>
            </w:pPr>
          </w:p>
          <w:p w14:paraId="04984C8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A2EB0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2B1766E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90E7BE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18DEC53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266D9CC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50C267B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5453BF6E">
            <w:pPr>
              <w:widowControl/>
              <w:jc w:val="left"/>
              <w:rPr>
                <w:rFonts w:ascii="宋体" w:hAnsi="宋体" w:eastAsia="宋体" w:cs="宋体"/>
                <w:color w:val="000000"/>
                <w:kern w:val="0"/>
                <w:sz w:val="22"/>
                <w:szCs w:val="22"/>
              </w:rPr>
            </w:pPr>
          </w:p>
          <w:p w14:paraId="144BB0F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CE4E0B1">
            <w:pPr>
              <w:widowControl/>
              <w:jc w:val="left"/>
              <w:rPr>
                <w:rFonts w:ascii="宋体" w:hAnsi="宋体" w:eastAsia="宋体" w:cs="宋体"/>
                <w:color w:val="000000"/>
                <w:kern w:val="0"/>
                <w:sz w:val="22"/>
                <w:szCs w:val="22"/>
              </w:rPr>
            </w:pPr>
          </w:p>
          <w:p w14:paraId="1496482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1D99E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6CA4367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7816BB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606F45B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5C1A6B9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0A71110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0B04629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3EE3CD1C">
            <w:pPr>
              <w:widowControl/>
              <w:jc w:val="left"/>
              <w:rPr>
                <w:rFonts w:ascii="宋体" w:hAnsi="宋体" w:eastAsia="宋体" w:cs="宋体"/>
                <w:color w:val="000000"/>
                <w:kern w:val="0"/>
                <w:sz w:val="22"/>
                <w:szCs w:val="22"/>
              </w:rPr>
            </w:pPr>
          </w:p>
          <w:p w14:paraId="6D3B557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4A4FBD8">
            <w:pPr>
              <w:widowControl/>
              <w:jc w:val="left"/>
              <w:rPr>
                <w:rFonts w:ascii="宋体" w:hAnsi="宋体" w:eastAsia="宋体" w:cs="宋体"/>
                <w:color w:val="000000"/>
                <w:kern w:val="0"/>
                <w:sz w:val="22"/>
                <w:szCs w:val="22"/>
              </w:rPr>
            </w:pPr>
          </w:p>
          <w:p w14:paraId="46FAB6C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039B5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520675D4">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7442234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0936F46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2315894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A215D8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058E8456">
            <w:pPr>
              <w:widowControl/>
              <w:jc w:val="left"/>
              <w:rPr>
                <w:rFonts w:ascii="宋体" w:hAnsi="宋体" w:eastAsia="宋体" w:cs="宋体"/>
                <w:color w:val="000000"/>
                <w:kern w:val="0"/>
                <w:sz w:val="22"/>
                <w:szCs w:val="22"/>
              </w:rPr>
            </w:pPr>
          </w:p>
          <w:p w14:paraId="03ACD3E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52EB47D">
            <w:pPr>
              <w:widowControl/>
              <w:jc w:val="left"/>
              <w:rPr>
                <w:rFonts w:ascii="宋体" w:hAnsi="宋体" w:eastAsia="宋体" w:cs="宋体"/>
                <w:color w:val="000000"/>
                <w:kern w:val="0"/>
                <w:sz w:val="22"/>
                <w:szCs w:val="22"/>
              </w:rPr>
            </w:pPr>
          </w:p>
          <w:p w14:paraId="3D7ABAC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5DCE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63" w:type="dxa"/>
            <w:vMerge w:val="continue"/>
            <w:tcBorders>
              <w:tl2br w:val="nil"/>
              <w:tr2bl w:val="nil"/>
            </w:tcBorders>
            <w:shd w:val="clear" w:color="auto" w:fill="FFFFFF"/>
            <w:vAlign w:val="center"/>
          </w:tcPr>
          <w:p w14:paraId="48118321">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D0AEA9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0CB530A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474916C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75FD723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73016F21">
            <w:pPr>
              <w:widowControl/>
              <w:jc w:val="left"/>
              <w:rPr>
                <w:rFonts w:ascii="宋体" w:hAnsi="宋体" w:eastAsia="宋体" w:cs="宋体"/>
                <w:color w:val="000000"/>
                <w:kern w:val="0"/>
                <w:sz w:val="22"/>
                <w:szCs w:val="22"/>
              </w:rPr>
            </w:pPr>
          </w:p>
          <w:p w14:paraId="01CDEF1C">
            <w:pPr>
              <w:widowControl/>
              <w:jc w:val="left"/>
              <w:rPr>
                <w:rFonts w:ascii="宋体" w:hAnsi="宋体" w:eastAsia="宋体" w:cs="宋体"/>
                <w:color w:val="000000"/>
                <w:kern w:val="0"/>
                <w:sz w:val="22"/>
                <w:szCs w:val="22"/>
              </w:rPr>
            </w:pPr>
          </w:p>
          <w:p w14:paraId="5066621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FAE2D2D">
            <w:pPr>
              <w:widowControl/>
              <w:jc w:val="left"/>
              <w:rPr>
                <w:rFonts w:ascii="宋体" w:hAnsi="宋体" w:eastAsia="宋体" w:cs="宋体"/>
                <w:color w:val="000000"/>
                <w:kern w:val="0"/>
                <w:sz w:val="22"/>
                <w:szCs w:val="22"/>
              </w:rPr>
            </w:pPr>
          </w:p>
          <w:p w14:paraId="5A44B1F0">
            <w:pPr>
              <w:widowControl/>
              <w:jc w:val="left"/>
              <w:rPr>
                <w:rFonts w:ascii="宋体" w:hAnsi="宋体" w:eastAsia="宋体" w:cs="宋体"/>
                <w:color w:val="000000"/>
                <w:kern w:val="0"/>
                <w:sz w:val="22"/>
                <w:szCs w:val="22"/>
              </w:rPr>
            </w:pPr>
          </w:p>
          <w:p w14:paraId="00998B1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07B5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285C271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051A967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2F076B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4319C35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5E87E8D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11255E92">
            <w:pPr>
              <w:widowControl/>
              <w:jc w:val="left"/>
              <w:rPr>
                <w:rFonts w:ascii="宋体" w:hAnsi="宋体" w:eastAsia="宋体" w:cs="宋体"/>
                <w:color w:val="000000"/>
                <w:kern w:val="0"/>
                <w:sz w:val="22"/>
                <w:szCs w:val="22"/>
              </w:rPr>
            </w:pPr>
          </w:p>
          <w:p w14:paraId="17B4FBC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659573C">
            <w:pPr>
              <w:widowControl/>
              <w:jc w:val="left"/>
              <w:rPr>
                <w:rFonts w:ascii="宋体" w:hAnsi="宋体" w:eastAsia="宋体" w:cs="宋体"/>
                <w:color w:val="000000"/>
                <w:kern w:val="0"/>
                <w:sz w:val="22"/>
                <w:szCs w:val="22"/>
              </w:rPr>
            </w:pPr>
          </w:p>
          <w:p w14:paraId="3EDC70D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r>
      <w:tr w14:paraId="052B9D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7" w:hRule="atLeast"/>
          <w:jc w:val="center"/>
        </w:trPr>
        <w:tc>
          <w:tcPr>
            <w:tcW w:w="763" w:type="dxa"/>
            <w:vMerge w:val="continue"/>
            <w:tcBorders>
              <w:tl2br w:val="nil"/>
              <w:tr2bl w:val="nil"/>
            </w:tcBorders>
            <w:shd w:val="clear" w:color="auto" w:fill="FFFFFF"/>
            <w:vAlign w:val="center"/>
          </w:tcPr>
          <w:p w14:paraId="6058D60F">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F16549E">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EDF173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662092E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5A3B127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146CAD6B">
            <w:pPr>
              <w:widowControl/>
              <w:jc w:val="left"/>
              <w:rPr>
                <w:rFonts w:ascii="宋体" w:hAnsi="宋体" w:eastAsia="宋体" w:cs="宋体"/>
                <w:color w:val="000000"/>
                <w:kern w:val="0"/>
                <w:sz w:val="22"/>
                <w:szCs w:val="22"/>
              </w:rPr>
            </w:pPr>
          </w:p>
          <w:p w14:paraId="2E0ACE8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3BC8CC2">
            <w:pPr>
              <w:widowControl/>
              <w:jc w:val="left"/>
              <w:rPr>
                <w:rFonts w:ascii="宋体" w:hAnsi="宋体" w:eastAsia="宋体" w:cs="宋体"/>
                <w:color w:val="000000"/>
                <w:kern w:val="0"/>
                <w:sz w:val="22"/>
                <w:szCs w:val="22"/>
              </w:rPr>
            </w:pPr>
          </w:p>
          <w:p w14:paraId="6E7A95D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6F977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7" w:hRule="atLeast"/>
          <w:jc w:val="center"/>
        </w:trPr>
        <w:tc>
          <w:tcPr>
            <w:tcW w:w="763" w:type="dxa"/>
            <w:tcBorders>
              <w:tl2br w:val="nil"/>
              <w:tr2bl w:val="nil"/>
            </w:tcBorders>
            <w:shd w:val="clear" w:color="auto" w:fill="FFFFFF"/>
            <w:vAlign w:val="center"/>
          </w:tcPr>
          <w:p w14:paraId="46674C4B">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6324106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合计总分</w:t>
            </w:r>
          </w:p>
        </w:tc>
        <w:tc>
          <w:tcPr>
            <w:tcW w:w="1411" w:type="dxa"/>
            <w:tcBorders>
              <w:tl2br w:val="nil"/>
              <w:tr2bl w:val="nil"/>
            </w:tcBorders>
            <w:shd w:val="clear" w:color="auto" w:fill="FFFFFF"/>
            <w:vAlign w:val="center"/>
          </w:tcPr>
          <w:p w14:paraId="31F31A0E">
            <w:pPr>
              <w:widowControl/>
              <w:spacing w:line="0" w:lineRule="atLeast"/>
              <w:jc w:val="center"/>
              <w:rPr>
                <w:rFonts w:ascii="宋体" w:hAnsi="宋体" w:eastAsia="宋体" w:cs="宋体"/>
                <w:color w:val="000000"/>
                <w:kern w:val="0"/>
                <w:sz w:val="22"/>
                <w:szCs w:val="22"/>
              </w:rPr>
            </w:pPr>
          </w:p>
        </w:tc>
        <w:tc>
          <w:tcPr>
            <w:tcW w:w="2789" w:type="dxa"/>
            <w:tcBorders>
              <w:tl2br w:val="nil"/>
              <w:tr2bl w:val="nil"/>
            </w:tcBorders>
            <w:shd w:val="clear" w:color="000000" w:fill="FFFFFF"/>
            <w:vAlign w:val="center"/>
          </w:tcPr>
          <w:p w14:paraId="6573BC79">
            <w:pPr>
              <w:widowControl/>
              <w:spacing w:line="0" w:lineRule="atLeast"/>
              <w:rPr>
                <w:rFonts w:ascii="宋体" w:hAnsi="宋体" w:eastAsia="宋体" w:cs="宋体"/>
                <w:color w:val="000000"/>
                <w:kern w:val="0"/>
                <w:sz w:val="22"/>
                <w:szCs w:val="22"/>
              </w:rPr>
            </w:pPr>
          </w:p>
        </w:tc>
        <w:tc>
          <w:tcPr>
            <w:tcW w:w="7341" w:type="dxa"/>
            <w:tcBorders>
              <w:tl2br w:val="nil"/>
              <w:tr2bl w:val="nil"/>
            </w:tcBorders>
            <w:shd w:val="clear" w:color="000000" w:fill="FFFFFF"/>
            <w:vAlign w:val="center"/>
          </w:tcPr>
          <w:p w14:paraId="353CFFA3">
            <w:pPr>
              <w:widowControl/>
              <w:spacing w:line="0" w:lineRule="atLeast"/>
              <w:rPr>
                <w:rFonts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tcPr>
          <w:p w14:paraId="29D396FC">
            <w:pPr>
              <w:widowControl/>
              <w:jc w:val="left"/>
              <w:rPr>
                <w:rFonts w:ascii="宋体" w:hAnsi="宋体" w:eastAsia="宋体" w:cs="宋体"/>
                <w:color w:val="000000"/>
                <w:kern w:val="0"/>
                <w:sz w:val="22"/>
                <w:szCs w:val="22"/>
              </w:rPr>
            </w:pPr>
          </w:p>
          <w:p w14:paraId="4B677958">
            <w:pPr>
              <w:widowControl/>
              <w:ind w:firstLine="220" w:firstLineChars="1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EFFF061">
            <w:pPr>
              <w:widowControl/>
              <w:jc w:val="left"/>
              <w:rPr>
                <w:rFonts w:ascii="宋体" w:hAnsi="宋体" w:eastAsia="宋体" w:cs="宋体"/>
                <w:color w:val="000000"/>
                <w:kern w:val="0"/>
                <w:sz w:val="22"/>
                <w:szCs w:val="22"/>
              </w:rPr>
            </w:pPr>
          </w:p>
          <w:p w14:paraId="38ACE553">
            <w:pPr>
              <w:widowControl/>
              <w:ind w:firstLine="220" w:firstLineChars="1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r>
    </w:tbl>
    <w:p w14:paraId="4C05A4FF">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5F7D5A4E"/>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E3DEC8-491F-4CCD-AC28-A44A7B795E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embedRegular r:id="rId2" w:fontKey="{1D774FD4-6C98-467F-B73E-992682EDB8B3}"/>
  </w:font>
  <w:font w:name="方正小标宋_GBK">
    <w:panose1 w:val="02000000000000000000"/>
    <w:charset w:val="86"/>
    <w:family w:val="script"/>
    <w:pitch w:val="default"/>
    <w:sig w:usb0="A00002BF" w:usb1="38CF7CFA" w:usb2="00082016" w:usb3="00000000" w:csb0="00040001" w:csb1="00000000"/>
    <w:embedRegular r:id="rId3" w:fontKey="{0E2FAF02-B03E-4FE3-9443-38BC012F58BE}"/>
  </w:font>
  <w:font w:name="仿宋_GB2312">
    <w:altName w:val="仿宋"/>
    <w:panose1 w:val="02010609030101010101"/>
    <w:charset w:val="86"/>
    <w:family w:val="modern"/>
    <w:pitch w:val="default"/>
    <w:sig w:usb0="00000000" w:usb1="00000000" w:usb2="00000010" w:usb3="00000000" w:csb0="00040000" w:csb1="00000000"/>
    <w:embedRegular r:id="rId4" w:fontKey="{AF8536FC-5773-4404-B22A-F3F491F25987}"/>
  </w:font>
  <w:font w:name="Arial Unicode MS">
    <w:panose1 w:val="020B0604020202020204"/>
    <w:charset w:val="86"/>
    <w:family w:val="auto"/>
    <w:pitch w:val="default"/>
    <w:sig w:usb0="F7FFAEFF" w:usb1="F9DFFFFF" w:usb2="0000007F" w:usb3="00000000" w:csb0="203F01FF" w:csb1="DFFF0000"/>
  </w:font>
  <w:font w:name="Arial">
    <w:panose1 w:val="020B0604020202020204"/>
    <w:charset w:val="00"/>
    <w:family w:val="swiss"/>
    <w:pitch w:val="default"/>
    <w:sig w:usb0="E0002EFF" w:usb1="C000785B" w:usb2="00000009" w:usb3="00000000" w:csb0="400001FF" w:csb1="FFFF0000"/>
    <w:embedRegular r:id="rId5" w:fontKey="{8A0C584B-3290-4187-81FE-B914BCE66EBF}"/>
  </w:font>
  <w:font w:name="仿宋w..">
    <w:altName w:val="宋体"/>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embedRegular r:id="rId6" w:fontKey="{1A54C633-94C6-4E19-8400-80F89A43BE1F}"/>
  </w:font>
  <w:font w:name="方正仿宋_GBK">
    <w:panose1 w:val="02000000000000000000"/>
    <w:charset w:val="86"/>
    <w:family w:val="script"/>
    <w:pitch w:val="default"/>
    <w:sig w:usb0="A00002BF" w:usb1="38CF7CFA" w:usb2="00082016" w:usb3="00000000" w:csb0="00040001" w:csb1="00000000"/>
    <w:embedRegular r:id="rId7" w:fontKey="{4E1434E8-098B-4791-AA1E-D7D497F5726A}"/>
  </w:font>
  <w:font w:name="仿宋">
    <w:panose1 w:val="02010609060101010101"/>
    <w:charset w:val="86"/>
    <w:family w:val="modern"/>
    <w:pitch w:val="default"/>
    <w:sig w:usb0="800002BF" w:usb1="38CF7CFA" w:usb2="00000016" w:usb3="00000000" w:csb0="00040001" w:csb1="00000000"/>
    <w:embedRegular r:id="rId8" w:fontKey="{719569EE-7160-444D-82A2-3BE37AAE7F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0BEEB">
    <w:pPr>
      <w:pStyle w:val="3"/>
      <w:jc w:val="center"/>
    </w:pPr>
    <w:r>
      <w:fldChar w:fldCharType="begin"/>
    </w:r>
    <w:r>
      <w:instrText xml:space="preserve"> PAGE   \* MERGEFORMAT </w:instrText>
    </w:r>
    <w:r>
      <w:fldChar w:fldCharType="separate"/>
    </w:r>
    <w:r>
      <w:rPr>
        <w:lang w:val="zh-CN"/>
      </w:rPr>
      <w:t>1</w:t>
    </w:r>
    <w:r>
      <w:fldChar w:fldCharType="end"/>
    </w:r>
  </w:p>
  <w:p w14:paraId="2BA2C4DF">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A7944"/>
    <w:multiLevelType w:val="singleLevel"/>
    <w:tmpl w:val="A7EA7944"/>
    <w:lvl w:ilvl="0" w:tentative="0">
      <w:start w:val="1"/>
      <w:numFmt w:val="chineseCounting"/>
      <w:suff w:val="nothing"/>
      <w:lvlText w:val="（%1）"/>
      <w:lvlJc w:val="left"/>
      <w:rPr>
        <w:rFonts w:hint="eastAsia"/>
      </w:rPr>
    </w:lvl>
  </w:abstractNum>
  <w:abstractNum w:abstractNumId="1">
    <w:nsid w:val="CA76914D"/>
    <w:multiLevelType w:val="singleLevel"/>
    <w:tmpl w:val="CA76914D"/>
    <w:lvl w:ilvl="0" w:tentative="0">
      <w:start w:val="2"/>
      <w:numFmt w:val="chineseCounting"/>
      <w:suff w:val="nothing"/>
      <w:lvlText w:val="（%1）"/>
      <w:lvlJc w:val="left"/>
      <w:rPr>
        <w:rFonts w:hint="eastAsia"/>
      </w:rPr>
    </w:lvl>
  </w:abstractNum>
  <w:abstractNum w:abstractNumId="2">
    <w:nsid w:val="058CCC0E"/>
    <w:multiLevelType w:val="singleLevel"/>
    <w:tmpl w:val="058CCC0E"/>
    <w:lvl w:ilvl="0" w:tentative="0">
      <w:start w:val="1"/>
      <w:numFmt w:val="decimal"/>
      <w:suff w:val="nothing"/>
      <w:lvlText w:val="%1、"/>
      <w:lvlJc w:val="left"/>
    </w:lvl>
  </w:abstractNum>
  <w:abstractNum w:abstractNumId="3">
    <w:nsid w:val="7787201E"/>
    <w:multiLevelType w:val="singleLevel"/>
    <w:tmpl w:val="7787201E"/>
    <w:lvl w:ilvl="0" w:tentative="0">
      <w:start w:val="5"/>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137D8D"/>
    <w:rsid w:val="0018238C"/>
    <w:rsid w:val="00251A9F"/>
    <w:rsid w:val="002C481B"/>
    <w:rsid w:val="002D7005"/>
    <w:rsid w:val="003B43D1"/>
    <w:rsid w:val="003C737B"/>
    <w:rsid w:val="00442C3C"/>
    <w:rsid w:val="005858F5"/>
    <w:rsid w:val="006E783F"/>
    <w:rsid w:val="00701E22"/>
    <w:rsid w:val="007F1168"/>
    <w:rsid w:val="0080196C"/>
    <w:rsid w:val="0083021C"/>
    <w:rsid w:val="00960237"/>
    <w:rsid w:val="00B51515"/>
    <w:rsid w:val="00B7310D"/>
    <w:rsid w:val="00C460D9"/>
    <w:rsid w:val="00C470BD"/>
    <w:rsid w:val="00C47107"/>
    <w:rsid w:val="00CC10B5"/>
    <w:rsid w:val="00D043E9"/>
    <w:rsid w:val="00D27290"/>
    <w:rsid w:val="00DC6A66"/>
    <w:rsid w:val="00E33F37"/>
    <w:rsid w:val="00EA03A9"/>
    <w:rsid w:val="00ED61D9"/>
    <w:rsid w:val="00FA49EB"/>
    <w:rsid w:val="00FB45E1"/>
    <w:rsid w:val="00FE64AF"/>
    <w:rsid w:val="5C845EFF"/>
    <w:rsid w:val="62A94E69"/>
    <w:rsid w:val="64F324FF"/>
    <w:rsid w:val="70A719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方正小标宋_GBK"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uiPriority w:val="99"/>
    <w:rPr>
      <w:sz w:val="18"/>
      <w:szCs w:val="18"/>
    </w:rPr>
  </w:style>
  <w:style w:type="character" w:customStyle="1" w:styleId="9">
    <w:name w:val="标题 2 Char"/>
    <w:basedOn w:val="6"/>
    <w:link w:val="2"/>
    <w:qFormat/>
    <w:uiPriority w:val="0"/>
    <w:rPr>
      <w:rFonts w:ascii="Arial" w:hAnsi="Arial" w:eastAsia="黑体" w:cs="Times New Roman"/>
      <w:b/>
      <w:sz w:val="32"/>
      <w:szCs w:val="24"/>
    </w:rPr>
  </w:style>
  <w:style w:type="paragraph" w:customStyle="1" w:styleId="10">
    <w:name w:val="Defaul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B0A7-BD08-4EE9-B163-07C76805B097}">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15</Pages>
  <Words>3623</Words>
  <Characters>3740</Characters>
  <Lines>44</Lines>
  <Paragraphs>12</Paragraphs>
  <TotalTime>13</TotalTime>
  <ScaleCrop>false</ScaleCrop>
  <LinksUpToDate>false</LinksUpToDate>
  <CharactersWithSpaces>3756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dcterms:modified xsi:type="dcterms:W3CDTF">2025-02-07T05:08:55Z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A96F9FB455004121B009103623653C1D_12</vt:lpwstr>
  </property>
</Properties>
</file>