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rPr>
      </w:pPr>
      <w:r>
        <w:rPr>
          <w:rFonts w:hint="eastAsia" w:ascii="仿宋_GB2312" w:hAnsi="仿宋_GB2312" w:cs="仿宋_GB2312"/>
        </w:rPr>
        <w:t>附件·</w:t>
      </w:r>
      <w:r>
        <w:rPr>
          <w:rFonts w:ascii="仿宋_GB2312" w:hAnsi="仿宋_GB2312" w:cs="仿宋_GB2312"/>
        </w:rPr>
        <w:t>2</w:t>
      </w:r>
    </w:p>
    <w:p>
      <w:pPr>
        <w:spacing w:line="540" w:lineRule="exact"/>
        <w:jc w:val="center"/>
        <w:rPr>
          <w:rFonts w:ascii="仿宋_GB2312"/>
          <w:b/>
          <w:bCs/>
          <w:kern w:val="0"/>
          <w:sz w:val="48"/>
          <w:szCs w:val="48"/>
        </w:rPr>
      </w:pPr>
      <w:r>
        <w:rPr>
          <w:rFonts w:hint="eastAsia" w:ascii="仿宋_GB2312" w:hAnsi="仿宋_GB2312" w:cs="仿宋_GB2312"/>
          <w:b/>
          <w:bCs/>
          <w:kern w:val="0"/>
          <w:sz w:val="48"/>
          <w:szCs w:val="48"/>
        </w:rPr>
        <w:t>项目支出绩效部门评价报告</w:t>
      </w:r>
    </w:p>
    <w:p>
      <w:pPr>
        <w:spacing w:line="540" w:lineRule="exact"/>
        <w:ind w:firstLine="1044" w:firstLineChars="200"/>
        <w:jc w:val="center"/>
        <w:rPr>
          <w:rFonts w:ascii="仿宋_GB2312"/>
          <w:b/>
          <w:bCs/>
          <w:kern w:val="0"/>
          <w:sz w:val="52"/>
          <w:szCs w:val="52"/>
        </w:rPr>
      </w:pPr>
    </w:p>
    <w:p>
      <w:pPr>
        <w:spacing w:line="540" w:lineRule="exact"/>
        <w:jc w:val="center"/>
        <w:rPr>
          <w:rFonts w:ascii="仿宋_GB2312"/>
          <w:kern w:val="0"/>
          <w:sz w:val="36"/>
          <w:szCs w:val="36"/>
        </w:rPr>
      </w:pPr>
      <w:r>
        <w:rPr>
          <w:rFonts w:hint="eastAsia" w:ascii="仿宋_GB2312" w:hAnsi="仿宋_GB2312" w:cs="仿宋_GB2312"/>
          <w:kern w:val="0"/>
          <w:sz w:val="36"/>
          <w:szCs w:val="36"/>
        </w:rPr>
        <w:t>（</w:t>
      </w:r>
      <w:r>
        <w:rPr>
          <w:rFonts w:ascii="仿宋_GB2312" w:hAnsi="仿宋_GB2312" w:cs="仿宋_GB2312"/>
          <w:kern w:val="0"/>
          <w:sz w:val="36"/>
          <w:szCs w:val="36"/>
        </w:rPr>
        <w:t>2019</w:t>
      </w:r>
      <w:r>
        <w:rPr>
          <w:rFonts w:hint="eastAsia" w:ascii="仿宋_GB2312" w:hAnsi="仿宋_GB2312" w:cs="仿宋_GB2312"/>
          <w:kern w:val="0"/>
          <w:sz w:val="36"/>
          <w:szCs w:val="36"/>
        </w:rPr>
        <w:t>年度）</w:t>
      </w:r>
    </w:p>
    <w:p>
      <w:pPr>
        <w:ind w:firstLine="600" w:firstLineChars="200"/>
        <w:jc w:val="center"/>
        <w:rPr>
          <w:rFonts w:ascii="仿宋_GB2312"/>
          <w:kern w:val="0"/>
        </w:rPr>
      </w:pPr>
    </w:p>
    <w:p>
      <w:pPr>
        <w:ind w:firstLine="600" w:firstLineChars="200"/>
        <w:jc w:val="center"/>
        <w:rPr>
          <w:rFonts w:ascii="仿宋_GB2312"/>
          <w:kern w:val="0"/>
        </w:rPr>
      </w:pPr>
    </w:p>
    <w:p>
      <w:pPr>
        <w:ind w:firstLine="600" w:firstLineChars="200"/>
        <w:jc w:val="center"/>
        <w:rPr>
          <w:rFonts w:ascii="仿宋_GB2312"/>
          <w:kern w:val="0"/>
        </w:rPr>
      </w:pPr>
    </w:p>
    <w:p>
      <w:pPr>
        <w:ind w:firstLine="600" w:firstLineChars="200"/>
        <w:jc w:val="center"/>
        <w:rPr>
          <w:rFonts w:ascii="仿宋_GB2312"/>
          <w:kern w:val="0"/>
        </w:rPr>
      </w:pPr>
    </w:p>
    <w:p>
      <w:pPr>
        <w:ind w:firstLine="600" w:firstLineChars="200"/>
        <w:jc w:val="center"/>
        <w:rPr>
          <w:rFonts w:ascii="仿宋_GB2312"/>
          <w:kern w:val="0"/>
        </w:rPr>
      </w:pPr>
    </w:p>
    <w:p>
      <w:pPr>
        <w:ind w:firstLine="600" w:firstLineChars="200"/>
        <w:jc w:val="center"/>
        <w:rPr>
          <w:rFonts w:ascii="仿宋_GB2312"/>
          <w:kern w:val="0"/>
        </w:rPr>
      </w:pPr>
    </w:p>
    <w:p>
      <w:pPr>
        <w:ind w:firstLine="600" w:firstLineChars="200"/>
        <w:rPr>
          <w:rFonts w:ascii="仿宋_GB2312"/>
          <w:kern w:val="0"/>
        </w:rPr>
      </w:pPr>
    </w:p>
    <w:p>
      <w:pPr>
        <w:ind w:left="2520" w:leftChars="240" w:right="750" w:rightChars="250" w:hanging="1800" w:hangingChars="500"/>
        <w:outlineLvl w:val="0"/>
        <w:rPr>
          <w:rFonts w:ascii="仿宋_GB2312"/>
          <w:kern w:val="0"/>
          <w:sz w:val="36"/>
          <w:szCs w:val="36"/>
        </w:rPr>
      </w:pPr>
      <w:r>
        <w:rPr>
          <w:rFonts w:hint="eastAsia" w:ascii="仿宋_GB2312" w:hAnsi="仿宋_GB2312" w:cs="仿宋_GB2312"/>
          <w:kern w:val="0"/>
          <w:sz w:val="36"/>
          <w:szCs w:val="36"/>
        </w:rPr>
        <w:t>项目名称：</w:t>
      </w:r>
      <w:r>
        <w:rPr>
          <w:rFonts w:ascii="仿宋_GB2312" w:hAnsi="仿宋_GB2312" w:cs="仿宋_GB2312"/>
          <w:kern w:val="0"/>
          <w:sz w:val="36"/>
          <w:szCs w:val="36"/>
        </w:rPr>
        <w:t xml:space="preserve"> </w:t>
      </w:r>
      <w:r>
        <w:rPr>
          <w:rFonts w:hint="eastAsia" w:ascii="仿宋_GB2312" w:hAnsi="仿宋_GB2312" w:cs="仿宋_GB2312"/>
          <w:kern w:val="0"/>
          <w:sz w:val="36"/>
          <w:szCs w:val="36"/>
        </w:rPr>
        <w:t>上缴上级管理费</w:t>
      </w:r>
    </w:p>
    <w:p>
      <w:pPr>
        <w:ind w:firstLine="720" w:firstLineChars="200"/>
        <w:jc w:val="left"/>
        <w:outlineLvl w:val="0"/>
        <w:rPr>
          <w:rFonts w:ascii="仿宋_GB2312"/>
          <w:kern w:val="0"/>
          <w:sz w:val="36"/>
          <w:szCs w:val="36"/>
        </w:rPr>
      </w:pPr>
      <w:r>
        <w:rPr>
          <w:rFonts w:hint="eastAsia" w:ascii="仿宋_GB2312" w:hAnsi="仿宋_GB2312" w:cs="仿宋_GB2312"/>
          <w:kern w:val="0"/>
          <w:sz w:val="36"/>
          <w:szCs w:val="36"/>
        </w:rPr>
        <w:t>实施单位（公章）：</w:t>
      </w:r>
      <w:r>
        <w:rPr>
          <w:rFonts w:ascii="仿宋_GB2312" w:hAnsi="仿宋_GB2312" w:cs="仿宋_GB2312"/>
          <w:kern w:val="0"/>
          <w:sz w:val="36"/>
          <w:szCs w:val="36"/>
        </w:rPr>
        <w:t xml:space="preserve"> </w:t>
      </w:r>
      <w:r>
        <w:rPr>
          <w:rFonts w:hint="eastAsia" w:ascii="仿宋_GB2312" w:hAnsi="仿宋_GB2312" w:cs="仿宋_GB2312"/>
          <w:kern w:val="0"/>
          <w:sz w:val="36"/>
          <w:szCs w:val="36"/>
        </w:rPr>
        <w:t>巴州广播电视大学</w:t>
      </w:r>
    </w:p>
    <w:p>
      <w:pPr>
        <w:ind w:firstLine="720" w:firstLineChars="200"/>
        <w:jc w:val="left"/>
        <w:outlineLvl w:val="0"/>
        <w:rPr>
          <w:rFonts w:ascii="仿宋_GB2312"/>
          <w:kern w:val="0"/>
          <w:sz w:val="36"/>
          <w:szCs w:val="36"/>
        </w:rPr>
      </w:pPr>
      <w:r>
        <w:rPr>
          <w:rFonts w:hint="eastAsia" w:ascii="仿宋_GB2312" w:hAnsi="仿宋_GB2312" w:cs="仿宋_GB2312"/>
          <w:kern w:val="0"/>
          <w:sz w:val="36"/>
          <w:szCs w:val="36"/>
        </w:rPr>
        <w:t>主管部门（公章）：</w:t>
      </w:r>
      <w:r>
        <w:rPr>
          <w:rFonts w:ascii="仿宋_GB2312" w:hAnsi="仿宋_GB2312" w:cs="仿宋_GB2312"/>
          <w:kern w:val="0"/>
          <w:sz w:val="36"/>
          <w:szCs w:val="36"/>
        </w:rPr>
        <w:t xml:space="preserve"> </w:t>
      </w:r>
      <w:r>
        <w:rPr>
          <w:rFonts w:hint="eastAsia" w:ascii="仿宋_GB2312" w:hAnsi="仿宋_GB2312" w:cs="仿宋_GB2312"/>
          <w:kern w:val="0"/>
          <w:sz w:val="36"/>
          <w:szCs w:val="36"/>
        </w:rPr>
        <w:t>巴州教育局</w:t>
      </w:r>
    </w:p>
    <w:p>
      <w:pPr>
        <w:ind w:firstLine="720" w:firstLineChars="200"/>
        <w:jc w:val="left"/>
        <w:outlineLvl w:val="0"/>
        <w:rPr>
          <w:rFonts w:ascii="仿宋_GB2312"/>
          <w:kern w:val="0"/>
          <w:sz w:val="36"/>
          <w:szCs w:val="36"/>
        </w:rPr>
      </w:pPr>
      <w:r>
        <w:rPr>
          <w:rFonts w:hint="eastAsia" w:ascii="仿宋_GB2312" w:hAnsi="仿宋_GB2312" w:cs="仿宋_GB2312"/>
          <w:kern w:val="0"/>
          <w:sz w:val="36"/>
          <w:szCs w:val="36"/>
        </w:rPr>
        <w:t>项目负责人（签章）：</w:t>
      </w:r>
      <w:r>
        <w:rPr>
          <w:rFonts w:ascii="仿宋_GB2312" w:hAnsi="仿宋_GB2312" w:cs="仿宋_GB2312"/>
          <w:kern w:val="0"/>
          <w:sz w:val="36"/>
          <w:szCs w:val="36"/>
        </w:rPr>
        <w:t xml:space="preserve"> </w:t>
      </w:r>
    </w:p>
    <w:p>
      <w:pPr>
        <w:ind w:firstLine="720" w:firstLineChars="200"/>
        <w:jc w:val="left"/>
        <w:outlineLvl w:val="0"/>
        <w:rPr>
          <w:rFonts w:ascii="仿宋_GB2312"/>
          <w:kern w:val="0"/>
          <w:sz w:val="36"/>
          <w:szCs w:val="36"/>
        </w:rPr>
      </w:pPr>
      <w:r>
        <w:rPr>
          <w:rFonts w:hint="eastAsia" w:ascii="仿宋_GB2312" w:hAnsi="仿宋_GB2312" w:cs="仿宋_GB2312"/>
          <w:kern w:val="0"/>
          <w:sz w:val="36"/>
          <w:szCs w:val="36"/>
        </w:rPr>
        <w:t>填报时间：</w:t>
      </w:r>
      <w:r>
        <w:rPr>
          <w:rFonts w:ascii="仿宋_GB2312" w:hAnsi="仿宋_GB2312" w:cs="仿宋_GB2312"/>
          <w:kern w:val="0"/>
          <w:sz w:val="36"/>
          <w:szCs w:val="36"/>
        </w:rPr>
        <w:t xml:space="preserve"> </w:t>
      </w:r>
    </w:p>
    <w:p>
      <w:pPr>
        <w:widowControl/>
        <w:spacing w:line="560" w:lineRule="exact"/>
        <w:ind w:firstLine="450" w:firstLineChars="150"/>
        <w:jc w:val="left"/>
        <w:rPr>
          <w:rFonts w:ascii="黑体" w:hAnsi="黑体" w:eastAsia="黑体"/>
          <w:sz w:val="32"/>
          <w:szCs w:val="32"/>
        </w:rPr>
      </w:pPr>
      <w:r>
        <w:rPr>
          <w:rFonts w:ascii="仿宋_GB2312"/>
        </w:rPr>
        <w:br w:type="page"/>
      </w:r>
      <w:r>
        <w:rPr>
          <w:rFonts w:hint="eastAsia" w:ascii="黑体" w:hAnsi="黑体" w:eastAsia="黑体" w:cs="黑体"/>
          <w:sz w:val="32"/>
          <w:szCs w:val="32"/>
        </w:rPr>
        <w:t>一、基本情况</w:t>
      </w:r>
    </w:p>
    <w:p>
      <w:pPr>
        <w:spacing w:line="560" w:lineRule="exact"/>
        <w:ind w:left="300" w:leftChars="100" w:right="57" w:firstLine="640" w:firstLineChars="200"/>
        <w:outlineLvl w:val="0"/>
        <w:rPr>
          <w:rFonts w:ascii="仿宋_GB2312"/>
          <w:sz w:val="32"/>
          <w:szCs w:val="32"/>
        </w:rPr>
      </w:pPr>
      <w:r>
        <w:rPr>
          <w:rFonts w:hint="eastAsia" w:ascii="仿宋_GB2312" w:hAnsi="仿宋_GB2312" w:cs="仿宋_GB2312"/>
          <w:sz w:val="32"/>
          <w:szCs w:val="32"/>
        </w:rPr>
        <w:t>（一）项目概况。</w:t>
      </w:r>
    </w:p>
    <w:p>
      <w:pPr>
        <w:spacing w:line="560" w:lineRule="exact"/>
        <w:ind w:firstLine="600" w:firstLineChars="200"/>
        <w:rPr>
          <w:rFonts w:ascii="仿宋_GB2312"/>
        </w:rPr>
      </w:pPr>
      <w:r>
        <w:rPr>
          <w:rFonts w:ascii="仿宋_GB2312" w:hAnsi="仿宋_GB2312" w:cs="仿宋_GB2312"/>
        </w:rPr>
        <w:t>1</w:t>
      </w:r>
      <w:r>
        <w:rPr>
          <w:rFonts w:hint="eastAsia" w:ascii="仿宋_GB2312" w:hAnsi="仿宋_GB2312" w:cs="仿宋_GB2312"/>
        </w:rPr>
        <w:t>、项目背景：</w:t>
      </w:r>
    </w:p>
    <w:p>
      <w:pPr>
        <w:spacing w:line="560" w:lineRule="exact"/>
        <w:ind w:left="300" w:leftChars="100" w:right="57" w:firstLine="640"/>
        <w:rPr>
          <w:rFonts w:ascii="仿宋_GB2312"/>
          <w:color w:val="000000"/>
          <w:sz w:val="32"/>
          <w:szCs w:val="32"/>
        </w:rPr>
      </w:pPr>
      <w:r>
        <w:rPr>
          <w:rStyle w:val="8"/>
          <w:rFonts w:hint="eastAsia" w:ascii="仿宋_GB2312" w:hAnsi="仿宋_GB2312" w:cs="仿宋_GB2312"/>
          <w:b w:val="0"/>
          <w:bCs w:val="0"/>
          <w:spacing w:val="-4"/>
        </w:rPr>
        <w:t>我校是依托中央广播电视大学举办现代远程开放教育、奥鹏学习中心等教学模式的高等专科、本科教育，在巴州开展现代远程教育，提供教育资源、教学管理和学习支持服务。为贯彻落实巴州教育发展和人才培养规划，服务好本地学员，及时做好上下级对接，共享上级教务教学平台资源，我校每年需向上级电大上缴相应管理费。</w:t>
      </w:r>
      <w:r>
        <w:rPr>
          <w:rStyle w:val="8"/>
          <w:rFonts w:ascii="仿宋_GB2312" w:hAnsi="仿宋_GB2312" w:cs="仿宋_GB2312"/>
          <w:b w:val="0"/>
          <w:bCs w:val="0"/>
          <w:spacing w:val="-4"/>
        </w:rPr>
        <w:t>2019</w:t>
      </w:r>
      <w:r>
        <w:rPr>
          <w:rStyle w:val="8"/>
          <w:rFonts w:hint="eastAsia" w:ascii="仿宋_GB2312" w:hAnsi="仿宋_GB2312" w:cs="仿宋_GB2312"/>
          <w:b w:val="0"/>
          <w:bCs w:val="0"/>
          <w:spacing w:val="-4"/>
        </w:rPr>
        <w:t>年我校根据</w:t>
      </w:r>
      <w:r>
        <w:rPr>
          <w:rFonts w:hint="eastAsia" w:ascii="仿宋_GB2312" w:hAnsi="仿宋_GB2312" w:cs="仿宋_GB2312"/>
          <w:color w:val="000000"/>
        </w:rPr>
        <w:t>新电大校字【</w:t>
      </w:r>
      <w:r>
        <w:rPr>
          <w:rFonts w:ascii="仿宋_GB2312" w:hAnsi="仿宋_GB2312" w:cs="仿宋_GB2312"/>
          <w:color w:val="000000"/>
        </w:rPr>
        <w:t>2018</w:t>
      </w:r>
      <w:r>
        <w:rPr>
          <w:rFonts w:hint="eastAsia" w:ascii="仿宋_GB2312" w:hAnsi="仿宋_GB2312" w:cs="仿宋_GB2312"/>
          <w:color w:val="000000"/>
        </w:rPr>
        <w:t>】</w:t>
      </w:r>
      <w:r>
        <w:rPr>
          <w:rFonts w:ascii="仿宋_GB2312" w:hAnsi="仿宋_GB2312" w:cs="仿宋_GB2312"/>
          <w:color w:val="000000"/>
        </w:rPr>
        <w:t>124</w:t>
      </w:r>
      <w:r>
        <w:rPr>
          <w:rFonts w:hint="eastAsia" w:ascii="仿宋_GB2312" w:hAnsi="仿宋_GB2312" w:cs="仿宋_GB2312"/>
          <w:color w:val="000000"/>
        </w:rPr>
        <w:t>号文要求申请专项支出上级电大管理费项目预算资金</w:t>
      </w:r>
      <w:r>
        <w:rPr>
          <w:rFonts w:ascii="仿宋_GB2312" w:hAnsi="仿宋_GB2312" w:cs="仿宋_GB2312"/>
          <w:color w:val="000000"/>
        </w:rPr>
        <w:t>350</w:t>
      </w:r>
      <w:r>
        <w:rPr>
          <w:rFonts w:hint="eastAsia" w:ascii="仿宋_GB2312" w:hAnsi="仿宋_GB2312" w:cs="仿宋_GB2312"/>
          <w:color w:val="000000"/>
        </w:rPr>
        <w:t>万元，并提供了文件依据及历年上缴支付凭证，根据项目实施需要填报项目绩效目标表并设定相关指标值。</w:t>
      </w:r>
    </w:p>
    <w:p>
      <w:pPr>
        <w:spacing w:line="560" w:lineRule="exact"/>
        <w:ind w:firstLine="600" w:firstLineChars="200"/>
        <w:rPr>
          <w:rFonts w:ascii="仿宋_GB2312"/>
        </w:rPr>
      </w:pPr>
      <w:r>
        <w:rPr>
          <w:rFonts w:ascii="仿宋_GB2312" w:hAnsi="仿宋_GB2312" w:cs="仿宋_GB2312"/>
        </w:rPr>
        <w:t>2</w:t>
      </w:r>
      <w:r>
        <w:rPr>
          <w:rFonts w:hint="eastAsia" w:ascii="仿宋_GB2312" w:hAnsi="仿宋_GB2312" w:cs="仿宋_GB2312"/>
        </w:rPr>
        <w:t>、项目主要内容</w:t>
      </w:r>
    </w:p>
    <w:p>
      <w:pPr>
        <w:spacing w:line="560" w:lineRule="exact"/>
        <w:ind w:firstLine="600" w:firstLineChars="200"/>
        <w:rPr>
          <w:rFonts w:ascii="仿宋_GB2312"/>
        </w:rPr>
      </w:pPr>
      <w:r>
        <w:rPr>
          <w:rFonts w:ascii="仿宋_GB2312" w:cs="仿宋_GB2312"/>
        </w:rPr>
        <w:t>2019</w:t>
      </w:r>
      <w:r>
        <w:rPr>
          <w:rFonts w:hint="eastAsia" w:ascii="仿宋_GB2312" w:cs="仿宋_GB2312"/>
        </w:rPr>
        <w:t>年全州电大学生的学生注册、学籍管理、课程的报课报考、网上教学资源使用等依托上级电大管理平台完成的所有工作任务。</w:t>
      </w:r>
    </w:p>
    <w:p>
      <w:pPr>
        <w:numPr>
          <w:ilvl w:val="0"/>
          <w:numId w:val="1"/>
        </w:numPr>
        <w:spacing w:line="560" w:lineRule="exact"/>
        <w:ind w:firstLine="600" w:firstLineChars="200"/>
        <w:rPr>
          <w:rFonts w:ascii="仿宋_GB2312"/>
        </w:rPr>
      </w:pPr>
      <w:r>
        <w:rPr>
          <w:rFonts w:hint="eastAsia" w:ascii="仿宋_GB2312" w:hAnsi="仿宋_GB2312" w:cs="仿宋_GB2312"/>
        </w:rPr>
        <w:t>项目实施情况</w:t>
      </w:r>
    </w:p>
    <w:p>
      <w:pPr>
        <w:spacing w:line="560" w:lineRule="exact"/>
        <w:ind w:left="600" w:leftChars="200" w:firstLine="600"/>
        <w:rPr>
          <w:rFonts w:ascii="仿宋_GB2312"/>
        </w:rPr>
      </w:pPr>
      <w:r>
        <w:rPr>
          <w:rFonts w:hint="eastAsia" w:ascii="仿宋_GB2312" w:hAnsi="仿宋_GB2312" w:cs="仿宋_GB2312"/>
        </w:rPr>
        <w:t>上缴上级管理费项目由巴州广播电视大学组织实施，巴州校本部及各县电大配合，</w:t>
      </w:r>
      <w:r>
        <w:rPr>
          <w:rFonts w:hint="eastAsia" w:ascii="仿宋_GB2312" w:hAnsi="仿宋_GB2312" w:cs="仿宋_GB2312"/>
          <w:color w:val="000000"/>
          <w:sz w:val="32"/>
          <w:szCs w:val="32"/>
        </w:rPr>
        <w:t>组织</w:t>
      </w:r>
      <w:r>
        <w:rPr>
          <w:rFonts w:hint="eastAsia" w:ascii="仿宋_GB2312" w:hAnsi="仿宋_GB2312" w:cs="仿宋_GB2312"/>
        </w:rPr>
        <w:t>开展巴州区域内电大学历需求者的</w:t>
      </w:r>
      <w:r>
        <w:rPr>
          <w:rFonts w:hint="eastAsia" w:ascii="仿宋_GB2312" w:hAnsi="仿宋_GB2312" w:cs="仿宋_GB2312"/>
          <w:color w:val="000000"/>
          <w:sz w:val="32"/>
          <w:szCs w:val="32"/>
        </w:rPr>
        <w:t>招生、</w:t>
      </w:r>
      <w:r>
        <w:rPr>
          <w:rFonts w:hint="eastAsia" w:ascii="仿宋_GB2312" w:hAnsi="仿宋_GB2312" w:cs="仿宋_GB2312"/>
          <w:color w:val="000000"/>
        </w:rPr>
        <w:t>学生管理、教务教学、毕业及学籍档案等</w:t>
      </w:r>
      <w:r>
        <w:rPr>
          <w:rFonts w:hint="eastAsia" w:ascii="仿宋_GB2312" w:hAnsi="仿宋_GB2312" w:cs="仿宋_GB2312"/>
        </w:rPr>
        <w:t>各项</w:t>
      </w:r>
      <w:r>
        <w:rPr>
          <w:rFonts w:hint="eastAsia" w:ascii="仿宋_GB2312" w:hAnsi="仿宋_GB2312" w:cs="仿宋_GB2312"/>
          <w:color w:val="000000"/>
        </w:rPr>
        <w:t>工作</w:t>
      </w:r>
      <w:r>
        <w:rPr>
          <w:rFonts w:hint="eastAsia" w:ascii="仿宋_GB2312" w:hAnsi="仿宋_GB2312" w:cs="仿宋_GB2312"/>
        </w:rPr>
        <w:t>。</w:t>
      </w:r>
      <w:r>
        <w:rPr>
          <w:rFonts w:ascii="仿宋_GB2312" w:hAnsi="仿宋_GB2312" w:cs="仿宋_GB2312"/>
        </w:rPr>
        <w:t>2019</w:t>
      </w:r>
      <w:r>
        <w:rPr>
          <w:rFonts w:hint="eastAsia" w:ascii="仿宋_GB2312" w:hAnsi="仿宋_GB2312" w:cs="仿宋_GB2312"/>
        </w:rPr>
        <w:t>年巴州校本部及各县电大春秋两季招收专本科新生共计</w:t>
      </w:r>
      <w:r>
        <w:rPr>
          <w:rFonts w:ascii="仿宋_GB2312" w:hAnsi="仿宋_GB2312" w:cs="仿宋_GB2312"/>
        </w:rPr>
        <w:t>2403</w:t>
      </w:r>
      <w:r>
        <w:rPr>
          <w:rFonts w:hint="eastAsia" w:ascii="仿宋_GB2312" w:hAnsi="仿宋_GB2312" w:cs="仿宋_GB2312"/>
        </w:rPr>
        <w:t>人，全年在籍生选课学分达到</w:t>
      </w:r>
      <w:r>
        <w:rPr>
          <w:rFonts w:ascii="仿宋_GB2312" w:hAnsi="仿宋_GB2312" w:cs="仿宋_GB2312"/>
        </w:rPr>
        <w:t>178069.50</w:t>
      </w:r>
      <w:r>
        <w:rPr>
          <w:rFonts w:hint="eastAsia" w:ascii="仿宋_GB2312" w:hAnsi="仿宋_GB2312" w:cs="仿宋_GB2312"/>
        </w:rPr>
        <w:t>学分，报课考试人次</w:t>
      </w:r>
      <w:r>
        <w:rPr>
          <w:rFonts w:ascii="仿宋_GB2312" w:hAnsi="仿宋_GB2312" w:cs="仿宋_GB2312"/>
        </w:rPr>
        <w:t>68040</w:t>
      </w:r>
      <w:r>
        <w:rPr>
          <w:rFonts w:hint="eastAsia" w:ascii="仿宋_GB2312" w:hAnsi="仿宋_GB2312" w:cs="仿宋_GB2312"/>
        </w:rPr>
        <w:t>人次</w:t>
      </w:r>
      <w:r>
        <w:rPr>
          <w:rFonts w:ascii="仿宋_GB2312" w:cs="仿宋_GB2312"/>
        </w:rPr>
        <w:t>,</w:t>
      </w:r>
      <w:r>
        <w:rPr>
          <w:rFonts w:hint="eastAsia" w:ascii="仿宋_GB2312" w:hAnsi="仿宋_GB2312" w:cs="仿宋_GB2312"/>
        </w:rPr>
        <w:t>均高于预期指标设定。应届毕业生毕业率为</w:t>
      </w:r>
      <w:r>
        <w:rPr>
          <w:rFonts w:ascii="仿宋_GB2312" w:hAnsi="仿宋_GB2312" w:cs="仿宋_GB2312"/>
        </w:rPr>
        <w:t>38.46%,</w:t>
      </w:r>
      <w:r>
        <w:rPr>
          <w:rFonts w:hint="eastAsia" w:ascii="仿宋_GB2312" w:hAnsi="仿宋_GB2312" w:cs="仿宋_GB2312"/>
        </w:rPr>
        <w:t>为巴州社会人员学历提升需求提供持续服务并得到相关部门及学生的认可。</w:t>
      </w:r>
    </w:p>
    <w:p>
      <w:pPr>
        <w:spacing w:line="560" w:lineRule="exact"/>
        <w:ind w:left="600" w:leftChars="200" w:firstLine="600"/>
        <w:rPr>
          <w:rFonts w:ascii="仿宋_GB2312"/>
        </w:rPr>
      </w:pPr>
      <w:r>
        <w:rPr>
          <w:rFonts w:ascii="仿宋_GB2312" w:hAnsi="仿宋_GB2312" w:cs="仿宋_GB2312"/>
        </w:rPr>
        <w:t>4</w:t>
      </w:r>
      <w:r>
        <w:rPr>
          <w:rFonts w:hint="eastAsia" w:ascii="仿宋_GB2312" w:hAnsi="仿宋_GB2312" w:cs="仿宋_GB2312"/>
        </w:rPr>
        <w:t>、项目资金投入和使用情况</w:t>
      </w:r>
    </w:p>
    <w:p>
      <w:pPr>
        <w:spacing w:line="560" w:lineRule="exact"/>
        <w:ind w:left="300" w:leftChars="100" w:right="57" w:firstLine="600" w:firstLineChars="200"/>
        <w:outlineLvl w:val="0"/>
        <w:rPr>
          <w:rFonts w:ascii="仿宋_GB2312"/>
        </w:rPr>
      </w:pPr>
      <w:r>
        <w:rPr>
          <w:rFonts w:hint="eastAsia" w:ascii="仿宋_GB2312" w:hAnsi="仿宋_GB2312" w:cs="仿宋_GB2312"/>
        </w:rPr>
        <w:t>上级管理费项目经费</w:t>
      </w:r>
      <w:r>
        <w:rPr>
          <w:rFonts w:ascii="仿宋_GB2312" w:hAnsi="仿宋_GB2312" w:cs="仿宋_GB2312"/>
        </w:rPr>
        <w:t>191.30</w:t>
      </w:r>
      <w:r>
        <w:rPr>
          <w:rFonts w:hint="eastAsia" w:ascii="仿宋_GB2312" w:hAnsi="仿宋_GB2312" w:cs="仿宋_GB2312"/>
        </w:rPr>
        <w:t>万元，全部纳入</w:t>
      </w:r>
      <w:r>
        <w:rPr>
          <w:rFonts w:ascii="仿宋_GB2312" w:hAnsi="仿宋_GB2312" w:cs="仿宋_GB2312"/>
        </w:rPr>
        <w:t>2019</w:t>
      </w:r>
      <w:r>
        <w:rPr>
          <w:rFonts w:hint="eastAsia" w:ascii="仿宋_GB2312" w:hAnsi="仿宋_GB2312" w:cs="仿宋_GB2312"/>
        </w:rPr>
        <w:t>年巴州财政部门预算并全部到位，资金到位率</w:t>
      </w:r>
      <w:r>
        <w:rPr>
          <w:rFonts w:ascii="仿宋_GB2312" w:hAnsi="仿宋_GB2312" w:cs="仿宋_GB2312"/>
        </w:rPr>
        <w:t>100%</w:t>
      </w:r>
      <w:r>
        <w:rPr>
          <w:rFonts w:hint="eastAsia" w:ascii="仿宋_GB2312" w:hAnsi="仿宋_GB2312" w:cs="仿宋_GB2312"/>
        </w:rPr>
        <w:t>。</w:t>
      </w:r>
    </w:p>
    <w:p>
      <w:pPr>
        <w:numPr>
          <w:ilvl w:val="2"/>
          <w:numId w:val="0"/>
        </w:numPr>
        <w:snapToGrid w:val="0"/>
        <w:spacing w:line="560" w:lineRule="exact"/>
        <w:ind w:left="300" w:leftChars="100" w:right="57" w:firstLine="584" w:firstLineChars="200"/>
        <w:rPr>
          <w:rFonts w:ascii="仿宋_GB2312"/>
        </w:rPr>
      </w:pPr>
      <w:r>
        <w:rPr>
          <w:rStyle w:val="8"/>
          <w:rFonts w:ascii="仿宋_GB2312" w:hAnsi="仿宋_GB2312" w:cs="仿宋_GB2312"/>
          <w:b w:val="0"/>
          <w:bCs w:val="0"/>
          <w:spacing w:val="-4"/>
        </w:rPr>
        <w:t>2019</w:t>
      </w:r>
      <w:r>
        <w:rPr>
          <w:rStyle w:val="8"/>
          <w:rFonts w:hint="eastAsia" w:ascii="仿宋_GB2312" w:hAnsi="仿宋_GB2312" w:cs="仿宋_GB2312"/>
          <w:b w:val="0"/>
          <w:bCs w:val="0"/>
          <w:spacing w:val="-4"/>
        </w:rPr>
        <w:t>年实际预算批复</w:t>
      </w:r>
      <w:r>
        <w:rPr>
          <w:rFonts w:hint="eastAsia" w:ascii="仿宋_GB2312" w:hAnsi="仿宋_GB2312" w:cs="仿宋_GB2312"/>
          <w:color w:val="000000"/>
        </w:rPr>
        <w:t>上缴上级管理费项目</w:t>
      </w:r>
      <w:r>
        <w:rPr>
          <w:rStyle w:val="8"/>
          <w:rFonts w:hint="eastAsia" w:ascii="仿宋_GB2312" w:hAnsi="仿宋_GB2312" w:cs="仿宋_GB2312"/>
          <w:b w:val="0"/>
          <w:bCs w:val="0"/>
          <w:spacing w:val="-4"/>
        </w:rPr>
        <w:t>专项资金因</w:t>
      </w:r>
      <w:r>
        <w:rPr>
          <w:rFonts w:hint="eastAsia" w:ascii="仿宋_GB2312" w:hAnsi="仿宋_GB2312" w:cs="仿宋_GB2312"/>
        </w:rPr>
        <w:t>控制总数要求拨款资金</w:t>
      </w:r>
      <w:r>
        <w:rPr>
          <w:rFonts w:ascii="仿宋_GB2312" w:hAnsi="仿宋_GB2312" w:cs="仿宋_GB2312"/>
        </w:rPr>
        <w:t>191.34</w:t>
      </w:r>
      <w:r>
        <w:rPr>
          <w:rFonts w:hint="eastAsia" w:ascii="仿宋_GB2312" w:hAnsi="仿宋_GB2312" w:cs="仿宋_GB2312"/>
        </w:rPr>
        <w:t>万元</w:t>
      </w:r>
      <w:r>
        <w:rPr>
          <w:rFonts w:hint="eastAsia" w:ascii="仿宋_GB2312" w:hAnsi="仿宋_GB2312" w:cs="仿宋_GB2312"/>
          <w:color w:val="000000"/>
        </w:rPr>
        <w:t>。我校自年初伊始积极组织学生招生、报到、教学工作正常开展，各项指标按期并保质保量完成，</w:t>
      </w:r>
      <w:r>
        <w:rPr>
          <w:rFonts w:ascii="仿宋_GB2312" w:hAnsi="仿宋_GB2312" w:cs="仿宋_GB2312"/>
          <w:color w:val="000000"/>
        </w:rPr>
        <w:t>7</w:t>
      </w:r>
      <w:r>
        <w:rPr>
          <w:rFonts w:hint="eastAsia" w:ascii="仿宋_GB2312" w:hAnsi="仿宋_GB2312" w:cs="仿宋_GB2312"/>
          <w:color w:val="000000"/>
        </w:rPr>
        <w:t>月在资金允许的情况下如期完成了</w:t>
      </w:r>
      <w:r>
        <w:rPr>
          <w:rFonts w:ascii="仿宋_GB2312" w:hAnsi="仿宋_GB2312" w:cs="仿宋_GB2312"/>
          <w:color w:val="000000"/>
        </w:rPr>
        <w:t>2019</w:t>
      </w:r>
      <w:r>
        <w:rPr>
          <w:rFonts w:hint="eastAsia" w:ascii="仿宋_GB2312" w:hAnsi="仿宋_GB2312" w:cs="仿宋_GB2312"/>
          <w:color w:val="000000"/>
        </w:rPr>
        <w:t>春季的上缴上级管理费支付工作，实际支付</w:t>
      </w:r>
      <w:r>
        <w:rPr>
          <w:rFonts w:ascii="仿宋_GB2312" w:hAnsi="仿宋_GB2312" w:cs="仿宋_GB2312"/>
          <w:color w:val="000000"/>
        </w:rPr>
        <w:t>148.16</w:t>
      </w:r>
      <w:r>
        <w:rPr>
          <w:rFonts w:hint="eastAsia" w:ascii="仿宋_GB2312" w:hAnsi="仿宋_GB2312" w:cs="仿宋_GB2312"/>
          <w:color w:val="000000"/>
        </w:rPr>
        <w:t>万元。根据新疆电大下发的收缴管理费文件，我校</w:t>
      </w:r>
      <w:r>
        <w:rPr>
          <w:rFonts w:ascii="仿宋_GB2312" w:hAnsi="仿宋_GB2312" w:cs="仿宋_GB2312"/>
          <w:color w:val="000000"/>
        </w:rPr>
        <w:t>12</w:t>
      </w:r>
      <w:r>
        <w:rPr>
          <w:rFonts w:hint="eastAsia" w:ascii="仿宋_GB2312" w:hAnsi="仿宋_GB2312" w:cs="仿宋_GB2312"/>
          <w:color w:val="000000"/>
        </w:rPr>
        <w:t>月还需支付</w:t>
      </w:r>
      <w:r>
        <w:rPr>
          <w:rFonts w:ascii="仿宋_GB2312" w:hAnsi="仿宋_GB2312" w:cs="仿宋_GB2312"/>
          <w:color w:val="000000"/>
        </w:rPr>
        <w:t>2019</w:t>
      </w:r>
      <w:r>
        <w:rPr>
          <w:rFonts w:hint="eastAsia" w:ascii="仿宋_GB2312" w:hAnsi="仿宋_GB2312" w:cs="仿宋_GB2312"/>
          <w:color w:val="000000"/>
        </w:rPr>
        <w:t>秋季管理费</w:t>
      </w:r>
      <w:r>
        <w:rPr>
          <w:rFonts w:ascii="仿宋_GB2312" w:hAnsi="仿宋_GB2312" w:cs="仿宋_GB2312"/>
          <w:color w:val="000000"/>
        </w:rPr>
        <w:t>150.83</w:t>
      </w:r>
      <w:r>
        <w:rPr>
          <w:rFonts w:hint="eastAsia" w:ascii="仿宋_GB2312" w:hAnsi="仿宋_GB2312" w:cs="仿宋_GB2312"/>
          <w:color w:val="000000"/>
        </w:rPr>
        <w:t>万元，因年初预算资金缺口太大，尚有</w:t>
      </w:r>
      <w:r>
        <w:rPr>
          <w:rFonts w:ascii="仿宋_GB2312" w:hAnsi="仿宋_GB2312" w:cs="仿宋_GB2312"/>
          <w:color w:val="000000"/>
        </w:rPr>
        <w:t>107.65</w:t>
      </w:r>
      <w:r>
        <w:rPr>
          <w:rFonts w:hint="eastAsia" w:ascii="仿宋_GB2312" w:hAnsi="仿宋_GB2312" w:cs="仿宋_GB2312"/>
          <w:color w:val="000000"/>
        </w:rPr>
        <w:t>万元无法支付，经向州财政说明情况批复追加了</w:t>
      </w:r>
      <w:r>
        <w:rPr>
          <w:rFonts w:ascii="仿宋_GB2312" w:hAnsi="仿宋_GB2312" w:cs="仿宋_GB2312"/>
          <w:color w:val="000000"/>
        </w:rPr>
        <w:t>60</w:t>
      </w:r>
      <w:r>
        <w:rPr>
          <w:rFonts w:hint="eastAsia" w:ascii="仿宋_GB2312" w:hAnsi="仿宋_GB2312" w:cs="仿宋_GB2312"/>
          <w:color w:val="000000"/>
        </w:rPr>
        <w:t>万元，其余资金不足部分从日常公用经费中节约调整支付。</w:t>
      </w:r>
      <w:r>
        <w:rPr>
          <w:rFonts w:ascii="仿宋_GB2312" w:hAnsi="仿宋_GB2312" w:cs="仿宋_GB2312"/>
          <w:color w:val="000000"/>
        </w:rPr>
        <w:t>2019</w:t>
      </w:r>
      <w:r>
        <w:rPr>
          <w:rFonts w:hint="eastAsia" w:ascii="仿宋_GB2312" w:hAnsi="仿宋_GB2312" w:cs="仿宋_GB2312"/>
          <w:color w:val="000000"/>
        </w:rPr>
        <w:t>年上缴上级管理费项目</w:t>
      </w:r>
      <w:r>
        <w:rPr>
          <w:rStyle w:val="8"/>
          <w:rFonts w:hint="eastAsia" w:ascii="仿宋_GB2312" w:hAnsi="仿宋_GB2312" w:cs="仿宋_GB2312"/>
          <w:b w:val="0"/>
          <w:bCs w:val="0"/>
          <w:spacing w:val="-4"/>
        </w:rPr>
        <w:t>专项资金</w:t>
      </w:r>
      <w:r>
        <w:rPr>
          <w:rFonts w:hint="eastAsia" w:ascii="仿宋_GB2312" w:hAnsi="仿宋_GB2312" w:cs="仿宋_GB2312"/>
          <w:color w:val="000000"/>
        </w:rPr>
        <w:t>实际支付</w:t>
      </w:r>
      <w:r>
        <w:rPr>
          <w:rFonts w:ascii="仿宋_GB2312" w:hAnsi="仿宋_GB2312" w:cs="仿宋_GB2312"/>
          <w:color w:val="000000"/>
        </w:rPr>
        <w:t>299.25</w:t>
      </w:r>
      <w:r>
        <w:rPr>
          <w:rFonts w:hint="eastAsia" w:ascii="仿宋_GB2312" w:hAnsi="仿宋_GB2312" w:cs="仿宋_GB2312"/>
          <w:color w:val="000000"/>
        </w:rPr>
        <w:t>万元。</w:t>
      </w:r>
    </w:p>
    <w:p>
      <w:pPr>
        <w:spacing w:line="560" w:lineRule="exact"/>
        <w:ind w:firstLine="900" w:firstLineChars="300"/>
        <w:outlineLvl w:val="0"/>
        <w:rPr>
          <w:rFonts w:ascii="仿宋_GB2312"/>
        </w:rPr>
      </w:pPr>
      <w:r>
        <w:rPr>
          <w:rFonts w:ascii="仿宋_GB2312" w:hAnsi="仿宋_GB2312" w:cs="仿宋_GB2312"/>
          <w:color w:val="000000"/>
        </w:rPr>
        <w:t>2019</w:t>
      </w:r>
      <w:r>
        <w:rPr>
          <w:rFonts w:hint="eastAsia" w:ascii="仿宋_GB2312" w:hAnsi="仿宋_GB2312" w:cs="仿宋_GB2312"/>
          <w:color w:val="000000"/>
        </w:rPr>
        <w:t>年财政专项支出预算资金</w:t>
      </w:r>
      <w:r>
        <w:rPr>
          <w:rFonts w:ascii="仿宋_GB2312" w:hAnsi="仿宋_GB2312" w:cs="仿宋_GB2312"/>
          <w:color w:val="000000"/>
        </w:rPr>
        <w:t>191.34</w:t>
      </w:r>
      <w:r>
        <w:rPr>
          <w:rFonts w:hint="eastAsia" w:ascii="仿宋_GB2312" w:hAnsi="仿宋_GB2312" w:cs="仿宋_GB2312"/>
          <w:color w:val="000000"/>
        </w:rPr>
        <w:t>万元与追加</w:t>
      </w:r>
      <w:r>
        <w:rPr>
          <w:rFonts w:ascii="仿宋_GB2312" w:hAnsi="仿宋_GB2312" w:cs="仿宋_GB2312"/>
          <w:color w:val="000000"/>
        </w:rPr>
        <w:t>60</w:t>
      </w:r>
      <w:r>
        <w:rPr>
          <w:rFonts w:hint="eastAsia" w:ascii="仿宋_GB2312" w:hAnsi="仿宋_GB2312" w:cs="仿宋_GB2312"/>
          <w:color w:val="000000"/>
        </w:rPr>
        <w:t>万元全额用于上缴上级管理费项目支出，</w:t>
      </w:r>
      <w:r>
        <w:rPr>
          <w:rFonts w:hint="eastAsia" w:ascii="仿宋_GB2312" w:hAnsi="仿宋_GB2312" w:cs="仿宋_GB2312"/>
        </w:rPr>
        <w:t>执行率</w:t>
      </w:r>
      <w:r>
        <w:rPr>
          <w:rFonts w:ascii="仿宋_GB2312" w:hAnsi="仿宋_GB2312" w:cs="仿宋_GB2312"/>
        </w:rPr>
        <w:t xml:space="preserve">100% </w:t>
      </w:r>
      <w:r>
        <w:rPr>
          <w:rFonts w:hint="eastAsia" w:ascii="仿宋_GB2312" w:hAnsi="仿宋_GB2312" w:cs="仿宋_GB2312"/>
        </w:rPr>
        <w:t>。</w:t>
      </w:r>
    </w:p>
    <w:p>
      <w:pPr>
        <w:numPr>
          <w:ilvl w:val="2"/>
          <w:numId w:val="2"/>
        </w:numPr>
        <w:spacing w:line="560" w:lineRule="exact"/>
        <w:ind w:left="300" w:leftChars="100" w:right="57" w:firstLine="640" w:firstLineChars="200"/>
        <w:rPr>
          <w:rFonts w:ascii="仿宋_GB2312"/>
          <w:sz w:val="32"/>
          <w:szCs w:val="32"/>
        </w:rPr>
      </w:pPr>
      <w:r>
        <w:rPr>
          <w:rFonts w:hint="eastAsia" w:ascii="仿宋_GB2312" w:hAnsi="仿宋_GB2312" w:cs="仿宋_GB2312"/>
          <w:sz w:val="32"/>
          <w:szCs w:val="32"/>
        </w:rPr>
        <w:t>项目绩效目标。</w:t>
      </w:r>
    </w:p>
    <w:p>
      <w:pPr>
        <w:numPr>
          <w:ilvl w:val="0"/>
          <w:numId w:val="3"/>
        </w:numPr>
        <w:tabs>
          <w:tab w:val="left" w:pos="1440"/>
          <w:tab w:val="clear" w:pos="1660"/>
        </w:tabs>
        <w:spacing w:line="560" w:lineRule="exact"/>
        <w:ind w:right="57"/>
        <w:rPr>
          <w:rFonts w:ascii="仿宋_GB2312"/>
        </w:rPr>
      </w:pPr>
      <w:r>
        <w:rPr>
          <w:rFonts w:hint="eastAsia" w:ascii="仿宋_GB2312" w:hAnsi="仿宋_GB2312" w:cs="仿宋_GB2312"/>
        </w:rPr>
        <w:t>总体目标</w:t>
      </w:r>
    </w:p>
    <w:p>
      <w:pPr>
        <w:spacing w:line="560" w:lineRule="exact"/>
        <w:ind w:left="300" w:leftChars="100" w:right="57" w:firstLine="600" w:firstLineChars="200"/>
        <w:rPr>
          <w:rFonts w:ascii="仿宋_GB2312"/>
        </w:rPr>
      </w:pPr>
      <w:r>
        <w:rPr>
          <w:rFonts w:hint="eastAsia" w:ascii="仿宋_GB2312" w:hAnsi="仿宋_GB2312" w:cs="仿宋_GB2312"/>
        </w:rPr>
        <w:t>立足巴州教育事业发展全局</w:t>
      </w:r>
      <w:r>
        <w:rPr>
          <w:rFonts w:ascii="仿宋_GB2312" w:cs="仿宋_GB2312"/>
        </w:rPr>
        <w:t>,</w:t>
      </w:r>
      <w:r>
        <w:rPr>
          <w:rFonts w:hint="eastAsia" w:ascii="仿宋_GB2312" w:hAnsi="仿宋_GB2312" w:cs="仿宋_GB2312"/>
        </w:rPr>
        <w:t>不断提高办学质量和人才培养质量</w:t>
      </w:r>
      <w:r>
        <w:rPr>
          <w:rFonts w:ascii="仿宋_GB2312" w:cs="仿宋_GB2312"/>
        </w:rPr>
        <w:t>,</w:t>
      </w:r>
      <w:r>
        <w:rPr>
          <w:rFonts w:hint="eastAsia" w:ascii="仿宋_GB2312" w:hAnsi="仿宋_GB2312" w:cs="仿宋_GB2312"/>
        </w:rPr>
        <w:t>为教师、学生提供良好的学习环境，把提高教育教学质量放在首位，提高教师从教的幸福感、满意感，办社会、学生、家长满意的学校。</w:t>
      </w:r>
    </w:p>
    <w:p>
      <w:pPr>
        <w:numPr>
          <w:ilvl w:val="2"/>
          <w:numId w:val="0"/>
        </w:numPr>
        <w:spacing w:line="560" w:lineRule="exact"/>
        <w:ind w:left="300" w:leftChars="100" w:right="57" w:firstLine="600" w:firstLineChars="200"/>
        <w:rPr>
          <w:rFonts w:ascii="仿宋_GB2312"/>
        </w:rPr>
      </w:pPr>
      <w:r>
        <w:rPr>
          <w:rFonts w:ascii="仿宋_GB2312" w:hAnsi="仿宋_GB2312" w:cs="仿宋_GB2312"/>
        </w:rPr>
        <w:t>2</w:t>
      </w:r>
      <w:r>
        <w:rPr>
          <w:rFonts w:hint="eastAsia" w:ascii="仿宋_GB2312" w:hAnsi="仿宋_GB2312" w:cs="仿宋_GB2312"/>
        </w:rPr>
        <w:t>、阶段性目标</w:t>
      </w:r>
    </w:p>
    <w:p>
      <w:pPr>
        <w:numPr>
          <w:ilvl w:val="2"/>
          <w:numId w:val="0"/>
        </w:numPr>
        <w:spacing w:line="560" w:lineRule="exact"/>
        <w:ind w:left="300" w:leftChars="100" w:right="57" w:firstLine="600" w:firstLineChars="200"/>
        <w:rPr>
          <w:rFonts w:ascii="仿宋_GB2312"/>
        </w:rPr>
      </w:pPr>
      <w:r>
        <w:rPr>
          <w:rFonts w:hint="eastAsia" w:ascii="仿宋_GB2312" w:cs="仿宋_GB2312"/>
        </w:rPr>
        <w:t>该项目为当年项目，无阶段性目标。</w:t>
      </w:r>
    </w:p>
    <w:p>
      <w:pPr>
        <w:spacing w:line="560" w:lineRule="exact"/>
        <w:ind w:left="300" w:leftChars="100" w:right="57" w:firstLine="640" w:firstLineChars="200"/>
        <w:rPr>
          <w:rFonts w:ascii="黑体" w:hAnsi="黑体" w:eastAsia="黑体"/>
          <w:sz w:val="32"/>
          <w:szCs w:val="32"/>
        </w:rPr>
      </w:pPr>
      <w:r>
        <w:rPr>
          <w:rFonts w:hint="eastAsia" w:ascii="黑体" w:hAnsi="黑体" w:eastAsia="黑体" w:cs="黑体"/>
          <w:sz w:val="32"/>
          <w:szCs w:val="32"/>
        </w:rPr>
        <w:t>二、绩效评价工作开展情况</w:t>
      </w:r>
    </w:p>
    <w:p>
      <w:pPr>
        <w:spacing w:line="560" w:lineRule="exact"/>
        <w:ind w:right="57" w:firstLine="480" w:firstLineChars="150"/>
        <w:rPr>
          <w:rFonts w:ascii="仿宋_GB2312"/>
          <w:sz w:val="32"/>
          <w:szCs w:val="32"/>
        </w:rPr>
      </w:pPr>
      <w:r>
        <w:rPr>
          <w:rFonts w:hint="eastAsia" w:ascii="仿宋_GB2312" w:hAnsi="仿宋_GB2312" w:cs="仿宋_GB2312"/>
          <w:sz w:val="32"/>
          <w:szCs w:val="32"/>
        </w:rPr>
        <w:t>（一）绩效评价目的、对象和范围。</w:t>
      </w:r>
    </w:p>
    <w:p>
      <w:pPr>
        <w:spacing w:line="560" w:lineRule="exact"/>
        <w:ind w:firstLine="600" w:firstLineChars="200"/>
        <w:rPr>
          <w:rFonts w:ascii="仿宋_GB2312"/>
        </w:rPr>
      </w:pPr>
      <w:r>
        <w:rPr>
          <w:rFonts w:hint="eastAsia" w:ascii="仿宋_GB2312" w:hAnsi="仿宋_GB2312" w:cs="仿宋_GB2312"/>
        </w:rPr>
        <w:t>绩效评价旨在通过评价改善预算部门的财政支出管理，优化资源配置及提高公共服务水平。本次绩效评价遵循《中共中央</w:t>
      </w:r>
      <w:r>
        <w:rPr>
          <w:rFonts w:ascii="仿宋_GB2312" w:hAnsi="仿宋_GB2312" w:cs="仿宋_GB2312"/>
        </w:rPr>
        <w:t xml:space="preserve"> </w:t>
      </w:r>
      <w:r>
        <w:rPr>
          <w:rFonts w:hint="eastAsia" w:ascii="仿宋_GB2312" w:hAnsi="仿宋_GB2312" w:cs="仿宋_GB2312"/>
        </w:rPr>
        <w:t>国务院关于全面实施预算绩效管理的意见》（中发〔</w:t>
      </w:r>
      <w:r>
        <w:rPr>
          <w:rFonts w:ascii="仿宋_GB2312" w:hAnsi="仿宋_GB2312" w:cs="仿宋_GB2312"/>
        </w:rPr>
        <w:t>2018</w:t>
      </w:r>
      <w:r>
        <w:rPr>
          <w:rFonts w:hint="eastAsia" w:ascii="仿宋_GB2312" w:hAnsi="仿宋_GB2312" w:cs="仿宋_GB2312"/>
        </w:rPr>
        <w:t>〕</w:t>
      </w:r>
      <w:r>
        <w:rPr>
          <w:rFonts w:ascii="仿宋_GB2312" w:hAnsi="仿宋_GB2312" w:cs="仿宋_GB2312"/>
        </w:rPr>
        <w:t>34</w:t>
      </w:r>
      <w:r>
        <w:rPr>
          <w:rFonts w:hint="eastAsia" w:ascii="仿宋_GB2312" w:hAnsi="仿宋_GB2312" w:cs="仿宋_GB2312"/>
        </w:rPr>
        <w:t>号文）、《自治区党委自治区人民政府关于全面实施预算绩效管理的实施意见》（新党发〔</w:t>
      </w:r>
      <w:r>
        <w:rPr>
          <w:rFonts w:ascii="仿宋_GB2312" w:hAnsi="仿宋_GB2312" w:cs="仿宋_GB2312"/>
        </w:rPr>
        <w:t>2018</w:t>
      </w:r>
      <w:r>
        <w:rPr>
          <w:rFonts w:hint="eastAsia" w:ascii="仿宋_GB2312" w:hAnsi="仿宋_GB2312" w:cs="仿宋_GB2312"/>
        </w:rPr>
        <w:t>〕</w:t>
      </w:r>
      <w:r>
        <w:rPr>
          <w:rFonts w:ascii="仿宋_GB2312" w:hAnsi="仿宋_GB2312" w:cs="仿宋_GB2312"/>
        </w:rPr>
        <w:t>30</w:t>
      </w:r>
      <w:r>
        <w:rPr>
          <w:rFonts w:hint="eastAsia" w:ascii="仿宋_GB2312" w:hAnsi="仿宋_GB2312" w:cs="仿宋_GB2312"/>
        </w:rPr>
        <w:t>号文）、《关于做好</w:t>
      </w:r>
      <w:r>
        <w:rPr>
          <w:rFonts w:ascii="仿宋_GB2312" w:hAnsi="仿宋_GB2312" w:cs="仿宋_GB2312"/>
        </w:rPr>
        <w:t>2019</w:t>
      </w:r>
      <w:r>
        <w:rPr>
          <w:rFonts w:hint="eastAsia" w:ascii="仿宋_GB2312" w:hAnsi="仿宋_GB2312" w:cs="仿宋_GB2312"/>
        </w:rPr>
        <w:t>年自治区预算绩效管理工作》（新财预〔</w:t>
      </w:r>
      <w:r>
        <w:rPr>
          <w:rFonts w:ascii="仿宋_GB2312" w:hAnsi="仿宋_GB2312" w:cs="仿宋_GB2312"/>
        </w:rPr>
        <w:t>2019</w:t>
      </w:r>
      <w:r>
        <w:rPr>
          <w:rFonts w:hint="eastAsia" w:ascii="仿宋_GB2312" w:hAnsi="仿宋_GB2312" w:cs="仿宋_GB2312"/>
        </w:rPr>
        <w:t>〕</w:t>
      </w:r>
      <w:r>
        <w:rPr>
          <w:rFonts w:ascii="仿宋_GB2312" w:hAnsi="仿宋_GB2312" w:cs="仿宋_GB2312"/>
        </w:rPr>
        <w:t>20</w:t>
      </w:r>
      <w:r>
        <w:rPr>
          <w:rFonts w:hint="eastAsia" w:ascii="仿宋_GB2312" w:hAnsi="仿宋_GB2312" w:cs="仿宋_GB2312"/>
        </w:rPr>
        <w:t>号）、《自治区全面实施预算绩效管理的工作方案》（新财预〔</w:t>
      </w:r>
      <w:r>
        <w:rPr>
          <w:rFonts w:ascii="仿宋_GB2312" w:hAnsi="仿宋_GB2312" w:cs="仿宋_GB2312"/>
        </w:rPr>
        <w:t>2018</w:t>
      </w:r>
      <w:r>
        <w:rPr>
          <w:rFonts w:hint="eastAsia" w:ascii="仿宋_GB2312" w:hAnsi="仿宋_GB2312" w:cs="仿宋_GB2312"/>
        </w:rPr>
        <w:t>〕</w:t>
      </w:r>
      <w:r>
        <w:rPr>
          <w:rFonts w:ascii="仿宋_GB2312" w:hAnsi="仿宋_GB2312" w:cs="仿宋_GB2312"/>
        </w:rPr>
        <w:t>158</w:t>
      </w:r>
      <w:r>
        <w:rPr>
          <w:rFonts w:hint="eastAsia" w:ascii="仿宋_GB2312" w:hAnsi="仿宋_GB2312" w:cs="仿宋_GB2312"/>
        </w:rPr>
        <w:t>号）、《自治区财政支出事前绩效评估管理暂行办法》（新财预〔</w:t>
      </w:r>
      <w:r>
        <w:rPr>
          <w:rFonts w:ascii="仿宋_GB2312" w:hAnsi="仿宋_GB2312" w:cs="仿宋_GB2312"/>
        </w:rPr>
        <w:t>2019</w:t>
      </w:r>
      <w:r>
        <w:rPr>
          <w:rFonts w:hint="eastAsia" w:ascii="仿宋_GB2312" w:hAnsi="仿宋_GB2312" w:cs="仿宋_GB2312"/>
        </w:rPr>
        <w:t>〕</w:t>
      </w:r>
      <w:r>
        <w:rPr>
          <w:rFonts w:ascii="仿宋_GB2312" w:hAnsi="仿宋_GB2312" w:cs="仿宋_GB2312"/>
        </w:rPr>
        <w:t>36</w:t>
      </w:r>
      <w:r>
        <w:rPr>
          <w:rFonts w:hint="eastAsia" w:ascii="仿宋_GB2312" w:hAnsi="仿宋_GB2312" w:cs="仿宋_GB2312"/>
        </w:rPr>
        <w:t>号）文件要求，采用科学、规范的方法，依据既定的评价技术体系，为加强财政预算资金管理，客观公正地核查上缴上级管理费项目，及时总结经验，分析存在问题及原因，切实采取有效措施进一步改进和加强财政专项资金管理，推动财政资金聚力增效，提高公共服务供给质量，增强政府公信力和执行力。</w:t>
      </w:r>
    </w:p>
    <w:p>
      <w:pPr>
        <w:spacing w:line="560" w:lineRule="exact"/>
        <w:ind w:firstLine="600" w:firstLineChars="200"/>
        <w:rPr>
          <w:rFonts w:ascii="仿宋_GB2312"/>
        </w:rPr>
      </w:pPr>
      <w:r>
        <w:rPr>
          <w:rFonts w:hint="eastAsia" w:ascii="仿宋_GB2312" w:hAnsi="仿宋_GB2312" w:cs="仿宋_GB2312"/>
        </w:rPr>
        <w:t>绩效评价的对象：巴州广播电视大学的上缴上级电大管理费</w:t>
      </w:r>
    </w:p>
    <w:p>
      <w:pPr>
        <w:pStyle w:val="5"/>
        <w:widowControl/>
        <w:spacing w:line="560" w:lineRule="exact"/>
        <w:ind w:right="57" w:firstLine="600" w:firstLineChars="200"/>
        <w:jc w:val="both"/>
        <w:rPr>
          <w:color w:val="000000"/>
          <w:sz w:val="30"/>
          <w:szCs w:val="30"/>
        </w:rPr>
      </w:pPr>
      <w:r>
        <w:rPr>
          <w:rFonts w:hint="eastAsia" w:cs="仿宋_GB2312"/>
          <w:sz w:val="30"/>
          <w:szCs w:val="30"/>
        </w:rPr>
        <w:t>绩效评价的范围：上缴上级电大管理费项目是给新疆广播电视大学上缴平台使用费。通过上缴上级电大管理费项目绩效评价</w:t>
      </w:r>
      <w:r>
        <w:rPr>
          <w:sz w:val="30"/>
          <w:szCs w:val="30"/>
        </w:rPr>
        <w:t>,</w:t>
      </w:r>
      <w:r>
        <w:rPr>
          <w:rFonts w:hint="eastAsia" w:cs="仿宋_GB2312"/>
          <w:sz w:val="30"/>
          <w:szCs w:val="30"/>
        </w:rPr>
        <w:t>对本项目投入资</w:t>
      </w:r>
      <w:r>
        <w:rPr>
          <w:rFonts w:hint="eastAsia" w:cs="仿宋_GB2312"/>
          <w:color w:val="000000"/>
          <w:sz w:val="30"/>
          <w:szCs w:val="30"/>
        </w:rPr>
        <w:t>金及为实现这一目标所安排预算的执行结果进行了综合性评价</w:t>
      </w:r>
      <w:r>
        <w:rPr>
          <w:color w:val="000000"/>
          <w:sz w:val="30"/>
          <w:szCs w:val="30"/>
        </w:rPr>
        <w:t>,</w:t>
      </w:r>
      <w:r>
        <w:rPr>
          <w:rFonts w:hint="eastAsia" w:cs="仿宋_GB2312"/>
          <w:color w:val="000000"/>
          <w:sz w:val="30"/>
          <w:szCs w:val="30"/>
        </w:rPr>
        <w:t>由评价并体现了其职能所确定的绩效目标的实现程度。</w:t>
      </w:r>
    </w:p>
    <w:p>
      <w:pPr>
        <w:spacing w:line="560" w:lineRule="exact"/>
        <w:ind w:left="300" w:leftChars="100" w:right="57" w:firstLine="640" w:firstLineChars="200"/>
        <w:rPr>
          <w:rFonts w:ascii="仿宋_GB2312"/>
          <w:sz w:val="32"/>
          <w:szCs w:val="32"/>
        </w:rPr>
      </w:pPr>
      <w:r>
        <w:rPr>
          <w:rFonts w:hint="eastAsia" w:ascii="仿宋_GB2312" w:hAnsi="仿宋_GB2312" w:cs="仿宋_GB2312"/>
          <w:sz w:val="32"/>
          <w:szCs w:val="32"/>
        </w:rPr>
        <w:t>（二）绩效评价原则、评价指标体系（附表说明）、评价方法、评价标准等。</w:t>
      </w:r>
    </w:p>
    <w:p>
      <w:pPr>
        <w:spacing w:line="560" w:lineRule="exact"/>
        <w:ind w:firstLine="640"/>
        <w:rPr>
          <w:rFonts w:ascii="仿宋_GB2312"/>
          <w:u w:val="single"/>
        </w:rPr>
      </w:pPr>
      <w:r>
        <w:rPr>
          <w:rFonts w:ascii="仿宋_GB2312" w:hAnsi="仿宋_GB2312" w:cs="仿宋_GB2312"/>
          <w:color w:val="333333"/>
          <w:shd w:val="clear" w:color="auto" w:fill="FFFFFF"/>
        </w:rPr>
        <w:t>1</w:t>
      </w:r>
      <w:r>
        <w:rPr>
          <w:rFonts w:hint="eastAsia" w:ascii="仿宋_GB2312" w:hAnsi="仿宋_GB2312" w:cs="仿宋_GB2312"/>
          <w:color w:val="333333"/>
          <w:shd w:val="clear" w:color="auto" w:fill="FFFFFF"/>
        </w:rPr>
        <w:t>、绩效评价原则。</w:t>
      </w:r>
    </w:p>
    <w:p>
      <w:pPr>
        <w:pStyle w:val="5"/>
        <w:widowControl/>
        <w:snapToGrid w:val="0"/>
        <w:spacing w:line="560" w:lineRule="exact"/>
        <w:ind w:left="300" w:leftChars="100" w:right="57" w:firstLine="420"/>
        <w:jc w:val="both"/>
        <w:rPr>
          <w:rFonts w:ascii="仿宋_GB2312"/>
          <w:color w:val="333333"/>
          <w:sz w:val="30"/>
          <w:szCs w:val="30"/>
          <w:shd w:val="clear" w:color="auto" w:fill="FFFFFF"/>
        </w:rPr>
      </w:pPr>
      <w:r>
        <w:rPr>
          <w:rFonts w:hint="eastAsia" w:ascii="仿宋_GB2312" w:hAnsi="仿宋_GB2312" w:cs="仿宋_GB2312"/>
          <w:color w:val="333333"/>
          <w:sz w:val="30"/>
          <w:szCs w:val="30"/>
          <w:shd w:val="clear" w:color="auto" w:fill="FFFFFF"/>
        </w:rPr>
        <w:t>一是科学公正原则。绩效评价运用科学合理方法，按照</w:t>
      </w:r>
      <w:r>
        <w:rPr>
          <w:rFonts w:hint="eastAsia" w:ascii="仿宋_GB2312" w:hAnsi="仿宋_GB2312" w:cs="仿宋_GB2312"/>
          <w:sz w:val="30"/>
          <w:szCs w:val="30"/>
        </w:rPr>
        <w:t>上级电大管理费项目收费标准及目的设定产出指标、效益指标、满意度指标等评价指标</w:t>
      </w:r>
      <w:r>
        <w:rPr>
          <w:rFonts w:ascii="仿宋_GB2312" w:cs="仿宋_GB2312"/>
          <w:sz w:val="30"/>
          <w:szCs w:val="30"/>
        </w:rPr>
        <w:t>,</w:t>
      </w:r>
      <w:r>
        <w:rPr>
          <w:rFonts w:hint="eastAsia" w:ascii="仿宋_GB2312" w:hAnsi="仿宋_GB2312" w:cs="仿宋_GB2312"/>
          <w:sz w:val="30"/>
          <w:szCs w:val="30"/>
        </w:rPr>
        <w:t>根据相关管理内容</w:t>
      </w:r>
      <w:r>
        <w:rPr>
          <w:rFonts w:hint="eastAsia" w:ascii="仿宋_GB2312" w:hAnsi="仿宋_GB2312" w:cs="仿宋_GB2312"/>
          <w:color w:val="333333"/>
          <w:sz w:val="30"/>
          <w:szCs w:val="30"/>
          <w:shd w:val="clear" w:color="auto" w:fill="FFFFFF"/>
        </w:rPr>
        <w:t>规范程序，对项目绩效进行客观、公正的反映。</w:t>
      </w:r>
    </w:p>
    <w:p>
      <w:pPr>
        <w:pStyle w:val="5"/>
        <w:widowControl/>
        <w:snapToGrid w:val="0"/>
        <w:spacing w:line="560" w:lineRule="exact"/>
        <w:ind w:left="300" w:leftChars="100" w:right="57" w:firstLine="420"/>
        <w:jc w:val="both"/>
        <w:rPr>
          <w:rFonts w:ascii="仿宋_GB2312"/>
          <w:color w:val="333333"/>
          <w:sz w:val="30"/>
          <w:szCs w:val="30"/>
          <w:shd w:val="clear" w:color="auto" w:fill="FFFFFF"/>
        </w:rPr>
      </w:pPr>
      <w:r>
        <w:rPr>
          <w:rFonts w:hint="eastAsia" w:ascii="仿宋_GB2312" w:hAnsi="仿宋_GB2312" w:cs="仿宋_GB2312"/>
          <w:color w:val="333333"/>
          <w:sz w:val="30"/>
          <w:szCs w:val="30"/>
          <w:shd w:val="clear" w:color="auto" w:fill="FFFFFF"/>
        </w:rPr>
        <w:t>二是统筹兼顾原则。项目绩效目标的设定和完成兼顾上缴上级管理费项目本身的特性及单位运行的重点开展，单位自评由单位自主实施，结合部门评价和财政评价不断完善。</w:t>
      </w:r>
    </w:p>
    <w:p>
      <w:pPr>
        <w:pStyle w:val="5"/>
        <w:widowControl/>
        <w:snapToGrid w:val="0"/>
        <w:spacing w:line="560" w:lineRule="exact"/>
        <w:ind w:left="300" w:leftChars="100" w:right="57" w:firstLine="420"/>
        <w:jc w:val="both"/>
        <w:rPr>
          <w:rFonts w:ascii="仿宋_GB2312"/>
          <w:color w:val="333333"/>
          <w:sz w:val="30"/>
          <w:szCs w:val="30"/>
          <w:shd w:val="clear" w:color="auto" w:fill="FFFFFF"/>
        </w:rPr>
      </w:pPr>
      <w:r>
        <w:rPr>
          <w:rFonts w:hint="eastAsia" w:ascii="仿宋_GB2312" w:hAnsi="仿宋_GB2312" w:cs="仿宋_GB2312"/>
          <w:color w:val="333333"/>
          <w:sz w:val="30"/>
          <w:szCs w:val="30"/>
          <w:shd w:val="clear" w:color="auto" w:fill="FFFFFF"/>
        </w:rPr>
        <w:t>三是激励约束原则。项目的绩效评价结果与财政预算安排、单位部门改进管理实质性挂钩，奖优罚劣。体现有效要安排、低效要压减、无效要问责效果。</w:t>
      </w:r>
    </w:p>
    <w:p>
      <w:pPr>
        <w:pStyle w:val="5"/>
        <w:widowControl/>
        <w:snapToGrid w:val="0"/>
        <w:spacing w:line="560" w:lineRule="exact"/>
        <w:ind w:left="300" w:leftChars="100" w:right="57" w:firstLine="420"/>
        <w:jc w:val="both"/>
        <w:rPr>
          <w:rFonts w:ascii="仿宋_GB2312"/>
          <w:sz w:val="30"/>
          <w:szCs w:val="30"/>
        </w:rPr>
      </w:pPr>
      <w:r>
        <w:rPr>
          <w:rFonts w:hint="eastAsia" w:ascii="仿宋_GB2312" w:hAnsi="仿宋_GB2312" w:cs="仿宋_GB2312"/>
          <w:color w:val="333333"/>
          <w:sz w:val="30"/>
          <w:szCs w:val="30"/>
          <w:shd w:val="clear" w:color="auto" w:fill="FFFFFF"/>
        </w:rPr>
        <w:t>四是公开透明原则。项目绩效评价结果依法依规公开，并自觉接受社会监督。</w:t>
      </w:r>
    </w:p>
    <w:p>
      <w:pPr>
        <w:spacing w:line="560" w:lineRule="exact"/>
        <w:ind w:firstLine="600" w:firstLineChars="200"/>
        <w:rPr>
          <w:rFonts w:ascii="仿宋_GB2312"/>
        </w:rPr>
      </w:pPr>
      <w:r>
        <w:rPr>
          <w:rFonts w:ascii="仿宋_GB2312" w:hAnsi="仿宋_GB2312" w:cs="仿宋_GB2312"/>
        </w:rPr>
        <w:t>2</w:t>
      </w:r>
      <w:r>
        <w:rPr>
          <w:rFonts w:hint="eastAsia" w:ascii="仿宋_GB2312" w:hAnsi="仿宋_GB2312" w:cs="仿宋_GB2312"/>
        </w:rPr>
        <w:t>、项支出绩效评价指标体系框架：</w:t>
      </w:r>
    </w:p>
    <w:p>
      <w:pPr>
        <w:pStyle w:val="32"/>
        <w:spacing w:line="560" w:lineRule="exact"/>
        <w:ind w:firstLine="661" w:firstLineChars="233"/>
        <w:rPr>
          <w:rFonts w:ascii="Times New Roman" w:eastAsia="仿宋_GB2312" w:cs="Times New Roman"/>
          <w:spacing w:val="-8"/>
          <w:sz w:val="30"/>
          <w:szCs w:val="30"/>
        </w:rPr>
      </w:pPr>
      <w:r>
        <w:rPr>
          <w:rFonts w:hint="eastAsia" w:ascii="Times New Roman" w:eastAsia="仿宋_GB2312" w:cs="仿宋_GB2312"/>
          <w:spacing w:val="-8"/>
          <w:sz w:val="30"/>
          <w:szCs w:val="30"/>
        </w:rPr>
        <w:t>上缴上级管理费项目绩效评价指标体系的设计参照财政部《项目支出绩效评价指标体系框架》决策和过程在此框架的基础上结合项目的特</w:t>
      </w:r>
      <w:r>
        <w:rPr>
          <w:rFonts w:hint="eastAsia" w:ascii="仿宋_GB2312" w:hAnsi="仿宋_GB2312" w:eastAsia="仿宋_GB2312" w:cs="仿宋_GB2312"/>
          <w:spacing w:val="-8"/>
          <w:sz w:val="30"/>
          <w:szCs w:val="30"/>
        </w:rPr>
        <w:t>点适当进行完善，产出和效益根据项目特点进行了细化。</w:t>
      </w:r>
      <w:r>
        <w:rPr>
          <w:rFonts w:hint="eastAsia" w:ascii="仿宋_GB2312" w:hAnsi="仿宋_GB2312" w:eastAsia="仿宋_GB2312" w:cs="仿宋_GB2312"/>
          <w:color w:val="333333"/>
          <w:sz w:val="30"/>
          <w:szCs w:val="30"/>
          <w:shd w:val="clear" w:color="auto" w:fill="FFFFFF"/>
        </w:rPr>
        <w:t>预算执行率和一级指标权重设置为：预算执行率</w:t>
      </w:r>
      <w:r>
        <w:rPr>
          <w:rFonts w:ascii="仿宋_GB2312" w:hAnsi="仿宋_GB2312" w:eastAsia="仿宋_GB2312" w:cs="仿宋_GB2312"/>
          <w:color w:val="333333"/>
          <w:sz w:val="30"/>
          <w:szCs w:val="30"/>
          <w:shd w:val="clear" w:color="auto" w:fill="FFFFFF"/>
        </w:rPr>
        <w:t>10%</w:t>
      </w:r>
      <w:r>
        <w:rPr>
          <w:rFonts w:hint="eastAsia" w:ascii="仿宋_GB2312" w:hAnsi="仿宋_GB2312" w:eastAsia="仿宋_GB2312" w:cs="仿宋_GB2312"/>
          <w:color w:val="333333"/>
          <w:sz w:val="30"/>
          <w:szCs w:val="30"/>
          <w:shd w:val="clear" w:color="auto" w:fill="FFFFFF"/>
        </w:rPr>
        <w:t>、产出指标</w:t>
      </w:r>
      <w:r>
        <w:rPr>
          <w:rFonts w:ascii="仿宋_GB2312" w:hAnsi="仿宋_GB2312" w:eastAsia="仿宋_GB2312" w:cs="仿宋_GB2312"/>
          <w:color w:val="333333"/>
          <w:sz w:val="30"/>
          <w:szCs w:val="30"/>
          <w:shd w:val="clear" w:color="auto" w:fill="FFFFFF"/>
        </w:rPr>
        <w:t>50%</w:t>
      </w:r>
      <w:r>
        <w:rPr>
          <w:rFonts w:hint="eastAsia" w:ascii="仿宋_GB2312" w:hAnsi="仿宋_GB2312" w:eastAsia="仿宋_GB2312" w:cs="仿宋_GB2312"/>
          <w:color w:val="333333"/>
          <w:sz w:val="30"/>
          <w:szCs w:val="30"/>
          <w:shd w:val="clear" w:color="auto" w:fill="FFFFFF"/>
        </w:rPr>
        <w:t>、效益指标</w:t>
      </w:r>
      <w:r>
        <w:rPr>
          <w:rFonts w:ascii="仿宋_GB2312" w:hAnsi="仿宋_GB2312" w:eastAsia="仿宋_GB2312" w:cs="仿宋_GB2312"/>
          <w:color w:val="333333"/>
          <w:sz w:val="30"/>
          <w:szCs w:val="30"/>
          <w:shd w:val="clear" w:color="auto" w:fill="FFFFFF"/>
        </w:rPr>
        <w:t>30%</w:t>
      </w:r>
      <w:r>
        <w:rPr>
          <w:rFonts w:hint="eastAsia" w:ascii="仿宋_GB2312" w:hAnsi="仿宋_GB2312" w:eastAsia="仿宋_GB2312" w:cs="仿宋_GB2312"/>
          <w:color w:val="333333"/>
          <w:sz w:val="30"/>
          <w:szCs w:val="30"/>
          <w:shd w:val="clear" w:color="auto" w:fill="FFFFFF"/>
        </w:rPr>
        <w:t>、服务对象满意度指标</w:t>
      </w:r>
      <w:r>
        <w:rPr>
          <w:rFonts w:ascii="仿宋_GB2312" w:hAnsi="仿宋_GB2312" w:eastAsia="仿宋_GB2312" w:cs="仿宋_GB2312"/>
          <w:color w:val="333333"/>
          <w:sz w:val="30"/>
          <w:szCs w:val="30"/>
          <w:shd w:val="clear" w:color="auto" w:fill="FFFFFF"/>
        </w:rPr>
        <w:t>10%</w:t>
      </w:r>
      <w:r>
        <w:rPr>
          <w:rFonts w:hint="eastAsia" w:ascii="仿宋_GB2312" w:hAnsi="仿宋_GB2312" w:eastAsia="仿宋_GB2312" w:cs="仿宋_GB2312"/>
          <w:color w:val="333333"/>
          <w:sz w:val="30"/>
          <w:szCs w:val="30"/>
          <w:shd w:val="clear" w:color="auto" w:fill="FFFFFF"/>
        </w:rPr>
        <w:t>。</w:t>
      </w:r>
    </w:p>
    <w:p>
      <w:pPr>
        <w:pStyle w:val="32"/>
        <w:spacing w:line="560" w:lineRule="exact"/>
        <w:ind w:firstLine="661" w:firstLineChars="233"/>
        <w:rPr>
          <w:rFonts w:ascii="Times New Roman" w:eastAsia="仿宋_GB2312" w:cs="Times New Roman"/>
          <w:spacing w:val="-8"/>
          <w:sz w:val="30"/>
          <w:szCs w:val="30"/>
        </w:rPr>
      </w:pPr>
      <w:r>
        <w:rPr>
          <w:rFonts w:hint="eastAsia" w:ascii="Times New Roman" w:eastAsia="仿宋_GB2312" w:cs="仿宋_GB2312"/>
          <w:spacing w:val="-8"/>
          <w:sz w:val="30"/>
          <w:szCs w:val="30"/>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上缴上级管理费项目绩效评价指标体系</w:t>
      </w:r>
    </w:p>
    <w:p>
      <w:pPr>
        <w:spacing w:line="560" w:lineRule="exact"/>
        <w:ind w:firstLine="600" w:firstLineChars="200"/>
        <w:rPr>
          <w:rFonts w:ascii="仿宋_GB2312"/>
          <w:color w:val="333333"/>
          <w:shd w:val="clear" w:color="auto" w:fill="FFFFFF"/>
        </w:rPr>
      </w:pPr>
      <w:r>
        <w:rPr>
          <w:rFonts w:ascii="仿宋_GB2312" w:hAnsi="仿宋_GB2312" w:cs="仿宋_GB2312"/>
          <w:color w:val="333333"/>
          <w:shd w:val="clear" w:color="auto" w:fill="FFFFFF"/>
        </w:rPr>
        <w:t>3</w:t>
      </w:r>
      <w:r>
        <w:rPr>
          <w:rFonts w:hint="eastAsia" w:ascii="仿宋_GB2312" w:hAnsi="仿宋_GB2312" w:cs="仿宋_GB2312"/>
          <w:color w:val="333333"/>
          <w:shd w:val="clear" w:color="auto" w:fill="FFFFFF"/>
        </w:rPr>
        <w:t>、评价方法：</w:t>
      </w:r>
    </w:p>
    <w:p>
      <w:pPr>
        <w:spacing w:line="560" w:lineRule="exact"/>
        <w:ind w:firstLine="600" w:firstLineChars="200"/>
        <w:rPr>
          <w:rFonts w:ascii="仿宋_GB2312"/>
        </w:rPr>
      </w:pPr>
      <w:r>
        <w:rPr>
          <w:rFonts w:hint="eastAsia" w:ascii="仿宋_GB2312" w:cs="仿宋_GB231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结合本次绩效评估项目的具体情况，为确保本次绩效评估工作的真实可靠，我单位采用了成本效益分析法进行评价。</w:t>
      </w:r>
    </w:p>
    <w:p>
      <w:pPr>
        <w:spacing w:line="560" w:lineRule="exact"/>
        <w:ind w:firstLine="600" w:firstLineChars="200"/>
        <w:rPr>
          <w:rFonts w:ascii="仿宋_GB2312"/>
        </w:rPr>
      </w:pPr>
      <w:r>
        <w:rPr>
          <w:rFonts w:hint="eastAsia" w:ascii="仿宋_GB2312" w:cs="仿宋_GB2312"/>
        </w:rPr>
        <w:t>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的实施显著提升了办学水平，促进了本地电大事业的发展及和谐社会的构建</w:t>
      </w:r>
    </w:p>
    <w:p>
      <w:pPr>
        <w:pStyle w:val="5"/>
        <w:widowControl/>
        <w:snapToGrid w:val="0"/>
        <w:spacing w:line="560" w:lineRule="exact"/>
        <w:ind w:left="300" w:leftChars="100" w:right="57" w:firstLine="420"/>
        <w:jc w:val="both"/>
        <w:rPr>
          <w:rFonts w:ascii="仿宋_GB2312"/>
          <w:color w:val="333333"/>
          <w:sz w:val="32"/>
          <w:szCs w:val="32"/>
          <w:shd w:val="clear" w:color="auto" w:fill="FFFFFF"/>
        </w:rPr>
      </w:pPr>
      <w:r>
        <w:rPr>
          <w:rFonts w:ascii="仿宋_GB2312" w:hAnsi="仿宋_GB2312" w:cs="仿宋_GB2312"/>
          <w:color w:val="333333"/>
          <w:sz w:val="32"/>
          <w:szCs w:val="32"/>
          <w:shd w:val="clear" w:color="auto" w:fill="FFFFFF"/>
        </w:rPr>
        <w:t>4</w:t>
      </w:r>
      <w:r>
        <w:rPr>
          <w:rFonts w:hint="eastAsia" w:ascii="仿宋_GB2312" w:hAnsi="仿宋_GB2312" w:cs="仿宋_GB2312"/>
          <w:color w:val="333333"/>
          <w:sz w:val="32"/>
          <w:szCs w:val="32"/>
          <w:shd w:val="clear" w:color="auto" w:fill="FFFFFF"/>
        </w:rPr>
        <w:t>、评价标准：</w:t>
      </w:r>
    </w:p>
    <w:p>
      <w:pPr>
        <w:pStyle w:val="32"/>
        <w:spacing w:line="520" w:lineRule="exact"/>
        <w:ind w:firstLine="640" w:firstLineChars="200"/>
        <w:rPr>
          <w:rFonts w:ascii="仿宋_GB2312" w:eastAsia="仿宋_GB2312" w:cs="Times New Roman"/>
          <w:spacing w:val="-8"/>
          <w:sz w:val="32"/>
          <w:szCs w:val="32"/>
        </w:rPr>
      </w:pPr>
      <w:r>
        <w:rPr>
          <w:rFonts w:hint="eastAsia" w:ascii="仿宋_GB2312" w:eastAsia="仿宋_GB2312" w:cs="仿宋_GB2312"/>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pPr>
        <w:spacing w:line="560" w:lineRule="exact"/>
        <w:ind w:left="900" w:leftChars="300" w:right="57"/>
        <w:rPr>
          <w:rFonts w:ascii="仿宋_GB2312"/>
          <w:sz w:val="32"/>
          <w:szCs w:val="32"/>
        </w:rPr>
      </w:pPr>
      <w:r>
        <w:rPr>
          <w:rFonts w:hint="eastAsia" w:ascii="仿宋_GB2312" w:hAnsi="仿宋_GB2312" w:cs="仿宋_GB2312"/>
          <w:sz w:val="32"/>
          <w:szCs w:val="32"/>
        </w:rPr>
        <w:t>（三）绩效评价工作过程。</w:t>
      </w:r>
    </w:p>
    <w:p>
      <w:pPr>
        <w:pStyle w:val="5"/>
        <w:widowControl/>
        <w:spacing w:line="560" w:lineRule="exact"/>
        <w:ind w:left="300" w:leftChars="100" w:right="57"/>
        <w:jc w:val="both"/>
        <w:rPr>
          <w:rFonts w:ascii="仿宋_GB2312"/>
          <w:color w:val="333333"/>
          <w:sz w:val="30"/>
          <w:szCs w:val="30"/>
          <w:shd w:val="clear" w:color="auto" w:fill="FFFFFF"/>
        </w:rPr>
      </w:pPr>
      <w:r>
        <w:rPr>
          <w:rFonts w:ascii="仿宋_GB2312" w:hAnsi="仿宋_GB2312" w:cs="仿宋_GB2312"/>
          <w:color w:val="333333"/>
          <w:sz w:val="32"/>
          <w:szCs w:val="32"/>
          <w:shd w:val="clear" w:color="auto" w:fill="FFFFFF"/>
        </w:rPr>
        <w:t xml:space="preserve">  </w:t>
      </w:r>
      <w:r>
        <w:rPr>
          <w:rFonts w:ascii="仿宋_GB2312" w:hAnsi="仿宋_GB2312" w:cs="仿宋_GB2312"/>
          <w:color w:val="333333"/>
          <w:sz w:val="30"/>
          <w:szCs w:val="30"/>
          <w:shd w:val="clear" w:color="auto" w:fill="FFFFFF"/>
        </w:rPr>
        <w:t xml:space="preserve"> 1</w:t>
      </w:r>
      <w:r>
        <w:rPr>
          <w:rFonts w:hint="eastAsia" w:ascii="仿宋_GB2312" w:hAnsi="仿宋_GB2312" w:cs="仿宋_GB2312"/>
          <w:color w:val="333333"/>
          <w:sz w:val="30"/>
          <w:szCs w:val="30"/>
          <w:shd w:val="clear" w:color="auto" w:fill="FFFFFF"/>
        </w:rPr>
        <w:t>、前期准备</w:t>
      </w:r>
      <w:r>
        <w:rPr>
          <w:rFonts w:ascii="仿宋_GB2312"/>
          <w:color w:val="333333"/>
          <w:sz w:val="30"/>
          <w:szCs w:val="30"/>
          <w:shd w:val="clear" w:color="auto" w:fill="FFFFFF"/>
        </w:rPr>
        <w:t>  </w:t>
      </w:r>
    </w:p>
    <w:p>
      <w:pPr>
        <w:pStyle w:val="5"/>
        <w:widowControl/>
        <w:numPr>
          <w:ilvl w:val="1"/>
          <w:numId w:val="0"/>
        </w:numPr>
        <w:spacing w:line="560" w:lineRule="exact"/>
        <w:ind w:left="300" w:leftChars="100" w:right="57" w:firstLine="600" w:firstLineChars="200"/>
        <w:jc w:val="both"/>
        <w:rPr>
          <w:rFonts w:ascii="仿宋_GB2312"/>
          <w:color w:val="333333"/>
          <w:sz w:val="30"/>
          <w:szCs w:val="30"/>
          <w:shd w:val="clear" w:color="auto" w:fill="FFFFFF"/>
        </w:rPr>
      </w:pPr>
      <w:r>
        <w:rPr>
          <w:rFonts w:hint="eastAsia" w:ascii="仿宋_GB2312" w:hAnsi="仿宋_GB2312" w:cs="仿宋_GB2312"/>
          <w:color w:val="333333"/>
          <w:sz w:val="30"/>
          <w:szCs w:val="30"/>
          <w:shd w:val="clear" w:color="auto" w:fill="FFFFFF"/>
        </w:rPr>
        <w:t>由校党委领导班子成员、财务室及相关科室负责人参加的</w:t>
      </w:r>
      <w:r>
        <w:rPr>
          <w:rFonts w:ascii="仿宋_GB2312" w:hAnsi="仿宋_GB2312" w:cs="仿宋_GB2312"/>
          <w:color w:val="333333"/>
          <w:sz w:val="30"/>
          <w:szCs w:val="30"/>
          <w:shd w:val="clear" w:color="auto" w:fill="FFFFFF"/>
        </w:rPr>
        <w:t>2019</w:t>
      </w:r>
      <w:r>
        <w:rPr>
          <w:rFonts w:hint="eastAsia" w:ascii="仿宋_GB2312" w:hAnsi="仿宋_GB2312" w:cs="仿宋_GB2312"/>
          <w:color w:val="333333"/>
          <w:sz w:val="30"/>
          <w:szCs w:val="30"/>
          <w:shd w:val="clear" w:color="auto" w:fill="FFFFFF"/>
        </w:rPr>
        <w:t>年财政专项资金项目绩效评价工作会议，明确了绩效评价工作的具体事项及各自责任和任务。</w:t>
      </w:r>
    </w:p>
    <w:p>
      <w:pPr>
        <w:pStyle w:val="32"/>
        <w:spacing w:line="560" w:lineRule="exact"/>
        <w:ind w:firstLine="661" w:firstLineChars="233"/>
        <w:rPr>
          <w:rFonts w:ascii="仿宋_GB2312" w:hAnsi="仿宋" w:eastAsia="仿宋_GB2312" w:cs="Times New Roman"/>
          <w:spacing w:val="-8"/>
          <w:sz w:val="30"/>
          <w:szCs w:val="30"/>
        </w:rPr>
      </w:pPr>
      <w:r>
        <w:rPr>
          <w:rFonts w:hint="eastAsia" w:ascii="仿宋_GB2312" w:hAnsi="仿宋" w:eastAsia="仿宋_GB2312" w:cs="仿宋_GB2312"/>
          <w:spacing w:val="-8"/>
          <w:sz w:val="30"/>
          <w:szCs w:val="30"/>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pPr>
        <w:pStyle w:val="5"/>
        <w:widowControl/>
        <w:spacing w:line="560" w:lineRule="exact"/>
        <w:ind w:left="300" w:leftChars="100" w:right="57"/>
        <w:jc w:val="both"/>
        <w:rPr>
          <w:rFonts w:ascii="仿宋_GB2312"/>
          <w:color w:val="000000"/>
          <w:sz w:val="30"/>
          <w:szCs w:val="30"/>
          <w:shd w:val="clear" w:color="auto" w:fill="FFFFFF"/>
        </w:rPr>
      </w:pPr>
      <w:r>
        <w:rPr>
          <w:rFonts w:ascii="仿宋_GB2312" w:hAnsi="仿宋_GB2312" w:cs="仿宋_GB2312"/>
          <w:color w:val="000000"/>
          <w:sz w:val="30"/>
          <w:szCs w:val="30"/>
          <w:shd w:val="clear" w:color="auto" w:fill="FFFFFF"/>
        </w:rPr>
        <w:t xml:space="preserve">   2</w:t>
      </w:r>
      <w:r>
        <w:rPr>
          <w:rFonts w:hint="eastAsia" w:ascii="仿宋_GB2312" w:hAnsi="仿宋_GB2312" w:cs="仿宋_GB2312"/>
          <w:color w:val="000000"/>
          <w:sz w:val="30"/>
          <w:szCs w:val="30"/>
          <w:shd w:val="clear" w:color="auto" w:fill="FFFFFF"/>
        </w:rPr>
        <w:t>、组织实施</w:t>
      </w:r>
      <w:r>
        <w:rPr>
          <w:rFonts w:ascii="仿宋_GB2312"/>
          <w:color w:val="000000"/>
          <w:sz w:val="30"/>
          <w:szCs w:val="30"/>
          <w:shd w:val="clear" w:color="auto" w:fill="FFFFFF"/>
        </w:rPr>
        <w:t> </w:t>
      </w:r>
    </w:p>
    <w:p>
      <w:pPr>
        <w:pStyle w:val="5"/>
        <w:widowControl/>
        <w:numPr>
          <w:ilvl w:val="1"/>
          <w:numId w:val="0"/>
        </w:numPr>
        <w:spacing w:line="560" w:lineRule="exact"/>
        <w:ind w:left="300" w:leftChars="100" w:right="57" w:firstLine="660"/>
        <w:jc w:val="both"/>
        <w:rPr>
          <w:rFonts w:ascii="仿宋_GB2312"/>
          <w:color w:val="000000"/>
          <w:sz w:val="30"/>
          <w:szCs w:val="30"/>
          <w:shd w:val="clear" w:color="auto" w:fill="FFFFFF"/>
        </w:rPr>
      </w:pPr>
      <w:r>
        <w:rPr>
          <w:rFonts w:hint="eastAsia" w:ascii="仿宋_GB2312" w:hAnsi="仿宋_GB2312" w:cs="仿宋_GB2312"/>
          <w:color w:val="000000"/>
          <w:sz w:val="30"/>
          <w:szCs w:val="30"/>
          <w:shd w:val="clear" w:color="auto" w:fill="FFFFFF"/>
        </w:rPr>
        <w:t>组织教务、教学、招生办等相关部门对设定的专项资金绩效目标完成情况逐项进行自评，对评价指标设定不合理或完成情况不好的分析原因，进行纠偏，逐步完善。</w:t>
      </w:r>
    </w:p>
    <w:p>
      <w:pPr>
        <w:pStyle w:val="32"/>
        <w:spacing w:line="560" w:lineRule="exact"/>
        <w:ind w:firstLine="661" w:firstLineChars="233"/>
        <w:rPr>
          <w:rFonts w:ascii="仿宋_GB2312" w:hAnsi="仿宋" w:eastAsia="仿宋_GB2312" w:cs="Times New Roman"/>
          <w:spacing w:val="-8"/>
          <w:sz w:val="30"/>
          <w:szCs w:val="30"/>
        </w:rPr>
      </w:pPr>
      <w:r>
        <w:rPr>
          <w:rFonts w:hint="eastAsia" w:ascii="仿宋_GB2312" w:hAnsi="仿宋" w:eastAsia="仿宋_GB2312" w:cs="仿宋_GB2312"/>
          <w:spacing w:val="-8"/>
          <w:sz w:val="30"/>
          <w:szCs w:val="30"/>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pPr>
        <w:pStyle w:val="32"/>
        <w:spacing w:line="560" w:lineRule="exact"/>
        <w:ind w:firstLine="661" w:firstLineChars="233"/>
        <w:rPr>
          <w:rFonts w:ascii="仿宋_GB2312" w:hAnsi="仿宋" w:eastAsia="仿宋_GB2312" w:cs="Times New Roman"/>
          <w:spacing w:val="-8"/>
          <w:sz w:val="30"/>
          <w:szCs w:val="30"/>
        </w:rPr>
      </w:pPr>
      <w:r>
        <w:rPr>
          <w:rFonts w:hint="eastAsia" w:ascii="仿宋_GB2312" w:hAnsi="仿宋" w:eastAsia="仿宋_GB2312" w:cs="仿宋_GB2312"/>
          <w:spacing w:val="-8"/>
          <w:sz w:val="30"/>
          <w:szCs w:val="30"/>
        </w:rPr>
        <w:t>一是收集了项目决策、过程、产出及效益相关资料。</w:t>
      </w:r>
    </w:p>
    <w:p>
      <w:pPr>
        <w:pStyle w:val="32"/>
        <w:spacing w:line="560" w:lineRule="exact"/>
        <w:ind w:firstLine="661" w:firstLineChars="233"/>
        <w:rPr>
          <w:rFonts w:ascii="仿宋_GB2312" w:hAnsi="仿宋" w:eastAsia="仿宋_GB2312" w:cs="Times New Roman"/>
          <w:spacing w:val="-8"/>
          <w:sz w:val="30"/>
          <w:szCs w:val="30"/>
        </w:rPr>
      </w:pPr>
      <w:r>
        <w:rPr>
          <w:rFonts w:hint="eastAsia" w:ascii="仿宋_GB2312" w:hAnsi="仿宋" w:eastAsia="仿宋_GB2312" w:cs="仿宋_GB2312"/>
          <w:spacing w:val="-8"/>
          <w:sz w:val="30"/>
          <w:szCs w:val="30"/>
        </w:rPr>
        <w:t>二是通过与项目实施人员、财务人员进行座谈听取取得的成果和存在的问题，针对存在的问题进行探讨，给出相关建议。</w:t>
      </w:r>
    </w:p>
    <w:p>
      <w:pPr>
        <w:pStyle w:val="32"/>
        <w:spacing w:line="560" w:lineRule="exact"/>
        <w:ind w:firstLine="661" w:firstLineChars="233"/>
        <w:rPr>
          <w:rFonts w:ascii="仿宋_GB2312" w:hAnsi="仿宋" w:eastAsia="仿宋_GB2312" w:cs="Times New Roman"/>
          <w:spacing w:val="-8"/>
          <w:sz w:val="30"/>
          <w:szCs w:val="30"/>
        </w:rPr>
      </w:pPr>
      <w:r>
        <w:rPr>
          <w:rFonts w:hint="eastAsia" w:ascii="仿宋_GB2312" w:hAnsi="仿宋" w:eastAsia="仿宋_GB2312" w:cs="仿宋_GB2312"/>
          <w:spacing w:val="-8"/>
          <w:sz w:val="30"/>
          <w:szCs w:val="30"/>
        </w:rPr>
        <w:t>三是查阅教学平台报课报考数据，与上级电大核对管理费收费明细账，对单位的总账、明细账及辅助账等进行核查，对项目的资金来源及去向进行分类整理。</w:t>
      </w:r>
    </w:p>
    <w:p>
      <w:pPr>
        <w:pStyle w:val="32"/>
        <w:spacing w:line="560" w:lineRule="exact"/>
        <w:ind w:firstLine="661" w:firstLineChars="233"/>
        <w:rPr>
          <w:rFonts w:ascii="仿宋_GB2312" w:hAnsi="仿宋" w:eastAsia="仿宋_GB2312" w:cs="Times New Roman"/>
          <w:spacing w:val="-8"/>
          <w:sz w:val="30"/>
          <w:szCs w:val="30"/>
        </w:rPr>
      </w:pPr>
      <w:r>
        <w:rPr>
          <w:rFonts w:hint="eastAsia" w:ascii="仿宋_GB2312" w:hAnsi="仿宋" w:eastAsia="仿宋_GB2312" w:cs="仿宋_GB2312"/>
          <w:spacing w:val="-8"/>
          <w:sz w:val="30"/>
          <w:szCs w:val="30"/>
        </w:rPr>
        <w:t>四是查阅项目档案</w:t>
      </w:r>
      <w:r>
        <w:rPr>
          <w:rFonts w:ascii="仿宋_GB2312" w:hAnsi="仿宋" w:eastAsia="仿宋_GB2312" w:cs="仿宋_GB2312"/>
          <w:spacing w:val="-8"/>
          <w:sz w:val="30"/>
          <w:szCs w:val="30"/>
        </w:rPr>
        <w:t>,</w:t>
      </w:r>
      <w:r>
        <w:rPr>
          <w:rFonts w:hint="eastAsia" w:ascii="仿宋_GB2312" w:hAnsi="仿宋" w:eastAsia="仿宋_GB2312" w:cs="仿宋_GB2312"/>
          <w:spacing w:val="-8"/>
          <w:sz w:val="30"/>
          <w:szCs w:val="30"/>
        </w:rPr>
        <w:t>包括项目的分析报告等文件。</w:t>
      </w:r>
    </w:p>
    <w:p>
      <w:pPr>
        <w:pStyle w:val="5"/>
        <w:widowControl/>
        <w:spacing w:line="560" w:lineRule="exact"/>
        <w:ind w:left="300" w:leftChars="100" w:right="57" w:firstLine="420"/>
        <w:jc w:val="both"/>
        <w:rPr>
          <w:rFonts w:ascii="仿宋_GB2312"/>
          <w:color w:val="000000"/>
          <w:sz w:val="30"/>
          <w:szCs w:val="30"/>
          <w:shd w:val="clear" w:color="auto" w:fill="FFFFFF"/>
        </w:rPr>
      </w:pPr>
      <w:r>
        <w:rPr>
          <w:rFonts w:ascii="仿宋_GB2312" w:hAnsi="仿宋_GB2312" w:cs="仿宋_GB2312"/>
          <w:color w:val="000000"/>
          <w:sz w:val="30"/>
          <w:szCs w:val="30"/>
          <w:shd w:val="clear" w:color="auto" w:fill="FFFFFF"/>
        </w:rPr>
        <w:t xml:space="preserve">  3</w:t>
      </w:r>
      <w:r>
        <w:rPr>
          <w:rFonts w:hint="eastAsia" w:ascii="仿宋_GB2312" w:hAnsi="仿宋_GB2312" w:cs="仿宋_GB2312"/>
          <w:color w:val="000000"/>
          <w:sz w:val="30"/>
          <w:szCs w:val="30"/>
          <w:shd w:val="clear" w:color="auto" w:fill="FFFFFF"/>
        </w:rPr>
        <w:t>、分析评价</w:t>
      </w:r>
      <w:r>
        <w:rPr>
          <w:rFonts w:ascii="仿宋_GB2312"/>
          <w:color w:val="000000"/>
          <w:sz w:val="30"/>
          <w:szCs w:val="30"/>
          <w:shd w:val="clear" w:color="auto" w:fill="FFFFFF"/>
        </w:rPr>
        <w:t> </w:t>
      </w:r>
    </w:p>
    <w:p>
      <w:pPr>
        <w:pStyle w:val="5"/>
        <w:widowControl/>
        <w:spacing w:line="560" w:lineRule="exact"/>
        <w:ind w:left="300" w:leftChars="100" w:right="57" w:firstLine="420"/>
        <w:jc w:val="both"/>
        <w:rPr>
          <w:rFonts w:ascii="仿宋_GB2312"/>
          <w:color w:val="000000"/>
          <w:sz w:val="30"/>
          <w:szCs w:val="30"/>
          <w:shd w:val="clear" w:color="auto" w:fill="FFFFFF"/>
        </w:rPr>
      </w:pPr>
      <w:r>
        <w:rPr>
          <w:rFonts w:hint="eastAsia" w:ascii="仿宋_GB2312" w:hAnsi="仿宋_GB2312" w:cs="仿宋_GB2312"/>
          <w:color w:val="000000"/>
          <w:sz w:val="30"/>
          <w:szCs w:val="30"/>
          <w:shd w:val="clear" w:color="auto" w:fill="FFFFFF"/>
        </w:rPr>
        <w:t>通过相关政策文件、基础数据、资金使用效益等多种信息进行分析评价，撰写</w:t>
      </w:r>
      <w:r>
        <w:rPr>
          <w:rFonts w:ascii="仿宋_GB2312" w:hAnsi="仿宋_GB2312" w:cs="仿宋_GB2312"/>
          <w:color w:val="000000"/>
          <w:sz w:val="30"/>
          <w:szCs w:val="30"/>
          <w:shd w:val="clear" w:color="auto" w:fill="FFFFFF"/>
        </w:rPr>
        <w:t>2019</w:t>
      </w:r>
      <w:r>
        <w:rPr>
          <w:rFonts w:hint="eastAsia" w:ascii="仿宋_GB2312" w:hAnsi="仿宋_GB2312" w:cs="仿宋_GB2312"/>
          <w:color w:val="000000"/>
          <w:sz w:val="30"/>
          <w:szCs w:val="30"/>
          <w:shd w:val="clear" w:color="auto" w:fill="FFFFFF"/>
        </w:rPr>
        <w:t>年度财政支出项目绩效自评报告。</w:t>
      </w:r>
    </w:p>
    <w:p>
      <w:pPr>
        <w:pStyle w:val="32"/>
        <w:spacing w:line="560" w:lineRule="exact"/>
        <w:ind w:firstLine="661" w:firstLineChars="233"/>
        <w:rPr>
          <w:rFonts w:ascii="仿宋_GB2312" w:cs="Times New Roman"/>
          <w:sz w:val="30"/>
          <w:szCs w:val="30"/>
        </w:rPr>
      </w:pPr>
      <w:r>
        <w:rPr>
          <w:rFonts w:hint="eastAsia" w:ascii="仿宋_GB2312" w:hAnsi="仿宋" w:eastAsia="仿宋_GB2312" w:cs="仿宋_GB2312"/>
          <w:spacing w:val="-8"/>
          <w:sz w:val="30"/>
          <w:szCs w:val="30"/>
        </w:rPr>
        <w:t>经过对收集到的资料进行比对和交叉验证后，确定用于继续分析和评价的证据，通过比较指标的实际情况与预期数据对应程度，最终确认评价结果。</w:t>
      </w:r>
    </w:p>
    <w:p>
      <w:pPr>
        <w:numPr>
          <w:ilvl w:val="2"/>
          <w:numId w:val="4"/>
        </w:numPr>
        <w:spacing w:line="560" w:lineRule="exact"/>
        <w:ind w:left="300" w:leftChars="100" w:right="57" w:firstLine="640" w:firstLineChars="200"/>
        <w:rPr>
          <w:rFonts w:ascii="黑体" w:hAnsi="黑体" w:eastAsia="黑体"/>
          <w:sz w:val="32"/>
          <w:szCs w:val="32"/>
        </w:rPr>
      </w:pPr>
      <w:r>
        <w:rPr>
          <w:rFonts w:hint="eastAsia" w:ascii="黑体" w:hAnsi="黑体" w:eastAsia="黑体" w:cs="黑体"/>
          <w:sz w:val="32"/>
          <w:szCs w:val="32"/>
        </w:rPr>
        <w:t>综合评价情况及评价结论</w:t>
      </w:r>
    </w:p>
    <w:p>
      <w:pPr>
        <w:pStyle w:val="5"/>
        <w:widowControl/>
        <w:spacing w:line="560" w:lineRule="exact"/>
        <w:ind w:right="57" w:firstLine="600" w:firstLineChars="200"/>
        <w:jc w:val="both"/>
        <w:rPr>
          <w:rFonts w:ascii="仿宋_GB2312"/>
          <w:sz w:val="32"/>
          <w:szCs w:val="32"/>
          <w:shd w:val="clear" w:color="auto" w:fill="FFFFFF"/>
        </w:rPr>
      </w:pPr>
      <w:r>
        <w:rPr>
          <w:rFonts w:hint="eastAsia" w:ascii="仿宋_GB2312" w:hAnsi="仿宋_GB2312" w:cs="仿宋_GB2312"/>
          <w:color w:val="333333"/>
          <w:sz w:val="30"/>
          <w:szCs w:val="30"/>
          <w:shd w:val="clear" w:color="auto" w:fill="FFFFFF"/>
        </w:rPr>
        <w:t>上缴上级管理费项目综合评价情况：上缴上级管理费项目预算资金</w:t>
      </w:r>
      <w:r>
        <w:rPr>
          <w:rFonts w:ascii="仿宋_GB2312" w:hAnsi="仿宋_GB2312" w:cs="仿宋_GB2312"/>
          <w:color w:val="333333"/>
          <w:sz w:val="30"/>
          <w:szCs w:val="30"/>
          <w:shd w:val="clear" w:color="auto" w:fill="FFFFFF"/>
        </w:rPr>
        <w:t>191.30</w:t>
      </w:r>
      <w:r>
        <w:rPr>
          <w:rFonts w:hint="eastAsia" w:ascii="仿宋_GB2312" w:hAnsi="仿宋_GB2312" w:cs="仿宋_GB2312"/>
          <w:color w:val="333333"/>
          <w:sz w:val="30"/>
          <w:szCs w:val="30"/>
          <w:shd w:val="clear" w:color="auto" w:fill="FFFFFF"/>
        </w:rPr>
        <w:t>万元，年末追加预算资金</w:t>
      </w:r>
      <w:r>
        <w:rPr>
          <w:rFonts w:ascii="仿宋_GB2312" w:hAnsi="仿宋_GB2312" w:cs="仿宋_GB2312"/>
          <w:color w:val="333333"/>
          <w:sz w:val="30"/>
          <w:szCs w:val="30"/>
          <w:shd w:val="clear" w:color="auto" w:fill="FFFFFF"/>
        </w:rPr>
        <w:t>60</w:t>
      </w:r>
      <w:r>
        <w:rPr>
          <w:rFonts w:hint="eastAsia" w:ascii="仿宋_GB2312" w:hAnsi="仿宋_GB2312" w:cs="仿宋_GB2312"/>
          <w:color w:val="333333"/>
          <w:sz w:val="30"/>
          <w:szCs w:val="30"/>
          <w:shd w:val="clear" w:color="auto" w:fill="FFFFFF"/>
        </w:rPr>
        <w:t>万元，共计项目预算资金</w:t>
      </w:r>
      <w:r>
        <w:rPr>
          <w:rFonts w:ascii="仿宋_GB2312" w:hAnsi="仿宋_GB2312" w:cs="仿宋_GB2312"/>
          <w:color w:val="333333"/>
          <w:sz w:val="30"/>
          <w:szCs w:val="30"/>
          <w:shd w:val="clear" w:color="auto" w:fill="FFFFFF"/>
        </w:rPr>
        <w:t>251.30</w:t>
      </w:r>
      <w:r>
        <w:rPr>
          <w:rFonts w:hint="eastAsia" w:ascii="仿宋_GB2312" w:hAnsi="仿宋_GB2312" w:cs="仿宋_GB2312"/>
          <w:color w:val="333333"/>
          <w:sz w:val="30"/>
          <w:szCs w:val="30"/>
          <w:shd w:val="clear" w:color="auto" w:fill="FFFFFF"/>
        </w:rPr>
        <w:t>万元。实际按上级文件要求支付</w:t>
      </w:r>
      <w:r>
        <w:rPr>
          <w:rFonts w:ascii="仿宋_GB2312" w:hAnsi="仿宋_GB2312" w:cs="仿宋_GB2312"/>
          <w:color w:val="333333"/>
          <w:sz w:val="30"/>
          <w:szCs w:val="30"/>
          <w:shd w:val="clear" w:color="auto" w:fill="FFFFFF"/>
        </w:rPr>
        <w:t>299.25</w:t>
      </w:r>
      <w:r>
        <w:rPr>
          <w:rFonts w:hint="eastAsia" w:ascii="仿宋_GB2312" w:hAnsi="仿宋_GB2312" w:cs="仿宋_GB2312"/>
          <w:color w:val="333333"/>
          <w:sz w:val="30"/>
          <w:szCs w:val="30"/>
          <w:shd w:val="clear" w:color="auto" w:fill="FFFFFF"/>
        </w:rPr>
        <w:t>万元，比预算超出部分用节约公用经费支付。保障了巴州本部及各县电大学员学习考试的正常进行，为巴州电大学历需求者提供了学习机会和学习环境，促进了巴州高等教育事业的发展及和谐社会的构建。项目资金使用和管理中，实际支出与项目规定的用途一致。资金使用做到公开、公平，按程序上报和审批。项目管理涉及到的科室能及时提供相应数据。财务制度健全，执行财务制度严格，无截留、挤占、挪用项目资金等违规行为。上缴上级管理费项目支出绩效</w:t>
      </w:r>
      <w:r>
        <w:rPr>
          <w:rFonts w:hint="eastAsia" w:ascii="仿宋_GB2312" w:hAnsi="仿宋_GB2312" w:cs="仿宋_GB2312"/>
          <w:sz w:val="30"/>
          <w:szCs w:val="30"/>
          <w:shd w:val="clear" w:color="auto" w:fill="FFFFFF"/>
        </w:rPr>
        <w:t>综合评分</w:t>
      </w:r>
      <w:r>
        <w:rPr>
          <w:rFonts w:ascii="仿宋_GB2312" w:hAnsi="仿宋_GB2312" w:cs="仿宋_GB2312"/>
          <w:sz w:val="30"/>
          <w:szCs w:val="30"/>
          <w:shd w:val="clear" w:color="auto" w:fill="FFFFFF"/>
        </w:rPr>
        <w:t>92.70</w:t>
      </w:r>
      <w:r>
        <w:rPr>
          <w:rFonts w:hint="eastAsia" w:ascii="仿宋_GB2312" w:hAnsi="仿宋_GB2312" w:cs="仿宋_GB2312"/>
          <w:sz w:val="30"/>
          <w:szCs w:val="30"/>
          <w:shd w:val="clear" w:color="auto" w:fill="FFFFFF"/>
        </w:rPr>
        <w:t>分，绩效评价结果为优秀</w:t>
      </w:r>
      <w:r>
        <w:rPr>
          <w:rFonts w:hint="eastAsia" w:ascii="仿宋_GB2312" w:hAnsi="仿宋_GB2312" w:cs="仿宋_GB2312"/>
          <w:sz w:val="32"/>
          <w:szCs w:val="32"/>
          <w:shd w:val="clear" w:color="auto" w:fill="FFFFFF"/>
        </w:rPr>
        <w:t>。</w:t>
      </w:r>
    </w:p>
    <w:p>
      <w:pPr>
        <w:spacing w:line="560" w:lineRule="exact"/>
        <w:ind w:left="900" w:leftChars="300" w:right="57"/>
        <w:rPr>
          <w:rFonts w:ascii="黑体" w:hAnsi="黑体" w:eastAsia="黑体"/>
          <w:sz w:val="32"/>
          <w:szCs w:val="32"/>
        </w:rPr>
      </w:pPr>
      <w:r>
        <w:rPr>
          <w:rFonts w:hint="eastAsia" w:ascii="黑体" w:hAnsi="黑体" w:eastAsia="黑体" w:cs="黑体"/>
          <w:sz w:val="32"/>
          <w:szCs w:val="32"/>
        </w:rPr>
        <w:t>四、绩效评价指标分析</w:t>
      </w:r>
    </w:p>
    <w:p>
      <w:pPr>
        <w:spacing w:line="560" w:lineRule="exact"/>
        <w:ind w:firstLine="600" w:firstLineChars="200"/>
        <w:outlineLvl w:val="0"/>
        <w:rPr>
          <w:rFonts w:ascii="仿宋_GB2312"/>
        </w:rPr>
      </w:pPr>
      <w:r>
        <w:rPr>
          <w:rFonts w:hint="eastAsia" w:ascii="仿宋_GB2312" w:hAnsi="仿宋_GB2312" w:cs="仿宋_GB2312"/>
        </w:rPr>
        <w:t>（一）项目决策分析</w:t>
      </w:r>
    </w:p>
    <w:p>
      <w:pPr>
        <w:spacing w:line="560" w:lineRule="exact"/>
        <w:ind w:firstLine="600" w:firstLineChars="200"/>
        <w:outlineLvl w:val="0"/>
        <w:rPr>
          <w:rFonts w:ascii="仿宋_GB2312"/>
        </w:rPr>
      </w:pPr>
      <w:r>
        <w:rPr>
          <w:rFonts w:hint="eastAsia" w:ascii="仿宋_GB2312" w:hAnsi="仿宋_GB2312" w:cs="仿宋_GB2312"/>
        </w:rPr>
        <w:t>项目决策分析主要是对项目立项、绩效目标及资金投入进行分析。该项满分为</w:t>
      </w:r>
      <w:r>
        <w:rPr>
          <w:rFonts w:ascii="仿宋_GB2312" w:hAnsi="仿宋_GB2312" w:cs="仿宋_GB2312"/>
        </w:rPr>
        <w:t>20</w:t>
      </w:r>
      <w:r>
        <w:rPr>
          <w:rFonts w:hint="eastAsia" w:ascii="仿宋_GB2312" w:hAnsi="仿宋_GB2312" w:cs="仿宋_GB2312"/>
        </w:rPr>
        <w:t>分，得分</w:t>
      </w:r>
      <w:r>
        <w:rPr>
          <w:rFonts w:ascii="仿宋_GB2312" w:hAnsi="仿宋_GB2312" w:cs="仿宋_GB2312"/>
        </w:rPr>
        <w:t>20</w:t>
      </w:r>
      <w:r>
        <w:rPr>
          <w:rFonts w:hint="eastAsia" w:ascii="仿宋_GB2312" w:hAnsi="仿宋_GB2312" w:cs="仿宋_GB2312"/>
        </w:rPr>
        <w:t>分，得分率</w:t>
      </w:r>
      <w:r>
        <w:rPr>
          <w:rFonts w:ascii="仿宋_GB2312" w:hAnsi="仿宋_GB2312" w:cs="仿宋_GB2312"/>
        </w:rPr>
        <w:t>100%</w:t>
      </w:r>
      <w:r>
        <w:rPr>
          <w:rFonts w:hint="eastAsia" w:ascii="仿宋_GB2312" w:hAnsi="仿宋_GB2312" w:cs="仿宋_GB2312"/>
        </w:rPr>
        <w:t>。</w:t>
      </w:r>
    </w:p>
    <w:p>
      <w:pPr>
        <w:spacing w:line="560" w:lineRule="exact"/>
        <w:ind w:firstLine="600" w:firstLineChars="200"/>
        <w:outlineLvl w:val="0"/>
        <w:rPr>
          <w:rFonts w:ascii="仿宋_GB2312"/>
        </w:rPr>
      </w:pPr>
      <w:r>
        <w:rPr>
          <w:rFonts w:ascii="仿宋_GB2312" w:hAnsi="仿宋_GB2312" w:cs="仿宋_GB2312"/>
        </w:rPr>
        <w:t>1</w:t>
      </w:r>
      <w:r>
        <w:rPr>
          <w:rFonts w:hint="eastAsia" w:ascii="仿宋_GB2312" w:hAnsi="仿宋_GB2312" w:cs="仿宋_GB2312"/>
        </w:rPr>
        <w:t>、项目立项分析（得分</w:t>
      </w:r>
      <w:r>
        <w:rPr>
          <w:rFonts w:ascii="仿宋_GB2312" w:hAnsi="仿宋_GB2312" w:cs="仿宋_GB2312"/>
        </w:rPr>
        <w:t>5</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）立项依据充分性（得分</w:t>
      </w:r>
      <w:r>
        <w:rPr>
          <w:rFonts w:ascii="仿宋_GB2312" w:hAnsi="仿宋_GB2312" w:cs="仿宋_GB2312"/>
        </w:rPr>
        <w:t>3</w:t>
      </w:r>
      <w:r>
        <w:rPr>
          <w:rFonts w:hint="eastAsia" w:ascii="仿宋_GB2312" w:hAnsi="仿宋_GB2312" w:cs="仿宋_GB2312"/>
        </w:rPr>
        <w:t>分）</w:t>
      </w:r>
    </w:p>
    <w:p>
      <w:pPr>
        <w:spacing w:line="560" w:lineRule="exact"/>
        <w:ind w:firstLine="600" w:firstLineChars="200"/>
        <w:outlineLvl w:val="0"/>
        <w:rPr>
          <w:rFonts w:ascii="仿宋_GB2312"/>
          <w:color w:val="000000"/>
        </w:rPr>
      </w:pPr>
      <w:r>
        <w:rPr>
          <w:rFonts w:hint="eastAsia" w:ascii="仿宋_GB2312" w:hAnsi="仿宋_GB2312" w:cs="仿宋_GB2312"/>
        </w:rPr>
        <w:t>项目立项依据</w:t>
      </w:r>
      <w:r>
        <w:rPr>
          <w:rFonts w:hint="eastAsia" w:ascii="仿宋_GB2312" w:hAnsi="仿宋_GB2312" w:cs="仿宋_GB2312"/>
          <w:color w:val="000000"/>
        </w:rPr>
        <w:t>《新疆电大系统收缴费管理办法（试行）的通知》</w:t>
      </w:r>
      <w:r>
        <w:rPr>
          <w:rFonts w:hint="eastAsia" w:ascii="仿宋_GB2312" w:hAnsi="仿宋_GB2312" w:cs="仿宋_GB2312"/>
          <w:color w:val="000000"/>
          <w:sz w:val="32"/>
          <w:szCs w:val="32"/>
        </w:rPr>
        <w:t>新电大校字【</w:t>
      </w:r>
      <w:r>
        <w:rPr>
          <w:rFonts w:ascii="仿宋_GB2312" w:hAnsi="仿宋_GB2312" w:cs="仿宋_GB2312"/>
          <w:color w:val="000000"/>
          <w:sz w:val="32"/>
          <w:szCs w:val="32"/>
        </w:rPr>
        <w:t>2018</w:t>
      </w:r>
      <w:r>
        <w:rPr>
          <w:rFonts w:hint="eastAsia" w:ascii="仿宋_GB2312" w:hAnsi="仿宋_GB2312" w:cs="仿宋_GB2312"/>
          <w:color w:val="000000"/>
          <w:sz w:val="32"/>
          <w:szCs w:val="32"/>
        </w:rPr>
        <w:t>】</w:t>
      </w:r>
      <w:r>
        <w:rPr>
          <w:rFonts w:ascii="仿宋_GB2312" w:hAnsi="仿宋_GB2312" w:cs="仿宋_GB2312"/>
          <w:color w:val="000000"/>
          <w:sz w:val="32"/>
          <w:szCs w:val="32"/>
        </w:rPr>
        <w:t>124</w:t>
      </w:r>
      <w:r>
        <w:rPr>
          <w:rFonts w:hint="eastAsia" w:ascii="仿宋_GB2312" w:hAnsi="仿宋_GB2312" w:cs="仿宋_GB2312"/>
          <w:color w:val="000000"/>
          <w:sz w:val="32"/>
          <w:szCs w:val="32"/>
        </w:rPr>
        <w:t>号文</w:t>
      </w:r>
      <w:r>
        <w:rPr>
          <w:rFonts w:hint="eastAsia" w:ascii="仿宋_GB2312" w:hAnsi="仿宋_GB2312" w:cs="仿宋_GB2312"/>
          <w:color w:val="000000"/>
        </w:rPr>
        <w:t>，符合行业发展规划和政策要求；</w:t>
      </w:r>
      <w:r>
        <w:rPr>
          <w:rFonts w:hint="eastAsia" w:ascii="仿宋_GB2312" w:hAnsi="仿宋_GB2312" w:cs="仿宋_GB2312"/>
        </w:rPr>
        <w:t>项目立项与部门职责范围相符，属于部门履职所需；</w:t>
      </w:r>
    </w:p>
    <w:p>
      <w:pPr>
        <w:spacing w:line="560" w:lineRule="exact"/>
        <w:ind w:firstLine="600" w:firstLineChars="200"/>
        <w:outlineLvl w:val="0"/>
        <w:rPr>
          <w:rFonts w:ascii="仿宋_GB2312"/>
        </w:rPr>
      </w:pPr>
      <w:r>
        <w:rPr>
          <w:rFonts w:hint="eastAsia" w:ascii="仿宋_GB2312" w:hAnsi="仿宋_GB2312" w:cs="仿宋_GB2312"/>
        </w:rPr>
        <w:t>（</w:t>
      </w:r>
      <w:r>
        <w:rPr>
          <w:rFonts w:ascii="仿宋_GB2312" w:hAnsi="仿宋_GB2312" w:cs="仿宋_GB2312"/>
        </w:rPr>
        <w:t>2</w:t>
      </w:r>
      <w:r>
        <w:rPr>
          <w:rFonts w:hint="eastAsia" w:ascii="仿宋_GB2312" w:hAnsi="仿宋_GB2312" w:cs="仿宋_GB2312"/>
        </w:rPr>
        <w:t>）立项程序规范性（得分</w:t>
      </w:r>
      <w:r>
        <w:rPr>
          <w:rFonts w:ascii="仿宋_GB2312" w:hAnsi="仿宋_GB2312" w:cs="仿宋_GB2312"/>
        </w:rPr>
        <w:t>2</w:t>
      </w:r>
      <w:r>
        <w:rPr>
          <w:rFonts w:hint="eastAsia" w:ascii="仿宋_GB2312" w:hAnsi="仿宋_GB2312" w:cs="仿宋_GB2312"/>
        </w:rPr>
        <w:t>分）</w:t>
      </w:r>
    </w:p>
    <w:p>
      <w:pPr>
        <w:spacing w:line="560" w:lineRule="exact"/>
        <w:ind w:firstLine="600" w:firstLineChars="200"/>
        <w:outlineLvl w:val="0"/>
        <w:rPr>
          <w:rStyle w:val="8"/>
          <w:rFonts w:ascii="仿宋_GB2312"/>
          <w:b w:val="0"/>
          <w:bCs w:val="0"/>
          <w:spacing w:val="-4"/>
        </w:rPr>
      </w:pPr>
      <w:r>
        <w:rPr>
          <w:rFonts w:hint="eastAsia" w:ascii="仿宋_GB2312" w:cs="仿宋_GB2312"/>
        </w:rPr>
        <w:t>贯彻实施绩效目标任务是学校党委和职能部门的重要职责。学校主要领导负责绩效任务的统筹规划，主要责任部门具体负责，由教务处、教学处、招生处、财务室负责项目资金使用实施方案编制，按照项目资金支出计划和项目资金使用时限完成质量提升绩效目标任务。</w:t>
      </w:r>
    </w:p>
    <w:p>
      <w:pPr>
        <w:spacing w:line="560" w:lineRule="exact"/>
        <w:ind w:left="600"/>
        <w:outlineLvl w:val="0"/>
        <w:rPr>
          <w:rFonts w:ascii="仿宋_GB2312"/>
        </w:rPr>
      </w:pPr>
      <w:r>
        <w:rPr>
          <w:rFonts w:ascii="仿宋_GB2312" w:hAnsi="仿宋_GB2312" w:cs="仿宋_GB2312"/>
        </w:rPr>
        <w:t>2</w:t>
      </w:r>
      <w:r>
        <w:rPr>
          <w:rFonts w:hint="eastAsia" w:ascii="仿宋_GB2312" w:hAnsi="仿宋_GB2312" w:cs="仿宋_GB2312"/>
        </w:rPr>
        <w:t>、绩效目标分析（得分</w:t>
      </w:r>
      <w:r>
        <w:rPr>
          <w:rFonts w:ascii="仿宋_GB2312" w:hAnsi="仿宋_GB2312" w:cs="仿宋_GB2312"/>
        </w:rPr>
        <w:t>10</w:t>
      </w:r>
      <w:r>
        <w:rPr>
          <w:rFonts w:hint="eastAsia" w:ascii="仿宋_GB2312" w:hAnsi="仿宋_GB2312" w:cs="仿宋_GB2312"/>
        </w:rPr>
        <w:t>分）</w:t>
      </w:r>
    </w:p>
    <w:p>
      <w:pPr>
        <w:spacing w:line="560" w:lineRule="exact"/>
        <w:ind w:left="6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）绩效目标合理性（得分</w:t>
      </w:r>
      <w:r>
        <w:rPr>
          <w:rFonts w:ascii="仿宋_GB2312" w:hAnsi="仿宋_GB2312" w:cs="仿宋_GB2312"/>
        </w:rPr>
        <w:t>5</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根据项目绩效监控要求，严格落实绩效目标任务，确保项目绩效目标与实际工作内容具有相关性，项目预期产出效益和效果符合正常的业绩水平，与预算确定的项目投资额或资金量相匹配。</w:t>
      </w:r>
    </w:p>
    <w:p>
      <w:pPr>
        <w:spacing w:line="560" w:lineRule="exact"/>
        <w:ind w:left="600"/>
        <w:outlineLvl w:val="0"/>
        <w:rPr>
          <w:rFonts w:ascii="仿宋_GB2312"/>
        </w:rPr>
      </w:pPr>
      <w:r>
        <w:rPr>
          <w:rFonts w:hint="eastAsia" w:ascii="仿宋_GB2312" w:hAnsi="仿宋_GB2312" w:cs="仿宋_GB2312"/>
        </w:rPr>
        <w:t>（</w:t>
      </w:r>
      <w:r>
        <w:rPr>
          <w:rFonts w:ascii="仿宋_GB2312" w:hAnsi="仿宋_GB2312" w:cs="仿宋_GB2312"/>
        </w:rPr>
        <w:t>2</w:t>
      </w:r>
      <w:r>
        <w:rPr>
          <w:rFonts w:hint="eastAsia" w:ascii="仿宋_GB2312" w:hAnsi="仿宋_GB2312" w:cs="仿宋_GB2312"/>
        </w:rPr>
        <w:t>）绩效指标明确性（得分</w:t>
      </w:r>
      <w:r>
        <w:rPr>
          <w:rFonts w:ascii="仿宋_GB2312" w:hAnsi="仿宋_GB2312" w:cs="仿宋_GB2312"/>
        </w:rPr>
        <w:t>5</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为切实落实项目绩效目标任务，将项目绩效目标细化分解为具体的绩效指标，通过清晰、可衡量的指标值予以体现，与项目目标任务数或计划数相对应。</w:t>
      </w:r>
      <w:r>
        <w:rPr>
          <w:rFonts w:eastAsia="仿宋"/>
          <w:sz w:val="32"/>
          <w:szCs w:val="32"/>
        </w:rPr>
        <w:br w:type="textWrapping"/>
      </w:r>
      <w:r>
        <w:rPr>
          <w:rFonts w:ascii="仿宋_GB2312" w:cs="仿宋_GB2312"/>
          <w:kern w:val="0"/>
        </w:rPr>
        <w:t xml:space="preserve">    </w:t>
      </w:r>
      <w:r>
        <w:rPr>
          <w:rFonts w:ascii="仿宋_GB2312" w:hAnsi="仿宋_GB2312" w:cs="仿宋_GB2312"/>
        </w:rPr>
        <w:t>3</w:t>
      </w:r>
      <w:r>
        <w:rPr>
          <w:rFonts w:hint="eastAsia" w:ascii="仿宋_GB2312" w:hAnsi="仿宋_GB2312" w:cs="仿宋_GB2312"/>
        </w:rPr>
        <w:t>、资金投入分析（得分</w:t>
      </w:r>
      <w:r>
        <w:rPr>
          <w:rFonts w:ascii="仿宋_GB2312" w:hAnsi="仿宋_GB2312" w:cs="仿宋_GB2312"/>
        </w:rPr>
        <w:t>5</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）预算编制科学性（得分</w:t>
      </w:r>
      <w:r>
        <w:rPr>
          <w:rFonts w:ascii="仿宋_GB2312" w:hAnsi="仿宋_GB2312" w:cs="仿宋_GB2312"/>
        </w:rPr>
        <w:t>3</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根据项目内容，由财务室牵头，同各个职能部门就预算编制进行科学论证，确保预算内容与项目内容匹配，预算额度测算依据充分，按照标准编制，预算确定的项目资金量与工作任务相匹配。</w:t>
      </w:r>
    </w:p>
    <w:p>
      <w:pPr>
        <w:numPr>
          <w:ilvl w:val="0"/>
          <w:numId w:val="5"/>
        </w:numPr>
        <w:spacing w:line="560" w:lineRule="exact"/>
        <w:ind w:firstLine="600" w:firstLineChars="200"/>
        <w:outlineLvl w:val="0"/>
        <w:rPr>
          <w:rFonts w:ascii="仿宋_GB2312"/>
        </w:rPr>
      </w:pPr>
      <w:r>
        <w:rPr>
          <w:rFonts w:hint="eastAsia" w:ascii="仿宋_GB2312" w:hAnsi="仿宋_GB2312" w:cs="仿宋_GB2312"/>
        </w:rPr>
        <w:t>资金分配合理性（得分</w:t>
      </w:r>
      <w:r>
        <w:rPr>
          <w:rFonts w:ascii="仿宋_GB2312" w:hAnsi="仿宋_GB2312" w:cs="仿宋_GB2312"/>
        </w:rPr>
        <w:t>2</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按照项目内容，预算资金分配依据充分，资金分配额度合理，与项目单位和地方实际相适应。</w:t>
      </w:r>
    </w:p>
    <w:p>
      <w:pPr>
        <w:spacing w:line="560" w:lineRule="exact"/>
        <w:ind w:left="600" w:leftChars="200"/>
        <w:outlineLvl w:val="0"/>
        <w:rPr>
          <w:rFonts w:ascii="仿宋_GB2312"/>
        </w:rPr>
      </w:pPr>
      <w:r>
        <w:rPr>
          <w:rFonts w:hint="eastAsia" w:ascii="仿宋_GB2312" w:hAnsi="仿宋_GB2312" w:cs="仿宋_GB2312"/>
        </w:rPr>
        <w:t>（二）过程情况分析</w:t>
      </w:r>
    </w:p>
    <w:p>
      <w:pPr>
        <w:spacing w:line="560" w:lineRule="exact"/>
        <w:ind w:firstLine="600" w:firstLineChars="200"/>
        <w:outlineLvl w:val="0"/>
        <w:rPr>
          <w:rFonts w:ascii="仿宋_GB2312"/>
        </w:rPr>
      </w:pPr>
      <w:r>
        <w:rPr>
          <w:rFonts w:hint="eastAsia" w:ascii="仿宋_GB2312" w:hAnsi="仿宋_GB2312" w:cs="仿宋_GB2312"/>
        </w:rPr>
        <w:t>项目过程包括资金管理和组织实施。该项满分为</w:t>
      </w:r>
      <w:r>
        <w:rPr>
          <w:rFonts w:ascii="仿宋_GB2312" w:hAnsi="仿宋_GB2312" w:cs="仿宋_GB2312"/>
        </w:rPr>
        <w:t xml:space="preserve">20 </w:t>
      </w:r>
      <w:r>
        <w:rPr>
          <w:rFonts w:hint="eastAsia" w:ascii="仿宋_GB2312" w:hAnsi="仿宋_GB2312" w:cs="仿宋_GB2312"/>
        </w:rPr>
        <w:t>分，得分</w:t>
      </w:r>
      <w:r>
        <w:rPr>
          <w:rFonts w:ascii="仿宋_GB2312" w:hAnsi="仿宋_GB2312" w:cs="仿宋_GB2312"/>
        </w:rPr>
        <w:t>20</w:t>
      </w:r>
      <w:r>
        <w:rPr>
          <w:rFonts w:hint="eastAsia" w:ascii="仿宋_GB2312" w:hAnsi="仿宋_GB2312" w:cs="仿宋_GB2312"/>
        </w:rPr>
        <w:t>分，得分率</w:t>
      </w:r>
      <w:r>
        <w:rPr>
          <w:rFonts w:ascii="仿宋_GB2312" w:hAnsi="仿宋_GB2312" w:cs="仿宋_GB2312"/>
        </w:rPr>
        <w:t>100%</w:t>
      </w:r>
      <w:r>
        <w:rPr>
          <w:rFonts w:hint="eastAsia" w:ascii="仿宋_GB2312" w:hAnsi="仿宋_GB2312" w:cs="仿宋_GB2312"/>
        </w:rPr>
        <w:t>。项目建立了比较健全的配套资金管理制度，且在项目实施过程中能够按照管理执行。</w:t>
      </w:r>
    </w:p>
    <w:p>
      <w:pPr>
        <w:spacing w:line="560" w:lineRule="exact"/>
        <w:ind w:firstLine="600" w:firstLineChars="200"/>
        <w:outlineLvl w:val="0"/>
        <w:rPr>
          <w:rFonts w:ascii="仿宋_GB2312"/>
        </w:rPr>
      </w:pPr>
      <w:r>
        <w:rPr>
          <w:rFonts w:ascii="仿宋_GB2312" w:hAnsi="仿宋_GB2312" w:cs="仿宋_GB2312"/>
        </w:rPr>
        <w:t>1</w:t>
      </w:r>
      <w:r>
        <w:rPr>
          <w:rFonts w:hint="eastAsia" w:ascii="仿宋_GB2312" w:hAnsi="仿宋_GB2312" w:cs="仿宋_GB2312"/>
        </w:rPr>
        <w:t>、资金管理分析（得分</w:t>
      </w:r>
      <w:r>
        <w:rPr>
          <w:rFonts w:ascii="仿宋_GB2312" w:hAnsi="仿宋_GB2312" w:cs="仿宋_GB2312"/>
        </w:rPr>
        <w:t>10</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）资金到位率（得分</w:t>
      </w:r>
      <w:r>
        <w:rPr>
          <w:rFonts w:ascii="仿宋_GB2312" w:hAnsi="仿宋_GB2312" w:cs="仿宋_GB2312"/>
        </w:rPr>
        <w:t>1</w:t>
      </w:r>
      <w:r>
        <w:rPr>
          <w:rFonts w:hint="eastAsia" w:ascii="仿宋_GB2312" w:hAnsi="仿宋_GB2312" w:cs="仿宋_GB2312"/>
        </w:rPr>
        <w:t>分）</w:t>
      </w:r>
    </w:p>
    <w:p>
      <w:pPr>
        <w:widowControl/>
        <w:spacing w:line="560" w:lineRule="exact"/>
        <w:ind w:firstLine="600" w:firstLineChars="200"/>
        <w:rPr>
          <w:rFonts w:ascii="仿宋_GB2312"/>
        </w:rPr>
      </w:pPr>
      <w:r>
        <w:rPr>
          <w:rFonts w:hint="eastAsia" w:ascii="仿宋_GB2312" w:cs="仿宋_GB2312"/>
        </w:rPr>
        <w:t>预算资金</w:t>
      </w:r>
      <w:r>
        <w:rPr>
          <w:rFonts w:ascii="仿宋_GB2312" w:cs="仿宋_GB2312"/>
        </w:rPr>
        <w:t>191.34</w:t>
      </w:r>
      <w:r>
        <w:rPr>
          <w:rFonts w:hint="eastAsia" w:ascii="仿宋_GB2312" w:cs="仿宋_GB2312"/>
        </w:rPr>
        <w:t>万元，实际到位资金</w:t>
      </w:r>
      <w:r>
        <w:rPr>
          <w:rFonts w:ascii="仿宋_GB2312" w:cs="仿宋_GB2312"/>
        </w:rPr>
        <w:t>191.34</w:t>
      </w:r>
      <w:r>
        <w:rPr>
          <w:rFonts w:hint="eastAsia" w:ascii="仿宋_GB2312" w:cs="仿宋_GB2312"/>
        </w:rPr>
        <w:t>万元，资金到位率为</w:t>
      </w:r>
      <w:r>
        <w:rPr>
          <w:rFonts w:ascii="仿宋_GB2312" w:cs="仿宋_GB2312"/>
        </w:rPr>
        <w:t>100%</w:t>
      </w:r>
      <w:r>
        <w:rPr>
          <w:rFonts w:hint="eastAsia" w:ascii="仿宋_GB2312" w:cs="仿宋_GB2312"/>
        </w:rPr>
        <w:t>。</w:t>
      </w:r>
    </w:p>
    <w:p>
      <w:pPr>
        <w:spacing w:line="560" w:lineRule="exact"/>
        <w:ind w:left="600" w:leftChars="200"/>
        <w:outlineLvl w:val="0"/>
        <w:rPr>
          <w:rFonts w:ascii="仿宋_GB2312"/>
        </w:rPr>
      </w:pPr>
      <w:r>
        <w:rPr>
          <w:rFonts w:hint="eastAsia" w:ascii="仿宋_GB2312" w:hAnsi="仿宋_GB2312" w:cs="仿宋_GB2312"/>
        </w:rPr>
        <w:t>（</w:t>
      </w:r>
      <w:r>
        <w:rPr>
          <w:rFonts w:ascii="仿宋_GB2312" w:hAnsi="仿宋_GB2312" w:cs="仿宋_GB2312"/>
        </w:rPr>
        <w:t>2</w:t>
      </w:r>
      <w:r>
        <w:rPr>
          <w:rFonts w:hint="eastAsia" w:ascii="仿宋_GB2312" w:hAnsi="仿宋_GB2312" w:cs="仿宋_GB2312"/>
        </w:rPr>
        <w:t>）预算执行率（得分</w:t>
      </w:r>
      <w:r>
        <w:rPr>
          <w:rFonts w:ascii="仿宋_GB2312" w:hAnsi="仿宋_GB2312" w:cs="仿宋_GB2312"/>
        </w:rPr>
        <w:t>1</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资金实际使用</w:t>
      </w:r>
      <w:r>
        <w:rPr>
          <w:rFonts w:ascii="仿宋_GB2312" w:cs="仿宋_GB2312"/>
        </w:rPr>
        <w:t>191.34</w:t>
      </w:r>
      <w:r>
        <w:rPr>
          <w:rFonts w:hint="eastAsia" w:ascii="仿宋_GB2312" w:cs="仿宋_GB2312"/>
        </w:rPr>
        <w:t>万元，执行率为</w:t>
      </w:r>
      <w:r>
        <w:rPr>
          <w:rFonts w:ascii="仿宋_GB2312" w:cs="仿宋_GB2312"/>
        </w:rPr>
        <w:t>100%</w:t>
      </w:r>
      <w:r>
        <w:rPr>
          <w:rFonts w:hint="eastAsia" w:ascii="仿宋_GB2312" w:cs="仿宋_GB2312"/>
        </w:rPr>
        <w:t>。</w:t>
      </w:r>
    </w:p>
    <w:p>
      <w:pPr>
        <w:spacing w:line="560" w:lineRule="exact"/>
        <w:ind w:firstLine="600" w:firstLineChars="200"/>
        <w:outlineLvl w:val="0"/>
        <w:rPr>
          <w:rFonts w:ascii="仿宋_GB2312"/>
        </w:rPr>
      </w:pPr>
      <w:r>
        <w:rPr>
          <w:rFonts w:hint="eastAsia" w:ascii="仿宋_GB2312" w:hAnsi="仿宋_GB2312" w:cs="仿宋_GB2312"/>
        </w:rPr>
        <w:t>（</w:t>
      </w:r>
      <w:r>
        <w:rPr>
          <w:rFonts w:ascii="仿宋_GB2312" w:hAnsi="仿宋_GB2312" w:cs="仿宋_GB2312"/>
        </w:rPr>
        <w:t>3</w:t>
      </w:r>
      <w:r>
        <w:rPr>
          <w:rFonts w:hint="eastAsia" w:ascii="仿宋_GB2312" w:hAnsi="仿宋_GB2312" w:cs="仿宋_GB2312"/>
        </w:rPr>
        <w:t>）资金使用合规性（得分</w:t>
      </w:r>
      <w:r>
        <w:rPr>
          <w:rFonts w:ascii="仿宋_GB2312" w:hAnsi="仿宋_GB2312" w:cs="仿宋_GB2312"/>
        </w:rPr>
        <w:t>8</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按照项目资金支出计划和使用时限完成，保证提升绩效目标任务质量。坚决执行《高等学校财务制度》，严禁将项目资金截留、挤占或挪作他用，</w:t>
      </w:r>
      <w:r>
        <w:rPr>
          <w:rFonts w:hint="eastAsia" w:ascii="仿宋_GB2312" w:hAnsi="仿宋_GB2312" w:cs="仿宋_GB2312"/>
          <w:kern w:val="0"/>
        </w:rPr>
        <w:t>资金拨付的审批程序和手续完整，符合项目预算批复和规定的用途，</w:t>
      </w:r>
      <w:r>
        <w:rPr>
          <w:rFonts w:hint="eastAsia" w:ascii="仿宋_GB2312" w:cs="仿宋_GB2312"/>
        </w:rPr>
        <w:t>并确保足额及时到位。</w:t>
      </w:r>
    </w:p>
    <w:p>
      <w:pPr>
        <w:spacing w:line="560" w:lineRule="exact"/>
        <w:ind w:left="600"/>
        <w:outlineLvl w:val="0"/>
        <w:rPr>
          <w:rFonts w:ascii="仿宋_GB2312"/>
        </w:rPr>
      </w:pPr>
      <w:r>
        <w:rPr>
          <w:rFonts w:ascii="仿宋_GB2312" w:hAnsi="仿宋_GB2312" w:cs="仿宋_GB2312"/>
        </w:rPr>
        <w:t>2</w:t>
      </w:r>
      <w:r>
        <w:rPr>
          <w:rFonts w:hint="eastAsia" w:ascii="仿宋_GB2312" w:hAnsi="仿宋_GB2312" w:cs="仿宋_GB2312"/>
        </w:rPr>
        <w:t>、组织实施分析（得分</w:t>
      </w:r>
      <w:r>
        <w:rPr>
          <w:rFonts w:ascii="仿宋_GB2312" w:hAnsi="仿宋_GB2312" w:cs="仿宋_GB2312"/>
        </w:rPr>
        <w:t>10</w:t>
      </w:r>
      <w:r>
        <w:rPr>
          <w:rFonts w:hint="eastAsia" w:ascii="仿宋_GB2312" w:hAnsi="仿宋_GB2312" w:cs="仿宋_GB2312"/>
        </w:rPr>
        <w:t>分）</w:t>
      </w:r>
    </w:p>
    <w:p>
      <w:pPr>
        <w:spacing w:line="560" w:lineRule="exact"/>
        <w:ind w:left="600"/>
        <w:outlineLvl w:val="0"/>
        <w:rPr>
          <w:rFonts w:ascii="仿宋_GB2312"/>
        </w:rPr>
      </w:pPr>
      <w:r>
        <w:rPr>
          <w:rFonts w:hint="eastAsia" w:ascii="仿宋_GB2312" w:hAnsi="仿宋_GB2312" w:cs="仿宋_GB2312"/>
        </w:rPr>
        <w:t>（</w:t>
      </w:r>
      <w:r>
        <w:rPr>
          <w:rFonts w:ascii="仿宋_GB2312" w:hAnsi="仿宋_GB2312" w:cs="仿宋_GB2312"/>
        </w:rPr>
        <w:t>1</w:t>
      </w:r>
      <w:r>
        <w:rPr>
          <w:rFonts w:hint="eastAsia" w:ascii="仿宋_GB2312" w:hAnsi="仿宋_GB2312" w:cs="仿宋_GB2312"/>
        </w:rPr>
        <w:t>）管理制度健全性（得分</w:t>
      </w:r>
      <w:r>
        <w:rPr>
          <w:rFonts w:ascii="仿宋_GB2312" w:hAnsi="仿宋_GB2312" w:cs="仿宋_GB2312"/>
        </w:rPr>
        <w:t>5</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具有相应的财务和业务管理制度，财务和业务管理制度合法、合规、完整。</w:t>
      </w:r>
    </w:p>
    <w:p>
      <w:pPr>
        <w:spacing w:line="560" w:lineRule="exact"/>
        <w:ind w:left="600" w:leftChars="100" w:hanging="300" w:hangingChars="100"/>
        <w:outlineLvl w:val="0"/>
        <w:rPr>
          <w:rFonts w:ascii="仿宋_GB2312"/>
        </w:rPr>
      </w:pPr>
      <w:r>
        <w:rPr>
          <w:rFonts w:ascii="仿宋_GB2312" w:hAnsi="仿宋_GB2312" w:cs="仿宋_GB2312"/>
        </w:rPr>
        <w:t xml:space="preserve"> </w:t>
      </w:r>
      <w:r>
        <w:rPr>
          <w:rFonts w:hint="eastAsia" w:ascii="仿宋_GB2312" w:hAnsi="仿宋_GB2312" w:cs="仿宋_GB2312"/>
        </w:rPr>
        <w:t>（</w:t>
      </w:r>
      <w:r>
        <w:rPr>
          <w:rFonts w:ascii="仿宋_GB2312" w:hAnsi="仿宋_GB2312" w:cs="仿宋_GB2312"/>
        </w:rPr>
        <w:t>2</w:t>
      </w:r>
      <w:r>
        <w:rPr>
          <w:rFonts w:hint="eastAsia" w:ascii="仿宋_GB2312" w:hAnsi="仿宋_GB2312" w:cs="仿宋_GB2312"/>
        </w:rPr>
        <w:t>）制度执行有效性（得分</w:t>
      </w:r>
      <w:r>
        <w:rPr>
          <w:rFonts w:ascii="仿宋_GB2312" w:hAnsi="仿宋_GB2312" w:cs="仿宋_GB2312"/>
        </w:rPr>
        <w:t>5</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遵守相关法律法规和相关管理规定，项目调整及支出调整手续完备，项目资料齐全并及时归档，项目实施的人员条件、场地设备、信息支撑等落实到位。</w:t>
      </w:r>
    </w:p>
    <w:p>
      <w:pPr>
        <w:spacing w:line="560" w:lineRule="exact"/>
        <w:ind w:left="31680" w:hanging="600" w:hangingChars="200"/>
        <w:outlineLvl w:val="0"/>
        <w:rPr>
          <w:rFonts w:ascii="仿宋_GB2312"/>
        </w:rPr>
      </w:pPr>
      <w:r>
        <w:rPr>
          <w:rFonts w:hint="eastAsia" w:ascii="仿宋_GB2312" w:hAnsi="仿宋_GB2312" w:cs="仿宋_GB2312"/>
        </w:rPr>
        <w:t>（三）产出情况分析</w:t>
      </w:r>
    </w:p>
    <w:p>
      <w:pPr>
        <w:spacing w:line="560" w:lineRule="exact"/>
        <w:ind w:firstLine="600" w:firstLineChars="200"/>
        <w:outlineLvl w:val="0"/>
        <w:rPr>
          <w:rFonts w:ascii="仿宋_GB2312"/>
        </w:rPr>
      </w:pPr>
      <w:r>
        <w:rPr>
          <w:rFonts w:hint="eastAsia" w:ascii="仿宋_GB2312" w:hAnsi="仿宋_GB2312" w:cs="仿宋_GB2312"/>
        </w:rPr>
        <w:t>项目过程包括产出数量、产出质量、产出时效和产出成本。该项满分为</w:t>
      </w:r>
      <w:r>
        <w:rPr>
          <w:rFonts w:ascii="仿宋_GB2312" w:hAnsi="仿宋_GB2312" w:cs="仿宋_GB2312"/>
        </w:rPr>
        <w:t xml:space="preserve">30 </w:t>
      </w:r>
      <w:r>
        <w:rPr>
          <w:rFonts w:hint="eastAsia" w:ascii="仿宋_GB2312" w:hAnsi="仿宋_GB2312" w:cs="仿宋_GB2312"/>
        </w:rPr>
        <w:t>分，得分</w:t>
      </w:r>
      <w:r>
        <w:rPr>
          <w:rFonts w:ascii="仿宋_GB2312" w:hAnsi="仿宋_GB2312" w:cs="仿宋_GB2312"/>
        </w:rPr>
        <w:t>22.70</w:t>
      </w:r>
      <w:r>
        <w:rPr>
          <w:rFonts w:hint="eastAsia" w:ascii="仿宋_GB2312" w:hAnsi="仿宋_GB2312" w:cs="仿宋_GB2312"/>
        </w:rPr>
        <w:t>分，得分率</w:t>
      </w:r>
      <w:r>
        <w:rPr>
          <w:rFonts w:ascii="仿宋_GB2312" w:hAnsi="仿宋_GB2312" w:cs="仿宋_GB2312"/>
        </w:rPr>
        <w:t>75.67%</w:t>
      </w:r>
      <w:r>
        <w:rPr>
          <w:rFonts w:hint="eastAsia" w:ascii="仿宋_GB2312" w:hAnsi="仿宋_GB2312" w:cs="仿宋_GB2312"/>
        </w:rPr>
        <w:t>。</w:t>
      </w:r>
    </w:p>
    <w:p>
      <w:pPr>
        <w:numPr>
          <w:ilvl w:val="0"/>
          <w:numId w:val="6"/>
        </w:numPr>
        <w:spacing w:line="560" w:lineRule="exact"/>
        <w:ind w:left="600" w:leftChars="200"/>
        <w:outlineLvl w:val="0"/>
        <w:rPr>
          <w:rFonts w:ascii="仿宋_GB2312"/>
        </w:rPr>
      </w:pPr>
      <w:r>
        <w:rPr>
          <w:rFonts w:hint="eastAsia" w:ascii="仿宋_GB2312" w:hAnsi="仿宋_GB2312" w:cs="仿宋_GB2312"/>
        </w:rPr>
        <w:t>产出数量分析（得分</w:t>
      </w:r>
      <w:r>
        <w:rPr>
          <w:rFonts w:ascii="仿宋_GB2312" w:hAnsi="仿宋_GB2312" w:cs="仿宋_GB2312"/>
        </w:rPr>
        <w:t>10</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实际完成率：项目实施的实际产出数与计划产出数的比率，用以反映和考核项目产出数量目标的实现程度。本指标超额完成任务，完成率</w:t>
      </w:r>
      <w:r>
        <w:rPr>
          <w:rFonts w:ascii="仿宋_GB2312" w:cs="仿宋_GB2312"/>
        </w:rPr>
        <w:t>100%</w:t>
      </w:r>
      <w:r>
        <w:rPr>
          <w:rFonts w:hint="eastAsia" w:ascii="仿宋_GB2312" w:cs="仿宋_GB2312"/>
        </w:rPr>
        <w:t>。</w:t>
      </w:r>
    </w:p>
    <w:p>
      <w:pPr>
        <w:numPr>
          <w:ilvl w:val="0"/>
          <w:numId w:val="6"/>
        </w:numPr>
        <w:spacing w:line="560" w:lineRule="exact"/>
        <w:ind w:left="600" w:leftChars="200"/>
        <w:outlineLvl w:val="0"/>
        <w:rPr>
          <w:rFonts w:ascii="仿宋_GB2312"/>
        </w:rPr>
      </w:pPr>
      <w:r>
        <w:rPr>
          <w:rFonts w:hint="eastAsia" w:ascii="仿宋_GB2312" w:hAnsi="仿宋_GB2312" w:cs="仿宋_GB2312"/>
        </w:rPr>
        <w:t>产出质量分析（得分</w:t>
      </w:r>
      <w:r>
        <w:rPr>
          <w:rFonts w:ascii="仿宋_GB2312" w:hAnsi="仿宋_GB2312" w:cs="仿宋_GB2312"/>
        </w:rPr>
        <w:t>7.7</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质量达标率：学生毕业率没有达到预期目标，合格率为</w:t>
      </w:r>
      <w:r>
        <w:rPr>
          <w:rFonts w:ascii="仿宋_GB2312" w:cs="仿宋_GB2312"/>
        </w:rPr>
        <w:t>76.92%</w:t>
      </w:r>
      <w:r>
        <w:rPr>
          <w:rFonts w:hint="eastAsia" w:ascii="仿宋_GB2312" w:cs="仿宋_GB2312"/>
        </w:rPr>
        <w:t>。</w:t>
      </w:r>
    </w:p>
    <w:p>
      <w:pPr>
        <w:spacing w:line="560" w:lineRule="exact"/>
        <w:ind w:firstLine="600" w:firstLineChars="200"/>
        <w:outlineLvl w:val="0"/>
        <w:rPr>
          <w:rFonts w:ascii="仿宋_GB2312"/>
        </w:rPr>
      </w:pPr>
      <w:r>
        <w:rPr>
          <w:rFonts w:ascii="仿宋_GB2312" w:hAnsi="仿宋_GB2312" w:cs="仿宋_GB2312"/>
        </w:rPr>
        <w:t>3</w:t>
      </w:r>
      <w:r>
        <w:rPr>
          <w:rFonts w:hint="eastAsia" w:ascii="仿宋_GB2312" w:hAnsi="仿宋_GB2312" w:cs="仿宋_GB2312"/>
        </w:rPr>
        <w:t>、产出时效分析（得分</w:t>
      </w:r>
      <w:r>
        <w:rPr>
          <w:rFonts w:ascii="仿宋_GB2312" w:hAnsi="仿宋_GB2312" w:cs="仿宋_GB2312"/>
        </w:rPr>
        <w:t>5</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完成及时性：按照项目要求，在规定时间内完成了所有内容。</w:t>
      </w:r>
    </w:p>
    <w:p>
      <w:pPr>
        <w:spacing w:line="560" w:lineRule="exact"/>
        <w:ind w:firstLine="600" w:firstLineChars="200"/>
        <w:outlineLvl w:val="0"/>
        <w:rPr>
          <w:rFonts w:ascii="仿宋_GB2312"/>
        </w:rPr>
      </w:pPr>
      <w:r>
        <w:rPr>
          <w:rFonts w:ascii="仿宋_GB2312" w:hAnsi="仿宋_GB2312" w:cs="仿宋_GB2312"/>
        </w:rPr>
        <w:t>4</w:t>
      </w:r>
      <w:r>
        <w:rPr>
          <w:rFonts w:hint="eastAsia" w:ascii="仿宋_GB2312" w:hAnsi="仿宋_GB2312" w:cs="仿宋_GB2312"/>
        </w:rPr>
        <w:t>、产出成本分析（得分</w:t>
      </w:r>
      <w:r>
        <w:rPr>
          <w:rFonts w:ascii="仿宋_GB2312" w:cs="仿宋_GB2312"/>
        </w:rPr>
        <w:t>0</w:t>
      </w:r>
      <w:r>
        <w:rPr>
          <w:rFonts w:hint="eastAsia" w:ascii="仿宋_GB2312" w:hAnsi="仿宋_GB2312" w:cs="仿宋_GB2312"/>
        </w:rPr>
        <w:t>分）</w:t>
      </w:r>
    </w:p>
    <w:p>
      <w:pPr>
        <w:spacing w:line="560" w:lineRule="exact"/>
        <w:ind w:firstLine="600" w:firstLineChars="200"/>
        <w:outlineLvl w:val="0"/>
        <w:rPr>
          <w:rFonts w:ascii="仿宋_GB2312"/>
        </w:rPr>
      </w:pPr>
      <w:r>
        <w:rPr>
          <w:rFonts w:hint="eastAsia" w:ascii="仿宋_GB2312" w:cs="仿宋_GB2312"/>
        </w:rPr>
        <w:t>成本节约率：项目内容如期、保质、保量完成，既定工作目标实际所耗费的支出超出预算支出。</w:t>
      </w:r>
    </w:p>
    <w:p>
      <w:pPr>
        <w:spacing w:line="560" w:lineRule="exact"/>
        <w:ind w:firstLine="600" w:firstLineChars="200"/>
        <w:outlineLvl w:val="0"/>
        <w:rPr>
          <w:rFonts w:ascii="仿宋_GB2312"/>
        </w:rPr>
      </w:pPr>
      <w:r>
        <w:rPr>
          <w:rFonts w:hint="eastAsia" w:ascii="仿宋_GB2312" w:hAnsi="仿宋_GB2312" w:cs="仿宋_GB2312"/>
        </w:rPr>
        <w:t>（四）项目效益分析</w:t>
      </w:r>
    </w:p>
    <w:p>
      <w:pPr>
        <w:spacing w:line="560" w:lineRule="exact"/>
        <w:ind w:firstLine="600" w:firstLineChars="200"/>
        <w:outlineLvl w:val="0"/>
        <w:rPr>
          <w:rFonts w:ascii="仿宋_GB2312"/>
        </w:rPr>
      </w:pPr>
      <w:r>
        <w:rPr>
          <w:rFonts w:hint="eastAsia" w:ascii="仿宋_GB2312" w:hAnsi="仿宋_GB2312" w:cs="仿宋_GB2312"/>
        </w:rPr>
        <w:t>项目过程包括实施效益和满意度。该项满分为</w:t>
      </w:r>
      <w:r>
        <w:rPr>
          <w:rFonts w:ascii="仿宋_GB2312" w:hAnsi="仿宋_GB2312" w:cs="仿宋_GB2312"/>
        </w:rPr>
        <w:t xml:space="preserve">30 </w:t>
      </w:r>
      <w:r>
        <w:rPr>
          <w:rFonts w:hint="eastAsia" w:ascii="仿宋_GB2312" w:hAnsi="仿宋_GB2312" w:cs="仿宋_GB2312"/>
        </w:rPr>
        <w:t>分，得分</w:t>
      </w:r>
      <w:r>
        <w:rPr>
          <w:rFonts w:ascii="仿宋_GB2312" w:hAnsi="仿宋_GB2312" w:cs="仿宋_GB2312"/>
        </w:rPr>
        <w:t>30</w:t>
      </w:r>
      <w:r>
        <w:rPr>
          <w:rFonts w:hint="eastAsia" w:ascii="仿宋_GB2312" w:hAnsi="仿宋_GB2312" w:cs="仿宋_GB2312"/>
        </w:rPr>
        <w:t>分，得分率</w:t>
      </w:r>
      <w:r>
        <w:rPr>
          <w:rFonts w:ascii="仿宋_GB2312" w:hAnsi="仿宋_GB2312" w:cs="仿宋_GB2312"/>
        </w:rPr>
        <w:t>100%</w:t>
      </w:r>
      <w:r>
        <w:rPr>
          <w:rFonts w:hint="eastAsia" w:ascii="仿宋_GB2312" w:hAnsi="仿宋_GB2312" w:cs="仿宋_GB2312"/>
        </w:rPr>
        <w:t>。　</w:t>
      </w:r>
      <w:r>
        <w:rPr>
          <w:rFonts w:ascii="仿宋_GB2312"/>
        </w:rPr>
        <w:tab/>
      </w:r>
    </w:p>
    <w:p>
      <w:pPr>
        <w:numPr>
          <w:ilvl w:val="0"/>
          <w:numId w:val="7"/>
        </w:numPr>
        <w:spacing w:line="560" w:lineRule="exact"/>
        <w:ind w:firstLine="600" w:firstLineChars="200"/>
        <w:outlineLvl w:val="0"/>
        <w:rPr>
          <w:rFonts w:ascii="仿宋_GB2312"/>
        </w:rPr>
      </w:pPr>
      <w:r>
        <w:rPr>
          <w:rFonts w:hint="eastAsia" w:ascii="仿宋_GB2312" w:hAnsi="仿宋_GB2312" w:cs="仿宋_GB2312"/>
        </w:rPr>
        <w:t>实施效益（得分</w:t>
      </w:r>
      <w:r>
        <w:rPr>
          <w:rFonts w:ascii="仿宋_GB2312" w:hAnsi="仿宋_GB2312" w:cs="仿宋_GB2312"/>
        </w:rPr>
        <w:t>20</w:t>
      </w:r>
      <w:r>
        <w:rPr>
          <w:rFonts w:hint="eastAsia" w:ascii="仿宋_GB2312" w:hAnsi="仿宋_GB2312" w:cs="仿宋_GB2312"/>
        </w:rPr>
        <w:t>分）</w:t>
      </w:r>
    </w:p>
    <w:p>
      <w:pPr>
        <w:pStyle w:val="5"/>
        <w:widowControl/>
        <w:spacing w:line="560" w:lineRule="exact"/>
        <w:ind w:left="300" w:leftChars="100" w:right="57" w:firstLine="420"/>
        <w:jc w:val="both"/>
        <w:rPr>
          <w:rFonts w:ascii="仿宋_GB2312"/>
          <w:color w:val="FF0000"/>
          <w:sz w:val="30"/>
          <w:szCs w:val="30"/>
        </w:rPr>
      </w:pPr>
      <w:r>
        <w:rPr>
          <w:rFonts w:hint="eastAsia" w:ascii="仿宋_GB2312" w:hAnsi="仿宋_GB2312" w:cs="仿宋_GB2312"/>
          <w:color w:val="000000"/>
          <w:sz w:val="30"/>
          <w:szCs w:val="30"/>
          <w:shd w:val="clear" w:color="auto" w:fill="FFFFFF"/>
        </w:rPr>
        <w:t>我校通过项目的实施，立足巴州教育事业发展全局，根据巴州的经济发展、教育发展和人才培养计划，为教师、学生提供良好的学习环境，取得了良好的社会和经济效益。</w:t>
      </w:r>
      <w:r>
        <w:rPr>
          <w:rFonts w:ascii="仿宋_GB2312" w:hAnsi="仿宋_GB2312" w:cs="仿宋_GB2312"/>
          <w:color w:val="000000"/>
          <w:sz w:val="30"/>
          <w:szCs w:val="30"/>
          <w:shd w:val="clear" w:color="auto" w:fill="FFFFFF"/>
        </w:rPr>
        <w:t>2019</w:t>
      </w:r>
      <w:r>
        <w:rPr>
          <w:rFonts w:hint="eastAsia" w:ascii="仿宋_GB2312" w:hAnsi="仿宋_GB2312" w:cs="仿宋_GB2312"/>
          <w:color w:val="000000"/>
          <w:sz w:val="30"/>
          <w:szCs w:val="30"/>
          <w:shd w:val="clear" w:color="auto" w:fill="FFFFFF"/>
        </w:rPr>
        <w:t>年开放教育专科本科毕业生</w:t>
      </w:r>
      <w:r>
        <w:rPr>
          <w:rFonts w:ascii="仿宋_GB2312" w:hAnsi="仿宋_GB2312" w:cs="仿宋_GB2312"/>
          <w:color w:val="000000"/>
          <w:sz w:val="30"/>
          <w:szCs w:val="30"/>
          <w:shd w:val="clear" w:color="auto" w:fill="FFFFFF"/>
        </w:rPr>
        <w:t>932</w:t>
      </w:r>
      <w:r>
        <w:rPr>
          <w:rFonts w:hint="eastAsia" w:ascii="仿宋_GB2312" w:hAnsi="仿宋_GB2312" w:cs="仿宋_GB2312"/>
          <w:color w:val="000000"/>
          <w:sz w:val="30"/>
          <w:szCs w:val="30"/>
          <w:shd w:val="clear" w:color="auto" w:fill="FFFFFF"/>
        </w:rPr>
        <w:t>人，为巴州本地经济建设培养了一批留得住、用得上的各级各类应用型专业人才，同时为本级财政收取非税收入学费</w:t>
      </w:r>
      <w:r>
        <w:rPr>
          <w:rFonts w:ascii="仿宋_GB2312" w:hAnsi="仿宋_GB2312" w:cs="仿宋_GB2312"/>
          <w:color w:val="000000"/>
          <w:sz w:val="30"/>
          <w:szCs w:val="30"/>
          <w:shd w:val="clear" w:color="auto" w:fill="FFFFFF"/>
        </w:rPr>
        <w:t>935</w:t>
      </w:r>
      <w:r>
        <w:rPr>
          <w:rFonts w:hint="eastAsia" w:ascii="仿宋_GB2312" w:hAnsi="仿宋_GB2312" w:cs="仿宋_GB2312"/>
          <w:color w:val="000000"/>
          <w:sz w:val="30"/>
          <w:szCs w:val="30"/>
          <w:shd w:val="clear" w:color="auto" w:fill="FFFFFF"/>
        </w:rPr>
        <w:t>万元，为巴州的经济建设做出应有的贡献。</w:t>
      </w:r>
    </w:p>
    <w:p>
      <w:pPr>
        <w:numPr>
          <w:ilvl w:val="0"/>
          <w:numId w:val="7"/>
        </w:numPr>
        <w:spacing w:line="560" w:lineRule="exact"/>
        <w:ind w:firstLine="600" w:firstLineChars="200"/>
        <w:outlineLvl w:val="0"/>
        <w:rPr>
          <w:rFonts w:ascii="仿宋_GB2312"/>
        </w:rPr>
      </w:pPr>
      <w:r>
        <w:rPr>
          <w:rFonts w:hint="eastAsia" w:ascii="仿宋_GB2312" w:hAnsi="仿宋_GB2312" w:cs="仿宋_GB2312"/>
        </w:rPr>
        <w:t>满意度（得分</w:t>
      </w:r>
      <w:r>
        <w:rPr>
          <w:rFonts w:ascii="仿宋_GB2312" w:hAnsi="仿宋_GB2312" w:cs="仿宋_GB2312"/>
        </w:rPr>
        <w:t>10</w:t>
      </w:r>
      <w:r>
        <w:rPr>
          <w:rFonts w:hint="eastAsia" w:ascii="仿宋_GB2312" w:hAnsi="仿宋_GB2312" w:cs="仿宋_GB2312"/>
        </w:rPr>
        <w:t>分）</w:t>
      </w:r>
    </w:p>
    <w:p>
      <w:pPr>
        <w:spacing w:line="560" w:lineRule="exact"/>
        <w:ind w:firstLine="600" w:firstLineChars="200"/>
        <w:rPr>
          <w:rFonts w:ascii="仿宋_GB2312"/>
          <w:sz w:val="32"/>
          <w:szCs w:val="32"/>
        </w:rPr>
      </w:pPr>
      <w:r>
        <w:rPr>
          <w:rFonts w:hint="eastAsia" w:ascii="仿宋_GB2312" w:hAnsi="仿宋_GB2312" w:cs="仿宋_GB2312"/>
        </w:rPr>
        <w:t>项目的实施得到了实施得到学生和家长的一致好评，通过问卷调查、电话走访、入户走访等调查方式，按计划完成项目实施，指标完成率为</w:t>
      </w:r>
      <w:r>
        <w:rPr>
          <w:rFonts w:ascii="仿宋_GB2312" w:hAnsi="仿宋_GB2312" w:cs="仿宋_GB2312"/>
        </w:rPr>
        <w:t>100%</w:t>
      </w:r>
      <w:r>
        <w:rPr>
          <w:rFonts w:hint="eastAsia" w:ascii="仿宋_GB2312" w:hAnsi="仿宋_GB2312" w:cs="仿宋_GB2312"/>
        </w:rPr>
        <w:t>。</w:t>
      </w:r>
    </w:p>
    <w:p>
      <w:pPr>
        <w:spacing w:line="560" w:lineRule="exact"/>
        <w:ind w:left="300" w:leftChars="100" w:right="57" w:firstLine="640" w:firstLineChars="200"/>
        <w:rPr>
          <w:rFonts w:ascii="黑体" w:hAnsi="黑体" w:eastAsia="黑体"/>
          <w:color w:val="000000"/>
          <w:sz w:val="32"/>
          <w:szCs w:val="32"/>
        </w:rPr>
      </w:pPr>
      <w:r>
        <w:rPr>
          <w:rFonts w:hint="eastAsia" w:ascii="黑体" w:hAnsi="黑体" w:eastAsia="黑体" w:cs="黑体"/>
          <w:color w:val="000000"/>
          <w:sz w:val="32"/>
          <w:szCs w:val="32"/>
        </w:rPr>
        <w:t>五、主要经验及做法、存在的问题及原因分析</w:t>
      </w:r>
    </w:p>
    <w:p>
      <w:pPr>
        <w:spacing w:line="560" w:lineRule="exact"/>
        <w:ind w:firstLine="543" w:firstLineChars="181"/>
        <w:rPr>
          <w:rFonts w:ascii="仿宋_GB2312"/>
        </w:rPr>
      </w:pPr>
      <w:r>
        <w:rPr>
          <w:rFonts w:hint="eastAsia" w:ascii="仿宋_GB2312" w:hAnsi="仿宋_GB2312" w:cs="仿宋_GB2312"/>
        </w:rPr>
        <w:t>（一）、主要经验及做法</w:t>
      </w:r>
    </w:p>
    <w:p>
      <w:pPr>
        <w:spacing w:line="560" w:lineRule="exact"/>
        <w:ind w:firstLine="600" w:firstLineChars="200"/>
        <w:rPr>
          <w:rFonts w:ascii="仿宋_GB2312"/>
        </w:rPr>
      </w:pPr>
      <w:r>
        <w:rPr>
          <w:rFonts w:hint="eastAsia" w:ascii="仿宋_GB2312" w:hAnsi="仿宋_GB2312" w:cs="仿宋_GB2312"/>
        </w:rPr>
        <w:t>巴州电大为了有效开展上缴上级管理费项目，进一步提高专项资金管理水平，在项目绩效考评</w:t>
      </w:r>
      <w:r>
        <w:rPr>
          <w:rFonts w:hint="eastAsia" w:ascii="仿宋_GB2312" w:hAnsi="仿宋_GB2312" w:cs="仿宋_GB2312"/>
          <w:lang w:eastAsia="zh-CN"/>
        </w:rPr>
        <w:t>的</w:t>
      </w:r>
      <w:bookmarkStart w:id="0" w:name="_GoBack"/>
      <w:bookmarkEnd w:id="0"/>
      <w:r>
        <w:rPr>
          <w:rFonts w:hint="eastAsia" w:ascii="仿宋_GB2312" w:hAnsi="仿宋_GB2312" w:cs="仿宋_GB2312"/>
        </w:rPr>
        <w:t>建立与实施过程中，紧密结合本单位工作实际，以问题为导向，有效实现了各部门紧密配合，以项目推管理，促进绩效考评逐步科学完善。主要做法是：</w:t>
      </w:r>
    </w:p>
    <w:p>
      <w:pPr>
        <w:spacing w:line="560" w:lineRule="exact"/>
        <w:rPr>
          <w:rFonts w:ascii="仿宋_GB2312"/>
        </w:rPr>
      </w:pPr>
      <w:r>
        <w:rPr>
          <w:rFonts w:hint="eastAsia" w:ascii="仿宋_GB2312" w:hAnsi="仿宋_GB2312" w:cs="仿宋_GB2312"/>
        </w:rPr>
        <w:t>　　</w:t>
      </w:r>
      <w:r>
        <w:rPr>
          <w:rFonts w:ascii="仿宋_GB2312" w:hAnsi="仿宋_GB2312" w:cs="仿宋_GB2312"/>
        </w:rPr>
        <w:t>1</w:t>
      </w:r>
      <w:r>
        <w:rPr>
          <w:rFonts w:hint="eastAsia" w:ascii="仿宋_GB2312" w:hAnsi="仿宋_GB2312" w:cs="仿宋_GB2312"/>
        </w:rPr>
        <w:t>、组建领导小组，作为绩效管理抓手</w:t>
      </w:r>
    </w:p>
    <w:p>
      <w:pPr>
        <w:spacing w:line="560" w:lineRule="exact"/>
        <w:ind w:firstLine="543" w:firstLineChars="181"/>
        <w:rPr>
          <w:rFonts w:ascii="仿宋_GB2312"/>
        </w:rPr>
      </w:pPr>
      <w:r>
        <w:rPr>
          <w:rFonts w:hint="eastAsia" w:ascii="仿宋_GB2312" w:hAnsi="仿宋_GB2312" w:cs="仿宋_GB2312"/>
        </w:rPr>
        <w:t>　单位项目绩效管理是一个复杂的体系，工作涉及到预算业务、收支业务、教务管理业务、教学管理、招生管理、内外监督等各项经济活动，需要内部各处室的协作和配合。巴州电大在工作中意识到单位领导重视是推动项目绩效管理的关键。工作中与党风廉政建设密切结合，使单位领导树立起风险防控意识，为项目绩效管理工作的推进奠定了基础。</w:t>
      </w:r>
    </w:p>
    <w:p>
      <w:pPr>
        <w:spacing w:line="560" w:lineRule="exact"/>
        <w:ind w:firstLine="543" w:firstLineChars="181"/>
        <w:rPr>
          <w:rFonts w:ascii="仿宋_GB2312"/>
        </w:rPr>
      </w:pPr>
      <w:r>
        <w:rPr>
          <w:rFonts w:ascii="仿宋_GB2312" w:hAnsi="仿宋_GB2312" w:cs="仿宋_GB2312"/>
        </w:rPr>
        <w:t>2</w:t>
      </w:r>
      <w:r>
        <w:rPr>
          <w:rFonts w:hint="eastAsia" w:ascii="仿宋_GB2312" w:hAnsi="仿宋_GB2312" w:cs="仿宋_GB2312"/>
        </w:rPr>
        <w:t>、构建内控机制，保障内控实施</w:t>
      </w:r>
    </w:p>
    <w:p>
      <w:pPr>
        <w:spacing w:line="560" w:lineRule="exact"/>
        <w:ind w:firstLine="543" w:firstLineChars="181"/>
        <w:rPr>
          <w:rFonts w:ascii="仿宋_GB2312"/>
        </w:rPr>
      </w:pPr>
      <w:r>
        <w:rPr>
          <w:rFonts w:hint="eastAsia" w:ascii="仿宋_GB2312" w:hAnsi="仿宋_GB2312" w:cs="仿宋_GB2312"/>
        </w:rPr>
        <w:t>　建立了单位层面的内控运行制约机制。主要包括</w:t>
      </w:r>
      <w:r>
        <w:rPr>
          <w:rFonts w:ascii="仿宋_GB2312" w:hAnsi="仿宋_GB2312" w:cs="仿宋_GB2312"/>
        </w:rPr>
        <w:t>8</w:t>
      </w:r>
      <w:r>
        <w:rPr>
          <w:rFonts w:hint="eastAsia" w:ascii="仿宋_GB2312" w:hAnsi="仿宋_GB2312" w:cs="仿宋_GB2312"/>
        </w:rPr>
        <w:t>个方面的内容：内控管理职责分工，经济活动决策机制，关键岗位责任机制，关键人员资质能力，财务信息编报要求，信息技术应用要求，经济活动风险评估，内部控制监督评价。</w:t>
      </w:r>
    </w:p>
    <w:p>
      <w:pPr>
        <w:spacing w:line="560" w:lineRule="exact"/>
        <w:ind w:firstLine="543" w:firstLineChars="181"/>
        <w:rPr>
          <w:rFonts w:ascii="仿宋_GB2312"/>
          <w:color w:val="000000"/>
          <w:shd w:val="clear" w:color="auto" w:fill="FFFFFF"/>
        </w:rPr>
      </w:pPr>
      <w:r>
        <w:rPr>
          <w:rFonts w:ascii="仿宋_GB2312" w:hAnsi="仿宋_GB2312" w:cs="仿宋_GB2312"/>
          <w:color w:val="000000"/>
          <w:shd w:val="clear" w:color="auto" w:fill="FFFFFF"/>
        </w:rPr>
        <w:t>3</w:t>
      </w:r>
      <w:r>
        <w:rPr>
          <w:rFonts w:hint="eastAsia" w:ascii="仿宋_GB2312" w:hAnsi="仿宋_GB2312" w:cs="仿宋_GB2312"/>
          <w:color w:val="000000"/>
          <w:shd w:val="clear" w:color="auto" w:fill="FFFFFF"/>
        </w:rPr>
        <w:t>、严格财务管理，保证资金使用</w:t>
      </w:r>
    </w:p>
    <w:p>
      <w:pPr>
        <w:spacing w:line="560" w:lineRule="exact"/>
        <w:ind w:firstLine="543" w:firstLineChars="181"/>
        <w:rPr>
          <w:rFonts w:ascii="仿宋_GB2312"/>
          <w:color w:val="000000"/>
          <w:shd w:val="clear" w:color="auto" w:fill="FFFFFF"/>
        </w:rPr>
      </w:pPr>
      <w:r>
        <w:rPr>
          <w:rFonts w:hint="eastAsia" w:ascii="仿宋_GB2312" w:hAnsi="仿宋_GB2312" w:cs="仿宋_GB2312"/>
          <w:color w:val="000000"/>
          <w:shd w:val="clear" w:color="auto" w:fill="FFFFFF"/>
        </w:rPr>
        <w:t>工作过程中，我们严格规范财务和考核制度，严格审批程序。本项目资金审批严格依据相关文件制度执行。通过严格规范的工作程序，确保资金专款专用，规范资金运行。根据需求提出用款申请，财务审核，财政核拨，专款专用。</w:t>
      </w:r>
    </w:p>
    <w:p>
      <w:pPr>
        <w:spacing w:line="560" w:lineRule="exact"/>
        <w:ind w:firstLine="543" w:firstLineChars="181"/>
        <w:rPr>
          <w:rFonts w:ascii="仿宋_GB2312"/>
        </w:rPr>
      </w:pPr>
      <w:r>
        <w:rPr>
          <w:rFonts w:hint="eastAsia" w:ascii="仿宋_GB2312" w:hAnsi="仿宋_GB2312" w:cs="仿宋_GB2312"/>
        </w:rPr>
        <w:t>二、存在问题及原因</w:t>
      </w:r>
    </w:p>
    <w:p>
      <w:pPr>
        <w:spacing w:line="560" w:lineRule="exact"/>
        <w:ind w:firstLine="543" w:firstLineChars="181"/>
        <w:rPr>
          <w:rFonts w:ascii="仿宋_GB2312"/>
        </w:rPr>
      </w:pPr>
      <w:r>
        <w:rPr>
          <w:rFonts w:ascii="仿宋_GB2312" w:hAnsi="仿宋_GB2312" w:cs="仿宋_GB2312"/>
        </w:rPr>
        <w:t>1</w:t>
      </w:r>
      <w:r>
        <w:rPr>
          <w:rFonts w:hint="eastAsia" w:ascii="仿宋_GB2312" w:hAnsi="仿宋_GB2312" w:cs="仿宋_GB2312"/>
        </w:rPr>
        <w:t>、项目质量指标的学生毕业率未达到预期目标，主要是根据教育部及上级电大要求加强了学生学习过程的监督和考核力度，严抓日常学习、考试各环节的工作。</w:t>
      </w:r>
    </w:p>
    <w:p>
      <w:pPr>
        <w:spacing w:line="560" w:lineRule="exact"/>
        <w:ind w:firstLine="543" w:firstLineChars="181"/>
        <w:rPr>
          <w:rFonts w:ascii="仿宋_GB2312"/>
        </w:rPr>
      </w:pPr>
      <w:r>
        <w:rPr>
          <w:rFonts w:ascii="仿宋_GB2312" w:hAnsi="仿宋_GB2312" w:cs="仿宋_GB2312"/>
        </w:rPr>
        <w:t>2</w:t>
      </w:r>
      <w:r>
        <w:rPr>
          <w:rFonts w:hint="eastAsia" w:ascii="仿宋_GB2312" w:hAnsi="仿宋_GB2312" w:cs="仿宋_GB2312"/>
        </w:rPr>
        <w:t>、项目预算资金不足，主要是财政资金</w:t>
      </w:r>
      <w:r>
        <w:rPr>
          <w:rFonts w:hint="eastAsia" w:ascii="仿宋_GB2312" w:hAnsi="仿宋_GB2312" w:cs="仿宋_GB2312"/>
          <w:color w:val="000000"/>
          <w:shd w:val="clear" w:color="auto" w:fill="FFFFFF"/>
        </w:rPr>
        <w:t>年初预算项目资金总额控制造成预算偏小，</w:t>
      </w:r>
      <w:r>
        <w:rPr>
          <w:rFonts w:hint="eastAsia" w:ascii="仿宋_GB2312" w:hAnsi="仿宋_GB2312" w:cs="仿宋_GB2312"/>
        </w:rPr>
        <w:t>不利于按项目实际需要进行资金安排。</w:t>
      </w:r>
    </w:p>
    <w:p>
      <w:pPr>
        <w:spacing w:line="560" w:lineRule="exact"/>
        <w:ind w:right="57" w:firstLine="320" w:firstLineChars="100"/>
        <w:rPr>
          <w:rFonts w:ascii="黑体" w:hAnsi="黑体" w:eastAsia="黑体"/>
          <w:color w:val="000000"/>
          <w:sz w:val="32"/>
          <w:szCs w:val="32"/>
        </w:rPr>
      </w:pPr>
      <w:r>
        <w:rPr>
          <w:rFonts w:hint="eastAsia" w:ascii="黑体" w:hAnsi="黑体" w:eastAsia="黑体" w:cs="黑体"/>
          <w:color w:val="000000"/>
          <w:sz w:val="32"/>
          <w:szCs w:val="32"/>
        </w:rPr>
        <w:t>六、有关建议</w:t>
      </w:r>
    </w:p>
    <w:p>
      <w:pPr>
        <w:numPr>
          <w:ilvl w:val="0"/>
          <w:numId w:val="8"/>
        </w:numPr>
        <w:spacing w:line="560" w:lineRule="exact"/>
        <w:ind w:firstLine="528" w:firstLineChars="181"/>
        <w:rPr>
          <w:rStyle w:val="8"/>
          <w:rFonts w:ascii="仿宋_GB2312"/>
          <w:b w:val="0"/>
          <w:bCs w:val="0"/>
          <w:spacing w:val="-4"/>
        </w:rPr>
      </w:pPr>
      <w:r>
        <w:rPr>
          <w:rStyle w:val="8"/>
          <w:rFonts w:hint="eastAsia" w:ascii="仿宋_GB2312" w:hAnsi="仿宋_GB2312" w:cs="仿宋_GB2312"/>
          <w:b w:val="0"/>
          <w:bCs w:val="0"/>
          <w:spacing w:val="-4"/>
        </w:rPr>
        <w:t>加强项目资金的预算管理，认真准确及时编制单位部门项目资金预算计划，在执行过程中加强监督管理，细化项目实施过程，分时段拨付资金。</w:t>
      </w:r>
    </w:p>
    <w:p>
      <w:pPr>
        <w:numPr>
          <w:ilvl w:val="0"/>
          <w:numId w:val="8"/>
        </w:numPr>
        <w:spacing w:line="560" w:lineRule="exact"/>
        <w:ind w:right="57" w:firstLine="543" w:firstLineChars="181"/>
        <w:rPr>
          <w:rFonts w:ascii="仿宋_GB2312"/>
          <w:color w:val="000000"/>
          <w:shd w:val="clear" w:color="auto" w:fill="FFFFFF"/>
        </w:rPr>
      </w:pPr>
      <w:r>
        <w:rPr>
          <w:rFonts w:hint="eastAsia" w:ascii="仿宋_GB2312" w:hAnsi="仿宋_GB2312" w:cs="仿宋_GB2312"/>
          <w:color w:val="000000"/>
          <w:shd w:val="clear" w:color="auto" w:fill="FFFFFF"/>
        </w:rPr>
        <w:t>根据绩效评价结果，认为该项目对发展本地的开放教育事业有重大意义，应当全额纳入年度预算并考虑必要支付经费。</w:t>
      </w:r>
    </w:p>
    <w:p>
      <w:pPr>
        <w:spacing w:line="560" w:lineRule="exact"/>
        <w:ind w:firstLine="579" w:firstLineChars="181"/>
        <w:rPr>
          <w:rFonts w:ascii="黑体" w:hAnsi="黑体" w:eastAsia="黑体"/>
          <w:sz w:val="32"/>
          <w:szCs w:val="32"/>
        </w:rPr>
      </w:pPr>
      <w:r>
        <w:rPr>
          <w:rFonts w:hint="eastAsia" w:ascii="黑体" w:hAnsi="黑体" w:eastAsia="黑体" w:cs="黑体"/>
          <w:sz w:val="32"/>
          <w:szCs w:val="32"/>
        </w:rPr>
        <w:t>七、其他需要说明的问题</w:t>
      </w:r>
    </w:p>
    <w:p>
      <w:pPr>
        <w:pStyle w:val="5"/>
        <w:shd w:val="clear" w:color="auto" w:fill="FFFFFF"/>
        <w:spacing w:after="120" w:line="560" w:lineRule="exact"/>
        <w:ind w:firstLine="480"/>
        <w:jc w:val="both"/>
        <w:rPr>
          <w:rFonts w:ascii="仿宋_GB2312"/>
          <w:sz w:val="30"/>
          <w:szCs w:val="30"/>
        </w:rPr>
      </w:pPr>
      <w:r>
        <w:rPr>
          <w:rFonts w:hint="eastAsia" w:ascii="仿宋_GB2312" w:hAnsi="仿宋_GB2312" w:cs="仿宋_GB2312"/>
          <w:kern w:val="2"/>
          <w:sz w:val="30"/>
          <w:szCs w:val="30"/>
        </w:rPr>
        <w:t>希望自治区电大加大对我校的业务指导及相关政策制度的培训。单位建立内部监督和评价机制。及时发现问题、漏洞并加以解决、控制，将内部监督、自我评价与绩效考核相结合，</w:t>
      </w:r>
      <w:r>
        <w:rPr>
          <w:rFonts w:hint="eastAsia" w:ascii="仿宋_GB2312" w:hAnsi="仿宋_GB2312" w:cs="仿宋_GB2312"/>
          <w:sz w:val="30"/>
          <w:szCs w:val="30"/>
        </w:rPr>
        <w:t>从而进一步推动上缴上级管理费项目绩效建设。</w:t>
      </w:r>
    </w:p>
    <w:p>
      <w:pPr>
        <w:pStyle w:val="5"/>
        <w:shd w:val="clear" w:color="auto" w:fill="FFFFFF"/>
        <w:spacing w:after="120" w:line="560" w:lineRule="exact"/>
        <w:ind w:firstLine="480"/>
        <w:jc w:val="both"/>
        <w:rPr>
          <w:rFonts w:ascii="仿宋_GB2312"/>
          <w:sz w:val="32"/>
          <w:szCs w:val="32"/>
        </w:rPr>
      </w:pPr>
      <w:r>
        <w:rPr>
          <w:rFonts w:hint="eastAsia" w:ascii="仿宋_GB2312" w:hAnsi="仿宋_GB2312" w:cs="仿宋_GB2312"/>
          <w:sz w:val="32"/>
          <w:szCs w:val="32"/>
        </w:rPr>
        <w:t>附：绩效评价指标体系评分表</w:t>
      </w:r>
    </w:p>
    <w:p>
      <w:pPr>
        <w:numPr>
          <w:ilvl w:val="1"/>
          <w:numId w:val="0"/>
        </w:numPr>
        <w:spacing w:line="560" w:lineRule="exact"/>
        <w:ind w:left="300" w:leftChars="100" w:right="57"/>
        <w:rPr>
          <w:rFonts w:ascii="仿宋_GB2312"/>
          <w:sz w:val="32"/>
          <w:szCs w:val="32"/>
        </w:rPr>
        <w:sectPr>
          <w:pgSz w:w="11906" w:h="16838"/>
          <w:pgMar w:top="1928" w:right="1531" w:bottom="1701" w:left="1531" w:header="737" w:footer="851" w:gutter="0"/>
          <w:cols w:space="720" w:num="1"/>
          <w:docGrid w:type="lines" w:linePitch="408" w:charSpace="0"/>
        </w:sectPr>
      </w:pPr>
    </w:p>
    <w:p>
      <w:pPr>
        <w:pStyle w:val="2"/>
        <w:spacing w:before="0" w:after="0" w:line="240" w:lineRule="auto"/>
        <w:jc w:val="center"/>
        <w:rPr>
          <w:rFonts w:cs="Times New Roman"/>
          <w:color w:val="000000"/>
        </w:rPr>
      </w:pPr>
      <w:r>
        <w:rPr>
          <w:rFonts w:hint="eastAsia" w:ascii="宋体" w:hAnsi="宋体" w:eastAsia="宋体" w:cs="宋体"/>
          <w:color w:val="000000"/>
          <w:sz w:val="36"/>
          <w:szCs w:val="36"/>
        </w:rPr>
        <w:t>项目支出绩效评价指标体系框架</w:t>
      </w: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shd w:val="clear" w:color="auto" w:fill="FFFFFF"/>
            <w:vAlign w:val="center"/>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tcPr>
          <w:p>
            <w:pPr>
              <w:widowControl/>
              <w:spacing w:line="240" w:lineRule="atLeast"/>
              <w:jc w:val="center"/>
              <w:rPr>
                <w:rFonts w:ascii="宋体" w:hAnsi="宋体" w:eastAsia="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　</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项目立项（</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立项依据</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充分性</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cBorders>
            <w:shd w:val="clear" w:color="auto" w:fill="FFFFFF"/>
            <w:vAlign w:val="center"/>
          </w:tcPr>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立项程序</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规范性</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shd w:val="clear" w:color="auto" w:fill="FFFFFF"/>
            <w:vAlign w:val="center"/>
          </w:tcPr>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绩效目标（</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绩效目标</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绩效目标</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绩效指标</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明确性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ascii="宋体" w:hAnsi="宋体" w:eastAsia="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资金投入（</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w:t>
            </w:r>
          </w:p>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预算编制</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科学性</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资金分配</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cBorders>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shd w:val="clear" w:color="auto" w:fill="FFFFFF"/>
            <w:vAlign w:val="center"/>
          </w:tcPr>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资金管理（</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资金到位率</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资金到位率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预算资金）×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预算执行率</w:t>
            </w:r>
          </w:p>
        </w:tc>
        <w:tc>
          <w:tcPr>
            <w:tcW w:w="2789"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预算执行率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（实际支出资金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资金管理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资金使用</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合规性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cBorders>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组织实施（</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管理制度</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健全性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制度执行</w:t>
            </w:r>
          </w:p>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有效性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产出数量（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实际完成率</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实际完成率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产出质量（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质量达标率</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cBorders>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质量达标率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（质量达标产出数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shd w:val="clear" w:color="auto" w:fill="FFFFFF"/>
            <w:vAlign w:val="center"/>
          </w:tcPr>
          <w:p>
            <w:pPr>
              <w:spacing w:line="240" w:lineRule="atLeast"/>
              <w:jc w:val="center"/>
              <w:rPr>
                <w:rFonts w:ascii="宋体" w:hAnsi="宋体" w:eastAsia="宋体"/>
                <w:color w:val="000000"/>
                <w:kern w:val="0"/>
                <w:sz w:val="22"/>
                <w:szCs w:val="22"/>
              </w:rPr>
            </w:pPr>
          </w:p>
        </w:tc>
        <w:tc>
          <w:tcPr>
            <w:tcW w:w="1297" w:type="dxa"/>
            <w:shd w:val="clear" w:color="auto" w:fill="FFFFFF"/>
            <w:vAlign w:val="center"/>
          </w:tcPr>
          <w:p>
            <w:pPr>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产出时效（</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完成及时性</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297"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产出成本（</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成本节约率</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成本节约率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ascii="宋体" w:hAnsi="宋体" w:eastAsia="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p>
            <w:pPr>
              <w:widowControl/>
              <w:jc w:val="left"/>
              <w:rPr>
                <w:rFonts w:ascii="宋体" w:hAnsi="宋体" w:eastAsia="宋体" w:cs="宋体"/>
                <w:color w:val="000000"/>
                <w:kern w:val="0"/>
                <w:sz w:val="22"/>
                <w:szCs w:val="22"/>
              </w:rPr>
            </w:pP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297" w:type="dxa"/>
            <w:vMerge w:val="restart"/>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项目效益（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实施效益</w:t>
            </w:r>
          </w:p>
        </w:tc>
        <w:tc>
          <w:tcPr>
            <w:tcW w:w="2789" w:type="dxa"/>
            <w:shd w:val="clear" w:color="auto" w:fill="FFFFFF"/>
            <w:vAlign w:val="center"/>
          </w:tcPr>
          <w:p>
            <w:pPr>
              <w:widowControl/>
              <w:spacing w:line="240" w:lineRule="atLeast"/>
              <w:jc w:val="left"/>
              <w:rPr>
                <w:rFonts w:ascii="宋体" w:hAnsi="宋体" w:eastAsia="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shd w:val="clear" w:color="auto"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297" w:type="dxa"/>
            <w:vMerge w:val="continue"/>
            <w:shd w:val="clear" w:color="auto" w:fill="FFFFFF"/>
            <w:vAlign w:val="center"/>
          </w:tcPr>
          <w:p>
            <w:pPr>
              <w:widowControl/>
              <w:spacing w:line="240" w:lineRule="atLeast"/>
              <w:jc w:val="center"/>
              <w:rPr>
                <w:rFonts w:ascii="宋体" w:hAnsi="宋体" w:eastAsia="宋体"/>
                <w:color w:val="000000"/>
                <w:kern w:val="0"/>
                <w:sz w:val="22"/>
                <w:szCs w:val="22"/>
              </w:rPr>
            </w:pPr>
          </w:p>
        </w:tc>
        <w:tc>
          <w:tcPr>
            <w:tcW w:w="1411" w:type="dxa"/>
            <w:shd w:val="clear" w:color="auto" w:fill="FFFFFF"/>
            <w:vAlign w:val="center"/>
          </w:tcPr>
          <w:p>
            <w:pPr>
              <w:widowControl/>
              <w:spacing w:line="240" w:lineRule="atLeast"/>
              <w:jc w:val="center"/>
              <w:rPr>
                <w:rFonts w:ascii="宋体" w:hAnsi="宋体" w:eastAsia="宋体"/>
                <w:color w:val="000000"/>
                <w:kern w:val="0"/>
                <w:sz w:val="22"/>
                <w:szCs w:val="22"/>
              </w:rPr>
            </w:pPr>
            <w:r>
              <w:rPr>
                <w:rFonts w:hint="eastAsia" w:ascii="宋体" w:hAnsi="宋体" w:eastAsia="宋体" w:cs="宋体"/>
                <w:color w:val="000000"/>
                <w:kern w:val="0"/>
                <w:sz w:val="22"/>
                <w:szCs w:val="22"/>
              </w:rPr>
              <w:t>满意度</w:t>
            </w:r>
          </w:p>
        </w:tc>
        <w:tc>
          <w:tcPr>
            <w:tcW w:w="2789"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shd w:val="clear" w:color="000000" w:fill="FFFFFF"/>
            <w:vAlign w:val="center"/>
          </w:tcPr>
          <w:p>
            <w:pPr>
              <w:widowControl/>
              <w:spacing w:line="240" w:lineRule="atLeast"/>
              <w:rPr>
                <w:rFonts w:ascii="宋体" w:hAnsi="宋体" w:eastAsia="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tcPr>
          <w:p>
            <w:pPr>
              <w:widowControl/>
              <w:jc w:val="left"/>
              <w:rPr>
                <w:rFonts w:ascii="宋体" w:hAnsi="宋体" w:eastAsia="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r>
    </w:tbl>
    <w:p>
      <w:pPr>
        <w:spacing w:line="600" w:lineRule="exact"/>
        <w:rPr>
          <w:rFonts w:ascii="仿宋_GB2312"/>
          <w:sz w:val="32"/>
          <w:szCs w:val="32"/>
        </w:rPr>
        <w:sectPr>
          <w:pgSz w:w="16838" w:h="11906" w:orient="landscape"/>
          <w:pgMar w:top="1531" w:right="1928" w:bottom="1531" w:left="1701" w:header="737" w:footer="851" w:gutter="0"/>
          <w:cols w:space="720" w:num="1"/>
          <w:docGrid w:type="lines" w:linePitch="408" w:charSpace="0"/>
        </w:sectPr>
      </w:pPr>
    </w:p>
    <w:p/>
    <w:p>
      <w:pPr>
        <w:numPr>
          <w:ilvl w:val="1"/>
          <w:numId w:val="0"/>
        </w:numPr>
        <w:spacing w:line="560" w:lineRule="exact"/>
        <w:ind w:left="300" w:leftChars="100" w:right="57"/>
        <w:rPr>
          <w:rFonts w:ascii="仿宋_GB2312"/>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4E20D0"/>
    <w:multiLevelType w:val="singleLevel"/>
    <w:tmpl w:val="A04E20D0"/>
    <w:lvl w:ilvl="0" w:tentative="0">
      <w:start w:val="2"/>
      <w:numFmt w:val="decimal"/>
      <w:suff w:val="nothing"/>
      <w:lvlText w:val="（%1）"/>
      <w:lvlJc w:val="left"/>
    </w:lvl>
  </w:abstractNum>
  <w:abstractNum w:abstractNumId="1">
    <w:nsid w:val="A21D4563"/>
    <w:multiLevelType w:val="singleLevel"/>
    <w:tmpl w:val="A21D4563"/>
    <w:lvl w:ilvl="0" w:tentative="0">
      <w:start w:val="1"/>
      <w:numFmt w:val="decimal"/>
      <w:suff w:val="nothing"/>
      <w:lvlText w:val="%1、"/>
      <w:lvlJc w:val="left"/>
    </w:lvl>
  </w:abstractNum>
  <w:abstractNum w:abstractNumId="2">
    <w:nsid w:val="0FF23576"/>
    <w:multiLevelType w:val="singleLevel"/>
    <w:tmpl w:val="0FF23576"/>
    <w:lvl w:ilvl="0" w:tentative="0">
      <w:start w:val="3"/>
      <w:numFmt w:val="chineseCounting"/>
      <w:suff w:val="nothing"/>
      <w:lvlText w:val="%1、"/>
      <w:lvlJc w:val="left"/>
      <w:rPr>
        <w:rFonts w:hint="eastAsia"/>
      </w:rPr>
    </w:lvl>
  </w:abstractNum>
  <w:abstractNum w:abstractNumId="3">
    <w:nsid w:val="1E7A454A"/>
    <w:multiLevelType w:val="singleLevel"/>
    <w:tmpl w:val="1E7A454A"/>
    <w:lvl w:ilvl="0" w:tentative="0">
      <w:start w:val="2"/>
      <w:numFmt w:val="chineseCounting"/>
      <w:suff w:val="nothing"/>
      <w:lvlText w:val="（%1）"/>
      <w:lvlJc w:val="left"/>
      <w:rPr>
        <w:rFonts w:hint="eastAsia"/>
      </w:rPr>
    </w:lvl>
  </w:abstractNum>
  <w:abstractNum w:abstractNumId="4">
    <w:nsid w:val="22394D79"/>
    <w:multiLevelType w:val="singleLevel"/>
    <w:tmpl w:val="22394D79"/>
    <w:lvl w:ilvl="0" w:tentative="0">
      <w:start w:val="3"/>
      <w:numFmt w:val="decimal"/>
      <w:suff w:val="nothing"/>
      <w:lvlText w:val="%1、"/>
      <w:lvlJc w:val="left"/>
    </w:lvl>
  </w:abstractNum>
  <w:abstractNum w:abstractNumId="5">
    <w:nsid w:val="5248631E"/>
    <w:multiLevelType w:val="singleLevel"/>
    <w:tmpl w:val="5248631E"/>
    <w:lvl w:ilvl="0" w:tentative="0">
      <w:start w:val="1"/>
      <w:numFmt w:val="decimal"/>
      <w:suff w:val="nothing"/>
      <w:lvlText w:val="%1、"/>
      <w:lvlJc w:val="left"/>
    </w:lvl>
  </w:abstractNum>
  <w:abstractNum w:abstractNumId="6">
    <w:nsid w:val="55A2712C"/>
    <w:multiLevelType w:val="singleLevel"/>
    <w:tmpl w:val="55A2712C"/>
    <w:lvl w:ilvl="0" w:tentative="0">
      <w:start w:val="1"/>
      <w:numFmt w:val="decimal"/>
      <w:suff w:val="nothing"/>
      <w:lvlText w:val="%1、"/>
      <w:lvlJc w:val="left"/>
    </w:lvl>
  </w:abstractNum>
  <w:abstractNum w:abstractNumId="7">
    <w:nsid w:val="729C1C94"/>
    <w:multiLevelType w:val="multilevel"/>
    <w:tmpl w:val="729C1C94"/>
    <w:lvl w:ilvl="0" w:tentative="0">
      <w:start w:val="1"/>
      <w:numFmt w:val="decimal"/>
      <w:lvlText w:val="%1、"/>
      <w:lvlJc w:val="left"/>
      <w:pPr>
        <w:tabs>
          <w:tab w:val="left" w:pos="1660"/>
        </w:tabs>
        <w:ind w:left="1660" w:hanging="720"/>
      </w:pPr>
      <w:rPr>
        <w:rFonts w:hint="default"/>
      </w:rPr>
    </w:lvl>
    <w:lvl w:ilvl="1" w:tentative="0">
      <w:start w:val="1"/>
      <w:numFmt w:val="lowerLetter"/>
      <w:lvlText w:val="%2)"/>
      <w:lvlJc w:val="left"/>
      <w:pPr>
        <w:tabs>
          <w:tab w:val="left" w:pos="1780"/>
        </w:tabs>
        <w:ind w:left="1780" w:hanging="420"/>
      </w:pPr>
    </w:lvl>
    <w:lvl w:ilvl="2" w:tentative="0">
      <w:start w:val="1"/>
      <w:numFmt w:val="lowerRoman"/>
      <w:lvlText w:val="%3."/>
      <w:lvlJc w:val="right"/>
      <w:pPr>
        <w:tabs>
          <w:tab w:val="left" w:pos="2200"/>
        </w:tabs>
        <w:ind w:left="2200" w:hanging="420"/>
      </w:pPr>
    </w:lvl>
    <w:lvl w:ilvl="3" w:tentative="0">
      <w:start w:val="1"/>
      <w:numFmt w:val="decimal"/>
      <w:lvlText w:val="%4."/>
      <w:lvlJc w:val="left"/>
      <w:pPr>
        <w:tabs>
          <w:tab w:val="left" w:pos="2620"/>
        </w:tabs>
        <w:ind w:left="2620" w:hanging="420"/>
      </w:pPr>
    </w:lvl>
    <w:lvl w:ilvl="4" w:tentative="0">
      <w:start w:val="1"/>
      <w:numFmt w:val="lowerLetter"/>
      <w:lvlText w:val="%5)"/>
      <w:lvlJc w:val="left"/>
      <w:pPr>
        <w:tabs>
          <w:tab w:val="left" w:pos="3040"/>
        </w:tabs>
        <w:ind w:left="3040" w:hanging="420"/>
      </w:pPr>
    </w:lvl>
    <w:lvl w:ilvl="5" w:tentative="0">
      <w:start w:val="1"/>
      <w:numFmt w:val="lowerRoman"/>
      <w:lvlText w:val="%6."/>
      <w:lvlJc w:val="right"/>
      <w:pPr>
        <w:tabs>
          <w:tab w:val="left" w:pos="3460"/>
        </w:tabs>
        <w:ind w:left="3460" w:hanging="420"/>
      </w:pPr>
    </w:lvl>
    <w:lvl w:ilvl="6" w:tentative="0">
      <w:start w:val="1"/>
      <w:numFmt w:val="decimal"/>
      <w:lvlText w:val="%7."/>
      <w:lvlJc w:val="left"/>
      <w:pPr>
        <w:tabs>
          <w:tab w:val="left" w:pos="3880"/>
        </w:tabs>
        <w:ind w:left="3880" w:hanging="420"/>
      </w:pPr>
    </w:lvl>
    <w:lvl w:ilvl="7" w:tentative="0">
      <w:start w:val="1"/>
      <w:numFmt w:val="lowerLetter"/>
      <w:lvlText w:val="%8)"/>
      <w:lvlJc w:val="left"/>
      <w:pPr>
        <w:tabs>
          <w:tab w:val="left" w:pos="4300"/>
        </w:tabs>
        <w:ind w:left="4300" w:hanging="420"/>
      </w:pPr>
    </w:lvl>
    <w:lvl w:ilvl="8" w:tentative="0">
      <w:start w:val="1"/>
      <w:numFmt w:val="lowerRoman"/>
      <w:lvlText w:val="%9."/>
      <w:lvlJc w:val="right"/>
      <w:pPr>
        <w:tabs>
          <w:tab w:val="left" w:pos="4720"/>
        </w:tabs>
        <w:ind w:left="4720" w:hanging="420"/>
      </w:pPr>
    </w:lvl>
  </w:abstractNum>
  <w:num w:numId="1">
    <w:abstractNumId w:val="4"/>
  </w:num>
  <w:num w:numId="2">
    <w:abstractNumId w:val="3"/>
  </w:num>
  <w:num w:numId="3">
    <w:abstractNumId w:val="7"/>
  </w:num>
  <w:num w:numId="4">
    <w:abstractNumId w:val="2"/>
  </w:num>
  <w:num w:numId="5">
    <w:abstractNumId w:val="0"/>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MzgzMWJiNDVmMjc4YmZhYzYxZmZlMGEwZTI0MDIifQ=="/>
  </w:docVars>
  <w:rsids>
    <w:rsidRoot w:val="00535AC9"/>
    <w:rsid w:val="000378A8"/>
    <w:rsid w:val="00084A7F"/>
    <w:rsid w:val="000915FF"/>
    <w:rsid w:val="00091765"/>
    <w:rsid w:val="000A5042"/>
    <w:rsid w:val="000B3637"/>
    <w:rsid w:val="000B4E42"/>
    <w:rsid w:val="000D613C"/>
    <w:rsid w:val="001312A7"/>
    <w:rsid w:val="00134284"/>
    <w:rsid w:val="001F5BF9"/>
    <w:rsid w:val="00230045"/>
    <w:rsid w:val="00264259"/>
    <w:rsid w:val="0027688E"/>
    <w:rsid w:val="00277C13"/>
    <w:rsid w:val="002A0205"/>
    <w:rsid w:val="002E2334"/>
    <w:rsid w:val="002E4D36"/>
    <w:rsid w:val="003043B7"/>
    <w:rsid w:val="00396437"/>
    <w:rsid w:val="00411C54"/>
    <w:rsid w:val="0043448B"/>
    <w:rsid w:val="00443C32"/>
    <w:rsid w:val="004511EE"/>
    <w:rsid w:val="004558AA"/>
    <w:rsid w:val="00496543"/>
    <w:rsid w:val="004B3E4A"/>
    <w:rsid w:val="00500F54"/>
    <w:rsid w:val="00530FA9"/>
    <w:rsid w:val="00535AC9"/>
    <w:rsid w:val="00562BF4"/>
    <w:rsid w:val="005C2F26"/>
    <w:rsid w:val="005C6CDA"/>
    <w:rsid w:val="005E0B08"/>
    <w:rsid w:val="006075BB"/>
    <w:rsid w:val="00634162"/>
    <w:rsid w:val="00682BC9"/>
    <w:rsid w:val="006E76B5"/>
    <w:rsid w:val="006E7C11"/>
    <w:rsid w:val="006F3520"/>
    <w:rsid w:val="00703C7C"/>
    <w:rsid w:val="007354C1"/>
    <w:rsid w:val="007864B4"/>
    <w:rsid w:val="007B142E"/>
    <w:rsid w:val="007B58C0"/>
    <w:rsid w:val="007B7863"/>
    <w:rsid w:val="007F1ECC"/>
    <w:rsid w:val="0085183A"/>
    <w:rsid w:val="00851FC9"/>
    <w:rsid w:val="00853C22"/>
    <w:rsid w:val="00884F42"/>
    <w:rsid w:val="008A5800"/>
    <w:rsid w:val="008C5FAA"/>
    <w:rsid w:val="008F46FC"/>
    <w:rsid w:val="00923AD5"/>
    <w:rsid w:val="00956324"/>
    <w:rsid w:val="00A02214"/>
    <w:rsid w:val="00A1273D"/>
    <w:rsid w:val="00A57293"/>
    <w:rsid w:val="00A81657"/>
    <w:rsid w:val="00A910E8"/>
    <w:rsid w:val="00AD3BA9"/>
    <w:rsid w:val="00AD6BD8"/>
    <w:rsid w:val="00B1786D"/>
    <w:rsid w:val="00B23911"/>
    <w:rsid w:val="00B302CE"/>
    <w:rsid w:val="00B4429D"/>
    <w:rsid w:val="00B64292"/>
    <w:rsid w:val="00B91396"/>
    <w:rsid w:val="00BA58A2"/>
    <w:rsid w:val="00BC74AC"/>
    <w:rsid w:val="00BE5241"/>
    <w:rsid w:val="00BE57CC"/>
    <w:rsid w:val="00C03DE7"/>
    <w:rsid w:val="00C607C9"/>
    <w:rsid w:val="00CF5277"/>
    <w:rsid w:val="00D0092A"/>
    <w:rsid w:val="00D21523"/>
    <w:rsid w:val="00D47CD3"/>
    <w:rsid w:val="00D75912"/>
    <w:rsid w:val="00D841F9"/>
    <w:rsid w:val="00D86AFF"/>
    <w:rsid w:val="00DA35E1"/>
    <w:rsid w:val="00DB3CA7"/>
    <w:rsid w:val="00E221EE"/>
    <w:rsid w:val="00E3118B"/>
    <w:rsid w:val="00E65EF4"/>
    <w:rsid w:val="00E85CC6"/>
    <w:rsid w:val="00EA4DDF"/>
    <w:rsid w:val="00ED1394"/>
    <w:rsid w:val="00F433B0"/>
    <w:rsid w:val="00F61B97"/>
    <w:rsid w:val="00F83F20"/>
    <w:rsid w:val="02444079"/>
    <w:rsid w:val="028C71DF"/>
    <w:rsid w:val="03686EE4"/>
    <w:rsid w:val="037C6E82"/>
    <w:rsid w:val="04427C1B"/>
    <w:rsid w:val="05B93350"/>
    <w:rsid w:val="05E84C48"/>
    <w:rsid w:val="06F72F02"/>
    <w:rsid w:val="07A11423"/>
    <w:rsid w:val="0898464E"/>
    <w:rsid w:val="09831A47"/>
    <w:rsid w:val="0A6523F8"/>
    <w:rsid w:val="0CED39B9"/>
    <w:rsid w:val="0D7C1D7A"/>
    <w:rsid w:val="0E0B17F2"/>
    <w:rsid w:val="0E4C0B17"/>
    <w:rsid w:val="100E6F2A"/>
    <w:rsid w:val="10514274"/>
    <w:rsid w:val="137B47FF"/>
    <w:rsid w:val="14DA3161"/>
    <w:rsid w:val="15187905"/>
    <w:rsid w:val="15473801"/>
    <w:rsid w:val="15C709CC"/>
    <w:rsid w:val="16B71521"/>
    <w:rsid w:val="16F95FCC"/>
    <w:rsid w:val="17572B34"/>
    <w:rsid w:val="17D736C5"/>
    <w:rsid w:val="180B760A"/>
    <w:rsid w:val="196D25DB"/>
    <w:rsid w:val="19BF4BE2"/>
    <w:rsid w:val="1A430048"/>
    <w:rsid w:val="1A801FBB"/>
    <w:rsid w:val="1C7D705D"/>
    <w:rsid w:val="1D204347"/>
    <w:rsid w:val="1E696539"/>
    <w:rsid w:val="1FC55BF9"/>
    <w:rsid w:val="215462EC"/>
    <w:rsid w:val="221D414E"/>
    <w:rsid w:val="23CC6B21"/>
    <w:rsid w:val="24B9429F"/>
    <w:rsid w:val="25500191"/>
    <w:rsid w:val="26947EFF"/>
    <w:rsid w:val="29131022"/>
    <w:rsid w:val="29427759"/>
    <w:rsid w:val="299C397F"/>
    <w:rsid w:val="2B2D5B2D"/>
    <w:rsid w:val="2B45057B"/>
    <w:rsid w:val="2C5034BE"/>
    <w:rsid w:val="2D9A047D"/>
    <w:rsid w:val="2D9D1A9A"/>
    <w:rsid w:val="2E0520BA"/>
    <w:rsid w:val="2E716984"/>
    <w:rsid w:val="2F287254"/>
    <w:rsid w:val="316228D3"/>
    <w:rsid w:val="348561EA"/>
    <w:rsid w:val="36ED1285"/>
    <w:rsid w:val="37111C71"/>
    <w:rsid w:val="37401510"/>
    <w:rsid w:val="383D65E8"/>
    <w:rsid w:val="383E42D9"/>
    <w:rsid w:val="39662817"/>
    <w:rsid w:val="3A9720E4"/>
    <w:rsid w:val="3B6474C2"/>
    <w:rsid w:val="3F164878"/>
    <w:rsid w:val="40887297"/>
    <w:rsid w:val="412144EF"/>
    <w:rsid w:val="42630C01"/>
    <w:rsid w:val="426B1993"/>
    <w:rsid w:val="42B41EF6"/>
    <w:rsid w:val="4408642F"/>
    <w:rsid w:val="467864FA"/>
    <w:rsid w:val="46840FB0"/>
    <w:rsid w:val="47BB7943"/>
    <w:rsid w:val="483D3018"/>
    <w:rsid w:val="486903BF"/>
    <w:rsid w:val="48732E1D"/>
    <w:rsid w:val="487A0DA5"/>
    <w:rsid w:val="495B13E4"/>
    <w:rsid w:val="4C412726"/>
    <w:rsid w:val="4D583CBA"/>
    <w:rsid w:val="4E140009"/>
    <w:rsid w:val="4F3D4982"/>
    <w:rsid w:val="50205567"/>
    <w:rsid w:val="50900F0F"/>
    <w:rsid w:val="513860A7"/>
    <w:rsid w:val="51823E01"/>
    <w:rsid w:val="51B81053"/>
    <w:rsid w:val="51DF1BB9"/>
    <w:rsid w:val="527C39CA"/>
    <w:rsid w:val="54194A01"/>
    <w:rsid w:val="54E47AE9"/>
    <w:rsid w:val="54F87283"/>
    <w:rsid w:val="55E13988"/>
    <w:rsid w:val="594F0F5A"/>
    <w:rsid w:val="59EA692B"/>
    <w:rsid w:val="5A640716"/>
    <w:rsid w:val="5AEB7B30"/>
    <w:rsid w:val="5B9F29F8"/>
    <w:rsid w:val="5C652DFC"/>
    <w:rsid w:val="5CDD4591"/>
    <w:rsid w:val="5ECE0248"/>
    <w:rsid w:val="5F484E72"/>
    <w:rsid w:val="610C3233"/>
    <w:rsid w:val="61E61947"/>
    <w:rsid w:val="622A79C0"/>
    <w:rsid w:val="6260672F"/>
    <w:rsid w:val="62AA1618"/>
    <w:rsid w:val="634A75B4"/>
    <w:rsid w:val="63633DCB"/>
    <w:rsid w:val="639D10F7"/>
    <w:rsid w:val="65B70798"/>
    <w:rsid w:val="66E34E5C"/>
    <w:rsid w:val="67880002"/>
    <w:rsid w:val="67C015F2"/>
    <w:rsid w:val="68331A46"/>
    <w:rsid w:val="68B873F7"/>
    <w:rsid w:val="692D7011"/>
    <w:rsid w:val="69F333CD"/>
    <w:rsid w:val="6AA62129"/>
    <w:rsid w:val="6B0103A9"/>
    <w:rsid w:val="6B38674D"/>
    <w:rsid w:val="6C022974"/>
    <w:rsid w:val="6CC07721"/>
    <w:rsid w:val="6D583031"/>
    <w:rsid w:val="6D7D78B0"/>
    <w:rsid w:val="6DD416B5"/>
    <w:rsid w:val="6F4A28EE"/>
    <w:rsid w:val="716C6497"/>
    <w:rsid w:val="73E82881"/>
    <w:rsid w:val="744378F1"/>
    <w:rsid w:val="7454555E"/>
    <w:rsid w:val="746E3DF6"/>
    <w:rsid w:val="74DE4C7B"/>
    <w:rsid w:val="753F6757"/>
    <w:rsid w:val="755E6479"/>
    <w:rsid w:val="75A5102D"/>
    <w:rsid w:val="78500C6D"/>
    <w:rsid w:val="78B76D4B"/>
    <w:rsid w:val="79E9268A"/>
    <w:rsid w:val="7B1362ED"/>
    <w:rsid w:val="7B930344"/>
    <w:rsid w:val="7C15201A"/>
    <w:rsid w:val="7DD63467"/>
    <w:rsid w:val="7EB33D97"/>
    <w:rsid w:val="7EDB49E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name="header"/>
    <w:lsdException w:unhideWhenUsed="0" w:uiPriority="99"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name="Hyperlink"/>
    <w:lsdException w:unhideWhenUsed="0" w:uiPriority="99"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name="Normal (Web)"/>
    <w:lsdException w:uiPriority="99" w:name="HTML Acronym" w:locked="1"/>
    <w:lsdException w:uiPriority="99" w:name="HTML Address" w:locked="1"/>
    <w:lsdException w:qFormat="1" w:unhideWhenUsed="0" w:uiPriority="99" w:name="HTML Cite"/>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paragraph" w:styleId="2">
    <w:name w:val="heading 2"/>
    <w:basedOn w:val="1"/>
    <w:next w:val="1"/>
    <w:link w:val="13"/>
    <w:qFormat/>
    <w:uiPriority w:val="99"/>
    <w:pPr>
      <w:keepNext/>
      <w:keepLines/>
      <w:spacing w:before="260" w:after="260" w:line="413" w:lineRule="auto"/>
      <w:outlineLvl w:val="1"/>
    </w:pPr>
    <w:rPr>
      <w:rFonts w:ascii="Arial" w:hAnsi="Arial" w:eastAsia="黑体" w:cs="Arial"/>
      <w:b/>
      <w:bCs/>
      <w:sz w:val="32"/>
      <w:szCs w:val="32"/>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4"/>
    <w:semiHidden/>
    <w:uiPriority w:val="99"/>
    <w:pPr>
      <w:tabs>
        <w:tab w:val="center" w:pos="4153"/>
        <w:tab w:val="right" w:pos="8306"/>
      </w:tabs>
      <w:snapToGrid w:val="0"/>
      <w:jc w:val="left"/>
    </w:pPr>
    <w:rPr>
      <w:sz w:val="18"/>
      <w:szCs w:val="18"/>
    </w:rPr>
  </w:style>
  <w:style w:type="paragraph" w:styleId="4">
    <w:name w:val="header"/>
    <w:basedOn w:val="1"/>
    <w:link w:val="15"/>
    <w:semiHidden/>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iPriority w:val="99"/>
    <w:pPr>
      <w:jc w:val="left"/>
    </w:pPr>
    <w:rPr>
      <w:kern w:val="0"/>
      <w:sz w:val="24"/>
      <w:szCs w:val="24"/>
    </w:rPr>
  </w:style>
  <w:style w:type="character" w:styleId="8">
    <w:name w:val="Strong"/>
    <w:basedOn w:val="7"/>
    <w:qFormat/>
    <w:uiPriority w:val="99"/>
    <w:rPr>
      <w:b/>
      <w:bCs/>
    </w:rPr>
  </w:style>
  <w:style w:type="character" w:styleId="9">
    <w:name w:val="FollowedHyperlink"/>
    <w:basedOn w:val="7"/>
    <w:semiHidden/>
    <w:uiPriority w:val="99"/>
    <w:rPr>
      <w:color w:val="333333"/>
      <w:u w:val="none"/>
    </w:rPr>
  </w:style>
  <w:style w:type="character" w:styleId="10">
    <w:name w:val="Emphasis"/>
    <w:basedOn w:val="7"/>
    <w:qFormat/>
    <w:uiPriority w:val="99"/>
  </w:style>
  <w:style w:type="character" w:styleId="11">
    <w:name w:val="Hyperlink"/>
    <w:basedOn w:val="7"/>
    <w:autoRedefine/>
    <w:semiHidden/>
    <w:qFormat/>
    <w:uiPriority w:val="99"/>
    <w:rPr>
      <w:color w:val="333333"/>
      <w:u w:val="none"/>
    </w:rPr>
  </w:style>
  <w:style w:type="character" w:styleId="12">
    <w:name w:val="HTML Cite"/>
    <w:basedOn w:val="7"/>
    <w:autoRedefine/>
    <w:semiHidden/>
    <w:qFormat/>
    <w:uiPriority w:val="99"/>
    <w:rPr>
      <w:sz w:val="24"/>
      <w:szCs w:val="24"/>
    </w:rPr>
  </w:style>
  <w:style w:type="character" w:customStyle="1" w:styleId="13">
    <w:name w:val="Heading 2 Char"/>
    <w:basedOn w:val="7"/>
    <w:link w:val="2"/>
    <w:semiHidden/>
    <w:locked/>
    <w:uiPriority w:val="99"/>
    <w:rPr>
      <w:rFonts w:ascii="Cambria" w:hAnsi="Cambria" w:eastAsia="宋体" w:cs="Cambria"/>
      <w:b/>
      <w:bCs/>
      <w:sz w:val="32"/>
      <w:szCs w:val="32"/>
    </w:rPr>
  </w:style>
  <w:style w:type="character" w:customStyle="1" w:styleId="14">
    <w:name w:val="Footer Char"/>
    <w:basedOn w:val="7"/>
    <w:link w:val="3"/>
    <w:semiHidden/>
    <w:locked/>
    <w:uiPriority w:val="99"/>
    <w:rPr>
      <w:sz w:val="18"/>
      <w:szCs w:val="18"/>
    </w:rPr>
  </w:style>
  <w:style w:type="character" w:customStyle="1" w:styleId="15">
    <w:name w:val="Header Char"/>
    <w:basedOn w:val="7"/>
    <w:link w:val="4"/>
    <w:semiHidden/>
    <w:locked/>
    <w:uiPriority w:val="99"/>
    <w:rPr>
      <w:sz w:val="18"/>
      <w:szCs w:val="18"/>
    </w:rPr>
  </w:style>
  <w:style w:type="character" w:customStyle="1" w:styleId="16">
    <w:name w:val="hover35"/>
    <w:basedOn w:val="7"/>
    <w:uiPriority w:val="99"/>
    <w:rPr>
      <w:shd w:val="clear" w:color="auto" w:fill="auto"/>
    </w:rPr>
  </w:style>
  <w:style w:type="character" w:customStyle="1" w:styleId="17">
    <w:name w:val="edui-clickable2"/>
    <w:basedOn w:val="7"/>
    <w:autoRedefine/>
    <w:qFormat/>
    <w:uiPriority w:val="99"/>
    <w:rPr>
      <w:color w:val="0000FF"/>
      <w:u w:val="single"/>
    </w:rPr>
  </w:style>
  <w:style w:type="character" w:customStyle="1" w:styleId="18">
    <w:name w:val="edui-unclickable"/>
    <w:basedOn w:val="7"/>
    <w:autoRedefine/>
    <w:qFormat/>
    <w:uiPriority w:val="99"/>
    <w:rPr>
      <w:color w:val="808080"/>
    </w:rPr>
  </w:style>
  <w:style w:type="character" w:customStyle="1" w:styleId="19">
    <w:name w:val="edit-ask-reply4"/>
    <w:basedOn w:val="7"/>
    <w:autoRedefine/>
    <w:qFormat/>
    <w:uiPriority w:val="99"/>
  </w:style>
  <w:style w:type="character" w:customStyle="1" w:styleId="20">
    <w:name w:val="icon3"/>
    <w:basedOn w:val="7"/>
    <w:uiPriority w:val="99"/>
  </w:style>
  <w:style w:type="character" w:customStyle="1" w:styleId="21">
    <w:name w:val="icon8"/>
    <w:basedOn w:val="7"/>
    <w:uiPriority w:val="99"/>
  </w:style>
  <w:style w:type="character" w:customStyle="1" w:styleId="22">
    <w:name w:val="icon1"/>
    <w:basedOn w:val="7"/>
    <w:autoRedefine/>
    <w:qFormat/>
    <w:uiPriority w:val="99"/>
  </w:style>
  <w:style w:type="character" w:customStyle="1" w:styleId="23">
    <w:name w:val="icon2"/>
    <w:basedOn w:val="7"/>
    <w:uiPriority w:val="99"/>
  </w:style>
  <w:style w:type="character" w:customStyle="1" w:styleId="24">
    <w:name w:val="icon4"/>
    <w:basedOn w:val="7"/>
    <w:uiPriority w:val="99"/>
  </w:style>
  <w:style w:type="character" w:customStyle="1" w:styleId="25">
    <w:name w:val="icon5"/>
    <w:basedOn w:val="7"/>
    <w:uiPriority w:val="99"/>
  </w:style>
  <w:style w:type="character" w:customStyle="1" w:styleId="26">
    <w:name w:val="icon6"/>
    <w:basedOn w:val="7"/>
    <w:uiPriority w:val="99"/>
  </w:style>
  <w:style w:type="character" w:customStyle="1" w:styleId="27">
    <w:name w:val="icon7"/>
    <w:basedOn w:val="7"/>
    <w:uiPriority w:val="99"/>
  </w:style>
  <w:style w:type="character" w:customStyle="1" w:styleId="28">
    <w:name w:val="hover19"/>
    <w:basedOn w:val="7"/>
    <w:autoRedefine/>
    <w:qFormat/>
    <w:uiPriority w:val="99"/>
    <w:rPr>
      <w:color w:val="000000"/>
      <w:shd w:val="clear" w:color="auto" w:fill="FFFFFF"/>
    </w:rPr>
  </w:style>
  <w:style w:type="character" w:customStyle="1" w:styleId="29">
    <w:name w:val="wx-space"/>
    <w:basedOn w:val="7"/>
    <w:autoRedefine/>
    <w:qFormat/>
    <w:uiPriority w:val="99"/>
  </w:style>
  <w:style w:type="character" w:customStyle="1" w:styleId="30">
    <w:name w:val="wx-space1"/>
    <w:basedOn w:val="7"/>
    <w:uiPriority w:val="99"/>
  </w:style>
  <w:style w:type="character" w:customStyle="1" w:styleId="31">
    <w:name w:val="hover18"/>
    <w:basedOn w:val="7"/>
    <w:autoRedefine/>
    <w:qFormat/>
    <w:uiPriority w:val="99"/>
    <w:rPr>
      <w:color w:val="000000"/>
      <w:shd w:val="clear" w:color="auto" w:fill="FFFFFF"/>
    </w:rPr>
  </w:style>
  <w:style w:type="paragraph" w:customStyle="1" w:styleId="32">
    <w:name w:val="Default"/>
    <w:uiPriority w:val="99"/>
    <w:pPr>
      <w:widowControl w:val="0"/>
      <w:autoSpaceDE w:val="0"/>
      <w:autoSpaceDN w:val="0"/>
      <w:adjustRightInd w:val="0"/>
    </w:pPr>
    <w:rPr>
      <w:rFonts w:ascii="仿宋w.." w:hAnsi="Times New Roman" w:eastAsia="仿宋w.." w:cs="仿宋w.."/>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20</Pages>
  <Words>1386</Words>
  <Characters>7906</Characters>
  <Lines>0</Lines>
  <Paragraphs>0</Paragraphs>
  <TotalTime>73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2020-06-03T03:09:00Z</dcterms:created>
  <dc:creator>CurUserName</dc:creator>
  <cp:lastModifiedBy>Qxb</cp:lastModifiedBy>
  <cp:lastPrinted>2020-05-14T11:00:00Z</cp:lastPrinted>
  <dcterms:modified xsi:type="dcterms:W3CDTF">2024-02-03T05:02:00Z</dcterms:modified>
  <dc:title>附2</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53B6F4BD079E443B9194C14FABA2AB9A_12</vt:lpwstr>
  </property>
</Properties>
</file>