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69CAE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巴州环境监测站项目支出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0E264E35">
      <w:pPr>
        <w:spacing w:line="540" w:lineRule="exact"/>
        <w:jc w:val="center"/>
        <w:rPr>
          <w:rFonts w:ascii="华文中宋" w:hAnsi="华文中宋" w:eastAsia="华文中宋" w:cs="宋体"/>
          <w:b/>
          <w:kern w:val="0"/>
          <w:sz w:val="52"/>
          <w:szCs w:val="52"/>
        </w:rPr>
      </w:pPr>
    </w:p>
    <w:p w14:paraId="39CEF8FA">
      <w:pPr>
        <w:spacing w:line="540" w:lineRule="exact"/>
        <w:jc w:val="center"/>
        <w:rPr>
          <w:rFonts w:ascii="华文中宋" w:hAnsi="华文中宋" w:eastAsia="华文中宋" w:cs="宋体"/>
          <w:b/>
          <w:kern w:val="0"/>
          <w:sz w:val="52"/>
          <w:szCs w:val="52"/>
        </w:rPr>
      </w:pPr>
    </w:p>
    <w:p w14:paraId="0B50333F">
      <w:pPr>
        <w:spacing w:line="540" w:lineRule="exact"/>
        <w:jc w:val="center"/>
        <w:rPr>
          <w:rFonts w:ascii="华文中宋" w:hAnsi="华文中宋" w:eastAsia="华文中宋" w:cs="宋体"/>
          <w:b/>
          <w:kern w:val="0"/>
          <w:sz w:val="52"/>
          <w:szCs w:val="52"/>
        </w:rPr>
      </w:pPr>
    </w:p>
    <w:p w14:paraId="6FBC972A">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（2019年度）</w:t>
      </w:r>
    </w:p>
    <w:p w14:paraId="37C1FC0A">
      <w:pPr>
        <w:spacing w:line="540" w:lineRule="exact"/>
        <w:jc w:val="center"/>
        <w:rPr>
          <w:rFonts w:hAnsi="宋体" w:eastAsia="仿宋_GB2312" w:cs="宋体"/>
          <w:kern w:val="0"/>
          <w:sz w:val="30"/>
          <w:szCs w:val="30"/>
        </w:rPr>
      </w:pPr>
    </w:p>
    <w:p w14:paraId="1D5AC4F2">
      <w:pPr>
        <w:spacing w:line="540" w:lineRule="exact"/>
        <w:jc w:val="center"/>
        <w:rPr>
          <w:rFonts w:hAnsi="宋体" w:eastAsia="仿宋_GB2312" w:cs="宋体"/>
          <w:kern w:val="0"/>
          <w:sz w:val="30"/>
          <w:szCs w:val="30"/>
        </w:rPr>
      </w:pPr>
    </w:p>
    <w:p w14:paraId="57EEAB76">
      <w:pPr>
        <w:spacing w:line="540" w:lineRule="exact"/>
        <w:jc w:val="center"/>
        <w:rPr>
          <w:rFonts w:hAnsi="宋体" w:eastAsia="仿宋_GB2312" w:cs="宋体"/>
          <w:kern w:val="0"/>
          <w:sz w:val="30"/>
          <w:szCs w:val="30"/>
        </w:rPr>
      </w:pPr>
    </w:p>
    <w:p w14:paraId="7EE1D0A4">
      <w:pPr>
        <w:spacing w:line="540" w:lineRule="exact"/>
        <w:jc w:val="center"/>
        <w:rPr>
          <w:rFonts w:hAnsi="宋体" w:eastAsia="仿宋_GB2312" w:cs="宋体"/>
          <w:kern w:val="0"/>
          <w:sz w:val="30"/>
          <w:szCs w:val="30"/>
        </w:rPr>
      </w:pPr>
    </w:p>
    <w:p w14:paraId="49F6C3EA">
      <w:pPr>
        <w:spacing w:line="540" w:lineRule="exact"/>
        <w:jc w:val="center"/>
        <w:rPr>
          <w:rFonts w:hAnsi="宋体" w:eastAsia="仿宋_GB2312" w:cs="宋体"/>
          <w:kern w:val="0"/>
          <w:sz w:val="30"/>
          <w:szCs w:val="30"/>
        </w:rPr>
      </w:pPr>
    </w:p>
    <w:p w14:paraId="6E3A0DA4">
      <w:pPr>
        <w:spacing w:line="540" w:lineRule="exact"/>
        <w:rPr>
          <w:rFonts w:hAnsi="宋体" w:eastAsia="仿宋_GB2312" w:cs="宋体"/>
          <w:kern w:val="0"/>
          <w:sz w:val="30"/>
          <w:szCs w:val="30"/>
        </w:rPr>
      </w:pPr>
    </w:p>
    <w:p w14:paraId="564F9AD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项目名称：河流、湖泊、饮用水例行监测项目</w:t>
      </w:r>
    </w:p>
    <w:p w14:paraId="43EF95F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实施单位（公章）：</w:t>
      </w:r>
      <w:r>
        <w:rPr>
          <w:rFonts w:hAnsi="宋体" w:eastAsia="仿宋_GB2312" w:cs="宋体"/>
          <w:kern w:val="0"/>
          <w:sz w:val="36"/>
          <w:szCs w:val="36"/>
        </w:rPr>
        <w:t xml:space="preserve"> </w:t>
      </w:r>
      <w:r>
        <w:rPr>
          <w:rFonts w:hint="eastAsia" w:hAnsi="宋体" w:eastAsia="仿宋_GB2312" w:cs="宋体"/>
          <w:kern w:val="0"/>
          <w:sz w:val="36"/>
          <w:szCs w:val="36"/>
        </w:rPr>
        <w:t>巴州环境监测站</w:t>
      </w:r>
    </w:p>
    <w:p w14:paraId="5AA05B00">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主管部门（公章）：巴州生态环境局</w:t>
      </w:r>
      <w:r>
        <w:rPr>
          <w:rFonts w:hAnsi="宋体" w:eastAsia="仿宋_GB2312" w:cs="宋体"/>
          <w:kern w:val="0"/>
          <w:sz w:val="36"/>
          <w:szCs w:val="36"/>
        </w:rPr>
        <w:t xml:space="preserve"> </w:t>
      </w:r>
    </w:p>
    <w:p w14:paraId="01F67814">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项目负责人（签章）：热合曼</w:t>
      </w:r>
      <w:r>
        <w:rPr>
          <w:rFonts w:hint="eastAsia" w:ascii="微软雅黑" w:hAnsi="微软雅黑" w:eastAsia="微软雅黑" w:cs="微软雅黑"/>
          <w:kern w:val="0"/>
          <w:sz w:val="36"/>
          <w:szCs w:val="36"/>
        </w:rPr>
        <w:t>·</w:t>
      </w:r>
      <w:r>
        <w:rPr>
          <w:rFonts w:hint="eastAsia" w:hAnsi="宋体" w:eastAsia="仿宋_GB2312" w:cs="宋体"/>
          <w:kern w:val="0"/>
          <w:sz w:val="36"/>
          <w:szCs w:val="36"/>
        </w:rPr>
        <w:t>艾买提</w:t>
      </w:r>
      <w:r>
        <w:rPr>
          <w:rFonts w:hAnsi="宋体" w:eastAsia="仿宋_GB2312" w:cs="宋体"/>
          <w:kern w:val="0"/>
          <w:sz w:val="36"/>
          <w:szCs w:val="36"/>
        </w:rPr>
        <w:t xml:space="preserve"> </w:t>
      </w:r>
    </w:p>
    <w:p w14:paraId="098548BE">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填报时间：2020年4月1日  </w:t>
      </w:r>
      <w:r>
        <w:rPr>
          <w:rFonts w:hAnsi="宋体" w:eastAsia="仿宋_GB2312" w:cs="宋体"/>
          <w:kern w:val="0"/>
          <w:sz w:val="36"/>
          <w:szCs w:val="36"/>
        </w:rPr>
        <w:t xml:space="preserve"> </w:t>
      </w:r>
    </w:p>
    <w:p w14:paraId="2F48C2C7">
      <w:pPr>
        <w:jc w:val="center"/>
        <w:rPr>
          <w:rFonts w:hint="eastAsia" w:ascii="宋体" w:hAnsi="宋体" w:eastAsia="宋体" w:cs="Arial"/>
          <w:b/>
          <w:bCs/>
          <w:sz w:val="36"/>
          <w:szCs w:val="36"/>
        </w:rPr>
      </w:pPr>
    </w:p>
    <w:p w14:paraId="3ADF2567">
      <w:pPr>
        <w:jc w:val="center"/>
        <w:rPr>
          <w:rFonts w:hint="eastAsia" w:ascii="宋体" w:hAnsi="宋体" w:eastAsia="宋体" w:cs="Arial"/>
          <w:b/>
          <w:bCs/>
          <w:sz w:val="36"/>
          <w:szCs w:val="36"/>
        </w:rPr>
      </w:pPr>
    </w:p>
    <w:p w14:paraId="576BD98B">
      <w:pPr>
        <w:jc w:val="center"/>
        <w:rPr>
          <w:rFonts w:hint="eastAsia" w:ascii="宋体" w:hAnsi="宋体" w:eastAsia="宋体" w:cs="Arial"/>
          <w:b/>
          <w:bCs/>
          <w:sz w:val="36"/>
          <w:szCs w:val="36"/>
        </w:rPr>
      </w:pPr>
    </w:p>
    <w:p w14:paraId="08AC66FF">
      <w:pPr>
        <w:jc w:val="center"/>
        <w:rPr>
          <w:rFonts w:hint="eastAsia" w:ascii="宋体" w:hAnsi="宋体" w:eastAsia="宋体" w:cs="Arial"/>
          <w:b/>
          <w:bCs/>
          <w:sz w:val="36"/>
          <w:szCs w:val="36"/>
        </w:rPr>
      </w:pPr>
    </w:p>
    <w:p w14:paraId="390FAB6D">
      <w:pPr>
        <w:jc w:val="both"/>
        <w:rPr>
          <w:rFonts w:ascii="Arial" w:hAnsi="Arial" w:eastAsia="宋体" w:cs="Arial"/>
          <w:b/>
          <w:bCs/>
          <w:sz w:val="36"/>
          <w:szCs w:val="36"/>
        </w:rPr>
      </w:pPr>
      <w:r>
        <w:rPr>
          <w:rFonts w:hint="eastAsia" w:ascii="宋体" w:hAnsi="宋体" w:eastAsia="宋体" w:cs="Arial"/>
          <w:b/>
          <w:bCs/>
          <w:sz w:val="36"/>
          <w:szCs w:val="36"/>
        </w:rPr>
        <w:t>新疆</w:t>
      </w:r>
      <w:r>
        <w:rPr>
          <w:rFonts w:hint="eastAsia" w:ascii="宋体" w:hAnsi="宋体" w:eastAsia="宋体" w:cs="Arial"/>
          <w:b/>
          <w:bCs/>
          <w:sz w:val="36"/>
          <w:szCs w:val="36"/>
          <w:lang w:eastAsia="zh-CN"/>
        </w:rPr>
        <w:t>巴音郭楞蒙古自治州</w:t>
      </w:r>
      <w:bookmarkStart w:id="0" w:name="_GoBack"/>
      <w:bookmarkEnd w:id="0"/>
      <w:r>
        <w:rPr>
          <w:rFonts w:hint="eastAsia" w:ascii="宋体" w:hAnsi="宋体" w:eastAsia="宋体" w:cs="Arial"/>
          <w:b/>
          <w:bCs/>
          <w:sz w:val="36"/>
          <w:szCs w:val="36"/>
        </w:rPr>
        <w:t>环境监测站项目支出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70980155">
      <w:pPr>
        <w:spacing w:line="600" w:lineRule="exact"/>
        <w:ind w:firstLine="600" w:firstLineChars="200"/>
        <w:rPr>
          <w:rFonts w:ascii="黑体" w:hAnsi="黑体" w:eastAsia="黑体"/>
        </w:rPr>
      </w:pPr>
      <w:r>
        <w:rPr>
          <w:rFonts w:hint="eastAsia" w:ascii="黑体" w:hAnsi="黑体" w:eastAsia="黑体"/>
        </w:rPr>
        <w:t>一、基本情况</w:t>
      </w:r>
    </w:p>
    <w:p w14:paraId="3B8FFFD0">
      <w:pPr>
        <w:spacing w:line="600" w:lineRule="exact"/>
        <w:ind w:firstLine="600" w:firstLineChars="200"/>
        <w:outlineLvl w:val="0"/>
        <w:rPr>
          <w:rFonts w:ascii="仿宋_GB2312"/>
        </w:rPr>
      </w:pPr>
      <w:r>
        <w:rPr>
          <w:rFonts w:hint="eastAsia" w:ascii="仿宋_GB2312"/>
        </w:rPr>
        <w:t>（一）项目概况。</w:t>
      </w:r>
    </w:p>
    <w:p w14:paraId="1532BD28">
      <w:pPr>
        <w:spacing w:line="600" w:lineRule="exact"/>
        <w:ind w:firstLine="600" w:firstLineChars="200"/>
        <w:outlineLvl w:val="0"/>
        <w:rPr>
          <w:rFonts w:ascii="仿宋_GB2312"/>
        </w:rPr>
      </w:pPr>
      <w:r>
        <w:rPr>
          <w:rFonts w:hint="eastAsia" w:ascii="仿宋_GB2312"/>
        </w:rPr>
        <w:t>按照《2019年新疆维吾尔自治区生态环境监测方案》，巴州环境监测站承担辖区内水环境质量监测工作，主要内容：塔里木河、开都河、孔雀河、车尔臣河、迪那河、黄水沟等6条主要河流的14个断面的例行监测；博斯腾湖17个断面5-10月例行监测；库尔勒市饮用水水源地及其它各县饮用水水源地常规例行监测。</w:t>
      </w:r>
    </w:p>
    <w:p w14:paraId="281F35C9">
      <w:pPr>
        <w:spacing w:line="600" w:lineRule="exact"/>
        <w:ind w:firstLine="600" w:firstLineChars="200"/>
        <w:outlineLvl w:val="0"/>
        <w:rPr>
          <w:rFonts w:ascii="仿宋_GB2312"/>
        </w:rPr>
      </w:pPr>
      <w:r>
        <w:rPr>
          <w:rFonts w:hint="eastAsia" w:ascii="仿宋_GB2312"/>
        </w:rPr>
        <w:t>该项目投入资金共计22.32万元，按照“量入为出，先存后用、节约使用”的原则，制定项目资金管理制度和办法，做到有计划地使用专项资金。</w:t>
      </w:r>
    </w:p>
    <w:p w14:paraId="322D4400">
      <w:pPr>
        <w:numPr>
          <w:ilvl w:val="0"/>
          <w:numId w:val="0"/>
        </w:numPr>
        <w:spacing w:line="600" w:lineRule="exact"/>
        <w:ind w:firstLine="602" w:firstLineChars="200"/>
        <w:rPr>
          <w:rFonts w:hint="eastAsia" w:ascii="仿宋_GB2312"/>
          <w:b/>
          <w:bCs/>
        </w:rPr>
      </w:pPr>
      <w:r>
        <w:rPr>
          <w:rFonts w:hint="eastAsia" w:ascii="仿宋_GB2312"/>
          <w:b/>
          <w:bCs/>
          <w:lang w:eastAsia="zh-CN"/>
        </w:rPr>
        <w:t>二、</w:t>
      </w:r>
      <w:r>
        <w:rPr>
          <w:rFonts w:hint="eastAsia" w:ascii="仿宋_GB2312"/>
          <w:b/>
          <w:bCs/>
        </w:rPr>
        <w:t>项目绩效目标。</w:t>
      </w:r>
    </w:p>
    <w:p w14:paraId="73EB596C">
      <w:pPr>
        <w:spacing w:line="600" w:lineRule="exact"/>
        <w:ind w:left="600"/>
        <w:rPr>
          <w:rFonts w:ascii="仿宋_GB2312"/>
        </w:rPr>
      </w:pPr>
      <w:r>
        <w:rPr>
          <w:rFonts w:hint="eastAsia" w:ascii="仿宋_GB2312"/>
        </w:rPr>
        <w:t xml:space="preserve">  </w:t>
      </w:r>
      <w:r>
        <w:rPr>
          <w:rFonts w:hint="eastAsia" w:ascii="仿宋_GB2312"/>
          <w:lang w:val="en-US" w:eastAsia="zh-CN"/>
        </w:rPr>
        <w:t xml:space="preserve"> </w:t>
      </w:r>
      <w:r>
        <w:rPr>
          <w:rFonts w:hint="eastAsia" w:ascii="仿宋_GB2312"/>
        </w:rPr>
        <w:t xml:space="preserve"> </w:t>
      </w:r>
      <w:r>
        <w:rPr>
          <w:rFonts w:hint="eastAsia" w:ascii="仿宋_GB2312"/>
          <w:b/>
          <w:bCs/>
        </w:rPr>
        <w:t>总体目标</w:t>
      </w:r>
      <w:r>
        <w:rPr>
          <w:rFonts w:hint="eastAsia" w:ascii="仿宋_GB2312"/>
        </w:rPr>
        <w:t>：6条河流14个断面每月1次例行监测；1座湖泊17个点位5-10月每月1次例行监测；库尔勒市饮用水每月1次例行监测，其它各县每年2次例行监测。截止12月31日，完成塔里木河、开都河、孔雀河、车尔臣河、迪那河、黄水沟等6条主要河流的14个断面、博斯腾湖17个断面、库尔勒市饮用水水源地及其它各县饮用水水源的例行监测。</w:t>
      </w:r>
    </w:p>
    <w:p w14:paraId="29169687">
      <w:pPr>
        <w:spacing w:line="600" w:lineRule="exact"/>
        <w:ind w:firstLine="1205" w:firstLineChars="400"/>
        <w:rPr>
          <w:rFonts w:ascii="仿宋_GB2312"/>
        </w:rPr>
      </w:pPr>
      <w:r>
        <w:rPr>
          <w:rFonts w:hint="eastAsia" w:ascii="仿宋_GB2312"/>
          <w:b/>
          <w:bCs/>
        </w:rPr>
        <w:t>阶段性目标：</w:t>
      </w:r>
      <w:r>
        <w:rPr>
          <w:rFonts w:hint="eastAsia" w:ascii="仿宋_GB2312"/>
        </w:rPr>
        <w:t>塔里木河、开都河、孔雀河、车尔臣河、迪那河、黄水沟等6条主要河流的14个断面的例行监测每月监测一次；博斯腾湖17个断面5-10月每月1次例行监测；库尔勒市饮用水水源地每月1次常规例行监测，其它各县饮用水水源地每年2次常规例行监测。</w:t>
      </w:r>
    </w:p>
    <w:p w14:paraId="3B9F040F">
      <w:pPr>
        <w:spacing w:line="600" w:lineRule="exact"/>
        <w:ind w:firstLine="600" w:firstLineChars="200"/>
        <w:rPr>
          <w:rFonts w:ascii="黑体" w:hAnsi="黑体" w:eastAsia="黑体"/>
          <w:color w:val="auto"/>
        </w:rPr>
      </w:pPr>
      <w:r>
        <w:rPr>
          <w:rFonts w:hint="eastAsia" w:ascii="黑体" w:hAnsi="黑体" w:eastAsia="黑体"/>
          <w:color w:val="auto"/>
        </w:rPr>
        <w:t>二、绩效评价工作开展情况</w:t>
      </w:r>
    </w:p>
    <w:p w14:paraId="1C4519FB">
      <w:pPr>
        <w:numPr>
          <w:ilvl w:val="0"/>
          <w:numId w:val="1"/>
        </w:numPr>
        <w:spacing w:line="600" w:lineRule="exact"/>
        <w:ind w:firstLine="600" w:firstLineChars="200"/>
        <w:rPr>
          <w:rFonts w:ascii="仿宋_GB2312"/>
          <w:color w:val="auto"/>
        </w:rPr>
      </w:pPr>
      <w:r>
        <w:rPr>
          <w:rFonts w:hint="eastAsia" w:ascii="仿宋_GB2312"/>
          <w:color w:val="auto"/>
        </w:rPr>
        <w:t>绩效评价目的、对象和范围。</w:t>
      </w:r>
    </w:p>
    <w:p w14:paraId="0436D5EC">
      <w:pPr>
        <w:spacing w:line="600" w:lineRule="exact"/>
        <w:ind w:firstLine="600" w:firstLineChars="200"/>
        <w:rPr>
          <w:rFonts w:hint="eastAsia" w:ascii="仿宋_GB2312"/>
          <w:color w:val="auto"/>
        </w:rPr>
      </w:pPr>
      <w:r>
        <w:rPr>
          <w:rFonts w:hint="eastAsia" w:ascii="仿宋_GB2312"/>
          <w:color w:val="auto"/>
        </w:rPr>
        <w:t>通过监测分析手段，掌握辖区主要河流、湖泊及各县市饮用水水源地的水质状况，为当地环境管理和政府决策提供技术支撑。</w:t>
      </w:r>
    </w:p>
    <w:p w14:paraId="609C36E5">
      <w:pPr>
        <w:spacing w:line="600" w:lineRule="exact"/>
        <w:ind w:firstLine="640" w:firstLineChars="200"/>
        <w:rPr>
          <w:rFonts w:hint="eastAsia" w:ascii="仿宋_GB2312"/>
          <w:color w:val="auto"/>
        </w:rPr>
      </w:pPr>
      <w:r>
        <w:rPr>
          <w:rFonts w:hint="eastAsia" w:ascii="仿宋_GB2312"/>
          <w:color w:val="auto"/>
          <w:sz w:val="32"/>
          <w:szCs w:val="32"/>
        </w:rPr>
        <w:t>对象和范围：</w:t>
      </w:r>
      <w:r>
        <w:rPr>
          <w:rFonts w:hint="eastAsia" w:ascii="仿宋_GB2312"/>
          <w:color w:val="auto"/>
          <w:sz w:val="32"/>
          <w:szCs w:val="32"/>
          <w:lang w:eastAsia="zh-CN"/>
        </w:rPr>
        <w:t>全州</w:t>
      </w:r>
      <w:r>
        <w:rPr>
          <w:rFonts w:hint="eastAsia" w:ascii="仿宋_GB2312"/>
          <w:color w:val="auto"/>
          <w:sz w:val="32"/>
          <w:szCs w:val="32"/>
          <w:lang w:val="en-US" w:eastAsia="zh-CN"/>
        </w:rPr>
        <w:t>6主要河流、博斯腾湖、</w:t>
      </w:r>
      <w:r>
        <w:rPr>
          <w:rFonts w:hint="eastAsia" w:ascii="仿宋_GB2312"/>
          <w:color w:val="auto"/>
        </w:rPr>
        <w:t>库尔勒市饮用水水源地</w:t>
      </w:r>
      <w:r>
        <w:rPr>
          <w:rFonts w:hint="eastAsia" w:ascii="仿宋_GB2312"/>
          <w:color w:val="auto"/>
          <w:lang w:eastAsia="zh-CN"/>
        </w:rPr>
        <w:t>、</w:t>
      </w:r>
      <w:r>
        <w:rPr>
          <w:rFonts w:hint="eastAsia" w:ascii="仿宋_GB2312"/>
          <w:color w:val="auto"/>
        </w:rPr>
        <w:t>其它各县饮用水水源地</w:t>
      </w:r>
      <w:r>
        <w:rPr>
          <w:rFonts w:hint="eastAsia" w:ascii="仿宋_GB2312"/>
          <w:color w:val="auto"/>
          <w:sz w:val="32"/>
          <w:szCs w:val="32"/>
        </w:rPr>
        <w:t>。</w:t>
      </w:r>
    </w:p>
    <w:p w14:paraId="67F00DF5">
      <w:pPr>
        <w:numPr>
          <w:ilvl w:val="0"/>
          <w:numId w:val="1"/>
        </w:numPr>
        <w:spacing w:line="600" w:lineRule="exact"/>
        <w:ind w:firstLine="600" w:firstLineChars="200"/>
        <w:rPr>
          <w:rFonts w:ascii="仿宋_GB2312"/>
          <w:color w:val="auto"/>
        </w:rPr>
      </w:pPr>
      <w:r>
        <w:rPr>
          <w:rFonts w:hint="eastAsia" w:ascii="仿宋_GB2312"/>
          <w:color w:val="auto"/>
        </w:rPr>
        <w:t>绩效评价原则、评价指标体系（附表说明）、评价方法、评价标准等。</w:t>
      </w:r>
    </w:p>
    <w:p w14:paraId="589B9098">
      <w:pPr>
        <w:spacing w:line="600" w:lineRule="exact"/>
        <w:ind w:firstLine="640"/>
        <w:rPr>
          <w:rFonts w:hint="eastAsia" w:ascii="仿宋_GB2312"/>
          <w:color w:val="auto"/>
          <w:lang w:eastAsia="zh-CN"/>
        </w:rPr>
      </w:pPr>
      <w:r>
        <w:rPr>
          <w:rFonts w:hint="eastAsia" w:ascii="仿宋_GB2312"/>
          <w:color w:val="auto"/>
          <w:lang w:eastAsia="zh-CN"/>
        </w:rPr>
        <w:t>绩效评价原则：</w:t>
      </w:r>
    </w:p>
    <w:p w14:paraId="4B951C16">
      <w:pPr>
        <w:spacing w:line="600" w:lineRule="exact"/>
        <w:ind w:firstLine="640"/>
        <w:rPr>
          <w:rFonts w:ascii="仿宋_GB2312"/>
          <w:bCs/>
          <w:sz w:val="32"/>
          <w:szCs w:val="32"/>
        </w:rPr>
      </w:pPr>
      <w:r>
        <w:rPr>
          <w:rFonts w:hint="eastAsia" w:ascii="仿宋_GB2312"/>
          <w:bCs/>
          <w:sz w:val="32"/>
          <w:szCs w:val="32"/>
        </w:rPr>
        <w:t>（1）科学公正。绩效评价应当运用科学合理的方法，按照规范的程序，对项目绩效进行客观、公正的反映。</w:t>
      </w:r>
    </w:p>
    <w:p w14:paraId="46BE1A5C">
      <w:pPr>
        <w:spacing w:line="600" w:lineRule="exact"/>
        <w:ind w:firstLine="640"/>
        <w:rPr>
          <w:rFonts w:ascii="仿宋_GB2312"/>
          <w:bCs/>
          <w:sz w:val="32"/>
          <w:szCs w:val="32"/>
        </w:rPr>
      </w:pPr>
      <w:r>
        <w:rPr>
          <w:rFonts w:hint="eastAsia" w:ascii="仿宋_GB2312"/>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E7858E9">
      <w:pPr>
        <w:spacing w:line="600" w:lineRule="exact"/>
        <w:ind w:firstLine="640" w:firstLineChars="200"/>
        <w:rPr>
          <w:rFonts w:hint="eastAsia" w:ascii="仿宋_GB2312"/>
          <w:bCs/>
          <w:sz w:val="32"/>
          <w:szCs w:val="32"/>
        </w:rPr>
      </w:pPr>
      <w:r>
        <w:rPr>
          <w:rFonts w:hint="eastAsia" w:ascii="仿宋_GB2312"/>
          <w:bCs/>
          <w:sz w:val="32"/>
          <w:szCs w:val="32"/>
        </w:rPr>
        <w:t>（</w:t>
      </w:r>
      <w:r>
        <w:rPr>
          <w:rFonts w:hint="eastAsia" w:ascii="仿宋_GB2312"/>
          <w:bCs/>
          <w:sz w:val="32"/>
          <w:szCs w:val="32"/>
          <w:lang w:val="en-US" w:eastAsia="zh-CN"/>
        </w:rPr>
        <w:t>3</w:t>
      </w:r>
      <w:r>
        <w:rPr>
          <w:rFonts w:hint="eastAsia" w:ascii="仿宋_GB2312"/>
          <w:bCs/>
          <w:sz w:val="32"/>
          <w:szCs w:val="32"/>
        </w:rPr>
        <w:t>）公开透明。绩效评价结果应依法依规公开，并自觉接受社会监督。</w:t>
      </w:r>
    </w:p>
    <w:p w14:paraId="3AA16615">
      <w:pPr>
        <w:spacing w:line="580" w:lineRule="exact"/>
        <w:ind w:firstLine="640" w:firstLineChars="200"/>
        <w:rPr>
          <w:rFonts w:hint="eastAsia" w:ascii="仿宋_GB2312" w:hAnsi="Times New Roman" w:eastAsia="仿宋w.." w:cs="仿宋w.."/>
          <w:bCs/>
          <w:color w:val="auto"/>
          <w:kern w:val="0"/>
          <w:sz w:val="32"/>
          <w:szCs w:val="32"/>
          <w:lang w:val="en-US" w:eastAsia="zh-CN" w:bidi="ar-SA"/>
        </w:rPr>
      </w:pPr>
      <w:r>
        <w:rPr>
          <w:rFonts w:hint="eastAsia" w:ascii="仿宋_GB2312" w:hAnsi="Times New Roman" w:eastAsia="仿宋w.." w:cs="仿宋w.."/>
          <w:bCs/>
          <w:color w:val="auto"/>
          <w:kern w:val="0"/>
          <w:sz w:val="32"/>
          <w:szCs w:val="32"/>
          <w:lang w:val="en-US" w:eastAsia="zh-CN" w:bidi="ar-SA"/>
        </w:rPr>
        <w:t>评价方法：</w:t>
      </w:r>
    </w:p>
    <w:p w14:paraId="274998B0">
      <w:pPr>
        <w:spacing w:line="580" w:lineRule="exact"/>
        <w:ind w:firstLine="600" w:firstLineChars="200"/>
        <w:rPr>
          <w:rFonts w:ascii="仿宋_GB2312"/>
          <w:color w:val="auto"/>
        </w:rPr>
      </w:pPr>
      <w:r>
        <w:rPr>
          <w:rFonts w:hint="eastAsia" w:ascii="仿宋_GB2312"/>
          <w:color w:val="auto"/>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auto"/>
          <w:szCs w:val="30"/>
        </w:rPr>
        <w:t>结合本次绩效评估项目的具体情况，为确保本次绩效评估工作的真实可靠，</w:t>
      </w:r>
      <w:r>
        <w:rPr>
          <w:rFonts w:hint="eastAsia" w:ascii="仿宋_GB2312"/>
          <w:color w:val="auto"/>
        </w:rPr>
        <w:t>我单位采用了</w:t>
      </w:r>
      <w:r>
        <w:rPr>
          <w:rFonts w:hint="eastAsia" w:ascii="仿宋_GB2312"/>
          <w:color w:val="auto"/>
          <w:lang w:eastAsia="zh-CN"/>
        </w:rPr>
        <w:t>因素分析法</w:t>
      </w:r>
      <w:r>
        <w:rPr>
          <w:rFonts w:hint="eastAsia" w:ascii="仿宋_GB2312"/>
          <w:color w:val="auto"/>
        </w:rPr>
        <w:t>进行评价。</w:t>
      </w:r>
    </w:p>
    <w:p w14:paraId="2328A1A9">
      <w:pPr>
        <w:pStyle w:val="14"/>
        <w:spacing w:line="520" w:lineRule="exact"/>
        <w:ind w:firstLine="640" w:firstLineChars="200"/>
        <w:rPr>
          <w:rFonts w:hint="eastAsia" w:ascii="仿宋_GB2312"/>
          <w:bCs/>
          <w:color w:val="auto"/>
          <w:sz w:val="32"/>
          <w:szCs w:val="32"/>
          <w:lang w:eastAsia="zh-CN"/>
        </w:rPr>
      </w:pPr>
      <w:r>
        <w:rPr>
          <w:rFonts w:hint="eastAsia" w:ascii="仿宋_GB2312"/>
          <w:bCs/>
          <w:color w:val="auto"/>
          <w:sz w:val="32"/>
          <w:szCs w:val="32"/>
          <w:lang w:eastAsia="zh-CN"/>
        </w:rPr>
        <w:t>评价标准：</w:t>
      </w:r>
    </w:p>
    <w:p w14:paraId="4CB115DF">
      <w:pPr>
        <w:pStyle w:val="14"/>
        <w:spacing w:line="520" w:lineRule="exact"/>
        <w:ind w:firstLine="640" w:firstLineChars="200"/>
        <w:rPr>
          <w:rFonts w:ascii="Times New Roman" w:eastAsia="仿宋_GB2312" w:cs="Times New Roman"/>
          <w:sz w:val="32"/>
          <w:szCs w:val="32"/>
        </w:rPr>
      </w:pPr>
      <w:r>
        <w:rPr>
          <w:rFonts w:ascii="Times New Roman" w:eastAsia="仿宋_GB2312" w:cs="Times New Roman"/>
          <w:sz w:val="32"/>
          <w:szCs w:val="32"/>
        </w:rPr>
        <w:t>财政项目资金绩效评价，是以结果为导向的财政支出管理模式，绩效评价标准主要有计划标准、历史标准、其他标准等，结合项目的特点，确定此次绩效评价指标标准为行业标准。财务管理采用国家财务相关法律法规，产出和效果指标采用项目申报文本中的指标值作为绩效评价标准</w:t>
      </w:r>
    </w:p>
    <w:p w14:paraId="4F606A8F">
      <w:pPr>
        <w:pStyle w:val="14"/>
        <w:spacing w:line="520" w:lineRule="exact"/>
        <w:ind w:firstLine="640" w:firstLineChars="200"/>
        <w:rPr>
          <w:rFonts w:hint="eastAsia" w:ascii="仿宋_GB2312"/>
          <w:bCs/>
          <w:color w:val="auto"/>
          <w:sz w:val="32"/>
          <w:szCs w:val="32"/>
          <w:lang w:eastAsia="zh-CN"/>
        </w:rPr>
      </w:pPr>
      <w:r>
        <w:rPr>
          <w:rFonts w:hint="eastAsia" w:ascii="仿宋_GB2312"/>
          <w:bCs/>
          <w:color w:val="auto"/>
          <w:sz w:val="32"/>
          <w:szCs w:val="32"/>
          <w:lang w:eastAsia="zh-CN"/>
        </w:rPr>
        <w:t>绩效评价工作过程：</w:t>
      </w:r>
    </w:p>
    <w:p w14:paraId="0120C2A4">
      <w:pPr>
        <w:spacing w:line="600" w:lineRule="exact"/>
        <w:ind w:firstLine="600" w:firstLineChars="200"/>
        <w:rPr>
          <w:rFonts w:hint="eastAsia" w:ascii="黑体" w:hAnsi="黑体" w:eastAsia="黑体"/>
          <w:color w:val="auto"/>
        </w:rPr>
      </w:pPr>
      <w:r>
        <w:rPr>
          <w:rFonts w:hint="eastAsia" w:ascii="仿宋_GB2312"/>
          <w:color w:val="auto"/>
        </w:rPr>
        <w:t>制定本地区《水环境质量监测方案》，按照技术规范和方法标准，开展现场监测和室内分析化验，加强质量控制，确保监测数据准确、真实、有效，为我州生态环境保护、经济社会发展提供重要的科学决策依据。</w:t>
      </w:r>
    </w:p>
    <w:p w14:paraId="2CC26880">
      <w:pPr>
        <w:spacing w:line="600" w:lineRule="exact"/>
        <w:ind w:firstLine="600" w:firstLineChars="200"/>
        <w:rPr>
          <w:rFonts w:ascii="仿宋_GB2312"/>
          <w:color w:val="auto"/>
        </w:rPr>
      </w:pPr>
      <w:r>
        <w:rPr>
          <w:rFonts w:hint="eastAsia" w:ascii="黑体" w:hAnsi="黑体" w:eastAsia="黑体"/>
          <w:color w:val="auto"/>
        </w:rPr>
        <w:t>三、综合评价情况及评价结论</w:t>
      </w:r>
    </w:p>
    <w:p w14:paraId="1B129354">
      <w:pPr>
        <w:spacing w:line="600" w:lineRule="exact"/>
        <w:ind w:firstLine="600" w:firstLineChars="200"/>
        <w:rPr>
          <w:rFonts w:ascii="仿宋_GB2312"/>
        </w:rPr>
      </w:pPr>
      <w:r>
        <w:rPr>
          <w:rFonts w:hint="eastAsia" w:ascii="仿宋_GB2312"/>
        </w:rPr>
        <w:t>全年编制预算，健全财务管理制度，规范资金使用；规范采购流程，完备合同，准备项目开工，全年完成塔里木河、开都河、孔雀河、车尔臣河、迪那河、黄水沟等6条主要河流的14个断面的</w:t>
      </w:r>
      <w:r>
        <w:rPr>
          <w:rFonts w:hint="eastAsia" w:ascii="仿宋_GB2312"/>
          <w:lang w:eastAsia="zh-CN"/>
        </w:rPr>
        <w:t>每月一次</w:t>
      </w:r>
      <w:r>
        <w:rPr>
          <w:rFonts w:hint="eastAsia" w:ascii="仿宋_GB2312"/>
        </w:rPr>
        <w:t>监测；博斯腾湖17个断面5-10月例行监测；库尔勒市饮用水水源地</w:t>
      </w:r>
      <w:r>
        <w:rPr>
          <w:rFonts w:hint="eastAsia" w:ascii="仿宋_GB2312"/>
          <w:lang w:eastAsia="zh-CN"/>
        </w:rPr>
        <w:t>每月监测，</w:t>
      </w:r>
      <w:r>
        <w:rPr>
          <w:rFonts w:hint="eastAsia" w:ascii="仿宋_GB2312"/>
        </w:rPr>
        <w:t>其它各县饮用水水源地</w:t>
      </w:r>
      <w:r>
        <w:rPr>
          <w:rFonts w:hint="eastAsia" w:ascii="仿宋_GB2312"/>
          <w:lang w:eastAsia="zh-CN"/>
        </w:rPr>
        <w:t>每年两次</w:t>
      </w:r>
      <w:r>
        <w:rPr>
          <w:rFonts w:hint="eastAsia" w:ascii="仿宋_GB2312"/>
        </w:rPr>
        <w:t>例行监测。全年按计划完成调查、布点、采样、检测分析、数据汇总，形成</w:t>
      </w:r>
      <w:r>
        <w:rPr>
          <w:rFonts w:hint="eastAsia" w:ascii="仿宋_GB2312"/>
          <w:lang w:eastAsia="zh-CN"/>
        </w:rPr>
        <w:t>环境质量</w:t>
      </w:r>
      <w:r>
        <w:rPr>
          <w:rFonts w:hint="eastAsia" w:ascii="仿宋_GB2312"/>
        </w:rPr>
        <w:t>报告。</w:t>
      </w:r>
    </w:p>
    <w:p w14:paraId="1CA4B9C2">
      <w:pPr>
        <w:numPr>
          <w:ilvl w:val="0"/>
          <w:numId w:val="2"/>
        </w:numPr>
        <w:spacing w:line="600" w:lineRule="exact"/>
        <w:ind w:firstLine="600" w:firstLineChars="200"/>
        <w:rPr>
          <w:rFonts w:hint="eastAsia" w:ascii="黑体" w:hAnsi="黑体" w:eastAsia="黑体"/>
        </w:rPr>
      </w:pPr>
      <w:r>
        <w:rPr>
          <w:rFonts w:hint="eastAsia" w:ascii="黑体" w:hAnsi="黑体" w:eastAsia="黑体"/>
        </w:rPr>
        <w:t>绩效评价指标分析</w:t>
      </w:r>
    </w:p>
    <w:p w14:paraId="57252062">
      <w:pPr>
        <w:spacing w:line="600" w:lineRule="exact"/>
        <w:ind w:firstLine="600" w:firstLineChars="200"/>
        <w:rPr>
          <w:rFonts w:ascii="仿宋_GB2312"/>
        </w:rPr>
      </w:pPr>
      <w:r>
        <w:rPr>
          <w:rFonts w:hint="eastAsia" w:ascii="仿宋_GB2312"/>
        </w:rPr>
        <w:t>（一）项目决策情况。</w:t>
      </w:r>
    </w:p>
    <w:p w14:paraId="11DB04B2">
      <w:pPr>
        <w:spacing w:line="600" w:lineRule="exact"/>
        <w:ind w:firstLine="600" w:firstLineChars="200"/>
        <w:rPr>
          <w:rFonts w:ascii="仿宋_GB2312"/>
        </w:rPr>
      </w:pPr>
      <w:r>
        <w:rPr>
          <w:rFonts w:hint="eastAsia" w:ascii="仿宋_GB2312"/>
          <w:lang w:eastAsia="zh-CN"/>
        </w:rPr>
        <w:t>巴州</w:t>
      </w:r>
      <w:r>
        <w:rPr>
          <w:rFonts w:hint="eastAsia" w:ascii="仿宋_GB2312"/>
        </w:rPr>
        <w:t>是</w:t>
      </w:r>
      <w:r>
        <w:rPr>
          <w:rFonts w:hint="eastAsia" w:ascii="仿宋_GB2312"/>
          <w:lang w:eastAsia="zh-CN"/>
        </w:rPr>
        <w:t>新疆</w:t>
      </w:r>
      <w:r>
        <w:rPr>
          <w:rFonts w:hint="eastAsia" w:ascii="仿宋_GB2312"/>
        </w:rPr>
        <w:t>重点生态保护功能区，为保证</w:t>
      </w:r>
      <w:r>
        <w:rPr>
          <w:rFonts w:hint="eastAsia" w:ascii="仿宋_GB2312"/>
          <w:lang w:eastAsia="zh-CN"/>
        </w:rPr>
        <w:t>巴州绿州</w:t>
      </w:r>
      <w:r>
        <w:rPr>
          <w:rFonts w:hint="eastAsia" w:ascii="仿宋_GB2312"/>
        </w:rPr>
        <w:t>生态完好，对</w:t>
      </w:r>
      <w:r>
        <w:rPr>
          <w:rFonts w:hint="eastAsia" w:ascii="仿宋_GB2312"/>
          <w:lang w:eastAsia="zh-CN"/>
        </w:rPr>
        <w:t>巴州境内</w:t>
      </w:r>
      <w:r>
        <w:rPr>
          <w:rFonts w:hint="eastAsia" w:ascii="仿宋_GB2312"/>
        </w:rPr>
        <w:t>河流、湖泊、</w:t>
      </w:r>
      <w:r>
        <w:rPr>
          <w:rFonts w:hint="eastAsia" w:ascii="仿宋_GB2312"/>
          <w:lang w:eastAsia="zh-CN"/>
        </w:rPr>
        <w:t>地下水等水质</w:t>
      </w:r>
      <w:r>
        <w:rPr>
          <w:rFonts w:hint="eastAsia" w:ascii="仿宋_GB2312"/>
        </w:rPr>
        <w:t>变化特征及其污染源研究解析，为巴州政府宏观决策提供技术支撑。</w:t>
      </w:r>
    </w:p>
    <w:p w14:paraId="7444F37F">
      <w:pPr>
        <w:spacing w:line="600" w:lineRule="exact"/>
        <w:ind w:firstLine="600" w:firstLineChars="200"/>
        <w:rPr>
          <w:rFonts w:ascii="仿宋_GB2312"/>
        </w:rPr>
      </w:pPr>
      <w:r>
        <w:rPr>
          <w:rFonts w:hint="eastAsia" w:ascii="仿宋_GB2312"/>
        </w:rPr>
        <w:t>（二）项目过程情况。</w:t>
      </w:r>
    </w:p>
    <w:p w14:paraId="02DB82FF">
      <w:pPr>
        <w:spacing w:line="600" w:lineRule="exact"/>
        <w:ind w:firstLine="600" w:firstLineChars="200"/>
        <w:rPr>
          <w:rFonts w:ascii="仿宋_GB2312"/>
        </w:rPr>
      </w:pPr>
      <w:r>
        <w:rPr>
          <w:rFonts w:hint="eastAsia" w:ascii="仿宋_GB2312"/>
        </w:rPr>
        <w:t>通过对</w:t>
      </w:r>
      <w:r>
        <w:rPr>
          <w:rFonts w:hint="eastAsia" w:ascii="仿宋_GB2312"/>
          <w:lang w:eastAsia="zh-CN"/>
        </w:rPr>
        <w:t>巴州</w:t>
      </w:r>
      <w:r>
        <w:rPr>
          <w:rFonts w:hint="eastAsia" w:ascii="仿宋_GB2312"/>
        </w:rPr>
        <w:t>河流、湖泊、</w:t>
      </w:r>
      <w:r>
        <w:rPr>
          <w:rFonts w:hint="eastAsia" w:ascii="仿宋_GB2312"/>
          <w:lang w:eastAsia="zh-CN"/>
        </w:rPr>
        <w:t>地下水等水质</w:t>
      </w:r>
      <w:r>
        <w:rPr>
          <w:rFonts w:hint="eastAsia" w:ascii="仿宋_GB2312"/>
        </w:rPr>
        <w:t>等开展调查并对</w:t>
      </w:r>
      <w:r>
        <w:rPr>
          <w:rFonts w:hint="eastAsia" w:ascii="仿宋_GB2312"/>
          <w:lang w:eastAsia="zh-CN"/>
        </w:rPr>
        <w:t>各种</w:t>
      </w:r>
      <w:r>
        <w:rPr>
          <w:rFonts w:hint="eastAsia" w:ascii="仿宋_GB2312"/>
        </w:rPr>
        <w:t>水质等进行采样，实验室项目分析，对监测结果进行统计回归，形成可行性调研报告。</w:t>
      </w:r>
    </w:p>
    <w:p w14:paraId="2DD07B32">
      <w:pPr>
        <w:spacing w:line="600" w:lineRule="exact"/>
        <w:ind w:firstLine="600" w:firstLineChars="200"/>
        <w:rPr>
          <w:rFonts w:ascii="仿宋_GB2312"/>
        </w:rPr>
      </w:pPr>
      <w:r>
        <w:rPr>
          <w:rFonts w:hint="eastAsia" w:ascii="仿宋_GB2312"/>
        </w:rPr>
        <w:t>（三）项目产出情况。</w:t>
      </w:r>
    </w:p>
    <w:p w14:paraId="3BA88E91">
      <w:pPr>
        <w:spacing w:line="600" w:lineRule="exact"/>
        <w:ind w:firstLine="600" w:firstLineChars="200"/>
        <w:rPr>
          <w:rFonts w:ascii="仿宋_GB2312"/>
        </w:rPr>
      </w:pPr>
      <w:r>
        <w:rPr>
          <w:rFonts w:hint="eastAsia" w:ascii="仿宋_GB2312"/>
        </w:rPr>
        <w:t>取得基础数据和</w:t>
      </w:r>
      <w:r>
        <w:rPr>
          <w:rFonts w:hint="eastAsia" w:ascii="仿宋_GB2312"/>
          <w:lang w:eastAsia="zh-CN"/>
        </w:rPr>
        <w:t>环境质量调查</w:t>
      </w:r>
      <w:r>
        <w:rPr>
          <w:rFonts w:hint="eastAsia" w:ascii="仿宋_GB2312"/>
        </w:rPr>
        <w:t>报告。</w:t>
      </w:r>
    </w:p>
    <w:p w14:paraId="182D7542">
      <w:pPr>
        <w:spacing w:line="600" w:lineRule="exact"/>
        <w:ind w:firstLine="600" w:firstLineChars="200"/>
        <w:rPr>
          <w:rFonts w:ascii="仿宋_GB2312"/>
        </w:rPr>
      </w:pPr>
      <w:r>
        <w:rPr>
          <w:rFonts w:hint="eastAsia" w:ascii="仿宋_GB2312"/>
        </w:rPr>
        <w:t>（四）项目效益情况。</w:t>
      </w:r>
    </w:p>
    <w:p w14:paraId="6F4C0E3C">
      <w:pPr>
        <w:spacing w:line="600" w:lineRule="exact"/>
        <w:ind w:firstLine="600" w:firstLineChars="200"/>
        <w:rPr>
          <w:rFonts w:ascii="仿宋_GB2312"/>
        </w:rPr>
      </w:pPr>
      <w:r>
        <w:rPr>
          <w:rFonts w:hint="eastAsia" w:ascii="仿宋_GB2312"/>
        </w:rPr>
        <w:t>生态社会效益良好。</w:t>
      </w:r>
    </w:p>
    <w:p w14:paraId="1FD02B83">
      <w:pPr>
        <w:numPr>
          <w:ilvl w:val="0"/>
          <w:numId w:val="0"/>
        </w:numPr>
        <w:spacing w:line="600" w:lineRule="exact"/>
        <w:rPr>
          <w:rFonts w:hint="eastAsia" w:ascii="黑体" w:hAnsi="黑体" w:eastAsia="黑体"/>
        </w:rPr>
      </w:pPr>
    </w:p>
    <w:p w14:paraId="69A1938B">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14:paraId="24366367">
      <w:pPr>
        <w:spacing w:line="540" w:lineRule="exact"/>
        <w:ind w:firstLine="564" w:firstLineChars="181"/>
        <w:rPr>
          <w:rFonts w:ascii="仿宋_GB2312"/>
          <w:spacing w:val="-4"/>
          <w:sz w:val="32"/>
          <w:szCs w:val="32"/>
        </w:rPr>
      </w:pPr>
      <w:r>
        <w:rPr>
          <w:rFonts w:hint="eastAsia" w:ascii="仿宋_GB2312"/>
          <w:spacing w:val="-4"/>
          <w:sz w:val="32"/>
          <w:szCs w:val="32"/>
        </w:rPr>
        <w:t>1、主要经验和做法</w:t>
      </w:r>
    </w:p>
    <w:p w14:paraId="0F3A5036">
      <w:pPr>
        <w:spacing w:line="540" w:lineRule="exact"/>
        <w:ind w:firstLine="564" w:firstLineChars="181"/>
        <w:rPr>
          <w:rFonts w:ascii="仿宋_GB2312"/>
          <w:spacing w:val="-4"/>
          <w:sz w:val="32"/>
          <w:szCs w:val="32"/>
        </w:rPr>
      </w:pPr>
      <w:r>
        <w:rPr>
          <w:rFonts w:hint="eastAsia" w:ascii="仿宋_GB2312"/>
          <w:spacing w:val="-4"/>
          <w:sz w:val="32"/>
          <w:szCs w:val="32"/>
        </w:rPr>
        <w:t>①机制建设是项目实施的前提保证。成立了科学合理的项目管理、建设、督导机构,制定了项目建设与经费管理相关制度,实行分级管理、项目管理、责任到人,保证了项目建设的高效实施.</w:t>
      </w:r>
    </w:p>
    <w:p w14:paraId="58BF3EE9">
      <w:pPr>
        <w:spacing w:line="540" w:lineRule="exact"/>
        <w:ind w:firstLine="564" w:firstLineChars="181"/>
        <w:rPr>
          <w:rFonts w:ascii="仿宋_GB2312"/>
          <w:spacing w:val="-4"/>
          <w:sz w:val="32"/>
          <w:szCs w:val="32"/>
        </w:rPr>
      </w:pPr>
      <w:r>
        <w:rPr>
          <w:rFonts w:hint="eastAsia" w:ascii="仿宋_GB2312"/>
          <w:spacing w:val="-4"/>
          <w:sz w:val="32"/>
          <w:szCs w:val="32"/>
        </w:rPr>
        <w:t>②实施了项目过程管理。建立了项目建设联席会议制度和定期调度制度,对方案执行情况和项目的实际效果进行定期的绩效评估与考核,提出评估意见和改进建议,及时研究解决创建工作中的实际困难与问题.</w:t>
      </w:r>
    </w:p>
    <w:p w14:paraId="77E5CF40">
      <w:pPr>
        <w:spacing w:line="540" w:lineRule="exact"/>
        <w:ind w:firstLine="624" w:firstLineChars="200"/>
        <w:rPr>
          <w:rFonts w:ascii="仿宋_GB2312"/>
          <w:spacing w:val="-4"/>
          <w:sz w:val="32"/>
          <w:szCs w:val="32"/>
        </w:rPr>
      </w:pPr>
      <w:r>
        <w:rPr>
          <w:rFonts w:hint="eastAsia" w:ascii="仿宋_GB2312"/>
          <w:spacing w:val="-4"/>
          <w:sz w:val="32"/>
          <w:szCs w:val="32"/>
        </w:rPr>
        <w:t>2、存在问题及分析</w:t>
      </w:r>
    </w:p>
    <w:p w14:paraId="0A1100DE">
      <w:pPr>
        <w:spacing w:line="540" w:lineRule="exact"/>
        <w:ind w:firstLine="580"/>
        <w:jc w:val="left"/>
        <w:rPr>
          <w:rFonts w:hint="eastAsia" w:ascii="仿宋_GB2312"/>
          <w:sz w:val="32"/>
          <w:szCs w:val="32"/>
        </w:rPr>
      </w:pPr>
      <w:r>
        <w:rPr>
          <w:rFonts w:hint="eastAsia" w:ascii="仿宋_GB2312"/>
          <w:sz w:val="32"/>
          <w:szCs w:val="32"/>
        </w:rPr>
        <w:t>一是财务监控相关机制未制定</w:t>
      </w:r>
    </w:p>
    <w:p w14:paraId="22AF72EC">
      <w:pPr>
        <w:spacing w:line="540" w:lineRule="exact"/>
        <w:ind w:firstLine="580"/>
        <w:jc w:val="left"/>
        <w:rPr>
          <w:rFonts w:ascii="仿宋_GB2312"/>
          <w:spacing w:val="-4"/>
          <w:sz w:val="32"/>
          <w:szCs w:val="32"/>
        </w:rPr>
      </w:pPr>
      <w:r>
        <w:rPr>
          <w:rFonts w:hint="eastAsia" w:ascii="仿宋_GB2312"/>
          <w:sz w:val="32"/>
          <w:szCs w:val="32"/>
        </w:rPr>
        <w:t>二是未建立项目长效管理机制。</w:t>
      </w:r>
      <w:r>
        <w:rPr>
          <w:rFonts w:hint="eastAsia" w:ascii="仿宋_GB2312"/>
          <w:spacing w:val="-4"/>
          <w:sz w:val="32"/>
          <w:szCs w:val="32"/>
        </w:rPr>
        <w:t>。</w:t>
      </w:r>
    </w:p>
    <w:p w14:paraId="2DC45C0E">
      <w:pPr>
        <w:numPr>
          <w:ilvl w:val="0"/>
          <w:numId w:val="3"/>
        </w:numPr>
        <w:spacing w:line="600" w:lineRule="exact"/>
        <w:ind w:firstLine="600" w:firstLineChars="200"/>
        <w:rPr>
          <w:rFonts w:ascii="黑体" w:hAnsi="黑体" w:eastAsia="黑体"/>
        </w:rPr>
      </w:pPr>
      <w:r>
        <w:rPr>
          <w:rFonts w:hint="eastAsia" w:ascii="黑体" w:hAnsi="黑体" w:eastAsia="黑体"/>
        </w:rPr>
        <w:t>有关建议</w:t>
      </w:r>
    </w:p>
    <w:p w14:paraId="70B59EED">
      <w:pPr>
        <w:spacing w:line="540" w:lineRule="exact"/>
        <w:ind w:firstLine="580"/>
        <w:jc w:val="left"/>
        <w:rPr>
          <w:rFonts w:ascii="黑体" w:hAnsi="黑体" w:eastAsia="黑体"/>
        </w:rPr>
      </w:pPr>
      <w:r>
        <w:rPr>
          <w:rFonts w:hint="eastAsia" w:ascii="仿宋_GB2312"/>
          <w:sz w:val="32"/>
          <w:szCs w:val="32"/>
        </w:rPr>
        <w:t>下一步改进措施：一是建立财务监控机制，加强绩效目标管理，使预算编制和绩效目标相匹配，提高资金安排科学性；二是建立项目长效管理机制，为项目延续性发展提供保障。</w:t>
      </w:r>
    </w:p>
    <w:p w14:paraId="26EE4B11">
      <w:pPr>
        <w:spacing w:line="600" w:lineRule="exact"/>
        <w:ind w:firstLine="600" w:firstLineChars="200"/>
        <w:rPr>
          <w:rFonts w:ascii="黑体" w:hAnsi="黑体" w:eastAsia="黑体"/>
        </w:rPr>
      </w:pPr>
      <w:r>
        <w:rPr>
          <w:rFonts w:hint="eastAsia" w:ascii="黑体" w:hAnsi="黑体" w:eastAsia="黑体"/>
        </w:rPr>
        <w:t>七、其他需要说明的问题</w:t>
      </w:r>
    </w:p>
    <w:p w14:paraId="43195797">
      <w:pPr>
        <w:spacing w:line="540" w:lineRule="exact"/>
        <w:ind w:firstLine="564" w:firstLineChars="181"/>
        <w:rPr>
          <w:rFonts w:ascii="仿宋_GB2312"/>
          <w:spacing w:val="-4"/>
          <w:sz w:val="32"/>
          <w:szCs w:val="32"/>
        </w:rPr>
        <w:sectPr>
          <w:pgSz w:w="11906" w:h="16838"/>
          <w:pgMar w:top="1928" w:right="1531" w:bottom="1701" w:left="1531" w:header="737" w:footer="851" w:gutter="0"/>
          <w:cols w:space="720" w:num="1"/>
          <w:docGrid w:type="lines" w:linePitch="408" w:charSpace="0"/>
        </w:sectPr>
      </w:pPr>
      <w:r>
        <w:rPr>
          <w:rFonts w:hint="eastAsia" w:ascii="仿宋_GB2312"/>
          <w:spacing w:val="-4"/>
          <w:sz w:val="32"/>
          <w:szCs w:val="32"/>
        </w:rPr>
        <w:t>无。</w:t>
      </w:r>
    </w:p>
    <w:p w14:paraId="4C5DBC32">
      <w:pPr>
        <w:spacing w:line="540" w:lineRule="exact"/>
        <w:ind w:firstLine="564" w:firstLineChars="181"/>
        <w:rPr>
          <w:rFonts w:ascii="仿宋_GB2312"/>
          <w:spacing w:val="-4"/>
          <w:sz w:val="32"/>
          <w:szCs w:val="32"/>
        </w:rPr>
      </w:pPr>
    </w:p>
    <w:p w14:paraId="3FE8EEC6">
      <w:pPr>
        <w:keepNext/>
        <w:keepLines/>
        <w:jc w:val="center"/>
        <w:outlineLvl w:val="1"/>
        <w:rPr>
          <w:rFonts w:ascii="宋体" w:hAnsi="宋体" w:eastAsia="宋体" w:cs="宋体"/>
          <w:b/>
          <w:bCs/>
          <w:color w:val="000000"/>
          <w:sz w:val="36"/>
          <w:szCs w:val="28"/>
        </w:rPr>
      </w:pPr>
      <w:r>
        <w:rPr>
          <w:rFonts w:hint="eastAsia" w:ascii="宋体" w:hAnsi="宋体" w:eastAsia="宋体" w:cs="宋体"/>
          <w:b/>
          <w:bCs/>
          <w:color w:val="000000"/>
          <w:sz w:val="36"/>
          <w:szCs w:val="28"/>
        </w:rPr>
        <w:t>项目支出绩效评价指标体系框架</w:t>
      </w:r>
    </w:p>
    <w:p w14:paraId="5E14E4C2">
      <w:pPr>
        <w:keepNext/>
        <w:keepLines/>
        <w:jc w:val="center"/>
        <w:outlineLvl w:val="1"/>
        <w:rPr>
          <w:rFonts w:ascii="Arial" w:hAnsi="Arial" w:eastAsia="黑体"/>
          <w:b/>
          <w:bCs/>
          <w:color w:val="000000"/>
          <w:sz w:val="32"/>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099B4C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04D45066">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297" w:type="dxa"/>
            <w:tcBorders>
              <w:tl2br w:val="nil"/>
              <w:tr2bl w:val="nil"/>
            </w:tcBorders>
            <w:shd w:val="clear" w:color="auto" w:fill="FFFFFF"/>
            <w:vAlign w:val="center"/>
          </w:tcPr>
          <w:p w14:paraId="6FC73992">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FFFFFF"/>
            <w:vAlign w:val="center"/>
          </w:tcPr>
          <w:p w14:paraId="2BB20511">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FFFFFF"/>
            <w:vAlign w:val="center"/>
          </w:tcPr>
          <w:p w14:paraId="1EE1A0D0">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FFFFFF"/>
            <w:vAlign w:val="center"/>
          </w:tcPr>
          <w:p w14:paraId="124236E7">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40D4E632">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F297C0B">
            <w:pPr>
              <w:widowControl/>
              <w:jc w:val="left"/>
              <w:rPr>
                <w:rFonts w:ascii="宋体" w:hAnsi="宋体" w:eastAsia="宋体" w:cs="宋体"/>
                <w:b/>
                <w:bCs/>
                <w:color w:val="000000"/>
                <w:kern w:val="0"/>
                <w:sz w:val="22"/>
              </w:rPr>
            </w:pPr>
            <w:r>
              <w:rPr>
                <w:rFonts w:hint="eastAsia" w:ascii="宋体" w:hAnsi="宋体" w:eastAsia="宋体" w:cs="宋体"/>
                <w:b/>
                <w:bCs/>
                <w:color w:val="000000"/>
                <w:kern w:val="0"/>
                <w:sz w:val="22"/>
              </w:rPr>
              <w:t>评价</w:t>
            </w:r>
          </w:p>
          <w:p w14:paraId="0321EBBC">
            <w:pPr>
              <w:widowControl/>
              <w:jc w:val="left"/>
              <w:rPr>
                <w:rFonts w:ascii="宋体" w:hAnsi="宋体" w:eastAsia="宋体" w:cs="宋体"/>
                <w:b/>
                <w:bCs/>
                <w:color w:val="000000"/>
                <w:kern w:val="0"/>
                <w:sz w:val="22"/>
              </w:rPr>
            </w:pPr>
            <w:r>
              <w:rPr>
                <w:rFonts w:hint="eastAsia" w:ascii="宋体" w:hAnsi="宋体" w:eastAsia="宋体" w:cs="宋体"/>
                <w:b/>
                <w:bCs/>
                <w:color w:val="000000"/>
                <w:kern w:val="0"/>
                <w:sz w:val="22"/>
              </w:rPr>
              <w:t>结果</w:t>
            </w:r>
          </w:p>
        </w:tc>
      </w:tr>
      <w:tr w14:paraId="2E6FE1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44FD9280">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决策(20分)　</w:t>
            </w:r>
          </w:p>
          <w:p w14:paraId="5A3A7933">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　</w:t>
            </w:r>
          </w:p>
          <w:p w14:paraId="76171F39">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97" w:type="dxa"/>
            <w:vMerge w:val="restart"/>
            <w:tcBorders>
              <w:tl2br w:val="nil"/>
              <w:tr2bl w:val="nil"/>
            </w:tcBorders>
            <w:shd w:val="clear" w:color="auto" w:fill="FFFFFF"/>
            <w:vAlign w:val="center"/>
          </w:tcPr>
          <w:p w14:paraId="17052EB9">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项目立项（5）　</w:t>
            </w:r>
          </w:p>
        </w:tc>
        <w:tc>
          <w:tcPr>
            <w:tcW w:w="1411" w:type="dxa"/>
            <w:tcBorders>
              <w:tl2br w:val="nil"/>
              <w:tr2bl w:val="nil"/>
            </w:tcBorders>
            <w:shd w:val="clear" w:color="auto" w:fill="FFFFFF"/>
            <w:vAlign w:val="center"/>
          </w:tcPr>
          <w:p w14:paraId="03ED378D">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项目立项符合国家、自治区生态环境监测方案以及部门职责。</w:t>
            </w:r>
          </w:p>
        </w:tc>
        <w:tc>
          <w:tcPr>
            <w:tcW w:w="2789" w:type="dxa"/>
            <w:tcBorders>
              <w:tl2br w:val="nil"/>
              <w:tr2bl w:val="nil"/>
            </w:tcBorders>
            <w:shd w:val="clear" w:color="auto" w:fill="FFFFFF"/>
            <w:vAlign w:val="center"/>
          </w:tcPr>
          <w:p w14:paraId="41299334">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0D7C051A">
            <w:pPr>
              <w:widowControl/>
              <w:spacing w:line="0" w:lineRule="atLeast"/>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14:paraId="74921CA7">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BDA46B5">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w:t>
            </w:r>
          </w:p>
        </w:tc>
      </w:tr>
      <w:tr w14:paraId="646B34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6B956A0A">
            <w:pPr>
              <w:spacing w:line="0" w:lineRule="atLeast"/>
              <w:jc w:val="center"/>
              <w:rPr>
                <w:rFonts w:ascii="宋体" w:hAnsi="宋体" w:eastAsia="宋体" w:cs="宋体"/>
                <w:color w:val="000000"/>
                <w:kern w:val="0"/>
                <w:sz w:val="22"/>
              </w:rPr>
            </w:pPr>
          </w:p>
        </w:tc>
        <w:tc>
          <w:tcPr>
            <w:tcW w:w="1297" w:type="dxa"/>
            <w:vMerge w:val="continue"/>
            <w:tcBorders>
              <w:tl2br w:val="nil"/>
              <w:tr2bl w:val="nil"/>
            </w:tcBorders>
            <w:shd w:val="clear" w:color="auto" w:fill="FFFFFF"/>
            <w:vAlign w:val="center"/>
          </w:tcPr>
          <w:p w14:paraId="24FCE348">
            <w:pPr>
              <w:widowControl/>
              <w:spacing w:line="0" w:lineRule="atLeast"/>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0C02795A">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项目申请、设立过程符合相关要求。</w:t>
            </w:r>
          </w:p>
        </w:tc>
        <w:tc>
          <w:tcPr>
            <w:tcW w:w="2789" w:type="dxa"/>
            <w:tcBorders>
              <w:tl2br w:val="nil"/>
              <w:tr2bl w:val="nil"/>
            </w:tcBorders>
            <w:shd w:val="clear" w:color="auto" w:fill="FFFFFF"/>
            <w:vAlign w:val="center"/>
          </w:tcPr>
          <w:p w14:paraId="4F1F692D">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0FB96320">
            <w:pPr>
              <w:widowControl/>
              <w:spacing w:line="0" w:lineRule="atLeast"/>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14:paraId="4065B6A2">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F1580B6">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w:t>
            </w:r>
          </w:p>
        </w:tc>
      </w:tr>
      <w:tr w14:paraId="2D6A22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03B6B1E9">
            <w:pPr>
              <w:spacing w:line="0" w:lineRule="atLeast"/>
              <w:jc w:val="center"/>
              <w:rPr>
                <w:rFonts w:ascii="宋体" w:hAnsi="宋体" w:eastAsia="宋体" w:cs="宋体"/>
                <w:color w:val="000000"/>
                <w:kern w:val="0"/>
                <w:sz w:val="22"/>
              </w:rPr>
            </w:pPr>
          </w:p>
        </w:tc>
        <w:tc>
          <w:tcPr>
            <w:tcW w:w="1297" w:type="dxa"/>
            <w:tcBorders>
              <w:tl2br w:val="nil"/>
              <w:tr2bl w:val="nil"/>
            </w:tcBorders>
            <w:shd w:val="clear" w:color="auto" w:fill="FFFFFF"/>
            <w:vAlign w:val="center"/>
          </w:tcPr>
          <w:p w14:paraId="5B767671">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绩效目标（10）　</w:t>
            </w:r>
          </w:p>
        </w:tc>
        <w:tc>
          <w:tcPr>
            <w:tcW w:w="1411" w:type="dxa"/>
            <w:tcBorders>
              <w:tl2br w:val="nil"/>
              <w:tr2bl w:val="nil"/>
            </w:tcBorders>
            <w:shd w:val="clear" w:color="auto" w:fill="FFFFFF"/>
            <w:vAlign w:val="center"/>
          </w:tcPr>
          <w:p w14:paraId="4A6A116C">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项目所设定的绩效目标依据充分，符合客观实际。</w:t>
            </w:r>
          </w:p>
        </w:tc>
        <w:tc>
          <w:tcPr>
            <w:tcW w:w="2789" w:type="dxa"/>
            <w:tcBorders>
              <w:tl2br w:val="nil"/>
              <w:tr2bl w:val="nil"/>
            </w:tcBorders>
            <w:shd w:val="clear" w:color="000000" w:fill="FFFFFF"/>
            <w:vAlign w:val="center"/>
          </w:tcPr>
          <w:p w14:paraId="67B3297E">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298FD774">
            <w:pPr>
              <w:widowControl/>
              <w:spacing w:line="0" w:lineRule="atLeast"/>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77F78507">
            <w:pPr>
              <w:widowControl/>
              <w:spacing w:line="0" w:lineRule="atLeast"/>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14:paraId="083080BB">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A92AA73">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r>
      <w:tr w14:paraId="523E2D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69403C17">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决策（20分）　</w:t>
            </w:r>
          </w:p>
        </w:tc>
        <w:tc>
          <w:tcPr>
            <w:tcW w:w="1297" w:type="dxa"/>
            <w:tcBorders>
              <w:tl2br w:val="nil"/>
              <w:tr2bl w:val="nil"/>
            </w:tcBorders>
            <w:shd w:val="clear" w:color="auto" w:fill="FFFFFF"/>
            <w:vAlign w:val="center"/>
          </w:tcPr>
          <w:p w14:paraId="4949B799">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2A309F5E">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依据绩效目标设定的绩效指标清晰、细化、可衡量。</w:t>
            </w:r>
          </w:p>
        </w:tc>
        <w:tc>
          <w:tcPr>
            <w:tcW w:w="2789" w:type="dxa"/>
            <w:tcBorders>
              <w:tl2br w:val="nil"/>
              <w:tr2bl w:val="nil"/>
            </w:tcBorders>
            <w:shd w:val="clear" w:color="000000" w:fill="FFFFFF"/>
            <w:vAlign w:val="center"/>
          </w:tcPr>
          <w:p w14:paraId="33822178">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7D522827">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573E47E5">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76194B9">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r>
      <w:tr w14:paraId="5B3CD0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024EA34C">
            <w:pPr>
              <w:spacing w:line="0" w:lineRule="atLeast"/>
              <w:jc w:val="center"/>
              <w:rPr>
                <w:rFonts w:ascii="宋体" w:hAnsi="宋体" w:eastAsia="宋体" w:cs="宋体"/>
                <w:color w:val="000000"/>
                <w:kern w:val="0"/>
                <w:sz w:val="22"/>
              </w:rPr>
            </w:pPr>
          </w:p>
        </w:tc>
        <w:tc>
          <w:tcPr>
            <w:tcW w:w="1297" w:type="dxa"/>
            <w:vMerge w:val="restart"/>
            <w:tcBorders>
              <w:tl2br w:val="nil"/>
              <w:tr2bl w:val="nil"/>
            </w:tcBorders>
            <w:shd w:val="clear" w:color="auto" w:fill="FFFFFF"/>
            <w:vAlign w:val="center"/>
          </w:tcPr>
          <w:p w14:paraId="59E5199B">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资金投入（5）</w:t>
            </w:r>
          </w:p>
          <w:p w14:paraId="7430D13E">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411" w:type="dxa"/>
            <w:tcBorders>
              <w:tl2br w:val="nil"/>
              <w:tr2bl w:val="nil"/>
            </w:tcBorders>
            <w:shd w:val="clear" w:color="auto" w:fill="FFFFFF"/>
            <w:vAlign w:val="center"/>
          </w:tcPr>
          <w:p w14:paraId="1705C017">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项目预算编制经过科学论证、有明确标准，资金额度与年度目标相适应。</w:t>
            </w:r>
          </w:p>
        </w:tc>
        <w:tc>
          <w:tcPr>
            <w:tcW w:w="2789" w:type="dxa"/>
            <w:tcBorders>
              <w:tl2br w:val="nil"/>
              <w:tr2bl w:val="nil"/>
            </w:tcBorders>
            <w:shd w:val="clear" w:color="auto" w:fill="FFFFFF"/>
            <w:vAlign w:val="center"/>
          </w:tcPr>
          <w:p w14:paraId="2C58E688">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35CDD2E8">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3B7F1FDC">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B00FFDA">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w:t>
            </w:r>
          </w:p>
        </w:tc>
      </w:tr>
      <w:tr w14:paraId="392A5A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00EB9059">
            <w:pPr>
              <w:widowControl/>
              <w:spacing w:line="0" w:lineRule="atLeast"/>
              <w:jc w:val="center"/>
              <w:rPr>
                <w:rFonts w:ascii="宋体" w:hAnsi="宋体" w:eastAsia="宋体" w:cs="宋体"/>
                <w:color w:val="000000"/>
                <w:kern w:val="0"/>
                <w:sz w:val="22"/>
              </w:rPr>
            </w:pPr>
          </w:p>
        </w:tc>
        <w:tc>
          <w:tcPr>
            <w:tcW w:w="1297" w:type="dxa"/>
            <w:vMerge w:val="continue"/>
            <w:tcBorders>
              <w:tl2br w:val="nil"/>
              <w:tr2bl w:val="nil"/>
            </w:tcBorders>
            <w:shd w:val="clear" w:color="auto" w:fill="FFFFFF"/>
            <w:vAlign w:val="center"/>
          </w:tcPr>
          <w:p w14:paraId="409BC327">
            <w:pPr>
              <w:widowControl/>
              <w:spacing w:line="0" w:lineRule="atLeast"/>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7312E01A">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项目预算资金分配有测算依据，与补助单位实际相适应。</w:t>
            </w:r>
          </w:p>
        </w:tc>
        <w:tc>
          <w:tcPr>
            <w:tcW w:w="2789" w:type="dxa"/>
            <w:tcBorders>
              <w:tl2br w:val="nil"/>
              <w:tr2bl w:val="nil"/>
            </w:tcBorders>
            <w:shd w:val="clear" w:color="auto" w:fill="FFFFFF"/>
            <w:vAlign w:val="center"/>
          </w:tcPr>
          <w:p w14:paraId="14763205">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44D5EC3D">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5ADDAF99">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479EC47">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w:t>
            </w:r>
          </w:p>
        </w:tc>
      </w:tr>
      <w:tr w14:paraId="0DAC8E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454B3F00">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过程（20分）</w:t>
            </w:r>
          </w:p>
        </w:tc>
        <w:tc>
          <w:tcPr>
            <w:tcW w:w="1297" w:type="dxa"/>
            <w:vMerge w:val="restart"/>
            <w:tcBorders>
              <w:tl2br w:val="nil"/>
              <w:tr2bl w:val="nil"/>
            </w:tcBorders>
            <w:shd w:val="clear" w:color="auto" w:fill="FFFFFF"/>
            <w:vAlign w:val="center"/>
          </w:tcPr>
          <w:p w14:paraId="65D82585">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资金管理（10）</w:t>
            </w:r>
          </w:p>
        </w:tc>
        <w:tc>
          <w:tcPr>
            <w:tcW w:w="1411" w:type="dxa"/>
            <w:tcBorders>
              <w:tl2br w:val="nil"/>
              <w:tr2bl w:val="nil"/>
            </w:tcBorders>
            <w:shd w:val="clear" w:color="auto" w:fill="FFFFFF"/>
            <w:vAlign w:val="center"/>
          </w:tcPr>
          <w:p w14:paraId="6B12866D">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实际到位资金与预算资金一致，资金到位率100%。</w:t>
            </w:r>
          </w:p>
        </w:tc>
        <w:tc>
          <w:tcPr>
            <w:tcW w:w="2789" w:type="dxa"/>
            <w:tcBorders>
              <w:tl2br w:val="nil"/>
              <w:tr2bl w:val="nil"/>
            </w:tcBorders>
            <w:shd w:val="clear" w:color="000000" w:fill="FFFFFF"/>
            <w:vAlign w:val="center"/>
          </w:tcPr>
          <w:p w14:paraId="7F38922A">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40B84337">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4CC1833E">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361F7C7F">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1CA702D6">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2C219AA">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r>
      <w:tr w14:paraId="1BC985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42893780">
            <w:pPr>
              <w:spacing w:line="0" w:lineRule="atLeast"/>
              <w:jc w:val="center"/>
              <w:rPr>
                <w:rFonts w:ascii="宋体" w:hAnsi="宋体" w:eastAsia="宋体" w:cs="宋体"/>
                <w:color w:val="000000"/>
                <w:kern w:val="0"/>
                <w:sz w:val="22"/>
              </w:rPr>
            </w:pPr>
          </w:p>
        </w:tc>
        <w:tc>
          <w:tcPr>
            <w:tcW w:w="1297" w:type="dxa"/>
            <w:vMerge w:val="continue"/>
            <w:tcBorders>
              <w:tl2br w:val="nil"/>
              <w:tr2bl w:val="nil"/>
            </w:tcBorders>
            <w:shd w:val="clear" w:color="auto" w:fill="FFFFFF"/>
            <w:vAlign w:val="center"/>
          </w:tcPr>
          <w:p w14:paraId="134CBFF2">
            <w:pPr>
              <w:spacing w:line="0" w:lineRule="atLeast"/>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48AA8598">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项目预算资金按照计划执行，预算执行率100%。</w:t>
            </w:r>
          </w:p>
        </w:tc>
        <w:tc>
          <w:tcPr>
            <w:tcW w:w="2789" w:type="dxa"/>
            <w:tcBorders>
              <w:tl2br w:val="nil"/>
              <w:tr2bl w:val="nil"/>
            </w:tcBorders>
            <w:shd w:val="clear" w:color="auto" w:fill="FFFFFF"/>
            <w:vAlign w:val="center"/>
          </w:tcPr>
          <w:p w14:paraId="251FFF04">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64C86C53">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38921764">
            <w:pPr>
              <w:widowControl/>
              <w:jc w:val="left"/>
              <w:rPr>
                <w:rFonts w:ascii="宋体" w:hAnsi="宋体" w:eastAsia="宋体" w:cs="宋体"/>
                <w:color w:val="000000"/>
                <w:kern w:val="0"/>
                <w:sz w:val="22"/>
              </w:rPr>
            </w:pP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C8F8720">
            <w:pPr>
              <w:widowControl/>
              <w:jc w:val="left"/>
              <w:rPr>
                <w:rFonts w:ascii="宋体" w:hAnsi="宋体" w:eastAsia="宋体" w:cs="宋体"/>
                <w:color w:val="000000"/>
                <w:kern w:val="0"/>
                <w:sz w:val="22"/>
              </w:rPr>
            </w:pPr>
          </w:p>
        </w:tc>
      </w:tr>
      <w:tr w14:paraId="4A1F07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20EDEFEC">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　</w:t>
            </w:r>
          </w:p>
          <w:p w14:paraId="26815282">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过程（20分）　</w:t>
            </w:r>
          </w:p>
        </w:tc>
        <w:tc>
          <w:tcPr>
            <w:tcW w:w="1297" w:type="dxa"/>
            <w:tcBorders>
              <w:tl2br w:val="nil"/>
              <w:tr2bl w:val="nil"/>
            </w:tcBorders>
            <w:shd w:val="clear" w:color="auto" w:fill="FFFFFF"/>
            <w:vAlign w:val="center"/>
          </w:tcPr>
          <w:p w14:paraId="7F67C827">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70A4E9AE">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项目资金使用符合相关的财务管理制度规定。</w:t>
            </w:r>
          </w:p>
        </w:tc>
        <w:tc>
          <w:tcPr>
            <w:tcW w:w="2789" w:type="dxa"/>
            <w:tcBorders>
              <w:tl2br w:val="nil"/>
              <w:tr2bl w:val="nil"/>
            </w:tcBorders>
            <w:shd w:val="clear" w:color="000000" w:fill="FFFFFF"/>
            <w:vAlign w:val="center"/>
          </w:tcPr>
          <w:p w14:paraId="5092BA9D">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61C11B79">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346B517F">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7AC794E">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r>
      <w:tr w14:paraId="5858F0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252669D4">
            <w:pPr>
              <w:spacing w:line="0" w:lineRule="atLeast"/>
              <w:jc w:val="center"/>
              <w:rPr>
                <w:rFonts w:ascii="宋体" w:hAnsi="宋体" w:eastAsia="宋体" w:cs="宋体"/>
                <w:color w:val="000000"/>
                <w:kern w:val="0"/>
                <w:sz w:val="22"/>
              </w:rPr>
            </w:pPr>
          </w:p>
        </w:tc>
        <w:tc>
          <w:tcPr>
            <w:tcW w:w="1297" w:type="dxa"/>
            <w:vMerge w:val="restart"/>
            <w:tcBorders>
              <w:tl2br w:val="nil"/>
              <w:tr2bl w:val="nil"/>
            </w:tcBorders>
            <w:shd w:val="clear" w:color="auto" w:fill="FFFFFF"/>
            <w:vAlign w:val="center"/>
          </w:tcPr>
          <w:p w14:paraId="0B0A6BCD">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组织实施（10）</w:t>
            </w:r>
          </w:p>
          <w:p w14:paraId="3176FA8A">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411" w:type="dxa"/>
            <w:tcBorders>
              <w:tl2br w:val="nil"/>
              <w:tr2bl w:val="nil"/>
            </w:tcBorders>
            <w:shd w:val="clear" w:color="auto" w:fill="FFFFFF"/>
            <w:vAlign w:val="center"/>
          </w:tcPr>
          <w:p w14:paraId="5050E9B8">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项目实施单位的财务和业务管理制度健全。</w:t>
            </w:r>
          </w:p>
        </w:tc>
        <w:tc>
          <w:tcPr>
            <w:tcW w:w="2789" w:type="dxa"/>
            <w:tcBorders>
              <w:tl2br w:val="nil"/>
              <w:tr2bl w:val="nil"/>
            </w:tcBorders>
            <w:shd w:val="clear" w:color="000000" w:fill="FFFFFF"/>
            <w:vAlign w:val="center"/>
          </w:tcPr>
          <w:p w14:paraId="6EF3B881">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6C583E17">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2ED9AC6B">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529053A">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r>
      <w:tr w14:paraId="2A2374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4BDA67D1">
            <w:pPr>
              <w:widowControl/>
              <w:spacing w:line="0" w:lineRule="atLeast"/>
              <w:jc w:val="center"/>
              <w:rPr>
                <w:rFonts w:ascii="宋体" w:hAnsi="宋体" w:eastAsia="宋体" w:cs="宋体"/>
                <w:color w:val="000000"/>
                <w:kern w:val="0"/>
                <w:sz w:val="22"/>
              </w:rPr>
            </w:pPr>
          </w:p>
        </w:tc>
        <w:tc>
          <w:tcPr>
            <w:tcW w:w="1297" w:type="dxa"/>
            <w:vMerge w:val="continue"/>
            <w:tcBorders>
              <w:tl2br w:val="nil"/>
              <w:tr2bl w:val="nil"/>
            </w:tcBorders>
            <w:shd w:val="clear" w:color="auto" w:fill="FFFFFF"/>
            <w:vAlign w:val="center"/>
          </w:tcPr>
          <w:p w14:paraId="119C5F4F">
            <w:pPr>
              <w:widowControl/>
              <w:spacing w:line="0" w:lineRule="atLeast"/>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21577892">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项目实施符合相关管理规定。</w:t>
            </w:r>
          </w:p>
        </w:tc>
        <w:tc>
          <w:tcPr>
            <w:tcW w:w="2789" w:type="dxa"/>
            <w:tcBorders>
              <w:tl2br w:val="nil"/>
              <w:tr2bl w:val="nil"/>
            </w:tcBorders>
            <w:shd w:val="clear" w:color="000000" w:fill="FFFFFF"/>
            <w:vAlign w:val="center"/>
          </w:tcPr>
          <w:p w14:paraId="70FC0F8B">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1B05A3A6">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2A97DE3A">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95CDAB1">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r>
      <w:tr w14:paraId="53A75A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5806E0BD">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产出（30分）</w:t>
            </w:r>
          </w:p>
        </w:tc>
        <w:tc>
          <w:tcPr>
            <w:tcW w:w="1297" w:type="dxa"/>
            <w:tcBorders>
              <w:tl2br w:val="nil"/>
              <w:tr2bl w:val="nil"/>
            </w:tcBorders>
            <w:shd w:val="clear" w:color="auto" w:fill="FFFFFF"/>
            <w:vAlign w:val="center"/>
          </w:tcPr>
          <w:p w14:paraId="075811D6">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产出数量（10分）</w:t>
            </w:r>
          </w:p>
        </w:tc>
        <w:tc>
          <w:tcPr>
            <w:tcW w:w="1411" w:type="dxa"/>
            <w:tcBorders>
              <w:tl2br w:val="nil"/>
              <w:tr2bl w:val="nil"/>
            </w:tcBorders>
            <w:shd w:val="clear" w:color="auto" w:fill="FFFFFF"/>
            <w:vAlign w:val="center"/>
          </w:tcPr>
          <w:p w14:paraId="48B9ED72">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项目实施的实际产出数与计划产出数的比率100%。</w:t>
            </w:r>
          </w:p>
        </w:tc>
        <w:tc>
          <w:tcPr>
            <w:tcW w:w="2789" w:type="dxa"/>
            <w:tcBorders>
              <w:tl2br w:val="nil"/>
              <w:tr2bl w:val="nil"/>
            </w:tcBorders>
            <w:shd w:val="clear" w:color="000000" w:fill="FFFFFF"/>
            <w:vAlign w:val="center"/>
          </w:tcPr>
          <w:p w14:paraId="27098BD6">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0569C14D">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14:paraId="4B29026B">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A48CC4D">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10</w:t>
            </w:r>
          </w:p>
        </w:tc>
      </w:tr>
      <w:tr w14:paraId="2A8D94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30370FFB">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产出（30分）</w:t>
            </w:r>
          </w:p>
        </w:tc>
        <w:tc>
          <w:tcPr>
            <w:tcW w:w="1297" w:type="dxa"/>
            <w:tcBorders>
              <w:tl2br w:val="nil"/>
              <w:tr2bl w:val="nil"/>
            </w:tcBorders>
            <w:shd w:val="clear" w:color="auto" w:fill="FFFFFF"/>
            <w:vAlign w:val="center"/>
          </w:tcPr>
          <w:p w14:paraId="4F33B8EF">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产出质量（10分）</w:t>
            </w:r>
          </w:p>
        </w:tc>
        <w:tc>
          <w:tcPr>
            <w:tcW w:w="1411" w:type="dxa"/>
            <w:tcBorders>
              <w:tl2br w:val="nil"/>
              <w:tr2bl w:val="nil"/>
            </w:tcBorders>
            <w:shd w:val="clear" w:color="auto" w:fill="FFFFFF"/>
            <w:vAlign w:val="center"/>
          </w:tcPr>
          <w:p w14:paraId="5BC25D47">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项目完成的质量达标产出数与实际产出数的比率100%。</w:t>
            </w:r>
          </w:p>
        </w:tc>
        <w:tc>
          <w:tcPr>
            <w:tcW w:w="2789" w:type="dxa"/>
            <w:tcBorders>
              <w:tl2br w:val="nil"/>
              <w:tr2bl w:val="nil"/>
            </w:tcBorders>
            <w:shd w:val="clear" w:color="000000" w:fill="FFFFFF"/>
            <w:vAlign w:val="center"/>
          </w:tcPr>
          <w:p w14:paraId="18D24440">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557319C0">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14:paraId="3D58EE9F">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14:paraId="5D38C787">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F52F9D4">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10</w:t>
            </w:r>
          </w:p>
        </w:tc>
      </w:tr>
      <w:tr w14:paraId="429C73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0FC17A98">
            <w:pPr>
              <w:spacing w:line="0" w:lineRule="atLeast"/>
              <w:jc w:val="center"/>
              <w:rPr>
                <w:rFonts w:ascii="宋体" w:hAnsi="宋体" w:eastAsia="宋体" w:cs="宋体"/>
                <w:color w:val="000000"/>
                <w:kern w:val="0"/>
                <w:sz w:val="22"/>
              </w:rPr>
            </w:pPr>
          </w:p>
        </w:tc>
        <w:tc>
          <w:tcPr>
            <w:tcW w:w="1297" w:type="dxa"/>
            <w:tcBorders>
              <w:tl2br w:val="nil"/>
              <w:tr2bl w:val="nil"/>
            </w:tcBorders>
            <w:shd w:val="clear" w:color="auto" w:fill="FFFFFF"/>
            <w:vAlign w:val="center"/>
          </w:tcPr>
          <w:p w14:paraId="19D24800">
            <w:pPr>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产出时效（5分）</w:t>
            </w:r>
          </w:p>
        </w:tc>
        <w:tc>
          <w:tcPr>
            <w:tcW w:w="1411" w:type="dxa"/>
            <w:tcBorders>
              <w:tl2br w:val="nil"/>
              <w:tr2bl w:val="nil"/>
            </w:tcBorders>
            <w:shd w:val="clear" w:color="auto" w:fill="FFFFFF"/>
            <w:vAlign w:val="center"/>
          </w:tcPr>
          <w:p w14:paraId="0CEDBF1A">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项目实际完成时间与计划完成时间一致。</w:t>
            </w:r>
          </w:p>
        </w:tc>
        <w:tc>
          <w:tcPr>
            <w:tcW w:w="2789" w:type="dxa"/>
            <w:tcBorders>
              <w:tl2br w:val="nil"/>
              <w:tr2bl w:val="nil"/>
            </w:tcBorders>
            <w:shd w:val="clear" w:color="000000" w:fill="FFFFFF"/>
            <w:vAlign w:val="center"/>
          </w:tcPr>
          <w:p w14:paraId="240D685B">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63040E0D">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14:paraId="0C456D2C">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AD8945B">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r>
      <w:tr w14:paraId="772DC0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14:paraId="6EF44490">
            <w:pPr>
              <w:widowControl/>
              <w:spacing w:line="0" w:lineRule="atLeast"/>
              <w:jc w:val="center"/>
              <w:rPr>
                <w:rFonts w:ascii="宋体" w:hAnsi="宋体" w:eastAsia="宋体" w:cs="宋体"/>
                <w:color w:val="000000"/>
                <w:kern w:val="0"/>
                <w:sz w:val="22"/>
              </w:rPr>
            </w:pPr>
          </w:p>
        </w:tc>
        <w:tc>
          <w:tcPr>
            <w:tcW w:w="1297" w:type="dxa"/>
            <w:tcBorders>
              <w:tl2br w:val="nil"/>
              <w:tr2bl w:val="nil"/>
            </w:tcBorders>
            <w:shd w:val="clear" w:color="auto" w:fill="FFFFFF"/>
            <w:vAlign w:val="center"/>
          </w:tcPr>
          <w:p w14:paraId="48A321C7">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产出成本（5分）</w:t>
            </w:r>
          </w:p>
        </w:tc>
        <w:tc>
          <w:tcPr>
            <w:tcW w:w="1411" w:type="dxa"/>
            <w:tcBorders>
              <w:tl2br w:val="nil"/>
              <w:tr2bl w:val="nil"/>
            </w:tcBorders>
            <w:shd w:val="clear" w:color="auto" w:fill="FFFFFF"/>
            <w:vAlign w:val="center"/>
          </w:tcPr>
          <w:p w14:paraId="73EAED89">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成本节约率100%。</w:t>
            </w:r>
          </w:p>
        </w:tc>
        <w:tc>
          <w:tcPr>
            <w:tcW w:w="2789" w:type="dxa"/>
            <w:tcBorders>
              <w:tl2br w:val="nil"/>
              <w:tr2bl w:val="nil"/>
            </w:tcBorders>
            <w:shd w:val="clear" w:color="000000" w:fill="FFFFFF"/>
            <w:vAlign w:val="center"/>
          </w:tcPr>
          <w:p w14:paraId="5E285ABE">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1BE68DDE">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14:paraId="49430ACE">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C5FFCE2">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w:t>
            </w:r>
          </w:p>
        </w:tc>
      </w:tr>
      <w:tr w14:paraId="73D1D0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67A71489">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效益（30分）　</w:t>
            </w:r>
          </w:p>
        </w:tc>
        <w:tc>
          <w:tcPr>
            <w:tcW w:w="1297" w:type="dxa"/>
            <w:vMerge w:val="restart"/>
            <w:tcBorders>
              <w:tl2br w:val="nil"/>
              <w:tr2bl w:val="nil"/>
            </w:tcBorders>
            <w:shd w:val="clear" w:color="auto" w:fill="FFFFFF"/>
            <w:vAlign w:val="center"/>
          </w:tcPr>
          <w:p w14:paraId="417CABAE">
            <w:pPr>
              <w:widowControl/>
              <w:spacing w:line="0" w:lineRule="atLeast"/>
              <w:jc w:val="center"/>
              <w:rPr>
                <w:rFonts w:ascii="宋体" w:hAnsi="宋体" w:eastAsia="宋体" w:cs="宋体"/>
                <w:color w:val="000000"/>
                <w:kern w:val="0"/>
                <w:sz w:val="22"/>
              </w:rPr>
            </w:pPr>
            <w:r>
              <w:rPr>
                <w:rFonts w:hint="eastAsia" w:ascii="宋体" w:hAnsi="宋体" w:eastAsia="宋体" w:cs="宋体"/>
                <w:color w:val="000000"/>
                <w:kern w:val="0"/>
                <w:sz w:val="22"/>
              </w:rPr>
              <w:t>项目效益（30分）　</w:t>
            </w:r>
          </w:p>
        </w:tc>
        <w:tc>
          <w:tcPr>
            <w:tcW w:w="1411" w:type="dxa"/>
            <w:tcBorders>
              <w:tl2br w:val="nil"/>
              <w:tr2bl w:val="nil"/>
            </w:tcBorders>
            <w:shd w:val="clear" w:color="auto" w:fill="FFFFFF"/>
            <w:vAlign w:val="center"/>
          </w:tcPr>
          <w:p w14:paraId="4372C1F4">
            <w:pPr>
              <w:widowControl/>
              <w:spacing w:line="0" w:lineRule="atLeast"/>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项目实施所产生的效益社会效益显著。</w:t>
            </w:r>
          </w:p>
        </w:tc>
        <w:tc>
          <w:tcPr>
            <w:tcW w:w="2789" w:type="dxa"/>
            <w:tcBorders>
              <w:tl2br w:val="nil"/>
              <w:tr2bl w:val="nil"/>
            </w:tcBorders>
            <w:shd w:val="clear" w:color="auto" w:fill="FFFFFF"/>
            <w:vAlign w:val="center"/>
          </w:tcPr>
          <w:p w14:paraId="4FF52A72">
            <w:pPr>
              <w:widowControl/>
              <w:spacing w:line="0" w:lineRule="atLeast"/>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14:paraId="24623697">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14:paraId="3F155C1F">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222BB16">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15</w:t>
            </w:r>
          </w:p>
        </w:tc>
      </w:tr>
      <w:tr w14:paraId="62329C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14:paraId="0B8D5017">
            <w:pPr>
              <w:widowControl/>
              <w:spacing w:line="0" w:lineRule="atLeast"/>
              <w:jc w:val="center"/>
              <w:rPr>
                <w:rFonts w:ascii="宋体" w:hAnsi="宋体" w:eastAsia="宋体" w:cs="宋体"/>
                <w:color w:val="000000"/>
                <w:kern w:val="0"/>
                <w:sz w:val="22"/>
              </w:rPr>
            </w:pPr>
          </w:p>
        </w:tc>
        <w:tc>
          <w:tcPr>
            <w:tcW w:w="1297" w:type="dxa"/>
            <w:vMerge w:val="continue"/>
            <w:tcBorders>
              <w:tl2br w:val="nil"/>
              <w:tr2bl w:val="nil"/>
            </w:tcBorders>
            <w:shd w:val="clear" w:color="auto" w:fill="FFFFFF"/>
            <w:vAlign w:val="center"/>
          </w:tcPr>
          <w:p w14:paraId="467A40F5">
            <w:pPr>
              <w:widowControl/>
              <w:spacing w:line="0" w:lineRule="atLeast"/>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363DCB1C">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社会公众或服务对象对项目实施效果的满意程度85%。</w:t>
            </w:r>
          </w:p>
        </w:tc>
        <w:tc>
          <w:tcPr>
            <w:tcW w:w="2789" w:type="dxa"/>
            <w:tcBorders>
              <w:tl2br w:val="nil"/>
              <w:tr2bl w:val="nil"/>
            </w:tcBorders>
            <w:shd w:val="clear" w:color="000000" w:fill="FFFFFF"/>
            <w:vAlign w:val="center"/>
          </w:tcPr>
          <w:p w14:paraId="2F8DBF77">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68C0208D">
            <w:pPr>
              <w:widowControl/>
              <w:spacing w:line="0" w:lineRule="atLeast"/>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14:paraId="595CDD4D">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6C0A917">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15</w:t>
            </w:r>
          </w:p>
        </w:tc>
      </w:tr>
      <w:tr w14:paraId="474344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6260" w:type="dxa"/>
            <w:gridSpan w:val="4"/>
            <w:tcBorders>
              <w:tl2br w:val="nil"/>
              <w:tr2bl w:val="nil"/>
            </w:tcBorders>
            <w:shd w:val="clear" w:color="auto" w:fill="FFFFFF"/>
            <w:vAlign w:val="center"/>
          </w:tcPr>
          <w:p w14:paraId="38AE6BED">
            <w:pPr>
              <w:widowControl/>
              <w:spacing w:line="0" w:lineRule="atLeast"/>
              <w:ind w:firstLine="1760" w:firstLineChars="800"/>
              <w:rPr>
                <w:rFonts w:hint="eastAsia" w:ascii="宋体" w:hAnsi="宋体" w:eastAsia="宋体" w:cs="宋体"/>
                <w:color w:val="000000"/>
                <w:kern w:val="0"/>
                <w:sz w:val="22"/>
                <w:lang w:eastAsia="zh-CN"/>
              </w:rPr>
            </w:pPr>
            <w:r>
              <w:rPr>
                <w:rFonts w:hint="eastAsia" w:ascii="宋体" w:hAnsi="宋体" w:eastAsia="宋体" w:cs="宋体"/>
                <w:color w:val="000000"/>
                <w:kern w:val="0"/>
                <w:sz w:val="22"/>
                <w:lang w:eastAsia="zh-CN"/>
              </w:rPr>
              <w:t>合</w:t>
            </w:r>
            <w:r>
              <w:rPr>
                <w:rFonts w:hint="eastAsia" w:ascii="宋体" w:hAnsi="宋体" w:eastAsia="宋体" w:cs="宋体"/>
                <w:color w:val="000000"/>
                <w:kern w:val="0"/>
                <w:sz w:val="22"/>
                <w:lang w:val="en-US" w:eastAsia="zh-CN"/>
              </w:rPr>
              <w:t xml:space="preserve">   </w:t>
            </w:r>
            <w:r>
              <w:rPr>
                <w:rFonts w:hint="eastAsia" w:ascii="宋体" w:hAnsi="宋体" w:eastAsia="宋体" w:cs="宋体"/>
                <w:color w:val="000000"/>
                <w:kern w:val="0"/>
                <w:sz w:val="22"/>
                <w:lang w:eastAsia="zh-CN"/>
              </w:rPr>
              <w:t>计</w:t>
            </w:r>
          </w:p>
        </w:tc>
        <w:tc>
          <w:tcPr>
            <w:tcW w:w="7341" w:type="dxa"/>
            <w:tcBorders>
              <w:tl2br w:val="nil"/>
              <w:tr2bl w:val="nil"/>
            </w:tcBorders>
            <w:shd w:val="clear" w:color="000000" w:fill="FFFFFF"/>
            <w:vAlign w:val="center"/>
          </w:tcPr>
          <w:p w14:paraId="747DFA63">
            <w:pPr>
              <w:widowControl/>
              <w:spacing w:line="0" w:lineRule="atLeast"/>
              <w:rPr>
                <w:rFonts w:hint="eastAsia" w:ascii="宋体" w:hAnsi="宋体" w:eastAsia="宋体" w:cs="宋体"/>
                <w:color w:val="000000"/>
                <w:kern w:val="0"/>
                <w:sz w:val="22"/>
              </w:rPr>
            </w:pPr>
          </w:p>
        </w:tc>
        <w:tc>
          <w:tcPr>
            <w:tcW w:w="852" w:type="dxa"/>
            <w:gridSpan w:val="3"/>
            <w:tcBorders>
              <w:top w:val="single" w:color="auto" w:sz="4" w:space="0"/>
              <w:bottom w:val="single" w:color="auto" w:sz="4" w:space="0"/>
              <w:right w:val="single" w:color="auto" w:sz="4" w:space="0"/>
            </w:tcBorders>
            <w:shd w:val="clear" w:color="auto" w:fill="auto"/>
          </w:tcPr>
          <w:p w14:paraId="3386FD47">
            <w:pPr>
              <w:widowControl/>
              <w:jc w:val="left"/>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5A9A7C4">
            <w:pPr>
              <w:widowControl/>
              <w:jc w:val="left"/>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100</w:t>
            </w:r>
          </w:p>
        </w:tc>
      </w:tr>
    </w:tbl>
    <w:p w14:paraId="1933BA16">
      <w:pPr>
        <w:spacing w:line="600" w:lineRule="exact"/>
        <w:rPr>
          <w:rFonts w:ascii="仿宋_GB2312"/>
          <w:bCs/>
          <w:sz w:val="32"/>
          <w:szCs w:val="32"/>
        </w:rPr>
        <w:sectPr>
          <w:pgSz w:w="16838" w:h="11906" w:orient="landscape"/>
          <w:pgMar w:top="1531" w:right="1701" w:bottom="1531" w:left="1928" w:header="737" w:footer="851" w:gutter="0"/>
          <w:cols w:space="720" w:num="1"/>
          <w:docGrid w:type="lines" w:linePitch="408" w:charSpace="0"/>
        </w:sectPr>
      </w:pPr>
    </w:p>
    <w:p w14:paraId="59EEE1A5"/>
    <w:p w14:paraId="0D2D68FA"/>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65D00ED-D566-47BF-9922-AE9DE97F2572}"/>
  </w:font>
  <w:font w:name="黑体">
    <w:panose1 w:val="02010609060101010101"/>
    <w:charset w:val="86"/>
    <w:family w:val="auto"/>
    <w:pitch w:val="default"/>
    <w:sig w:usb0="800002BF" w:usb1="38CF7CFA" w:usb2="00000016" w:usb3="00000000" w:csb0="00040001" w:csb1="00000000"/>
    <w:embedRegular r:id="rId2" w:fontKey="{7580F5C6-8BA9-4225-BF35-BBC9820FD3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3" w:fontKey="{E386DF33-77F8-4A94-B8F7-E9F7F1B01D67}"/>
  </w:font>
  <w:font w:name="仿宋_GB2312">
    <w:altName w:val="仿宋"/>
    <w:panose1 w:val="00000000000000000000"/>
    <w:charset w:val="86"/>
    <w:family w:val="modern"/>
    <w:pitch w:val="default"/>
    <w:sig w:usb0="00000000" w:usb1="00000000" w:usb2="00000000" w:usb3="00000000" w:csb0="00040000" w:csb1="00000000"/>
    <w:embedRegular r:id="rId4" w:fontKey="{142D82D4-0061-4292-959A-FAE7A9685218}"/>
  </w:font>
  <w:font w:name="仿宋">
    <w:panose1 w:val="02010609060101010101"/>
    <w:charset w:val="86"/>
    <w:family w:val="auto"/>
    <w:pitch w:val="default"/>
    <w:sig w:usb0="800002BF" w:usb1="38CF7CFA" w:usb2="00000016" w:usb3="00000000" w:csb0="00040001" w:csb1="00000000"/>
    <w:embedRegular r:id="rId5" w:fontKey="{1CDC9907-AD2D-4B1B-B2E6-F54A861BC443}"/>
  </w:font>
  <w:font w:name="仿宋w..">
    <w:altName w:val="宋体"/>
    <w:panose1 w:val="00000000000000000000"/>
    <w:charset w:val="86"/>
    <w:family w:val="roman"/>
    <w:pitch w:val="default"/>
    <w:sig w:usb0="00000000" w:usb1="00000000" w:usb2="00000010" w:usb3="00000000" w:csb0="00040000" w:csb1="00000000"/>
    <w:embedRegular r:id="rId6" w:fontKey="{2AF25636-FA40-492B-8363-9AD83FF004BB}"/>
  </w:font>
  <w:font w:name="方正小标宋_GBK">
    <w:panose1 w:val="02000000000000000000"/>
    <w:charset w:val="86"/>
    <w:family w:val="script"/>
    <w:pitch w:val="default"/>
    <w:sig w:usb0="A00002BF" w:usb1="38CF7CFA" w:usb2="00082016" w:usb3="00000000" w:csb0="00040001" w:csb1="00000000"/>
    <w:embedRegular r:id="rId7" w:fontKey="{51F25709-E22F-4624-896A-8EB6A30AC345}"/>
  </w:font>
  <w:font w:name="华文中宋">
    <w:panose1 w:val="02010600040101010101"/>
    <w:charset w:val="86"/>
    <w:family w:val="auto"/>
    <w:pitch w:val="default"/>
    <w:sig w:usb0="00000287" w:usb1="080F0000" w:usb2="00000000" w:usb3="00000000" w:csb0="0004009F" w:csb1="DFD70000"/>
    <w:embedRegular r:id="rId8" w:fontKey="{06131659-A87A-4E90-9E04-9C589EFD5231}"/>
  </w:font>
  <w:font w:name="微软雅黑">
    <w:panose1 w:val="020B0503020204020204"/>
    <w:charset w:val="86"/>
    <w:family w:val="auto"/>
    <w:pitch w:val="default"/>
    <w:sig w:usb0="80000287" w:usb1="2ACF3C50" w:usb2="00000016" w:usb3="00000000" w:csb0="0004001F" w:csb1="00000000"/>
    <w:embedRegular r:id="rId9" w:fontKey="{96F3F897-253C-4E9E-8656-BD088F943EE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E2C5D1"/>
    <w:multiLevelType w:val="singleLevel"/>
    <w:tmpl w:val="14E2C5D1"/>
    <w:lvl w:ilvl="0" w:tentative="0">
      <w:start w:val="4"/>
      <w:numFmt w:val="chineseCounting"/>
      <w:suff w:val="nothing"/>
      <w:lvlText w:val="%1、"/>
      <w:lvlJc w:val="left"/>
      <w:rPr>
        <w:rFonts w:hint="eastAsia"/>
      </w:rPr>
    </w:lvl>
  </w:abstractNum>
  <w:abstractNum w:abstractNumId="1">
    <w:nsid w:val="47551E75"/>
    <w:multiLevelType w:val="singleLevel"/>
    <w:tmpl w:val="47551E75"/>
    <w:lvl w:ilvl="0" w:tentative="0">
      <w:start w:val="1"/>
      <w:numFmt w:val="chineseCounting"/>
      <w:suff w:val="nothing"/>
      <w:lvlText w:val="（%1）"/>
      <w:lvlJc w:val="left"/>
      <w:rPr>
        <w:rFonts w:hint="eastAsia"/>
      </w:rPr>
    </w:lvl>
  </w:abstractNum>
  <w:abstractNum w:abstractNumId="2">
    <w:nsid w:val="4DD62C6F"/>
    <w:multiLevelType w:val="singleLevel"/>
    <w:tmpl w:val="4DD62C6F"/>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20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3A"/>
    <w:rsid w:val="001A373D"/>
    <w:rsid w:val="001E47BF"/>
    <w:rsid w:val="002811C6"/>
    <w:rsid w:val="003D44D5"/>
    <w:rsid w:val="00424B9D"/>
    <w:rsid w:val="004418F0"/>
    <w:rsid w:val="00484F3A"/>
    <w:rsid w:val="0059725E"/>
    <w:rsid w:val="00637602"/>
    <w:rsid w:val="006D517C"/>
    <w:rsid w:val="00762211"/>
    <w:rsid w:val="009B4424"/>
    <w:rsid w:val="00AC3E59"/>
    <w:rsid w:val="00BF0767"/>
    <w:rsid w:val="00C32F27"/>
    <w:rsid w:val="00D84716"/>
    <w:rsid w:val="00DF30EC"/>
    <w:rsid w:val="00E32A9D"/>
    <w:rsid w:val="00FA71C4"/>
    <w:rsid w:val="08A23B0D"/>
    <w:rsid w:val="16D851B0"/>
    <w:rsid w:val="1B0A6CC4"/>
    <w:rsid w:val="20DF6D69"/>
    <w:rsid w:val="246B7A77"/>
    <w:rsid w:val="29622CC3"/>
    <w:rsid w:val="2DFA4585"/>
    <w:rsid w:val="2E483A17"/>
    <w:rsid w:val="334A3BF3"/>
    <w:rsid w:val="3634109F"/>
    <w:rsid w:val="3AB22C9D"/>
    <w:rsid w:val="3C8D417E"/>
    <w:rsid w:val="4BCA2698"/>
    <w:rsid w:val="51431C84"/>
    <w:rsid w:val="54C341B9"/>
    <w:rsid w:val="61DE532F"/>
    <w:rsid w:val="6FFD7A0D"/>
    <w:rsid w:val="709E09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jc w:val="left"/>
    </w:pPr>
    <w:rPr>
      <w:kern w:val="0"/>
      <w:sz w:val="24"/>
    </w:rPr>
  </w:style>
  <w:style w:type="character" w:styleId="7">
    <w:name w:val="Strong"/>
    <w:basedOn w:val="6"/>
    <w:qFormat/>
    <w:uiPriority w:val="0"/>
    <w:rPr>
      <w:b/>
      <w:bCs/>
    </w:rPr>
  </w:style>
  <w:style w:type="character" w:styleId="8">
    <w:name w:val="FollowedHyperlink"/>
    <w:basedOn w:val="6"/>
    <w:semiHidden/>
    <w:unhideWhenUsed/>
    <w:qFormat/>
    <w:uiPriority w:val="99"/>
    <w:rPr>
      <w:color w:val="333333"/>
      <w:u w:val="none"/>
    </w:rPr>
  </w:style>
  <w:style w:type="character" w:styleId="9">
    <w:name w:val="Hyperlink"/>
    <w:basedOn w:val="6"/>
    <w:semiHidden/>
    <w:unhideWhenUsed/>
    <w:qFormat/>
    <w:uiPriority w:val="99"/>
    <w:rPr>
      <w:color w:val="333333"/>
      <w:u w:val="none"/>
    </w:rPr>
  </w:style>
  <w:style w:type="character" w:customStyle="1" w:styleId="10">
    <w:name w:val="页眉 Char"/>
    <w:basedOn w:val="6"/>
    <w:link w:val="3"/>
    <w:qFormat/>
    <w:uiPriority w:val="99"/>
    <w:rPr>
      <w:sz w:val="18"/>
      <w:szCs w:val="18"/>
    </w:rPr>
  </w:style>
  <w:style w:type="character" w:customStyle="1" w:styleId="11">
    <w:name w:val="页脚 Char"/>
    <w:basedOn w:val="6"/>
    <w:link w:val="2"/>
    <w:qFormat/>
    <w:uiPriority w:val="99"/>
    <w:rPr>
      <w:sz w:val="18"/>
      <w:szCs w:val="18"/>
    </w:rPr>
  </w:style>
  <w:style w:type="character" w:customStyle="1" w:styleId="12">
    <w:name w:val="font01"/>
    <w:basedOn w:val="6"/>
    <w:qFormat/>
    <w:uiPriority w:val="0"/>
    <w:rPr>
      <w:rFonts w:hint="default" w:ascii="Times New Roman" w:hAnsi="Times New Roman" w:cs="Times New Roman"/>
      <w:color w:val="000000"/>
      <w:sz w:val="24"/>
      <w:szCs w:val="24"/>
      <w:u w:val="none"/>
    </w:rPr>
  </w:style>
  <w:style w:type="character" w:customStyle="1" w:styleId="13">
    <w:name w:val="font21"/>
    <w:basedOn w:val="6"/>
    <w:qFormat/>
    <w:uiPriority w:val="0"/>
    <w:rPr>
      <w:rFonts w:hint="eastAsia" w:ascii="宋体" w:hAnsi="宋体" w:eastAsia="宋体" w:cs="宋体"/>
      <w:color w:val="000000"/>
      <w:sz w:val="24"/>
      <w:szCs w:val="24"/>
      <w:u w:val="none"/>
    </w:rPr>
  </w:style>
  <w:style w:type="paragraph" w:customStyle="1" w:styleId="14">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4708</Words>
  <Characters>4804</Characters>
  <Lines>30</Lines>
  <Paragraphs>8</Paragraphs>
  <TotalTime>10</TotalTime>
  <ScaleCrop>false</ScaleCrop>
  <LinksUpToDate>false</LinksUpToDate>
  <CharactersWithSpaces>4829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2020-04-07T09:49:00Z</dcterms:created>
  <dc:creator>1</dc:creator>
  <cp:lastModifiedBy>Qxb</cp:lastModifiedBy>
  <dcterms:modified xsi:type="dcterms:W3CDTF">2025-02-07T08:11:51Z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642D7021E1C44C4983B28FD0E05DD39C_12</vt:lpwstr>
  </property>
</Properties>
</file>