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0B314">
      <w:pPr>
        <w:spacing w:line="560" w:lineRule="exact"/>
        <w:rPr>
          <w:rFonts w:ascii="方正仿宋_GBK" w:hAnsi="方正仿宋_GBK" w:eastAsia="方正仿宋_GBK" w:cs="方正仿宋_GBK"/>
          <w:b/>
          <w:bCs/>
          <w:sz w:val="32"/>
          <w:szCs w:val="32"/>
        </w:rPr>
      </w:pPr>
    </w:p>
    <w:p w14:paraId="03F7BBD6">
      <w:pPr>
        <w:spacing w:line="560" w:lineRule="exact"/>
        <w:jc w:val="center"/>
        <w:rPr>
          <w:rFonts w:ascii="方正仿宋_GBK" w:hAnsi="方正仿宋_GBK" w:eastAsia="方正仿宋_GBK" w:cs="方正仿宋_GBK"/>
          <w:b/>
          <w:bCs/>
          <w:sz w:val="32"/>
          <w:szCs w:val="32"/>
        </w:rPr>
      </w:pPr>
    </w:p>
    <w:p w14:paraId="0592011A">
      <w:pPr>
        <w:jc w:val="center"/>
        <w:rPr>
          <w:rFonts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巴州特种设备检验检测所</w:t>
      </w:r>
    </w:p>
    <w:p w14:paraId="74B6DE7D">
      <w:pPr>
        <w:jc w:val="center"/>
        <w:rPr>
          <w:rFonts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项目支出绩效自评报告</w:t>
      </w:r>
    </w:p>
    <w:p w14:paraId="09677EC8">
      <w:pPr>
        <w:jc w:val="cente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（2019年度）</w:t>
      </w:r>
    </w:p>
    <w:p w14:paraId="79DCC793">
      <w:pPr>
        <w:spacing w:line="560" w:lineRule="exact"/>
        <w:jc w:val="center"/>
        <w:rPr>
          <w:rFonts w:ascii="方正仿宋_GBK" w:hAnsi="方正仿宋_GBK" w:eastAsia="方正仿宋_GBK" w:cs="方正仿宋_GBK"/>
          <w:sz w:val="32"/>
          <w:szCs w:val="32"/>
        </w:rPr>
      </w:pPr>
    </w:p>
    <w:p w14:paraId="4863F14B">
      <w:pPr>
        <w:spacing w:line="560" w:lineRule="exact"/>
        <w:rPr>
          <w:rFonts w:ascii="方正仿宋_GBK" w:hAnsi="方正仿宋_GBK" w:eastAsia="方正仿宋_GBK" w:cs="方正仿宋_GBK"/>
          <w:sz w:val="32"/>
          <w:szCs w:val="32"/>
        </w:rPr>
      </w:pPr>
    </w:p>
    <w:p w14:paraId="60E53FDD">
      <w:pPr>
        <w:spacing w:line="560" w:lineRule="exact"/>
        <w:jc w:val="center"/>
        <w:rPr>
          <w:rFonts w:ascii="方正仿宋_GBK" w:hAnsi="方正仿宋_GBK" w:eastAsia="方正仿宋_GBK" w:cs="方正仿宋_GBK"/>
          <w:sz w:val="32"/>
          <w:szCs w:val="32"/>
        </w:rPr>
      </w:pPr>
    </w:p>
    <w:p w14:paraId="06E28457">
      <w:pPr>
        <w:pStyle w:val="2"/>
        <w:rPr>
          <w:rFonts w:ascii="方正仿宋_GBK" w:hAnsi="方正仿宋_GBK" w:eastAsia="方正仿宋_GBK" w:cs="方正仿宋_GBK"/>
        </w:rPr>
      </w:pPr>
    </w:p>
    <w:p w14:paraId="2509EEC6">
      <w:pPr>
        <w:rPr>
          <w:rFonts w:ascii="方正仿宋_GBK" w:hAnsi="方正仿宋_GBK" w:eastAsia="方正仿宋_GBK" w:cs="方正仿宋_GBK"/>
          <w:sz w:val="32"/>
          <w:szCs w:val="32"/>
        </w:rPr>
      </w:pPr>
    </w:p>
    <w:p w14:paraId="564BFBEE">
      <w:pPr>
        <w:rPr>
          <w:rFonts w:ascii="方正仿宋_GBK" w:hAnsi="方正仿宋_GBK" w:eastAsia="方正仿宋_GBK" w:cs="方正仿宋_GBK"/>
        </w:rPr>
      </w:pPr>
    </w:p>
    <w:p w14:paraId="041D1B9A">
      <w:pPr>
        <w:spacing w:line="560" w:lineRule="exact"/>
        <w:jc w:val="center"/>
        <w:rPr>
          <w:rFonts w:ascii="方正仿宋_GBK" w:hAnsi="方正仿宋_GBK" w:eastAsia="方正仿宋_GBK" w:cs="方正仿宋_GBK"/>
          <w:sz w:val="32"/>
          <w:szCs w:val="32"/>
        </w:rPr>
      </w:pPr>
    </w:p>
    <w:p w14:paraId="28A265BD">
      <w:pPr>
        <w:spacing w:line="560" w:lineRule="exact"/>
        <w:jc w:val="center"/>
        <w:rPr>
          <w:rFonts w:ascii="方正仿宋_GBK" w:hAnsi="方正仿宋_GBK" w:eastAsia="方正仿宋_GBK" w:cs="方正仿宋_GBK"/>
          <w:sz w:val="32"/>
          <w:szCs w:val="32"/>
        </w:rPr>
      </w:pPr>
    </w:p>
    <w:p w14:paraId="0023A1B3">
      <w:pPr>
        <w:spacing w:line="560" w:lineRule="exact"/>
        <w:rPr>
          <w:rFonts w:ascii="方正仿宋_GBK" w:hAnsi="方正仿宋_GBK" w:eastAsia="方正仿宋_GBK" w:cs="方正仿宋_GBK"/>
          <w:sz w:val="32"/>
          <w:szCs w:val="32"/>
        </w:rPr>
      </w:pPr>
    </w:p>
    <w:p w14:paraId="54D815E5">
      <w:pPr>
        <w:spacing w:line="560" w:lineRule="exact"/>
        <w:ind w:firstLine="960" w:firstLineChars="3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项目名称：聘用人员劳务费用</w:t>
      </w:r>
    </w:p>
    <w:p w14:paraId="72871B28">
      <w:pPr>
        <w:spacing w:line="560" w:lineRule="exact"/>
        <w:ind w:firstLine="960" w:firstLineChars="3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部门单位名称（公章）：巴州特种设备检验检测所</w:t>
      </w:r>
    </w:p>
    <w:p w14:paraId="706307ED">
      <w:pPr>
        <w:spacing w:line="560" w:lineRule="exact"/>
        <w:ind w:firstLine="960" w:firstLineChars="3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主管部门：巴州市场监督管理局</w:t>
      </w:r>
    </w:p>
    <w:p w14:paraId="7A6C73D4">
      <w:pPr>
        <w:spacing w:line="560" w:lineRule="exact"/>
        <w:ind w:firstLine="960" w:firstLineChars="3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项目负责人（签章）：陈建国</w:t>
      </w:r>
    </w:p>
    <w:p w14:paraId="609DEB20">
      <w:pPr>
        <w:spacing w:line="560" w:lineRule="exact"/>
        <w:ind w:firstLine="960" w:firstLineChars="3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填报时间：2020年5月10日</w:t>
      </w:r>
    </w:p>
    <w:p w14:paraId="3FEA2A46">
      <w:pPr>
        <w:pStyle w:val="12"/>
        <w:snapToGrid w:val="0"/>
        <w:spacing w:line="560" w:lineRule="exact"/>
        <w:ind w:firstLine="0" w:firstLineChars="0"/>
        <w:rPr>
          <w:rFonts w:ascii="方正小标宋_GBK" w:hAnsi="方正小标宋_GBK" w:eastAsia="方正小标宋_GBK" w:cs="方正小标宋_GBK"/>
          <w:kern w:val="0"/>
          <w:sz w:val="36"/>
          <w:szCs w:val="36"/>
        </w:rPr>
      </w:pPr>
    </w:p>
    <w:p w14:paraId="08532993">
      <w:pPr>
        <w:pStyle w:val="12"/>
        <w:snapToGrid w:val="0"/>
        <w:spacing w:line="560" w:lineRule="exact"/>
        <w:ind w:firstLine="0" w:firstLineChars="0"/>
        <w:jc w:val="center"/>
        <w:rPr>
          <w:rFonts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聘用人员劳务费用项目自评报告</w:t>
      </w:r>
    </w:p>
    <w:p w14:paraId="5E6EA967">
      <w:pPr>
        <w:pStyle w:val="12"/>
        <w:snapToGrid w:val="0"/>
        <w:spacing w:line="560" w:lineRule="exact"/>
        <w:ind w:firstLine="640"/>
        <w:rPr>
          <w:rFonts w:ascii="方正仿宋_GBK" w:hAnsi="方正仿宋_GBK" w:eastAsia="方正仿宋_GBK" w:cs="方正仿宋_GBK"/>
          <w:b/>
          <w:bCs/>
          <w:kern w:val="0"/>
          <w:sz w:val="32"/>
          <w:szCs w:val="32"/>
        </w:rPr>
      </w:pPr>
      <w:r>
        <w:rPr>
          <w:rFonts w:hint="eastAsia" w:ascii="方正仿宋_GBK" w:hAnsi="方正仿宋_GBK" w:eastAsia="方正仿宋_GBK" w:cs="方正仿宋_GBK"/>
          <w:sz w:val="32"/>
          <w:szCs w:val="32"/>
        </w:rPr>
        <w:t>根据《关于做好自治区2019年度预算绩效评价工作的通知》、《项目支出绩效评价管理办法》（财预﹝2020﹞10号）和自治州《县市预算绩效工作安排》的文件精神和相关要求，结合预算绩效工作开展情况，现就项目绩效分析评价情况报告如下：</w:t>
      </w:r>
    </w:p>
    <w:p w14:paraId="16EA7037">
      <w:pPr>
        <w:pStyle w:val="12"/>
        <w:snapToGrid w:val="0"/>
        <w:spacing w:line="560" w:lineRule="exact"/>
        <w:ind w:left="720" w:hanging="153" w:firstLineChars="0"/>
        <w:rPr>
          <w:rFonts w:ascii="方正仿宋_GBK" w:hAnsi="方正仿宋_GBK" w:eastAsia="方正仿宋_GBK" w:cs="方正仿宋_GBK"/>
          <w:b/>
          <w:bCs/>
          <w:color w:val="333333"/>
          <w:sz w:val="32"/>
          <w:szCs w:val="32"/>
        </w:rPr>
      </w:pPr>
      <w:r>
        <w:rPr>
          <w:rFonts w:hint="eastAsia" w:ascii="方正仿宋_GBK" w:hAnsi="方正仿宋_GBK" w:eastAsia="方正仿宋_GBK" w:cs="方正仿宋_GBK"/>
          <w:b/>
          <w:bCs/>
          <w:color w:val="333333"/>
          <w:sz w:val="32"/>
          <w:szCs w:val="32"/>
        </w:rPr>
        <w:t>一、基本情况</w:t>
      </w:r>
    </w:p>
    <w:p w14:paraId="6C409C2D">
      <w:pPr>
        <w:spacing w:line="560" w:lineRule="exact"/>
        <w:ind w:firstLine="627" w:firstLineChars="200"/>
        <w:outlineLvl w:val="0"/>
        <w:rPr>
          <w:rStyle w:val="9"/>
          <w:rFonts w:ascii="方正仿宋_GBK" w:hAnsi="方正仿宋_GBK" w:eastAsia="方正仿宋_GBK" w:cs="方正仿宋_GBK"/>
          <w:bCs w:val="0"/>
          <w:spacing w:val="-4"/>
          <w:sz w:val="32"/>
          <w:szCs w:val="32"/>
        </w:rPr>
      </w:pPr>
      <w:r>
        <w:rPr>
          <w:rStyle w:val="9"/>
          <w:rFonts w:hint="eastAsia" w:ascii="方正仿宋_GBK" w:hAnsi="方正仿宋_GBK" w:eastAsia="方正仿宋_GBK" w:cs="方正仿宋_GBK"/>
          <w:bCs w:val="0"/>
          <w:spacing w:val="-4"/>
          <w:sz w:val="32"/>
          <w:szCs w:val="32"/>
        </w:rPr>
        <w:t>（一）项目概况</w:t>
      </w:r>
    </w:p>
    <w:p w14:paraId="76D61214">
      <w:pPr>
        <w:spacing w:line="560" w:lineRule="exact"/>
        <w:ind w:firstLine="627" w:firstLineChars="200"/>
        <w:outlineLvl w:val="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Cs w:val="0"/>
          <w:spacing w:val="-4"/>
          <w:sz w:val="32"/>
          <w:szCs w:val="32"/>
        </w:rPr>
        <w:t>1.项目背景：</w:t>
      </w:r>
    </w:p>
    <w:p w14:paraId="56A55062">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巴州特种设备检验检测所经国家质监总局审核评审中心评审鉴定，通过36项特种设备检验检测项目，取得综合机构甲类检验检测资质证书，是巴州特种设备法定检验检测机构。</w:t>
      </w:r>
    </w:p>
    <w:p w14:paraId="4F2F2E5B">
      <w:pPr>
        <w:spacing w:line="560" w:lineRule="exact"/>
        <w:ind w:firstLine="627" w:firstLineChars="200"/>
        <w:outlineLvl w:val="0"/>
        <w:rPr>
          <w:rStyle w:val="9"/>
          <w:rFonts w:ascii="方正仿宋_GBK" w:hAnsi="方正仿宋_GBK" w:eastAsia="方正仿宋_GBK" w:cs="方正仿宋_GBK"/>
          <w:bCs w:val="0"/>
          <w:spacing w:val="-4"/>
          <w:sz w:val="32"/>
          <w:szCs w:val="32"/>
          <w:lang w:val="zh-CN"/>
        </w:rPr>
      </w:pPr>
      <w:r>
        <w:rPr>
          <w:rStyle w:val="9"/>
          <w:rFonts w:hint="eastAsia" w:ascii="方正仿宋_GBK" w:hAnsi="方正仿宋_GBK" w:eastAsia="方正仿宋_GBK" w:cs="方正仿宋_GBK"/>
          <w:bCs w:val="0"/>
          <w:spacing w:val="-4"/>
          <w:sz w:val="32"/>
          <w:szCs w:val="32"/>
        </w:rPr>
        <w:t>2.项目内容</w:t>
      </w:r>
    </w:p>
    <w:p w14:paraId="7F6C6A27">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所负责对全州“八县一市”的特种设备进行检验检测，承担着全州各企事业单位、中石油塔里木油田分公司、中石化西北石油局、河南油田塔里木勘探公司等中央、自治区驻州单位，以及外地区请检单位的各类锅炉、压力容器、压力管道、各类电梯、起重机械、厂内机动车辆等特种设备制造、安装、修理改造、使用的监督检验和定期检验工作。</w:t>
      </w:r>
    </w:p>
    <w:p w14:paraId="2B2CD808">
      <w:pPr>
        <w:spacing w:line="560" w:lineRule="exact"/>
        <w:ind w:firstLine="627" w:firstLineChars="200"/>
        <w:outlineLvl w:val="0"/>
        <w:rPr>
          <w:rStyle w:val="9"/>
          <w:rFonts w:ascii="方正仿宋_GBK" w:hAnsi="方正仿宋_GBK" w:eastAsia="方正仿宋_GBK" w:cs="方正仿宋_GBK"/>
          <w:bCs w:val="0"/>
          <w:spacing w:val="-4"/>
          <w:sz w:val="32"/>
          <w:szCs w:val="32"/>
        </w:rPr>
      </w:pPr>
      <w:r>
        <w:rPr>
          <w:rStyle w:val="9"/>
          <w:rFonts w:hint="eastAsia" w:ascii="方正仿宋_GBK" w:hAnsi="方正仿宋_GBK" w:eastAsia="方正仿宋_GBK" w:cs="方正仿宋_GBK"/>
          <w:bCs w:val="0"/>
          <w:spacing w:val="-4"/>
          <w:sz w:val="32"/>
          <w:szCs w:val="32"/>
        </w:rPr>
        <w:t>3.项目实施情况</w:t>
      </w:r>
    </w:p>
    <w:p w14:paraId="07BCC91B">
      <w:pPr>
        <w:spacing w:line="560" w:lineRule="exact"/>
        <w:ind w:firstLine="640" w:firstLineChars="200"/>
        <w:jc w:val="left"/>
        <w:rPr>
          <w:b/>
          <w:bCs/>
        </w:rPr>
      </w:pPr>
      <w:r>
        <w:rPr>
          <w:rFonts w:hint="eastAsia" w:ascii="方正仿宋_GBK" w:hAnsi="方正仿宋_GBK" w:eastAsia="方正仿宋_GBK" w:cs="方正仿宋_GBK"/>
          <w:sz w:val="32"/>
          <w:szCs w:val="32"/>
        </w:rPr>
        <w:t>根据年初制定计划，已实施完成。因单位需要配备培养高素质的技术人员及大量的检验人员。本所现有在编人员37人，因业务量大，需要聘用大量人员进行特种设备检验及辅助工作。2019年需聘用人员70人，保安10人。实际聘用人员71人，与去年同期相比增加10人。同时加大对巴州境内的中石油塔里木油田分公司、中石化西北分公司、中泰集团、金特和钢、轮台天运、国投罗钾等大型企业的服务力度，同时加强监管力度，提升特种设备的检验检测工作质量、服务质量，持续保障全州特种设备的安全运行。加强专业技术人员的培训、学习。</w:t>
      </w:r>
    </w:p>
    <w:p w14:paraId="512FCA77">
      <w:pPr>
        <w:numPr>
          <w:ilvl w:val="0"/>
          <w:numId w:val="1"/>
        </w:numPr>
        <w:spacing w:line="560" w:lineRule="exact"/>
        <w:ind w:firstLine="602" w:firstLineChars="200"/>
        <w:rPr>
          <w:rFonts w:eastAsia="黑体"/>
        </w:rPr>
      </w:pPr>
      <w:r>
        <w:rPr>
          <w:rFonts w:hint="eastAsia"/>
          <w:b/>
          <w:bCs/>
        </w:rPr>
        <w:t>资金投入</w:t>
      </w:r>
    </w:p>
    <w:p w14:paraId="4B91CC13">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根据年初预算聘用人员劳务费用项目支出370万元，财政拨款370万元。</w:t>
      </w:r>
    </w:p>
    <w:p w14:paraId="7B5C5734">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（二）项目绩效目标</w:t>
      </w:r>
    </w:p>
    <w:p w14:paraId="64AF2BDD">
      <w:pPr>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1.总体目标和阶段性目标。</w:t>
      </w:r>
    </w:p>
    <w:p w14:paraId="2921B088">
      <w:pPr>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（1）总体目标</w:t>
      </w:r>
    </w:p>
    <w:p w14:paraId="329CC6E7">
      <w:pPr>
        <w:spacing w:line="560" w:lineRule="exact"/>
        <w:ind w:firstLine="640" w:firstLineChars="200"/>
      </w:pPr>
      <w:r>
        <w:rPr>
          <w:rFonts w:hint="eastAsia" w:ascii="方正仿宋_GBK" w:hAnsi="方正仿宋_GBK" w:eastAsia="方正仿宋_GBK" w:cs="方正仿宋_GBK"/>
          <w:sz w:val="32"/>
          <w:szCs w:val="32"/>
        </w:rPr>
        <w:t>巴州特检所作为一个技术机构，始终坚信我们的优势在技术，潜力在技术，技术支撑是特检事业发展的不竭动力和力量源泉。本所秉持着在巩固原有技术能力的基础上，不断提高技术服务的能力,为巴州建立最高等级的社会公众计量标准。加强监管力度，提升特种设备的检验检测工作质量、服务质量，持续保障全州特</w:t>
      </w:r>
      <w:r>
        <w:rPr>
          <w:rFonts w:hint="eastAsia"/>
        </w:rPr>
        <w:t>种设备的安全运行。</w:t>
      </w:r>
    </w:p>
    <w:p w14:paraId="44959E3A">
      <w:pPr>
        <w:spacing w:line="560" w:lineRule="exact"/>
        <w:ind w:firstLine="602" w:firstLineChars="200"/>
        <w:rPr>
          <w:b/>
          <w:bCs/>
        </w:rPr>
      </w:pPr>
      <w:r>
        <w:rPr>
          <w:rFonts w:hint="eastAsia"/>
          <w:b/>
          <w:bCs/>
        </w:rPr>
        <w:t>（2）阶段性目标</w:t>
      </w:r>
    </w:p>
    <w:p w14:paraId="4885BA95">
      <w:pPr>
        <w:spacing w:line="56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我所主要从事特种设备锅炉（水质）、压力容器、压力管道、起重机、电梯、厂车等的检验检测，对气瓶的定期检验和报废气瓶的处理，维护巴州地区特种设备的正常运行和安全。阶段性目标为完成2019年检验任务，完成非税收入3000万元，确保巴州特种设备安全运行。聘用人员劳务费用项目，年初绩效目标设定为：辅助完成全年非税收入≥3000万元，完成特种设备报检数量≥70000台件；年度聘用人员劳务费用≤370万元；特种设备检验报告正确率≥98%、特种设备合格率≥98%、特种设备安全运行≥98%、企业满意度≥98%；年度目标在2019年12月31日前完成。</w:t>
      </w:r>
    </w:p>
    <w:p w14:paraId="34E3B165">
      <w:pPr>
        <w:spacing w:line="560" w:lineRule="exact"/>
        <w:ind w:firstLine="602" w:firstLineChars="200"/>
        <w:rPr>
          <w:b/>
          <w:bCs/>
        </w:rPr>
      </w:pPr>
      <w:r>
        <w:rPr>
          <w:rFonts w:hint="eastAsia"/>
          <w:b/>
          <w:bCs/>
        </w:rPr>
        <w:t>二、绩效评价工作开展情况</w:t>
      </w:r>
    </w:p>
    <w:p w14:paraId="138756C4">
      <w:pPr>
        <w:spacing w:line="560" w:lineRule="exact"/>
        <w:ind w:firstLine="602" w:firstLineChars="200"/>
        <w:rPr>
          <w:b/>
          <w:bCs/>
        </w:rPr>
      </w:pPr>
      <w:r>
        <w:rPr>
          <w:rFonts w:hint="eastAsia"/>
          <w:b/>
          <w:bCs/>
        </w:rPr>
        <w:t>（一）绩效评价目的、对象和范围</w:t>
      </w:r>
    </w:p>
    <w:p w14:paraId="3856DAD9">
      <w:pPr>
        <w:spacing w:line="560" w:lineRule="exact"/>
        <w:ind w:firstLine="602" w:firstLineChars="200"/>
        <w:rPr>
          <w:b/>
          <w:bCs/>
        </w:rPr>
      </w:pPr>
      <w:r>
        <w:rPr>
          <w:rFonts w:hint="eastAsia"/>
          <w:b/>
          <w:bCs/>
        </w:rPr>
        <w:t>1.绩效评价的目的</w:t>
      </w:r>
    </w:p>
    <w:p w14:paraId="404E6C5D">
      <w:pPr>
        <w:spacing w:line="560" w:lineRule="exact"/>
        <w:ind w:firstLine="600" w:firstLineChars="200"/>
        <w:rPr>
          <w:rFonts w:ascii="方正仿宋_GBK" w:hAnsi="方正仿宋_GBK" w:eastAsia="方正仿宋_GBK" w:cs="方正仿宋_GBK"/>
          <w:sz w:val="32"/>
          <w:szCs w:val="32"/>
          <w:lang w:val="zh-CN"/>
        </w:rPr>
      </w:pPr>
      <w:r>
        <w:rPr>
          <w:rFonts w:hint="eastAsia" w:ascii="方正仿宋_GBK" w:hAnsi="方正仿宋_GBK" w:eastAsia="方正仿宋_GBK" w:cs="方正仿宋_GBK"/>
          <w:lang w:val="zh-CN"/>
        </w:rPr>
        <w:t>通过对项目开展绩效评价工作，</w:t>
      </w:r>
      <w:r>
        <w:rPr>
          <w:rFonts w:hint="eastAsia" w:ascii="方正仿宋_GBK" w:hAnsi="方正仿宋_GBK" w:eastAsia="方正仿宋_GBK" w:cs="方正仿宋_GBK"/>
        </w:rPr>
        <w:t>进一步落实了专项项目实施情况，检验项目绩效目标设置是否科学，了解资金使用是否达到了预期目标，资金管理是否规范、资金的使用是否有效、明确资金支出效率和效果，</w:t>
      </w:r>
      <w:r>
        <w:rPr>
          <w:rFonts w:hint="eastAsia" w:ascii="方正仿宋_GBK" w:hAnsi="方正仿宋_GBK" w:eastAsia="方正仿宋_GBK" w:cs="方正仿宋_GBK"/>
          <w:sz w:val="32"/>
          <w:szCs w:val="32"/>
          <w:lang w:val="zh-CN"/>
        </w:rPr>
        <w:t>及时总结经验，分析存在的问题及原因，有针对性地采取有效措施进一步改进和加强专项资金管理，从而加强预算效绩管理，增强支出责任，逐步探索建立部门、专项科学、合理的财政支出绩效评价管理体系，提高财政资金的使用效益，不断提升财政资金科学化、精细化管理水平，提高单位行政效能和用财水平，</w:t>
      </w:r>
      <w:r>
        <w:rPr>
          <w:rFonts w:hint="eastAsia" w:ascii="方正仿宋_GBK" w:hAnsi="方正仿宋_GBK" w:eastAsia="方正仿宋_GBK" w:cs="方正仿宋_GBK"/>
        </w:rPr>
        <w:t>在评价过程中采取定量指标与定性指标相结合，定性指标定量化，定量为主、定性为辅的方式开展项目绩效评价工作，保证此次绩效评价真实、有效。</w:t>
      </w:r>
    </w:p>
    <w:p w14:paraId="3AE60A82">
      <w:pPr>
        <w:spacing w:line="560" w:lineRule="exact"/>
        <w:ind w:firstLine="643" w:firstLineChars="200"/>
        <w:jc w:val="left"/>
        <w:rPr>
          <w:rFonts w:ascii="仿宋_GB2312"/>
          <w:b/>
          <w:bCs/>
          <w:sz w:val="32"/>
          <w:szCs w:val="32"/>
        </w:rPr>
      </w:pPr>
      <w:r>
        <w:rPr>
          <w:rFonts w:ascii="仿宋_GB2312" w:hAnsi="仿宋_GB2312" w:cs="仿宋_GB2312"/>
          <w:b/>
          <w:bCs/>
          <w:sz w:val="32"/>
          <w:szCs w:val="32"/>
        </w:rPr>
        <w:t>2</w:t>
      </w:r>
      <w:r>
        <w:rPr>
          <w:rFonts w:hint="eastAsia" w:ascii="仿宋_GB2312" w:hAnsi="仿宋_GB2312" w:cs="仿宋_GB2312"/>
          <w:b/>
          <w:bCs/>
          <w:sz w:val="32"/>
          <w:szCs w:val="32"/>
        </w:rPr>
        <w:t>、绩效评价对象</w:t>
      </w:r>
    </w:p>
    <w:p w14:paraId="4851D714">
      <w:pPr>
        <w:spacing w:line="600" w:lineRule="exact"/>
        <w:ind w:firstLine="640" w:firstLineChars="200"/>
        <w:rPr>
          <w:rFonts w:ascii="方正仿宋_GBK" w:hAnsi="方正仿宋_GBK" w:eastAsia="方正仿宋_GBK" w:cs="方正仿宋_GBK"/>
          <w:sz w:val="32"/>
          <w:szCs w:val="32"/>
          <w:lang w:val="zh-CN"/>
        </w:rPr>
      </w:pPr>
      <w:r>
        <w:rPr>
          <w:rFonts w:hint="eastAsia" w:ascii="方正仿宋_GBK" w:hAnsi="方正仿宋_GBK" w:eastAsia="方正仿宋_GBK" w:cs="方正仿宋_GBK"/>
          <w:sz w:val="32"/>
          <w:szCs w:val="32"/>
        </w:rPr>
        <w:t>对2019年聘用人员劳务费用项目经费的使用进行评价</w:t>
      </w:r>
    </w:p>
    <w:p w14:paraId="4E68E6F3">
      <w:pPr>
        <w:spacing w:line="560" w:lineRule="exact"/>
        <w:ind w:firstLine="643" w:firstLineChars="200"/>
        <w:jc w:val="left"/>
        <w:rPr>
          <w:rFonts w:ascii="仿宋_GB2312"/>
          <w:b/>
          <w:bCs/>
          <w:sz w:val="32"/>
          <w:szCs w:val="32"/>
        </w:rPr>
      </w:pPr>
      <w:r>
        <w:rPr>
          <w:rFonts w:ascii="仿宋_GB2312" w:hAnsi="仿宋_GB2312" w:cs="仿宋_GB2312"/>
          <w:b/>
          <w:bCs/>
          <w:sz w:val="32"/>
          <w:szCs w:val="32"/>
        </w:rPr>
        <w:t>3</w:t>
      </w:r>
      <w:r>
        <w:rPr>
          <w:rFonts w:hint="eastAsia" w:ascii="仿宋_GB2312" w:hAnsi="仿宋_GB2312" w:cs="仿宋_GB2312"/>
          <w:b/>
          <w:bCs/>
          <w:sz w:val="32"/>
          <w:szCs w:val="32"/>
        </w:rPr>
        <w:t>、绩效评价范围</w:t>
      </w:r>
    </w:p>
    <w:p w14:paraId="638FF8E3">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项目涉及的州特检所负责人和综合科管理人员对2019年聘用人员劳务费用项目在决策、管理、产出与效果全过程绩效情况进行的评价。</w:t>
      </w:r>
    </w:p>
    <w:p w14:paraId="3D061839">
      <w:pPr>
        <w:spacing w:line="600" w:lineRule="exact"/>
        <w:ind w:firstLine="643" w:firstLineChars="200"/>
        <w:outlineLvl w:val="1"/>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（二）绩效评价原则、评价指标体系、评价方法、评价标准</w:t>
      </w:r>
    </w:p>
    <w:p w14:paraId="275C8B94">
      <w:pPr>
        <w:widowControl/>
        <w:numPr>
          <w:ilvl w:val="0"/>
          <w:numId w:val="2"/>
        </w:numPr>
        <w:adjustRightInd w:val="0"/>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绩效评价原则</w:t>
      </w:r>
    </w:p>
    <w:p w14:paraId="1BDFDE2C">
      <w:pPr>
        <w:widowControl/>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绩效评价严格执行规范的程序，按照科学可行的要求，遵循公正公开、与项目实际相关的原则。对项目产出指标具体完成情况与应达到的目标值进行比较，进行定量评价得分；对项目决策、管理过程等评价指标，根据单位实际情况和相关规范进行比对分析，按照指标实际达到相关规范的程度进行定性评价得分。遵循符合真实、客观、公正的要求，按照财政支出绩效管理相关规范的规定开展。绩效评价应当针对具体支出及其产出绩效进行，评价结果能够清晰反映支出和产出绩效之间的紧密对应关系。</w:t>
      </w:r>
    </w:p>
    <w:p w14:paraId="353D2DBC">
      <w:pPr>
        <w:spacing w:line="560" w:lineRule="exact"/>
        <w:ind w:firstLine="643" w:firstLineChars="200"/>
        <w:jc w:val="left"/>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2.评价指标体系（附表说明）</w:t>
      </w:r>
    </w:p>
    <w:p w14:paraId="67CD8C68">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评价指标体系包括决策、过程、产出、效益指标，其中产出、效益指标包括数量、质量、时效、成本、经济效益、社会效益、生态效益、可持续影响、满意度等指标，具体评价指标详见《项目支出绩效评价指标体系框架》、《项目绩效目标自评表》　</w:t>
      </w:r>
    </w:p>
    <w:p w14:paraId="57D6D6C0">
      <w:pPr>
        <w:spacing w:line="560" w:lineRule="exact"/>
        <w:ind w:left="642"/>
        <w:rPr>
          <w:rFonts w:ascii="方正仿宋_GBK" w:hAnsi="方正仿宋_GBK" w:eastAsia="方正仿宋_GBK" w:cs="方正仿宋_GBK"/>
          <w:sz w:val="32"/>
          <w:szCs w:val="32"/>
        </w:rPr>
      </w:pPr>
    </w:p>
    <w:p w14:paraId="421D71D6">
      <w:pPr>
        <w:widowControl/>
        <w:adjustRightInd w:val="0"/>
        <w:snapToGrid w:val="0"/>
        <w:spacing w:line="560" w:lineRule="exact"/>
        <w:ind w:left="600" w:left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3.绩效评价方法</w:t>
      </w:r>
    </w:p>
    <w:p w14:paraId="72E9FF64">
      <w:pPr>
        <w:widowControl/>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紧紧围绕专项资金的特点，确定本次绩效评价方法。本项目绩效评价综合采用多种评价方法进行评价，以对项目资金的使用过程和效果做出全面、准确和客观地评价。</w:t>
      </w:r>
    </w:p>
    <w:p w14:paraId="568CB792">
      <w:pPr>
        <w:widowControl/>
        <w:numPr>
          <w:ilvl w:val="0"/>
          <w:numId w:val="3"/>
        </w:numPr>
        <w:adjustRightInd w:val="0"/>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预定目标与实施效果的比较法</w:t>
      </w:r>
    </w:p>
    <w:p w14:paraId="5425D30A">
      <w:pPr>
        <w:widowControl/>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通过对项目产生的实际经济效益、社会效益与预期目标进行分析对比和定性分析、定量分析，分析哪些预期目标已经完成（包含全部完成和部分完成），哪些没有完成，从而评价财政支出绩效。</w:t>
      </w:r>
    </w:p>
    <w:p w14:paraId="54E6777D">
      <w:pPr>
        <w:widowControl/>
        <w:numPr>
          <w:ilvl w:val="0"/>
          <w:numId w:val="3"/>
        </w:numPr>
        <w:adjustRightInd w:val="0"/>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因素分析法</w:t>
      </w:r>
    </w:p>
    <w:p w14:paraId="21F00E6A">
      <w:pPr>
        <w:widowControl/>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是指通过综合分析影响绩效目标实现、实施效果的内外因素，评价绩效目标实现程度。</w:t>
      </w:r>
    </w:p>
    <w:p w14:paraId="2D444E31">
      <w:pPr>
        <w:widowControl/>
        <w:numPr>
          <w:ilvl w:val="0"/>
          <w:numId w:val="3"/>
        </w:numPr>
        <w:adjustRightInd w:val="0"/>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最低成本法</w:t>
      </w:r>
    </w:p>
    <w:p w14:paraId="729B4FA8">
      <w:pPr>
        <w:widowControl/>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是指对效益确定却不易计量的多个同类对象的实施成本进行比较，评价绩效目标实现程度。</w:t>
      </w:r>
    </w:p>
    <w:p w14:paraId="5B2D6D09">
      <w:pPr>
        <w:widowControl/>
        <w:numPr>
          <w:ilvl w:val="0"/>
          <w:numId w:val="3"/>
        </w:numPr>
        <w:adjustRightInd w:val="0"/>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问卷调查法</w:t>
      </w:r>
    </w:p>
    <w:p w14:paraId="0DBFD860">
      <w:pPr>
        <w:widowControl/>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设计有针对性的调查问卷，通过对服务对象等群体发放调查问卷，最终获取对项目的满意度情况。</w:t>
      </w:r>
    </w:p>
    <w:p w14:paraId="0896A2DC">
      <w:pPr>
        <w:widowControl/>
        <w:adjustRightInd w:val="0"/>
        <w:snapToGrid w:val="0"/>
        <w:spacing w:line="560" w:lineRule="exact"/>
        <w:ind w:left="600" w:left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4.评价标准</w:t>
      </w:r>
    </w:p>
    <w:p w14:paraId="6B900DE9">
      <w:pPr>
        <w:widowControl/>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本次评价标准按计划标准评价。按年初制定的绩效目标、计划、预算为评价标准。总分设置为100分，等级一般划分为四档：90（含）-100分为优、80（含）-90分为良、60（含）-80分为中、60分以下为差。</w:t>
      </w:r>
    </w:p>
    <w:p w14:paraId="32C93CF7">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（三）绩效评价工作过程。</w:t>
      </w:r>
    </w:p>
    <w:p w14:paraId="2DB752F8">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首先，进行前期准备工作，制定绩效评价前期工作计划。然后组织项目小组正式进驻现场，开展绩效评价工作。本次自评于2020年4月10日开展前期工作，于2020年4月30日出具绩效自评报告书，整个评价工作分以下几个阶段进行：</w:t>
      </w:r>
    </w:p>
    <w:p w14:paraId="68C98EFF">
      <w:pPr>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1.前期准备工作</w:t>
      </w:r>
    </w:p>
    <w:p w14:paraId="60D7F0D3">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在明确评价目的、评价对象、范围及项目内容的基础上，根据绩效评价规范的要求和本次评价的实际情况，组建项目</w:t>
      </w:r>
      <w:bookmarkStart w:id="0" w:name="_Hlk39485463"/>
      <w:r>
        <w:rPr>
          <w:rFonts w:hint="eastAsia" w:ascii="方正仿宋_GBK" w:hAnsi="方正仿宋_GBK" w:eastAsia="方正仿宋_GBK" w:cs="方正仿宋_GBK"/>
          <w:sz w:val="32"/>
          <w:szCs w:val="32"/>
        </w:rPr>
        <w:t>评价工作小组</w:t>
      </w:r>
      <w:bookmarkEnd w:id="0"/>
      <w:r>
        <w:rPr>
          <w:rFonts w:hint="eastAsia" w:ascii="方正仿宋_GBK" w:hAnsi="方正仿宋_GBK" w:eastAsia="方正仿宋_GBK" w:cs="方正仿宋_GBK"/>
          <w:sz w:val="32"/>
          <w:szCs w:val="32"/>
        </w:rPr>
        <w:t>。评价工作小组结合财政部《财政支出绩效评价管理暂行办法》、《项目支出绩效评价管理办法》、巴州财政局《自治州财政支出绩效评价管理暂行办法》等文件，结合项目的实际情况，根据自治州项目绩效评价相关指标体系，制定了绩效评价方案。</w:t>
      </w:r>
    </w:p>
    <w:p w14:paraId="4A1FA244">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次评价工作，在收集并熟悉了项目实施、管理及其他文件资料后，全面了解此次绩效评价的内容、方法和要求之后。评价小组收集了项目立项文件资料、项目预算资金材料、项目工作总结，完成了项目基础信息表。项目小组成员根据了解的项目资料设计绩效评价指标体系初稿与项目管理部门沟通，同时确定各项证据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w:t>
      </w:r>
    </w:p>
    <w:p w14:paraId="46284D69">
      <w:pPr>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2.组织实施过程内容</w:t>
      </w:r>
    </w:p>
    <w:p w14:paraId="12EB695E">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照绩效评价规范要求，绩效评价工作小组在搜集准备了有关资料，对所有资料进行核实、验证。通过案卷研究、实地调研、集中座谈、随机抽样等方式，对被评价项目的相关资料信息进行收集、整理、分析，以评价该项目在项目投入、项目过程上是否依法依规，在项目绩效方面是否高效可持续。</w:t>
      </w:r>
    </w:p>
    <w:p w14:paraId="76BBCF78">
      <w:pPr>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3.绩效评价分析阶段</w:t>
      </w:r>
    </w:p>
    <w:p w14:paraId="25BE249A">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w:t>
      </w:r>
    </w:p>
    <w:p w14:paraId="082E2933">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w:t>
      </w:r>
    </w:p>
    <w:p w14:paraId="2FF17FFF">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4.绩效评价汇总阶段</w:t>
      </w:r>
    </w:p>
    <w:p w14:paraId="5054E72A">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对初步确定项目绩效的评价结果进行逐级复核、汇总、分析，核查评价工作中是否存在重复和遗漏的情况。在此基础上，撰写项目绩效评价报告初稿，经评审副组长审核后再由评审组长复核。</w:t>
      </w:r>
    </w:p>
    <w:p w14:paraId="17B3FE59">
      <w:pPr>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5.提交报告阶段</w:t>
      </w:r>
    </w:p>
    <w:p w14:paraId="3F432754">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各项审核完成后，收集整理齐全资料，统一上报财政部门。</w:t>
      </w:r>
    </w:p>
    <w:p w14:paraId="02D9016D">
      <w:pPr>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三、综合评价情况及评价结论</w:t>
      </w:r>
    </w:p>
    <w:p w14:paraId="5186D561">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（一）项目组织情况分析</w:t>
      </w:r>
    </w:p>
    <w:p w14:paraId="77629A0E">
      <w:pPr>
        <w:tabs>
          <w:tab w:val="left" w:pos="5474"/>
        </w:tabs>
        <w:spacing w:line="560" w:lineRule="exact"/>
        <w:ind w:firstLine="600" w:firstLineChars="200"/>
        <w:jc w:val="left"/>
        <w:rPr>
          <w:rFonts w:ascii="仿宋_GB2312"/>
        </w:rPr>
      </w:pPr>
      <w:r>
        <w:rPr>
          <w:rFonts w:ascii="仿宋_GB2312" w:hAnsi="仿宋_GB2312" w:cs="仿宋_GB2312"/>
        </w:rPr>
        <w:t>2019</w:t>
      </w:r>
      <w:r>
        <w:rPr>
          <w:rFonts w:hint="eastAsia" w:ascii="仿宋_GB2312" w:hAnsi="仿宋_GB2312" w:cs="仿宋_GB2312"/>
        </w:rPr>
        <w:t>年在上级领导的指导下，以项目预算绩效管理工作为抓手，努力探索推进预算绩效评价工作，初步建立了以绩效为导向，以预算部门，政府采购为核心的预算管理模式和财政支出的绩效的评价体系。在项目实施过程中，我单位加强组织领导，明确预算绩效管理工作思路和工作目标，成立财政预算资金绩效管理工作领导小组，对预算绩效管理总体目标、基本原则、实施范围、阶段任务及结果运用等方面有了进一步的认知。</w:t>
      </w:r>
    </w:p>
    <w:p w14:paraId="2CA02D40">
      <w:pPr>
        <w:tabs>
          <w:tab w:val="left" w:pos="5474"/>
        </w:tabs>
        <w:spacing w:line="560" w:lineRule="exact"/>
        <w:ind w:firstLine="600" w:firstLineChars="200"/>
        <w:jc w:val="left"/>
        <w:rPr>
          <w:rFonts w:ascii="仿宋_GB2312"/>
        </w:rPr>
      </w:pPr>
      <w:r>
        <w:rPr>
          <w:rFonts w:hint="eastAsia" w:ascii="仿宋_GB2312" w:hAnsi="仿宋_GB2312" w:cs="仿宋_GB2312"/>
        </w:rPr>
        <w:t>严格执行项目责任制、合同管理制，每月定期汇报等定期工作制度，发现问题及时整改，整个项目做到安全有序。各项工作均按绩效目标和计划要求开展</w:t>
      </w:r>
      <w:r>
        <w:rPr>
          <w:rFonts w:ascii="仿宋_GB2312" w:cs="仿宋_GB2312"/>
        </w:rPr>
        <w:t>,</w:t>
      </w:r>
      <w:r>
        <w:rPr>
          <w:rFonts w:hint="eastAsia" w:ascii="仿宋_GB2312" w:hAnsi="仿宋_GB2312" w:cs="仿宋_GB2312"/>
        </w:rPr>
        <w:t>按期完成了绩效目标。</w:t>
      </w:r>
    </w:p>
    <w:p w14:paraId="3309FE03">
      <w:pPr>
        <w:spacing w:line="600" w:lineRule="exact"/>
        <w:ind w:firstLine="640" w:firstLineChars="200"/>
        <w:outlineLvl w:val="1"/>
        <w:rPr>
          <w:rFonts w:ascii="楷体" w:hAnsi="楷体" w:eastAsia="楷体"/>
          <w:sz w:val="32"/>
          <w:szCs w:val="32"/>
        </w:rPr>
      </w:pPr>
      <w:r>
        <w:rPr>
          <w:rFonts w:hint="eastAsia" w:ascii="楷体" w:hAnsi="楷体" w:eastAsia="楷体" w:cs="楷体"/>
          <w:sz w:val="32"/>
          <w:szCs w:val="32"/>
        </w:rPr>
        <w:t>（二）项目管理情况分析</w:t>
      </w:r>
    </w:p>
    <w:p w14:paraId="74CD8E91">
      <w:pPr>
        <w:spacing w:line="560" w:lineRule="exact"/>
        <w:ind w:firstLine="600" w:firstLineChars="200"/>
        <w:jc w:val="left"/>
        <w:rPr>
          <w:rFonts w:ascii="仿宋_GB2312"/>
        </w:rPr>
      </w:pPr>
      <w:r>
        <w:rPr>
          <w:rFonts w:hint="eastAsia" w:ascii="仿宋_GB2312" w:hAnsi="仿宋_GB2312" w:cs="仿宋_GB2312"/>
        </w:rPr>
        <w:t>项目严格按照相关管理办法文件要求进行资金管理。严格执行国家法律、行政法规和财务规章制度，任何单位和个人不得侵占、挪用经费。该项目的实施遵守相关法律法规和业务管理规定，项目资料齐全并及时归档。不定期对项目进度情况进行督导检查，对检查过程中发现的问题及时督促整改，确保了项目按时保质完成。</w:t>
      </w:r>
    </w:p>
    <w:p w14:paraId="2EA39A47">
      <w:pPr>
        <w:widowControl/>
        <w:adjustRightInd w:val="0"/>
        <w:snapToGrid w:val="0"/>
        <w:spacing w:line="600" w:lineRule="exact"/>
        <w:ind w:firstLine="600" w:firstLineChars="200"/>
      </w:pPr>
      <w:r>
        <w:rPr>
          <w:rFonts w:hint="eastAsia" w:cs="仿宋_GB2312"/>
        </w:rPr>
        <w:t>根据绩效评价相关管理办法和考核工作要求，结合项目决策、项目过程、项目产出、项目效益等全过程管理以及指标考核表评分标准，本次绩效自评分数为</w:t>
      </w:r>
      <w:r>
        <w:rPr>
          <w:rFonts w:hint="eastAsia"/>
        </w:rPr>
        <w:t>95</w:t>
      </w:r>
      <w:r>
        <w:rPr>
          <w:rFonts w:hint="eastAsia" w:cs="仿宋_GB2312"/>
        </w:rPr>
        <w:t>分，评价结果为优。</w:t>
      </w:r>
    </w:p>
    <w:p w14:paraId="2807F62C">
      <w:pPr>
        <w:pStyle w:val="12"/>
        <w:snapToGrid w:val="0"/>
        <w:spacing w:line="560" w:lineRule="exact"/>
        <w:ind w:left="720" w:hanging="153" w:firstLineChars="0"/>
        <w:rPr>
          <w:rFonts w:ascii="方正仿宋_GBK" w:hAnsi="方正仿宋_GBK" w:eastAsia="方正仿宋_GBK" w:cs="方正仿宋_GBK"/>
          <w:b/>
          <w:bCs/>
          <w:color w:val="333333"/>
          <w:sz w:val="32"/>
          <w:szCs w:val="32"/>
        </w:rPr>
      </w:pPr>
      <w:r>
        <w:rPr>
          <w:rFonts w:hint="eastAsia" w:ascii="方正仿宋_GBK" w:hAnsi="方正仿宋_GBK" w:eastAsia="方正仿宋_GBK" w:cs="方正仿宋_GBK"/>
          <w:b/>
          <w:bCs/>
          <w:color w:val="333333"/>
          <w:sz w:val="32"/>
          <w:szCs w:val="32"/>
        </w:rPr>
        <w:t>四、绩效评价指标分析</w:t>
      </w:r>
    </w:p>
    <w:p w14:paraId="11F85236">
      <w:pPr>
        <w:spacing w:line="560" w:lineRule="exact"/>
        <w:ind w:firstLine="627" w:firstLineChars="200"/>
        <w:rPr>
          <w:rStyle w:val="9"/>
          <w:rFonts w:ascii="方正仿宋_GBK" w:hAnsi="方正仿宋_GBK" w:eastAsia="方正仿宋_GBK" w:cs="方正仿宋_GBK"/>
          <w:spacing w:val="-4"/>
          <w:sz w:val="32"/>
          <w:szCs w:val="32"/>
        </w:rPr>
      </w:pPr>
      <w:r>
        <w:rPr>
          <w:rStyle w:val="9"/>
          <w:rFonts w:hint="eastAsia" w:ascii="方正仿宋_GBK" w:hAnsi="方正仿宋_GBK" w:eastAsia="方正仿宋_GBK" w:cs="方正仿宋_GBK"/>
          <w:spacing w:val="-4"/>
          <w:sz w:val="32"/>
          <w:szCs w:val="32"/>
        </w:rPr>
        <w:t>（一）项目决策情况：</w:t>
      </w:r>
    </w:p>
    <w:p w14:paraId="7092F53A">
      <w:pPr>
        <w:pStyle w:val="3"/>
        <w:spacing w:line="60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项目立项依据充分，</w:t>
      </w:r>
      <w:r>
        <w:rPr>
          <w:rFonts w:hint="eastAsia" w:hAnsi="仿宋_GB2312"/>
          <w:sz w:val="32"/>
          <w:szCs w:val="32"/>
        </w:rPr>
        <w:t>立项批复符合法律法规、相关政策、发展规划以及部门职责要求；立项程序规范，照规定的程序申请设立；审批文件、材料符合相关要求；绩效目标设置合理，</w:t>
      </w:r>
      <w:r>
        <w:rPr>
          <w:rFonts w:hint="eastAsia" w:hAnsi="仿宋_GB2312"/>
          <w:kern w:val="2"/>
          <w:sz w:val="32"/>
          <w:szCs w:val="32"/>
        </w:rPr>
        <w:t>项目所设定的绩效目标依据充分，符合客观实际；绩效目标设置明确，绩效目标设定的绩效指标清晰、细化、可衡量；预算编制科学，项目预算编制经过科学论证、有明确标准，资金额度与年度目标相适应；资金分配合理，项目预算资金分配有测算依据，与实际相适应。</w:t>
      </w:r>
    </w:p>
    <w:p w14:paraId="1EB36F3F">
      <w:pPr>
        <w:spacing w:line="560" w:lineRule="exact"/>
        <w:ind w:firstLine="627" w:firstLineChars="200"/>
        <w:rPr>
          <w:rStyle w:val="9"/>
          <w:rFonts w:ascii="方正仿宋_GBK" w:hAnsi="方正仿宋_GBK" w:eastAsia="方正仿宋_GBK" w:cs="方正仿宋_GBK"/>
          <w:spacing w:val="-4"/>
          <w:sz w:val="32"/>
          <w:szCs w:val="32"/>
        </w:rPr>
      </w:pPr>
      <w:r>
        <w:rPr>
          <w:rStyle w:val="9"/>
          <w:rFonts w:hint="eastAsia" w:ascii="方正仿宋_GBK" w:hAnsi="方正仿宋_GBK" w:eastAsia="方正仿宋_GBK" w:cs="方正仿宋_GBK"/>
          <w:spacing w:val="-4"/>
          <w:sz w:val="32"/>
          <w:szCs w:val="32"/>
        </w:rPr>
        <w:t>（二）项目过程情况：</w:t>
      </w:r>
    </w:p>
    <w:p w14:paraId="5214A9D4">
      <w:pPr>
        <w:pStyle w:val="3"/>
        <w:spacing w:line="600" w:lineRule="exact"/>
        <w:ind w:firstLine="600" w:firstLineChars="200"/>
        <w:rPr>
          <w:rFonts w:eastAsia="楷体" w:cs="Times New Roman"/>
        </w:rPr>
      </w:pPr>
      <w:r>
        <w:rPr>
          <w:rFonts w:hint="eastAsia"/>
        </w:rPr>
        <w:t>专项资金按规定要求进行下达、执行。在项目实施过程中，业务科室严格按照</w:t>
      </w:r>
      <w:r>
        <w:rPr>
          <w:rFonts w:hint="eastAsia" w:hAnsi="仿宋_GB2312"/>
          <w:kern w:val="2"/>
          <w:sz w:val="32"/>
          <w:szCs w:val="32"/>
        </w:rPr>
        <w:t>相关法律法规和相关管理规定</w:t>
      </w:r>
      <w:bookmarkStart w:id="1" w:name="_GoBack"/>
      <w:bookmarkEnd w:id="1"/>
      <w:r>
        <w:rPr>
          <w:rFonts w:hint="eastAsia" w:hAnsi="仿宋_GB2312"/>
          <w:kern w:val="2"/>
          <w:sz w:val="32"/>
          <w:szCs w:val="32"/>
        </w:rPr>
        <w:t>以及</w:t>
      </w:r>
      <w:r>
        <w:rPr>
          <w:rFonts w:hint="eastAsia"/>
        </w:rPr>
        <w:t>单位内部</w:t>
      </w:r>
      <w:r>
        <w:rPr>
          <w:rFonts w:hint="eastAsia" w:hAnsi="仿宋_GB2312"/>
          <w:kern w:val="2"/>
          <w:sz w:val="32"/>
          <w:szCs w:val="32"/>
        </w:rPr>
        <w:t>财务和业务管理制度实施项目，程序合规、资料齐全；在资金使用过程中，单位财务严格按照国家财经法规和财务管理制度以及有关专项资金管理办法的规定进行拨付与管理，未发现有截留、挤占、挪用、虚列支出等情况。</w:t>
      </w:r>
    </w:p>
    <w:p w14:paraId="49C82B64">
      <w:pPr>
        <w:spacing w:line="56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2019年聘用人员劳务费用项目预算资金370万元，到位率100%，资金到位及时；资金使用严格按预算执行，</w:t>
      </w:r>
      <w:r>
        <w:rPr>
          <w:rFonts w:hint="eastAsia" w:hAnsi="仿宋_GB2312"/>
          <w:sz w:val="32"/>
          <w:szCs w:val="32"/>
        </w:rPr>
        <w:t>使用符合国家财经法规和财务管理制度以及有关专项资金管理办法的规定；资金的拨付有完整的审批程序和手续；资金使用符合项目预算批复或合同规定的用途；不存在截留、挤占、挪用、虚列支出等情况。</w:t>
      </w:r>
    </w:p>
    <w:p w14:paraId="51639577">
      <w:pPr>
        <w:spacing w:line="560" w:lineRule="exact"/>
        <w:ind w:firstLine="627" w:firstLineChars="200"/>
        <w:rPr>
          <w:rStyle w:val="9"/>
          <w:rFonts w:ascii="方正仿宋_GBK" w:hAnsi="方正仿宋_GBK" w:eastAsia="方正仿宋_GBK" w:cs="方正仿宋_GBK"/>
          <w:spacing w:val="-4"/>
          <w:sz w:val="32"/>
          <w:szCs w:val="32"/>
        </w:rPr>
      </w:pPr>
      <w:r>
        <w:rPr>
          <w:rStyle w:val="9"/>
          <w:rFonts w:hint="eastAsia" w:ascii="方正仿宋_GBK" w:hAnsi="方正仿宋_GBK" w:eastAsia="方正仿宋_GBK" w:cs="方正仿宋_GBK"/>
          <w:spacing w:val="-4"/>
          <w:sz w:val="32"/>
          <w:szCs w:val="32"/>
        </w:rPr>
        <w:t>（三）项目产出情况：</w:t>
      </w:r>
    </w:p>
    <w:p w14:paraId="5DAE8512">
      <w:pPr>
        <w:spacing w:line="56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对照年初制定的项目产出绩效指标来看，年度项目产出绩效目标基本完成，具体为：完成特种设备报检数量91693台件，特种设备检验报告正确率超过98%，特种设备合格率为98%，年度聘用人员劳务费用支出370万元；辅助完成全年非税收入3377.46万元。年度目标已在2019年12月31日前完成。</w:t>
      </w:r>
    </w:p>
    <w:p w14:paraId="7ECE2000">
      <w:pPr>
        <w:spacing w:line="560" w:lineRule="exact"/>
        <w:ind w:firstLine="627" w:firstLineChars="200"/>
        <w:rPr>
          <w:rStyle w:val="9"/>
          <w:rFonts w:ascii="方正仿宋_GBK" w:hAnsi="方正仿宋_GBK" w:eastAsia="方正仿宋_GBK" w:cs="方正仿宋_GBK"/>
          <w:spacing w:val="-4"/>
          <w:sz w:val="32"/>
          <w:szCs w:val="32"/>
        </w:rPr>
      </w:pPr>
      <w:r>
        <w:rPr>
          <w:rStyle w:val="9"/>
          <w:rFonts w:hint="eastAsia" w:ascii="方正仿宋_GBK" w:hAnsi="方正仿宋_GBK" w:eastAsia="方正仿宋_GBK" w:cs="方正仿宋_GBK"/>
          <w:spacing w:val="-4"/>
          <w:sz w:val="32"/>
          <w:szCs w:val="32"/>
        </w:rPr>
        <w:t>（四）项目效益情况：</w:t>
      </w:r>
    </w:p>
    <w:p w14:paraId="50342940">
      <w:pPr>
        <w:spacing w:line="56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对照年初制定的项目效益绩效指标来看，年度项目效益绩效目标基本完成，经济效益：辅助完成全年非税收入年初指标3000万元，实际完成3377.46万元；社会效益：特种设备安全运行率年初指标达到98%，实际叨叨98%。可持续影响效益：特种设备安全生产天数年初指标365天，实际完成365天。服务对象满意度年初指标98%，实际企业满意度为99%。</w:t>
      </w:r>
    </w:p>
    <w:p w14:paraId="2C7D5926">
      <w:pPr>
        <w:pStyle w:val="12"/>
        <w:numPr>
          <w:ilvl w:val="0"/>
          <w:numId w:val="4"/>
        </w:numPr>
        <w:snapToGrid w:val="0"/>
        <w:spacing w:line="560" w:lineRule="exact"/>
        <w:ind w:left="720" w:hanging="153" w:firstLineChars="0"/>
        <w:rPr>
          <w:rStyle w:val="9"/>
          <w:rFonts w:ascii="方正仿宋_GBK" w:hAnsi="方正仿宋_GBK" w:eastAsia="方正仿宋_GBK" w:cs="方正仿宋_GBK"/>
          <w:spacing w:val="-4"/>
          <w:sz w:val="32"/>
          <w:szCs w:val="32"/>
        </w:rPr>
      </w:pPr>
      <w:r>
        <w:rPr>
          <w:rStyle w:val="9"/>
          <w:rFonts w:hint="eastAsia" w:ascii="方正仿宋_GBK" w:hAnsi="方正仿宋_GBK" w:eastAsia="方正仿宋_GBK" w:cs="方正仿宋_GBK"/>
          <w:spacing w:val="-4"/>
          <w:sz w:val="32"/>
          <w:szCs w:val="32"/>
        </w:rPr>
        <w:t>主要经验及做法、存在的问题及原因分析</w:t>
      </w:r>
    </w:p>
    <w:p w14:paraId="00862648">
      <w:pPr>
        <w:pStyle w:val="13"/>
        <w:spacing w:line="540" w:lineRule="exact"/>
        <w:ind w:firstLine="562"/>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（一）</w:t>
      </w:r>
      <w:r>
        <w:rPr>
          <w:rFonts w:hint="eastAsia" w:cs="方正仿宋_GBK" w:asciiTheme="minorEastAsia" w:hAnsiTheme="minorEastAsia" w:eastAsiaTheme="minorEastAsia"/>
          <w:b/>
          <w:sz w:val="28"/>
          <w:szCs w:val="28"/>
        </w:rPr>
        <w:t>主要经验及做法</w:t>
      </w:r>
    </w:p>
    <w:p w14:paraId="266CC7E8">
      <w:pPr>
        <w:pStyle w:val="13"/>
        <w:spacing w:line="540" w:lineRule="exact"/>
        <w:ind w:firstLine="562"/>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无</w:t>
      </w:r>
    </w:p>
    <w:p w14:paraId="609EBB75">
      <w:pPr>
        <w:pStyle w:val="12"/>
        <w:snapToGrid w:val="0"/>
        <w:spacing w:line="560" w:lineRule="exact"/>
        <w:ind w:left="567" w:firstLine="0" w:firstLineChars="0"/>
        <w:rPr>
          <w:rStyle w:val="9"/>
          <w:rFonts w:ascii="方正仿宋_GBK" w:hAnsi="方正仿宋_GBK" w:eastAsia="方正仿宋_GBK" w:cs="方正仿宋_GBK"/>
          <w:spacing w:val="-4"/>
          <w:sz w:val="32"/>
          <w:szCs w:val="32"/>
        </w:rPr>
      </w:pPr>
      <w:r>
        <w:rPr>
          <w:rStyle w:val="9"/>
          <w:rFonts w:hint="eastAsia" w:ascii="方正仿宋_GBK" w:hAnsi="方正仿宋_GBK" w:eastAsia="方正仿宋_GBK" w:cs="方正仿宋_GBK"/>
          <w:spacing w:val="-4"/>
          <w:sz w:val="32"/>
          <w:szCs w:val="32"/>
        </w:rPr>
        <w:t>（二）存在的问题及原因分析</w:t>
      </w:r>
    </w:p>
    <w:p w14:paraId="65EF9C19">
      <w:pPr>
        <w:spacing w:line="56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1.我所正面临人才稀缺、人员缺乏的境况，同时，对前沿检验检测技术的培训力度不够，对提升检验服务水平有较大影响。</w:t>
      </w:r>
    </w:p>
    <w:p w14:paraId="23F99B0D">
      <w:pPr>
        <w:spacing w:line="56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2．服务理念认识不够。存在关心了解企业、倾听企业意见和服务企业的意识不够强，为群企业服务的积极、主动性不够。</w:t>
      </w:r>
    </w:p>
    <w:p w14:paraId="2FBE7696">
      <w:pPr>
        <w:spacing w:line="560" w:lineRule="exact"/>
        <w:ind w:firstLine="624" w:firstLineChars="200"/>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3.设定的部分绩效目标及评分项目标准不清晰，目标绩效与实际工作不能全面结合；部分评分项目不具有可比性，绩效目标值缺乏针对性，可操作性不强。</w:t>
      </w:r>
    </w:p>
    <w:p w14:paraId="511EC75E">
      <w:pPr>
        <w:pStyle w:val="12"/>
        <w:snapToGrid w:val="0"/>
        <w:spacing w:line="560" w:lineRule="exact"/>
        <w:ind w:left="720" w:hanging="153" w:firstLineChars="0"/>
        <w:rPr>
          <w:rFonts w:ascii="方正仿宋_GBK" w:hAnsi="方正仿宋_GBK" w:eastAsia="方正仿宋_GBK" w:cs="方正仿宋_GBK"/>
          <w:b/>
          <w:bCs/>
          <w:color w:val="333333"/>
          <w:sz w:val="32"/>
          <w:szCs w:val="32"/>
        </w:rPr>
      </w:pPr>
      <w:r>
        <w:rPr>
          <w:rFonts w:hint="eastAsia" w:ascii="方正仿宋_GBK" w:hAnsi="方正仿宋_GBK" w:eastAsia="方正仿宋_GBK" w:cs="方正仿宋_GBK"/>
          <w:b/>
          <w:bCs/>
          <w:color w:val="333333"/>
          <w:sz w:val="32"/>
          <w:szCs w:val="32"/>
        </w:rPr>
        <w:t>六、有关建议</w:t>
      </w:r>
    </w:p>
    <w:p w14:paraId="28567A30">
      <w:pPr>
        <w:pStyle w:val="12"/>
        <w:snapToGrid w:val="0"/>
        <w:spacing w:line="560" w:lineRule="exact"/>
        <w:ind w:firstLine="624"/>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1.面向社会进一步招贤纳才，提升检验检测技术的更新换代，如：声发射、涡流、电磁导波、数字RT、TOFD、相控阵等前沿技术，加强培训力度。</w:t>
      </w:r>
    </w:p>
    <w:p w14:paraId="103F07E2">
      <w:pPr>
        <w:pStyle w:val="12"/>
        <w:snapToGrid w:val="0"/>
        <w:spacing w:line="560" w:lineRule="exact"/>
        <w:ind w:firstLine="624"/>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2.提升服务经济社会发展的能力。继续推进岗位聘用工作，调到专业技术人员提升自身业务能力和服务意识的积极性。</w:t>
      </w:r>
    </w:p>
    <w:p w14:paraId="11F724C1">
      <w:pPr>
        <w:pStyle w:val="12"/>
        <w:snapToGrid w:val="0"/>
        <w:spacing w:line="560" w:lineRule="exact"/>
        <w:ind w:firstLine="624"/>
        <w:rPr>
          <w:rStyle w:val="9"/>
          <w:rFonts w:ascii="方正仿宋_GBK" w:hAnsi="方正仿宋_GBK" w:eastAsia="方正仿宋_GBK" w:cs="方正仿宋_GBK"/>
          <w:b w:val="0"/>
          <w:spacing w:val="-4"/>
          <w:sz w:val="32"/>
          <w:szCs w:val="32"/>
        </w:rPr>
      </w:pPr>
      <w:r>
        <w:rPr>
          <w:rStyle w:val="9"/>
          <w:rFonts w:hint="eastAsia" w:ascii="方正仿宋_GBK" w:hAnsi="方正仿宋_GBK" w:eastAsia="方正仿宋_GBK" w:cs="方正仿宋_GBK"/>
          <w:b w:val="0"/>
          <w:spacing w:val="-4"/>
          <w:sz w:val="32"/>
          <w:szCs w:val="32"/>
        </w:rPr>
        <w:t>3.根据项目目标和职能设置合理指标值，针对部门具体情况设计评价项目。</w:t>
      </w:r>
    </w:p>
    <w:p w14:paraId="46675D2A">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342A7F91">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1510A58E">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6DADA4FA">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67A9668B">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228ACF0A">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60A00AE3">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32F396FF">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3CE34133">
      <w:pPr>
        <w:pStyle w:val="12"/>
        <w:snapToGrid w:val="0"/>
        <w:spacing w:line="560" w:lineRule="exact"/>
        <w:ind w:firstLine="624"/>
        <w:rPr>
          <w:rStyle w:val="9"/>
          <w:rFonts w:ascii="方正仿宋_GBK" w:hAnsi="方正仿宋_GBK" w:eastAsia="方正仿宋_GBK" w:cs="方正仿宋_GBK"/>
          <w:b w:val="0"/>
          <w:spacing w:val="-4"/>
          <w:sz w:val="32"/>
          <w:szCs w:val="32"/>
        </w:rPr>
      </w:pPr>
    </w:p>
    <w:p w14:paraId="666419CB">
      <w:pPr>
        <w:pStyle w:val="12"/>
        <w:snapToGrid w:val="0"/>
        <w:spacing w:line="560" w:lineRule="exact"/>
        <w:ind w:firstLine="624"/>
        <w:rPr>
          <w:rStyle w:val="9"/>
          <w:rFonts w:ascii="方正仿宋_GBK" w:hAnsi="方正仿宋_GBK" w:eastAsia="方正仿宋_GBK" w:cs="方正仿宋_GBK"/>
          <w:b w:val="0"/>
          <w:spacing w:val="-4"/>
          <w:sz w:val="32"/>
          <w:szCs w:val="32"/>
        </w:rPr>
        <w:sectPr>
          <w:footerReference r:id="rId3" w:type="default"/>
          <w:pgSz w:w="11906" w:h="16838"/>
          <w:pgMar w:top="1814" w:right="1474" w:bottom="1531" w:left="1474" w:header="737" w:footer="850" w:gutter="0"/>
          <w:pgNumType w:start="0"/>
          <w:cols w:space="0" w:num="1"/>
          <w:titlePg/>
          <w:docGrid w:type="lines" w:linePitch="419" w:charSpace="0"/>
        </w:sectPr>
      </w:pPr>
    </w:p>
    <w:p w14:paraId="6BD87039">
      <w:pPr>
        <w:spacing w:line="600" w:lineRule="exact"/>
        <w:ind w:firstLine="720" w:firstLineChars="200"/>
        <w:jc w:val="center"/>
        <w:rPr>
          <w:rFonts w:ascii="黑体" w:hAnsi="黑体" w:eastAsia="黑体"/>
        </w:rPr>
      </w:pPr>
      <w:r>
        <w:rPr>
          <w:rFonts w:hint="eastAsia" w:ascii="黑体" w:hAnsi="黑体" w:eastAsia="黑体" w:cs="宋体"/>
          <w:bCs/>
          <w:color w:val="000000"/>
          <w:sz w:val="36"/>
          <w:szCs w:val="28"/>
        </w:rPr>
        <w:t>项目支出绩效评价指标体系框架</w:t>
      </w:r>
    </w:p>
    <w:tbl>
      <w:tblPr>
        <w:tblStyle w:val="7"/>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762"/>
        <w:gridCol w:w="1184"/>
        <w:gridCol w:w="1421"/>
        <w:gridCol w:w="3136"/>
        <w:gridCol w:w="7315"/>
        <w:gridCol w:w="837"/>
        <w:gridCol w:w="9"/>
        <w:gridCol w:w="12"/>
        <w:gridCol w:w="915"/>
        <w:gridCol w:w="10"/>
        <w:gridCol w:w="13"/>
      </w:tblGrid>
      <w:tr w14:paraId="5CEAB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582" w:hRule="atLeast"/>
          <w:tblHeader/>
          <w:jc w:val="center"/>
        </w:trPr>
        <w:tc>
          <w:tcPr>
            <w:tcW w:w="244" w:type="pct"/>
            <w:tcBorders>
              <w:tl2br w:val="nil"/>
              <w:tr2bl w:val="nil"/>
            </w:tcBorders>
            <w:shd w:val="clear" w:color="auto" w:fill="FFFFFF"/>
            <w:vAlign w:val="center"/>
          </w:tcPr>
          <w:p w14:paraId="350E1CC7">
            <w:pPr>
              <w:widowControl/>
              <w:spacing w:line="0" w:lineRule="atLeast"/>
              <w:jc w:val="center"/>
              <w:rPr>
                <w:rFonts w:eastAsia="宋体"/>
                <w:b/>
                <w:bCs/>
                <w:color w:val="000000"/>
                <w:kern w:val="0"/>
                <w:sz w:val="22"/>
                <w:szCs w:val="22"/>
              </w:rPr>
            </w:pPr>
            <w:r>
              <w:rPr>
                <w:rFonts w:eastAsia="宋体"/>
                <w:b/>
                <w:bCs/>
                <w:color w:val="000000"/>
                <w:kern w:val="0"/>
                <w:sz w:val="22"/>
                <w:szCs w:val="22"/>
              </w:rPr>
              <w:t>一级指标</w:t>
            </w:r>
          </w:p>
        </w:tc>
        <w:tc>
          <w:tcPr>
            <w:tcW w:w="379" w:type="pct"/>
            <w:tcBorders>
              <w:tl2br w:val="nil"/>
              <w:tr2bl w:val="nil"/>
            </w:tcBorders>
            <w:shd w:val="clear" w:color="auto" w:fill="FFFFFF"/>
            <w:vAlign w:val="center"/>
          </w:tcPr>
          <w:p w14:paraId="38AD6C4A">
            <w:pPr>
              <w:widowControl/>
              <w:spacing w:line="0" w:lineRule="atLeast"/>
              <w:jc w:val="center"/>
              <w:rPr>
                <w:rFonts w:eastAsia="宋体"/>
                <w:b/>
                <w:bCs/>
                <w:color w:val="000000"/>
                <w:kern w:val="0"/>
                <w:sz w:val="22"/>
                <w:szCs w:val="22"/>
              </w:rPr>
            </w:pPr>
            <w:r>
              <w:rPr>
                <w:rFonts w:eastAsia="宋体"/>
                <w:b/>
                <w:bCs/>
                <w:color w:val="000000"/>
                <w:kern w:val="0"/>
                <w:sz w:val="22"/>
                <w:szCs w:val="22"/>
              </w:rPr>
              <w:t>二级指标</w:t>
            </w:r>
          </w:p>
        </w:tc>
        <w:tc>
          <w:tcPr>
            <w:tcW w:w="455" w:type="pct"/>
            <w:tcBorders>
              <w:tl2br w:val="nil"/>
              <w:tr2bl w:val="nil"/>
            </w:tcBorders>
            <w:shd w:val="clear" w:color="auto" w:fill="FFFFFF"/>
            <w:vAlign w:val="center"/>
          </w:tcPr>
          <w:p w14:paraId="50764DA0">
            <w:pPr>
              <w:widowControl/>
              <w:spacing w:line="0" w:lineRule="atLeast"/>
              <w:jc w:val="center"/>
              <w:rPr>
                <w:rFonts w:eastAsia="宋体"/>
                <w:b/>
                <w:bCs/>
                <w:color w:val="000000"/>
                <w:kern w:val="0"/>
                <w:sz w:val="22"/>
                <w:szCs w:val="22"/>
              </w:rPr>
            </w:pPr>
            <w:r>
              <w:rPr>
                <w:rFonts w:eastAsia="宋体"/>
                <w:b/>
                <w:bCs/>
                <w:color w:val="000000"/>
                <w:kern w:val="0"/>
                <w:sz w:val="22"/>
                <w:szCs w:val="22"/>
              </w:rPr>
              <w:t>三级指标</w:t>
            </w:r>
          </w:p>
        </w:tc>
        <w:tc>
          <w:tcPr>
            <w:tcW w:w="1004" w:type="pct"/>
            <w:tcBorders>
              <w:tl2br w:val="nil"/>
              <w:tr2bl w:val="nil"/>
            </w:tcBorders>
            <w:shd w:val="clear" w:color="auto" w:fill="FFFFFF"/>
            <w:vAlign w:val="center"/>
          </w:tcPr>
          <w:p w14:paraId="1CF2256E">
            <w:pPr>
              <w:widowControl/>
              <w:spacing w:line="0" w:lineRule="atLeast"/>
              <w:jc w:val="center"/>
              <w:rPr>
                <w:rFonts w:eastAsia="宋体"/>
                <w:b/>
                <w:bCs/>
                <w:color w:val="000000"/>
                <w:kern w:val="0"/>
                <w:sz w:val="22"/>
                <w:szCs w:val="22"/>
              </w:rPr>
            </w:pPr>
            <w:r>
              <w:rPr>
                <w:rFonts w:eastAsia="宋体"/>
                <w:b/>
                <w:bCs/>
                <w:color w:val="000000"/>
                <w:kern w:val="0"/>
                <w:sz w:val="22"/>
                <w:szCs w:val="22"/>
              </w:rPr>
              <w:t>指标解释</w:t>
            </w:r>
          </w:p>
        </w:tc>
        <w:tc>
          <w:tcPr>
            <w:tcW w:w="2342" w:type="pct"/>
            <w:tcBorders>
              <w:tl2br w:val="nil"/>
              <w:tr2bl w:val="nil"/>
            </w:tcBorders>
            <w:shd w:val="clear" w:color="auto" w:fill="FFFFFF"/>
            <w:vAlign w:val="center"/>
          </w:tcPr>
          <w:p w14:paraId="220AEBE9">
            <w:pPr>
              <w:widowControl/>
              <w:spacing w:line="0" w:lineRule="atLeast"/>
              <w:jc w:val="center"/>
              <w:rPr>
                <w:rFonts w:eastAsia="宋体"/>
                <w:b/>
                <w:bCs/>
                <w:color w:val="000000"/>
                <w:kern w:val="0"/>
                <w:sz w:val="22"/>
                <w:szCs w:val="22"/>
              </w:rPr>
            </w:pPr>
            <w:r>
              <w:rPr>
                <w:rFonts w:eastAsia="宋体"/>
                <w:b/>
                <w:bCs/>
                <w:color w:val="000000"/>
                <w:kern w:val="0"/>
                <w:sz w:val="22"/>
                <w:szCs w:val="22"/>
              </w:rPr>
              <w:t>指标说明</w:t>
            </w:r>
          </w:p>
        </w:tc>
        <w:tc>
          <w:tcPr>
            <w:tcW w:w="271" w:type="pct"/>
            <w:gridSpan w:val="2"/>
            <w:tcBorders>
              <w:top w:val="single" w:color="auto" w:sz="4" w:space="0"/>
              <w:bottom w:val="single" w:color="auto" w:sz="4" w:space="0"/>
              <w:right w:val="single" w:color="auto" w:sz="4" w:space="0"/>
            </w:tcBorders>
            <w:shd w:val="clear" w:color="auto" w:fill="auto"/>
          </w:tcPr>
          <w:p w14:paraId="6F6D0B83">
            <w:pPr>
              <w:widowControl/>
              <w:spacing w:line="0" w:lineRule="atLeast"/>
              <w:rPr>
                <w:rFonts w:eastAsia="宋体"/>
                <w:b/>
                <w:bCs/>
                <w:color w:val="000000"/>
                <w:kern w:val="0"/>
                <w:sz w:val="22"/>
                <w:szCs w:val="22"/>
              </w:rPr>
            </w:pPr>
          </w:p>
          <w:p w14:paraId="73E5BCB7">
            <w:pPr>
              <w:widowControl/>
              <w:spacing w:line="0" w:lineRule="atLeast"/>
              <w:rPr>
                <w:rFonts w:eastAsia="宋体"/>
                <w:b/>
                <w:bCs/>
                <w:color w:val="000000"/>
                <w:kern w:val="0"/>
                <w:sz w:val="22"/>
                <w:szCs w:val="22"/>
              </w:rPr>
            </w:pPr>
            <w:r>
              <w:rPr>
                <w:rFonts w:eastAsia="宋体"/>
                <w:b/>
                <w:bCs/>
                <w:color w:val="000000"/>
                <w:kern w:val="0"/>
                <w:sz w:val="22"/>
                <w:szCs w:val="22"/>
              </w:rPr>
              <w:t>分值</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tcPr>
          <w:p w14:paraId="3C002E02">
            <w:pPr>
              <w:widowControl/>
              <w:jc w:val="left"/>
              <w:rPr>
                <w:rFonts w:eastAsia="宋体"/>
                <w:b/>
                <w:bCs/>
                <w:color w:val="000000"/>
                <w:kern w:val="0"/>
                <w:sz w:val="22"/>
                <w:szCs w:val="22"/>
              </w:rPr>
            </w:pPr>
            <w:r>
              <w:rPr>
                <w:rFonts w:eastAsia="宋体"/>
                <w:b/>
                <w:bCs/>
                <w:color w:val="000000"/>
                <w:kern w:val="0"/>
                <w:sz w:val="22"/>
                <w:szCs w:val="22"/>
              </w:rPr>
              <w:t>评价</w:t>
            </w:r>
          </w:p>
          <w:p w14:paraId="04B5402A">
            <w:pPr>
              <w:widowControl/>
              <w:jc w:val="left"/>
              <w:rPr>
                <w:rFonts w:eastAsia="宋体"/>
                <w:b/>
                <w:bCs/>
                <w:color w:val="000000"/>
                <w:kern w:val="0"/>
                <w:sz w:val="22"/>
                <w:szCs w:val="22"/>
              </w:rPr>
            </w:pPr>
            <w:r>
              <w:rPr>
                <w:rFonts w:eastAsia="宋体"/>
                <w:b/>
                <w:bCs/>
                <w:color w:val="000000"/>
                <w:kern w:val="0"/>
                <w:sz w:val="22"/>
                <w:szCs w:val="22"/>
              </w:rPr>
              <w:t>结果</w:t>
            </w:r>
          </w:p>
        </w:tc>
      </w:tr>
      <w:tr w14:paraId="7637B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2222" w:hRule="atLeast"/>
          <w:jc w:val="center"/>
        </w:trPr>
        <w:tc>
          <w:tcPr>
            <w:tcW w:w="244" w:type="pct"/>
            <w:vMerge w:val="restart"/>
            <w:tcBorders>
              <w:tl2br w:val="nil"/>
              <w:tr2bl w:val="nil"/>
            </w:tcBorders>
            <w:shd w:val="clear" w:color="auto" w:fill="FFFFFF"/>
            <w:vAlign w:val="center"/>
          </w:tcPr>
          <w:p w14:paraId="4ADC5530">
            <w:pPr>
              <w:widowControl/>
              <w:spacing w:line="0" w:lineRule="atLeast"/>
              <w:jc w:val="center"/>
              <w:rPr>
                <w:rFonts w:eastAsia="宋体"/>
                <w:color w:val="000000"/>
                <w:kern w:val="0"/>
                <w:sz w:val="22"/>
                <w:szCs w:val="22"/>
              </w:rPr>
            </w:pPr>
            <w:r>
              <w:rPr>
                <w:rFonts w:eastAsia="宋体"/>
                <w:color w:val="000000"/>
                <w:kern w:val="0"/>
                <w:sz w:val="22"/>
                <w:szCs w:val="22"/>
              </w:rPr>
              <w:t>决策(20分)　</w:t>
            </w:r>
          </w:p>
          <w:p w14:paraId="7A0745DB">
            <w:pPr>
              <w:widowControl/>
              <w:spacing w:line="0" w:lineRule="atLeast"/>
              <w:jc w:val="center"/>
              <w:rPr>
                <w:rFonts w:eastAsia="宋体"/>
                <w:color w:val="000000"/>
                <w:kern w:val="0"/>
                <w:sz w:val="22"/>
                <w:szCs w:val="22"/>
              </w:rPr>
            </w:pPr>
            <w:r>
              <w:rPr>
                <w:rFonts w:eastAsia="宋体"/>
                <w:color w:val="000000"/>
                <w:kern w:val="0"/>
                <w:sz w:val="22"/>
                <w:szCs w:val="22"/>
              </w:rPr>
              <w:t>　</w:t>
            </w:r>
          </w:p>
        </w:tc>
        <w:tc>
          <w:tcPr>
            <w:tcW w:w="379" w:type="pct"/>
            <w:vMerge w:val="restart"/>
            <w:tcBorders>
              <w:tl2br w:val="nil"/>
              <w:tr2bl w:val="nil"/>
            </w:tcBorders>
            <w:shd w:val="clear" w:color="auto" w:fill="FFFFFF"/>
            <w:vAlign w:val="center"/>
          </w:tcPr>
          <w:p w14:paraId="7F755005">
            <w:pPr>
              <w:widowControl/>
              <w:spacing w:line="0" w:lineRule="atLeast"/>
              <w:jc w:val="center"/>
              <w:rPr>
                <w:rFonts w:eastAsia="宋体"/>
                <w:color w:val="000000"/>
                <w:kern w:val="0"/>
                <w:sz w:val="22"/>
                <w:szCs w:val="22"/>
              </w:rPr>
            </w:pPr>
            <w:r>
              <w:rPr>
                <w:rFonts w:eastAsia="宋体"/>
                <w:color w:val="000000"/>
                <w:kern w:val="0"/>
                <w:sz w:val="22"/>
                <w:szCs w:val="22"/>
              </w:rPr>
              <w:t>项目立项（5）　</w:t>
            </w:r>
          </w:p>
        </w:tc>
        <w:tc>
          <w:tcPr>
            <w:tcW w:w="455" w:type="pct"/>
            <w:tcBorders>
              <w:tl2br w:val="nil"/>
              <w:tr2bl w:val="nil"/>
            </w:tcBorders>
            <w:shd w:val="clear" w:color="auto" w:fill="FFFFFF"/>
            <w:vAlign w:val="center"/>
          </w:tcPr>
          <w:p w14:paraId="1BADD6F2">
            <w:pPr>
              <w:widowControl/>
              <w:spacing w:line="0" w:lineRule="atLeast"/>
              <w:jc w:val="center"/>
              <w:rPr>
                <w:rFonts w:eastAsia="宋体"/>
                <w:color w:val="000000"/>
                <w:kern w:val="0"/>
                <w:sz w:val="22"/>
                <w:szCs w:val="22"/>
              </w:rPr>
            </w:pPr>
            <w:r>
              <w:rPr>
                <w:rFonts w:eastAsia="宋体"/>
                <w:color w:val="000000"/>
                <w:kern w:val="0"/>
                <w:sz w:val="22"/>
                <w:szCs w:val="22"/>
              </w:rPr>
              <w:t>立项依据</w:t>
            </w:r>
          </w:p>
          <w:p w14:paraId="3FD256AF">
            <w:pPr>
              <w:widowControl/>
              <w:spacing w:line="0" w:lineRule="atLeast"/>
              <w:jc w:val="center"/>
              <w:rPr>
                <w:rFonts w:eastAsia="宋体"/>
                <w:color w:val="000000"/>
                <w:kern w:val="0"/>
                <w:sz w:val="22"/>
                <w:szCs w:val="22"/>
              </w:rPr>
            </w:pPr>
            <w:r>
              <w:rPr>
                <w:rFonts w:eastAsia="宋体"/>
                <w:color w:val="000000"/>
                <w:kern w:val="0"/>
                <w:sz w:val="22"/>
                <w:szCs w:val="22"/>
              </w:rPr>
              <w:t>充分性</w:t>
            </w:r>
          </w:p>
        </w:tc>
        <w:tc>
          <w:tcPr>
            <w:tcW w:w="1004" w:type="pct"/>
            <w:tcBorders>
              <w:tl2br w:val="nil"/>
              <w:tr2bl w:val="nil"/>
            </w:tcBorders>
            <w:shd w:val="clear" w:color="auto" w:fill="FFFFFF"/>
            <w:vAlign w:val="center"/>
          </w:tcPr>
          <w:p w14:paraId="7A68F389">
            <w:pPr>
              <w:widowControl/>
              <w:spacing w:line="0" w:lineRule="atLeast"/>
              <w:rPr>
                <w:rFonts w:eastAsia="宋体"/>
                <w:color w:val="000000"/>
                <w:kern w:val="0"/>
                <w:sz w:val="22"/>
                <w:szCs w:val="22"/>
              </w:rPr>
            </w:pPr>
            <w:r>
              <w:rPr>
                <w:rFonts w:eastAsia="宋体"/>
                <w:color w:val="000000"/>
                <w:kern w:val="0"/>
                <w:sz w:val="22"/>
                <w:szCs w:val="22"/>
              </w:rPr>
              <w:t>项目立项是否符合法律法规、相关政策、发展规划以及部门职责，用以反映和考核项目立项依据情况。</w:t>
            </w:r>
          </w:p>
        </w:tc>
        <w:tc>
          <w:tcPr>
            <w:tcW w:w="2342" w:type="pct"/>
            <w:tcBorders>
              <w:bottom w:val="single" w:color="auto" w:sz="4" w:space="0"/>
              <w:tl2br w:val="nil"/>
              <w:tr2bl w:val="nil"/>
            </w:tcBorders>
            <w:shd w:val="clear" w:color="auto" w:fill="FFFFFF"/>
            <w:vAlign w:val="center"/>
          </w:tcPr>
          <w:p w14:paraId="51EACE6B">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①项目立项是否符合国家法律法规、国民经济发展规划和相关政策；</w:t>
            </w:r>
            <w:r>
              <w:rPr>
                <w:rFonts w:eastAsia="宋体"/>
                <w:color w:val="000000"/>
                <w:kern w:val="0"/>
                <w:sz w:val="22"/>
                <w:szCs w:val="22"/>
              </w:rPr>
              <w:br w:type="textWrapping"/>
            </w:r>
            <w:r>
              <w:rPr>
                <w:rFonts w:eastAsia="宋体"/>
                <w:color w:val="000000"/>
                <w:kern w:val="0"/>
                <w:sz w:val="22"/>
                <w:szCs w:val="22"/>
              </w:rPr>
              <w:t>②项目立项是否符合行业发展规划和政策要求；</w:t>
            </w:r>
            <w:r>
              <w:rPr>
                <w:rFonts w:eastAsia="宋体"/>
                <w:color w:val="000000"/>
                <w:kern w:val="0"/>
                <w:sz w:val="22"/>
                <w:szCs w:val="22"/>
              </w:rPr>
              <w:br w:type="textWrapping"/>
            </w:r>
            <w:r>
              <w:rPr>
                <w:rFonts w:eastAsia="宋体"/>
                <w:color w:val="000000"/>
                <w:kern w:val="0"/>
                <w:sz w:val="22"/>
                <w:szCs w:val="22"/>
              </w:rPr>
              <w:t>③项目立项是否与部门职责范围相符，属于部门履职所需；</w:t>
            </w:r>
            <w:r>
              <w:rPr>
                <w:rFonts w:eastAsia="宋体"/>
                <w:color w:val="000000"/>
                <w:kern w:val="0"/>
                <w:sz w:val="22"/>
                <w:szCs w:val="22"/>
              </w:rPr>
              <w:br w:type="textWrapping"/>
            </w:r>
            <w:r>
              <w:rPr>
                <w:rFonts w:eastAsia="宋体"/>
                <w:color w:val="000000"/>
                <w:kern w:val="0"/>
                <w:sz w:val="22"/>
                <w:szCs w:val="22"/>
              </w:rPr>
              <w:t>④项目是否属于公共财政支持范围，是否符合中央、地方事权支出责任划分原则；</w:t>
            </w:r>
            <w:r>
              <w:rPr>
                <w:rFonts w:eastAsia="宋体"/>
                <w:color w:val="000000"/>
                <w:kern w:val="0"/>
                <w:sz w:val="22"/>
                <w:szCs w:val="22"/>
              </w:rPr>
              <w:br w:type="textWrapping"/>
            </w:r>
            <w:r>
              <w:rPr>
                <w:rFonts w:eastAsia="宋体"/>
                <w:color w:val="000000"/>
                <w:kern w:val="0"/>
                <w:sz w:val="22"/>
                <w:szCs w:val="22"/>
              </w:rPr>
              <w:t>⑤项目是否与相关部门同类项目或部门内部相关项目重复。</w:t>
            </w:r>
          </w:p>
        </w:tc>
        <w:tc>
          <w:tcPr>
            <w:tcW w:w="271" w:type="pct"/>
            <w:gridSpan w:val="2"/>
            <w:tcBorders>
              <w:top w:val="single" w:color="auto" w:sz="4" w:space="0"/>
              <w:bottom w:val="single" w:color="auto" w:sz="4" w:space="0"/>
              <w:right w:val="single" w:color="auto" w:sz="4" w:space="0"/>
            </w:tcBorders>
            <w:shd w:val="clear" w:color="auto" w:fill="auto"/>
            <w:vAlign w:val="center"/>
          </w:tcPr>
          <w:p w14:paraId="2C14A392">
            <w:pPr>
              <w:widowControl/>
              <w:jc w:val="center"/>
              <w:rPr>
                <w:rFonts w:eastAsia="宋体"/>
                <w:color w:val="000000"/>
                <w:kern w:val="0"/>
                <w:sz w:val="22"/>
                <w:szCs w:val="22"/>
              </w:rPr>
            </w:pPr>
            <w:r>
              <w:rPr>
                <w:color w:val="000000"/>
                <w:kern w:val="0"/>
                <w:sz w:val="22"/>
                <w:szCs w:val="22"/>
              </w:rPr>
              <w:t>3</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287448">
            <w:pPr>
              <w:widowControl/>
              <w:jc w:val="center"/>
              <w:rPr>
                <w:rFonts w:eastAsia="宋体"/>
                <w:color w:val="000000"/>
                <w:kern w:val="0"/>
                <w:sz w:val="22"/>
                <w:szCs w:val="22"/>
              </w:rPr>
            </w:pPr>
            <w:r>
              <w:rPr>
                <w:color w:val="000000"/>
                <w:kern w:val="0"/>
                <w:sz w:val="22"/>
                <w:szCs w:val="22"/>
              </w:rPr>
              <w:t>3</w:t>
            </w:r>
          </w:p>
        </w:tc>
      </w:tr>
      <w:tr w14:paraId="7CE6F8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1696" w:hRule="atLeast"/>
          <w:jc w:val="center"/>
        </w:trPr>
        <w:tc>
          <w:tcPr>
            <w:tcW w:w="244" w:type="pct"/>
            <w:vMerge w:val="continue"/>
            <w:tcBorders>
              <w:tl2br w:val="nil"/>
              <w:tr2bl w:val="nil"/>
            </w:tcBorders>
            <w:shd w:val="clear" w:color="auto" w:fill="FFFFFF"/>
            <w:vAlign w:val="center"/>
          </w:tcPr>
          <w:p w14:paraId="0C386E5E">
            <w:pPr>
              <w:spacing w:line="0" w:lineRule="atLeast"/>
              <w:jc w:val="center"/>
              <w:rPr>
                <w:rFonts w:eastAsia="宋体"/>
                <w:color w:val="000000"/>
                <w:kern w:val="0"/>
                <w:sz w:val="22"/>
                <w:szCs w:val="22"/>
              </w:rPr>
            </w:pPr>
          </w:p>
        </w:tc>
        <w:tc>
          <w:tcPr>
            <w:tcW w:w="379" w:type="pct"/>
            <w:vMerge w:val="continue"/>
            <w:tcBorders>
              <w:tl2br w:val="nil"/>
              <w:tr2bl w:val="nil"/>
            </w:tcBorders>
            <w:shd w:val="clear" w:color="auto" w:fill="FFFFFF"/>
            <w:vAlign w:val="center"/>
          </w:tcPr>
          <w:p w14:paraId="654F6349">
            <w:pPr>
              <w:widowControl/>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2E407CB1">
            <w:pPr>
              <w:widowControl/>
              <w:spacing w:line="0" w:lineRule="atLeast"/>
              <w:jc w:val="center"/>
              <w:rPr>
                <w:rFonts w:eastAsia="宋体"/>
                <w:color w:val="000000"/>
                <w:kern w:val="0"/>
                <w:sz w:val="22"/>
                <w:szCs w:val="22"/>
              </w:rPr>
            </w:pPr>
            <w:r>
              <w:rPr>
                <w:rFonts w:eastAsia="宋体"/>
                <w:color w:val="000000"/>
                <w:kern w:val="0"/>
                <w:sz w:val="22"/>
                <w:szCs w:val="22"/>
              </w:rPr>
              <w:t>立项程序</w:t>
            </w:r>
          </w:p>
          <w:p w14:paraId="105AE683">
            <w:pPr>
              <w:widowControl/>
              <w:spacing w:line="0" w:lineRule="atLeast"/>
              <w:jc w:val="center"/>
              <w:rPr>
                <w:rFonts w:eastAsia="宋体"/>
                <w:color w:val="000000"/>
                <w:kern w:val="0"/>
                <w:sz w:val="22"/>
                <w:szCs w:val="22"/>
              </w:rPr>
            </w:pPr>
            <w:r>
              <w:rPr>
                <w:rFonts w:eastAsia="宋体"/>
                <w:color w:val="000000"/>
                <w:kern w:val="0"/>
                <w:sz w:val="22"/>
                <w:szCs w:val="22"/>
              </w:rPr>
              <w:t>规范性</w:t>
            </w:r>
          </w:p>
        </w:tc>
        <w:tc>
          <w:tcPr>
            <w:tcW w:w="1004" w:type="pct"/>
            <w:tcBorders>
              <w:tl2br w:val="nil"/>
              <w:tr2bl w:val="nil"/>
            </w:tcBorders>
            <w:shd w:val="clear" w:color="auto" w:fill="FFFFFF"/>
            <w:vAlign w:val="center"/>
          </w:tcPr>
          <w:p w14:paraId="658AB5B4">
            <w:pPr>
              <w:widowControl/>
              <w:spacing w:line="0" w:lineRule="atLeast"/>
              <w:rPr>
                <w:rFonts w:eastAsia="宋体"/>
                <w:color w:val="000000"/>
                <w:kern w:val="0"/>
                <w:sz w:val="22"/>
                <w:szCs w:val="22"/>
              </w:rPr>
            </w:pPr>
            <w:r>
              <w:rPr>
                <w:rFonts w:eastAsia="宋体"/>
                <w:color w:val="000000"/>
                <w:kern w:val="0"/>
                <w:sz w:val="22"/>
                <w:szCs w:val="22"/>
              </w:rPr>
              <w:t>项目申请、设立过程是否符合相关要求，用以反映和考核项目立项的规范情况。</w:t>
            </w:r>
          </w:p>
        </w:tc>
        <w:tc>
          <w:tcPr>
            <w:tcW w:w="2342" w:type="pct"/>
            <w:tcBorders>
              <w:tl2br w:val="nil"/>
              <w:tr2bl w:val="nil"/>
            </w:tcBorders>
            <w:shd w:val="clear" w:color="auto" w:fill="FFFFFF"/>
            <w:vAlign w:val="center"/>
          </w:tcPr>
          <w:p w14:paraId="3C435659">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①项目是否按照规定的程序申请设立；</w:t>
            </w:r>
            <w:r>
              <w:rPr>
                <w:rFonts w:eastAsia="宋体"/>
                <w:color w:val="000000"/>
                <w:kern w:val="0"/>
                <w:sz w:val="22"/>
                <w:szCs w:val="22"/>
              </w:rPr>
              <w:br w:type="textWrapping"/>
            </w:r>
            <w:r>
              <w:rPr>
                <w:rFonts w:eastAsia="宋体"/>
                <w:color w:val="000000"/>
                <w:kern w:val="0"/>
                <w:sz w:val="22"/>
                <w:szCs w:val="22"/>
              </w:rPr>
              <w:t>②审批文件、材料是否符合相关要求；</w:t>
            </w:r>
            <w:r>
              <w:rPr>
                <w:rFonts w:eastAsia="宋体"/>
                <w:color w:val="000000"/>
                <w:kern w:val="0"/>
                <w:sz w:val="22"/>
                <w:szCs w:val="22"/>
              </w:rPr>
              <w:br w:type="textWrapping"/>
            </w:r>
            <w:r>
              <w:rPr>
                <w:rFonts w:eastAsia="宋体"/>
                <w:color w:val="000000"/>
                <w:kern w:val="0"/>
                <w:sz w:val="22"/>
                <w:szCs w:val="22"/>
              </w:rPr>
              <w:t>③事前是否已经过必要的可行性研究、专家论证、风险评估、绩效评估、集体决策。</w:t>
            </w:r>
          </w:p>
        </w:tc>
        <w:tc>
          <w:tcPr>
            <w:tcW w:w="271" w:type="pct"/>
            <w:gridSpan w:val="2"/>
            <w:tcBorders>
              <w:top w:val="single" w:color="auto" w:sz="4" w:space="0"/>
              <w:bottom w:val="single" w:color="auto" w:sz="4" w:space="0"/>
              <w:right w:val="single" w:color="auto" w:sz="4" w:space="0"/>
            </w:tcBorders>
            <w:shd w:val="clear" w:color="auto" w:fill="auto"/>
            <w:vAlign w:val="center"/>
          </w:tcPr>
          <w:p w14:paraId="236DB0D5">
            <w:pPr>
              <w:widowControl/>
              <w:jc w:val="center"/>
              <w:rPr>
                <w:rFonts w:eastAsia="宋体"/>
                <w:color w:val="000000"/>
                <w:kern w:val="0"/>
                <w:sz w:val="22"/>
                <w:szCs w:val="22"/>
              </w:rPr>
            </w:pPr>
          </w:p>
          <w:p w14:paraId="1B509929">
            <w:pPr>
              <w:widowControl/>
              <w:jc w:val="center"/>
              <w:rPr>
                <w:rFonts w:eastAsia="宋体"/>
                <w:color w:val="000000"/>
                <w:kern w:val="0"/>
                <w:sz w:val="22"/>
                <w:szCs w:val="22"/>
              </w:rPr>
            </w:pPr>
            <w:r>
              <w:rPr>
                <w:color w:val="000000"/>
                <w:kern w:val="0"/>
                <w:sz w:val="22"/>
                <w:szCs w:val="22"/>
              </w:rPr>
              <w:t>2</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21DBC7">
            <w:pPr>
              <w:widowControl/>
              <w:jc w:val="center"/>
              <w:rPr>
                <w:rFonts w:eastAsia="宋体"/>
                <w:color w:val="000000"/>
                <w:kern w:val="0"/>
                <w:sz w:val="22"/>
                <w:szCs w:val="22"/>
              </w:rPr>
            </w:pPr>
          </w:p>
          <w:p w14:paraId="1FB20A47">
            <w:pPr>
              <w:widowControl/>
              <w:jc w:val="center"/>
              <w:rPr>
                <w:rFonts w:eastAsia="宋体"/>
                <w:color w:val="000000"/>
                <w:kern w:val="0"/>
                <w:sz w:val="22"/>
                <w:szCs w:val="22"/>
              </w:rPr>
            </w:pPr>
            <w:r>
              <w:rPr>
                <w:color w:val="000000"/>
                <w:kern w:val="0"/>
                <w:sz w:val="22"/>
                <w:szCs w:val="22"/>
              </w:rPr>
              <w:t>2</w:t>
            </w:r>
          </w:p>
        </w:tc>
      </w:tr>
      <w:tr w14:paraId="7BFDE1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1981" w:hRule="atLeast"/>
          <w:jc w:val="center"/>
        </w:trPr>
        <w:tc>
          <w:tcPr>
            <w:tcW w:w="244" w:type="pct"/>
            <w:vMerge w:val="continue"/>
            <w:tcBorders>
              <w:tl2br w:val="nil"/>
              <w:tr2bl w:val="nil"/>
            </w:tcBorders>
            <w:shd w:val="clear" w:color="auto" w:fill="FFFFFF"/>
            <w:vAlign w:val="center"/>
          </w:tcPr>
          <w:p w14:paraId="7D9DB031">
            <w:pPr>
              <w:spacing w:line="0" w:lineRule="atLeast"/>
              <w:jc w:val="center"/>
              <w:rPr>
                <w:rFonts w:eastAsia="宋体"/>
                <w:color w:val="000000"/>
                <w:kern w:val="0"/>
                <w:sz w:val="22"/>
                <w:szCs w:val="22"/>
              </w:rPr>
            </w:pPr>
          </w:p>
        </w:tc>
        <w:tc>
          <w:tcPr>
            <w:tcW w:w="379" w:type="pct"/>
            <w:vMerge w:val="restart"/>
            <w:tcBorders>
              <w:tl2br w:val="nil"/>
              <w:tr2bl w:val="nil"/>
            </w:tcBorders>
            <w:shd w:val="clear" w:color="auto" w:fill="FFFFFF"/>
            <w:vAlign w:val="center"/>
          </w:tcPr>
          <w:p w14:paraId="2AB59871">
            <w:pPr>
              <w:widowControl/>
              <w:spacing w:line="0" w:lineRule="atLeast"/>
              <w:jc w:val="center"/>
              <w:rPr>
                <w:rFonts w:eastAsia="宋体"/>
                <w:color w:val="000000"/>
                <w:kern w:val="0"/>
                <w:sz w:val="22"/>
                <w:szCs w:val="22"/>
              </w:rPr>
            </w:pPr>
            <w:r>
              <w:rPr>
                <w:rFonts w:eastAsia="宋体"/>
                <w:color w:val="000000"/>
                <w:kern w:val="0"/>
                <w:sz w:val="22"/>
                <w:szCs w:val="22"/>
              </w:rPr>
              <w:t>绩效目标（10）　</w:t>
            </w:r>
          </w:p>
          <w:p w14:paraId="527FDF51">
            <w:pPr>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1896E8B2">
            <w:pPr>
              <w:widowControl/>
              <w:spacing w:line="0" w:lineRule="atLeast"/>
              <w:jc w:val="center"/>
              <w:rPr>
                <w:rFonts w:eastAsia="宋体"/>
                <w:color w:val="000000"/>
                <w:kern w:val="0"/>
                <w:sz w:val="22"/>
                <w:szCs w:val="22"/>
              </w:rPr>
            </w:pPr>
            <w:r>
              <w:rPr>
                <w:rFonts w:eastAsia="宋体"/>
                <w:color w:val="000000"/>
                <w:kern w:val="0"/>
                <w:sz w:val="22"/>
                <w:szCs w:val="22"/>
              </w:rPr>
              <w:t>绩效目标</w:t>
            </w:r>
          </w:p>
          <w:p w14:paraId="5C84B0FC">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1004" w:type="pct"/>
            <w:tcBorders>
              <w:tl2br w:val="nil"/>
              <w:tr2bl w:val="nil"/>
            </w:tcBorders>
            <w:shd w:val="clear" w:color="000000" w:fill="FFFFFF"/>
            <w:vAlign w:val="center"/>
          </w:tcPr>
          <w:p w14:paraId="7A15C12D">
            <w:pPr>
              <w:widowControl/>
              <w:spacing w:line="0" w:lineRule="atLeast"/>
              <w:rPr>
                <w:rFonts w:eastAsia="宋体"/>
                <w:color w:val="000000"/>
                <w:kern w:val="0"/>
                <w:sz w:val="22"/>
                <w:szCs w:val="22"/>
              </w:rPr>
            </w:pPr>
            <w:r>
              <w:rPr>
                <w:rFonts w:eastAsia="宋体"/>
                <w:color w:val="000000"/>
                <w:kern w:val="0"/>
                <w:sz w:val="22"/>
                <w:szCs w:val="22"/>
              </w:rPr>
              <w:t>项目所设定的绩效目标是否依据充分，是否符合客观实际，用以反映和考核项目绩效目标与项目实施的相符情况。</w:t>
            </w:r>
          </w:p>
        </w:tc>
        <w:tc>
          <w:tcPr>
            <w:tcW w:w="2342" w:type="pct"/>
            <w:tcBorders>
              <w:tl2br w:val="nil"/>
              <w:tr2bl w:val="nil"/>
            </w:tcBorders>
            <w:shd w:val="clear" w:color="000000" w:fill="FFFFFF"/>
            <w:vAlign w:val="center"/>
          </w:tcPr>
          <w:p w14:paraId="4B5DA756">
            <w:pPr>
              <w:widowControl/>
              <w:spacing w:line="0" w:lineRule="atLeast"/>
              <w:jc w:val="lef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（如未设定预算绩效目标，也可考核其他工作任务目标）</w:t>
            </w:r>
            <w:r>
              <w:rPr>
                <w:rFonts w:eastAsia="宋体"/>
                <w:color w:val="000000"/>
                <w:kern w:val="0"/>
                <w:sz w:val="22"/>
                <w:szCs w:val="22"/>
              </w:rPr>
              <w:br w:type="textWrapping"/>
            </w:r>
            <w:r>
              <w:rPr>
                <w:rFonts w:eastAsia="宋体"/>
                <w:color w:val="000000"/>
                <w:kern w:val="0"/>
                <w:sz w:val="22"/>
                <w:szCs w:val="22"/>
              </w:rPr>
              <w:t>①项目是否有绩效目标；</w:t>
            </w:r>
            <w:r>
              <w:rPr>
                <w:rFonts w:eastAsia="宋体"/>
                <w:color w:val="000000"/>
                <w:kern w:val="0"/>
                <w:sz w:val="22"/>
                <w:szCs w:val="22"/>
              </w:rPr>
              <w:br w:type="textWrapping"/>
            </w:r>
            <w:r>
              <w:rPr>
                <w:rFonts w:eastAsia="宋体"/>
                <w:color w:val="000000"/>
                <w:kern w:val="0"/>
                <w:sz w:val="22"/>
                <w:szCs w:val="22"/>
              </w:rPr>
              <w:t>②项目绩效目标与实际工作内容是否具有相关性；</w:t>
            </w:r>
            <w:r>
              <w:rPr>
                <w:rFonts w:eastAsia="宋体"/>
                <w:color w:val="000000"/>
                <w:kern w:val="0"/>
                <w:sz w:val="22"/>
                <w:szCs w:val="22"/>
              </w:rPr>
              <w:br w:type="textWrapping"/>
            </w:r>
            <w:r>
              <w:rPr>
                <w:rFonts w:eastAsia="宋体"/>
                <w:color w:val="000000"/>
                <w:kern w:val="0"/>
                <w:sz w:val="22"/>
                <w:szCs w:val="22"/>
              </w:rPr>
              <w:t>③项目预期产出效益和效果是否符合正常的业绩水平；</w:t>
            </w:r>
          </w:p>
          <w:p w14:paraId="62BD5DC7">
            <w:pPr>
              <w:widowControl/>
              <w:spacing w:line="0" w:lineRule="atLeast"/>
              <w:jc w:val="left"/>
              <w:rPr>
                <w:rFonts w:eastAsia="宋体"/>
                <w:color w:val="000000"/>
                <w:kern w:val="0"/>
                <w:sz w:val="22"/>
                <w:szCs w:val="22"/>
              </w:rPr>
            </w:pPr>
            <w:r>
              <w:rPr>
                <w:rFonts w:eastAsia="宋体"/>
                <w:color w:val="000000"/>
                <w:kern w:val="0"/>
                <w:sz w:val="22"/>
                <w:szCs w:val="22"/>
              </w:rPr>
              <w:t>④是否与预算确定的项目投资额或资金量相匹配。</w:t>
            </w:r>
          </w:p>
        </w:tc>
        <w:tc>
          <w:tcPr>
            <w:tcW w:w="271" w:type="pct"/>
            <w:gridSpan w:val="2"/>
            <w:tcBorders>
              <w:top w:val="single" w:color="auto" w:sz="4" w:space="0"/>
              <w:bottom w:val="single" w:color="auto" w:sz="4" w:space="0"/>
              <w:right w:val="single" w:color="auto" w:sz="4" w:space="0"/>
            </w:tcBorders>
            <w:shd w:val="clear" w:color="auto" w:fill="auto"/>
            <w:vAlign w:val="center"/>
          </w:tcPr>
          <w:p w14:paraId="62EC6606">
            <w:pPr>
              <w:widowControl/>
              <w:jc w:val="center"/>
              <w:rPr>
                <w:rFonts w:eastAsia="宋体"/>
                <w:color w:val="000000"/>
                <w:kern w:val="0"/>
                <w:sz w:val="22"/>
                <w:szCs w:val="22"/>
              </w:rPr>
            </w:pPr>
            <w:r>
              <w:rPr>
                <w:rFonts w:hint="eastAsia"/>
                <w:color w:val="000000"/>
                <w:kern w:val="0"/>
                <w:sz w:val="22"/>
                <w:szCs w:val="22"/>
              </w:rPr>
              <w:t>5</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700B6D">
            <w:pPr>
              <w:widowControl/>
              <w:jc w:val="center"/>
              <w:rPr>
                <w:rFonts w:eastAsia="宋体"/>
                <w:color w:val="000000"/>
                <w:kern w:val="0"/>
                <w:sz w:val="22"/>
                <w:szCs w:val="22"/>
              </w:rPr>
            </w:pPr>
            <w:r>
              <w:rPr>
                <w:rFonts w:hint="eastAsia" w:eastAsia="宋体"/>
                <w:color w:val="000000"/>
                <w:kern w:val="0"/>
                <w:sz w:val="22"/>
                <w:szCs w:val="22"/>
              </w:rPr>
              <w:t>4</w:t>
            </w:r>
          </w:p>
        </w:tc>
      </w:tr>
      <w:tr w14:paraId="42078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90" w:hRule="atLeast"/>
          <w:jc w:val="center"/>
        </w:trPr>
        <w:tc>
          <w:tcPr>
            <w:tcW w:w="244" w:type="pct"/>
            <w:vMerge w:val="continue"/>
            <w:tcBorders>
              <w:tl2br w:val="nil"/>
              <w:tr2bl w:val="nil"/>
            </w:tcBorders>
            <w:shd w:val="clear" w:color="auto" w:fill="FFFFFF"/>
            <w:vAlign w:val="center"/>
          </w:tcPr>
          <w:p w14:paraId="652D88A8">
            <w:pPr>
              <w:widowControl/>
              <w:spacing w:line="0" w:lineRule="atLeast"/>
              <w:jc w:val="center"/>
              <w:rPr>
                <w:rFonts w:eastAsia="宋体"/>
                <w:color w:val="000000"/>
                <w:kern w:val="0"/>
                <w:sz w:val="22"/>
                <w:szCs w:val="22"/>
              </w:rPr>
            </w:pPr>
          </w:p>
        </w:tc>
        <w:tc>
          <w:tcPr>
            <w:tcW w:w="379" w:type="pct"/>
            <w:vMerge w:val="continue"/>
            <w:tcBorders>
              <w:tl2br w:val="nil"/>
              <w:tr2bl w:val="nil"/>
            </w:tcBorders>
            <w:shd w:val="clear" w:color="auto" w:fill="FFFFFF"/>
            <w:vAlign w:val="center"/>
          </w:tcPr>
          <w:p w14:paraId="159ED2CB">
            <w:pPr>
              <w:widowControl/>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7408C300">
            <w:pPr>
              <w:widowControl/>
              <w:spacing w:line="0" w:lineRule="atLeast"/>
              <w:jc w:val="center"/>
              <w:rPr>
                <w:rFonts w:eastAsia="宋体"/>
                <w:color w:val="000000"/>
                <w:kern w:val="0"/>
                <w:sz w:val="22"/>
                <w:szCs w:val="22"/>
              </w:rPr>
            </w:pPr>
            <w:r>
              <w:rPr>
                <w:rFonts w:eastAsia="宋体"/>
                <w:color w:val="000000"/>
                <w:kern w:val="0"/>
                <w:sz w:val="22"/>
                <w:szCs w:val="22"/>
              </w:rPr>
              <w:t>绩效指标</w:t>
            </w:r>
          </w:p>
          <w:p w14:paraId="7ECCB7CD">
            <w:pPr>
              <w:widowControl/>
              <w:spacing w:line="0" w:lineRule="atLeast"/>
              <w:jc w:val="center"/>
              <w:rPr>
                <w:rFonts w:eastAsia="宋体"/>
                <w:color w:val="000000"/>
                <w:kern w:val="0"/>
                <w:sz w:val="22"/>
                <w:szCs w:val="22"/>
              </w:rPr>
            </w:pPr>
            <w:r>
              <w:rPr>
                <w:rFonts w:eastAsia="宋体"/>
                <w:color w:val="000000"/>
                <w:kern w:val="0"/>
                <w:sz w:val="22"/>
                <w:szCs w:val="22"/>
              </w:rPr>
              <w:t>明确性</w:t>
            </w:r>
          </w:p>
        </w:tc>
        <w:tc>
          <w:tcPr>
            <w:tcW w:w="1004" w:type="pct"/>
            <w:tcBorders>
              <w:tl2br w:val="nil"/>
              <w:tr2bl w:val="nil"/>
            </w:tcBorders>
            <w:shd w:val="clear" w:color="000000" w:fill="FFFFFF"/>
            <w:vAlign w:val="center"/>
          </w:tcPr>
          <w:p w14:paraId="3985D116">
            <w:pPr>
              <w:widowControl/>
              <w:spacing w:line="0" w:lineRule="atLeast"/>
              <w:rPr>
                <w:rFonts w:eastAsia="宋体"/>
                <w:color w:val="000000"/>
                <w:kern w:val="0"/>
                <w:sz w:val="22"/>
                <w:szCs w:val="22"/>
              </w:rPr>
            </w:pPr>
            <w:r>
              <w:rPr>
                <w:rFonts w:eastAsia="宋体"/>
                <w:color w:val="000000"/>
                <w:kern w:val="0"/>
                <w:sz w:val="22"/>
                <w:szCs w:val="22"/>
              </w:rPr>
              <w:t>依据绩效目标设定的绩效指标是否清晰、细化、可衡量等，用以反映和考核项目绩效目标的明细化情况。</w:t>
            </w:r>
          </w:p>
        </w:tc>
        <w:tc>
          <w:tcPr>
            <w:tcW w:w="2342" w:type="pct"/>
            <w:tcBorders>
              <w:tl2br w:val="nil"/>
              <w:tr2bl w:val="nil"/>
            </w:tcBorders>
            <w:shd w:val="clear" w:color="000000" w:fill="FFFFFF"/>
            <w:vAlign w:val="center"/>
          </w:tcPr>
          <w:p w14:paraId="1FFD1CF8">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①是否将项目绩效目标细化分解为具体的绩效指标；</w:t>
            </w:r>
            <w:r>
              <w:rPr>
                <w:rFonts w:eastAsia="宋体"/>
                <w:color w:val="000000"/>
                <w:kern w:val="0"/>
                <w:sz w:val="22"/>
                <w:szCs w:val="22"/>
              </w:rPr>
              <w:br w:type="textWrapping"/>
            </w:r>
            <w:r>
              <w:rPr>
                <w:rFonts w:eastAsia="宋体"/>
                <w:color w:val="000000"/>
                <w:kern w:val="0"/>
                <w:sz w:val="22"/>
                <w:szCs w:val="22"/>
              </w:rPr>
              <w:t>②是否通过清晰、可衡量的指标值予以体现；</w:t>
            </w:r>
            <w:r>
              <w:rPr>
                <w:rFonts w:eastAsia="宋体"/>
                <w:color w:val="000000"/>
                <w:kern w:val="0"/>
                <w:sz w:val="22"/>
                <w:szCs w:val="22"/>
              </w:rPr>
              <w:br w:type="textWrapping"/>
            </w:r>
            <w:r>
              <w:rPr>
                <w:rFonts w:eastAsia="宋体"/>
                <w:color w:val="000000"/>
                <w:kern w:val="0"/>
                <w:sz w:val="22"/>
                <w:szCs w:val="22"/>
              </w:rPr>
              <w:t>③是否与项目目标任务数或计划数相对应。</w:t>
            </w:r>
            <w:r>
              <w:rPr>
                <w:rFonts w:eastAsia="宋体"/>
                <w:color w:val="000000"/>
                <w:kern w:val="0"/>
                <w:sz w:val="22"/>
                <w:szCs w:val="22"/>
              </w:rPr>
              <w:br w:type="textWrapping"/>
            </w:r>
          </w:p>
        </w:tc>
        <w:tc>
          <w:tcPr>
            <w:tcW w:w="271" w:type="pct"/>
            <w:gridSpan w:val="2"/>
            <w:tcBorders>
              <w:top w:val="single" w:color="auto" w:sz="4" w:space="0"/>
              <w:bottom w:val="single" w:color="auto" w:sz="4" w:space="0"/>
              <w:right w:val="single" w:color="auto" w:sz="4" w:space="0"/>
            </w:tcBorders>
            <w:shd w:val="clear" w:color="auto" w:fill="auto"/>
            <w:vAlign w:val="center"/>
          </w:tcPr>
          <w:p w14:paraId="0E77CADF">
            <w:pPr>
              <w:widowControl/>
              <w:jc w:val="center"/>
              <w:rPr>
                <w:rFonts w:eastAsia="宋体"/>
                <w:color w:val="000000"/>
                <w:kern w:val="0"/>
                <w:sz w:val="22"/>
                <w:szCs w:val="22"/>
              </w:rPr>
            </w:pPr>
            <w:r>
              <w:rPr>
                <w:rFonts w:hint="eastAsia"/>
                <w:color w:val="000000"/>
                <w:kern w:val="0"/>
                <w:sz w:val="22"/>
                <w:szCs w:val="22"/>
              </w:rPr>
              <w:t>5</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95CB24">
            <w:pPr>
              <w:widowControl/>
              <w:jc w:val="center"/>
              <w:rPr>
                <w:rFonts w:eastAsia="宋体"/>
                <w:color w:val="000000"/>
                <w:kern w:val="0"/>
                <w:sz w:val="22"/>
                <w:szCs w:val="22"/>
              </w:rPr>
            </w:pPr>
            <w:r>
              <w:rPr>
                <w:rFonts w:hint="eastAsia" w:eastAsia="宋体"/>
                <w:color w:val="000000"/>
                <w:kern w:val="0"/>
                <w:sz w:val="22"/>
                <w:szCs w:val="22"/>
              </w:rPr>
              <w:t>5</w:t>
            </w:r>
          </w:p>
        </w:tc>
      </w:tr>
      <w:tr w14:paraId="4121E3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1561" w:hRule="atLeast"/>
          <w:jc w:val="center"/>
        </w:trPr>
        <w:tc>
          <w:tcPr>
            <w:tcW w:w="244" w:type="pct"/>
            <w:vMerge w:val="continue"/>
            <w:tcBorders>
              <w:tl2br w:val="nil"/>
              <w:tr2bl w:val="nil"/>
            </w:tcBorders>
            <w:shd w:val="clear" w:color="auto" w:fill="FFFFFF"/>
            <w:vAlign w:val="center"/>
          </w:tcPr>
          <w:p w14:paraId="3F65F17B">
            <w:pPr>
              <w:spacing w:line="0" w:lineRule="atLeast"/>
              <w:jc w:val="center"/>
              <w:rPr>
                <w:rFonts w:eastAsia="宋体"/>
                <w:color w:val="000000"/>
                <w:kern w:val="0"/>
                <w:sz w:val="22"/>
                <w:szCs w:val="22"/>
              </w:rPr>
            </w:pPr>
          </w:p>
        </w:tc>
        <w:tc>
          <w:tcPr>
            <w:tcW w:w="379" w:type="pct"/>
            <w:vMerge w:val="restart"/>
            <w:tcBorders>
              <w:tl2br w:val="nil"/>
              <w:tr2bl w:val="nil"/>
            </w:tcBorders>
            <w:shd w:val="clear" w:color="auto" w:fill="FFFFFF"/>
            <w:vAlign w:val="center"/>
          </w:tcPr>
          <w:p w14:paraId="36C8CD31">
            <w:pPr>
              <w:widowControl/>
              <w:spacing w:line="0" w:lineRule="atLeast"/>
              <w:jc w:val="center"/>
              <w:rPr>
                <w:rFonts w:eastAsia="宋体"/>
                <w:color w:val="000000"/>
                <w:kern w:val="0"/>
                <w:sz w:val="22"/>
                <w:szCs w:val="22"/>
              </w:rPr>
            </w:pPr>
            <w:r>
              <w:rPr>
                <w:rFonts w:eastAsia="宋体"/>
                <w:color w:val="000000"/>
                <w:kern w:val="0"/>
                <w:sz w:val="22"/>
                <w:szCs w:val="22"/>
              </w:rPr>
              <w:t>资金投入（5）</w:t>
            </w:r>
          </w:p>
          <w:p w14:paraId="1F1C4321">
            <w:pPr>
              <w:spacing w:line="0" w:lineRule="atLeast"/>
              <w:jc w:val="center"/>
              <w:rPr>
                <w:rFonts w:eastAsia="宋体"/>
                <w:color w:val="000000"/>
                <w:kern w:val="0"/>
                <w:sz w:val="22"/>
                <w:szCs w:val="22"/>
              </w:rPr>
            </w:pPr>
            <w:r>
              <w:rPr>
                <w:rFonts w:eastAsia="宋体"/>
                <w:color w:val="000000"/>
                <w:kern w:val="0"/>
                <w:sz w:val="22"/>
                <w:szCs w:val="22"/>
              </w:rPr>
              <w:t>　</w:t>
            </w:r>
          </w:p>
        </w:tc>
        <w:tc>
          <w:tcPr>
            <w:tcW w:w="455" w:type="pct"/>
            <w:tcBorders>
              <w:tl2br w:val="nil"/>
              <w:tr2bl w:val="nil"/>
            </w:tcBorders>
            <w:shd w:val="clear" w:color="auto" w:fill="FFFFFF"/>
            <w:vAlign w:val="center"/>
          </w:tcPr>
          <w:p w14:paraId="704537A4">
            <w:pPr>
              <w:widowControl/>
              <w:spacing w:line="0" w:lineRule="atLeast"/>
              <w:jc w:val="center"/>
              <w:rPr>
                <w:rFonts w:eastAsia="宋体"/>
                <w:color w:val="000000"/>
                <w:kern w:val="0"/>
                <w:sz w:val="22"/>
                <w:szCs w:val="22"/>
              </w:rPr>
            </w:pPr>
            <w:r>
              <w:rPr>
                <w:rFonts w:eastAsia="宋体"/>
                <w:color w:val="000000"/>
                <w:kern w:val="0"/>
                <w:sz w:val="22"/>
                <w:szCs w:val="22"/>
              </w:rPr>
              <w:t>预算编制</w:t>
            </w:r>
          </w:p>
          <w:p w14:paraId="3F7D7E93">
            <w:pPr>
              <w:widowControl/>
              <w:spacing w:line="0" w:lineRule="atLeast"/>
              <w:jc w:val="center"/>
              <w:rPr>
                <w:rFonts w:eastAsia="宋体"/>
                <w:color w:val="000000"/>
                <w:kern w:val="0"/>
                <w:sz w:val="22"/>
                <w:szCs w:val="22"/>
              </w:rPr>
            </w:pPr>
            <w:r>
              <w:rPr>
                <w:rFonts w:eastAsia="宋体"/>
                <w:color w:val="000000"/>
                <w:kern w:val="0"/>
                <w:sz w:val="22"/>
                <w:szCs w:val="22"/>
              </w:rPr>
              <w:t>科学性</w:t>
            </w:r>
          </w:p>
        </w:tc>
        <w:tc>
          <w:tcPr>
            <w:tcW w:w="1004" w:type="pct"/>
            <w:tcBorders>
              <w:tl2br w:val="nil"/>
              <w:tr2bl w:val="nil"/>
            </w:tcBorders>
            <w:shd w:val="clear" w:color="auto" w:fill="FFFFFF"/>
            <w:vAlign w:val="center"/>
          </w:tcPr>
          <w:p w14:paraId="611D7F1A">
            <w:pPr>
              <w:widowControl/>
              <w:spacing w:line="0" w:lineRule="atLeast"/>
              <w:rPr>
                <w:rFonts w:eastAsia="宋体"/>
                <w:color w:val="000000"/>
                <w:kern w:val="0"/>
                <w:sz w:val="22"/>
                <w:szCs w:val="22"/>
              </w:rPr>
            </w:pPr>
            <w:r>
              <w:rPr>
                <w:rFonts w:eastAsia="宋体"/>
                <w:color w:val="000000"/>
                <w:kern w:val="0"/>
                <w:sz w:val="22"/>
                <w:szCs w:val="22"/>
              </w:rPr>
              <w:t>项目预算编制是否经过科学论证、有明确标准，资金额度与年度目标是否相适应，用以反映和考核项目预算编制的科学性、合理性情况。</w:t>
            </w:r>
          </w:p>
        </w:tc>
        <w:tc>
          <w:tcPr>
            <w:tcW w:w="2342" w:type="pct"/>
            <w:tcBorders>
              <w:tl2br w:val="nil"/>
              <w:tr2bl w:val="nil"/>
            </w:tcBorders>
            <w:shd w:val="clear" w:color="auto" w:fill="FFFFFF"/>
            <w:vAlign w:val="center"/>
          </w:tcPr>
          <w:p w14:paraId="5035AECA">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①预算编制是否经过科学论证；</w:t>
            </w:r>
            <w:r>
              <w:rPr>
                <w:rFonts w:eastAsia="宋体"/>
                <w:color w:val="000000"/>
                <w:kern w:val="0"/>
                <w:sz w:val="22"/>
                <w:szCs w:val="22"/>
              </w:rPr>
              <w:br w:type="textWrapping"/>
            </w:r>
            <w:r>
              <w:rPr>
                <w:rFonts w:eastAsia="宋体"/>
                <w:color w:val="000000"/>
                <w:kern w:val="0"/>
                <w:sz w:val="22"/>
                <w:szCs w:val="22"/>
              </w:rPr>
              <w:t>②预算内容与项目内容是否匹配；</w:t>
            </w:r>
            <w:r>
              <w:rPr>
                <w:rFonts w:eastAsia="宋体"/>
                <w:color w:val="000000"/>
                <w:kern w:val="0"/>
                <w:sz w:val="22"/>
                <w:szCs w:val="22"/>
              </w:rPr>
              <w:br w:type="textWrapping"/>
            </w:r>
            <w:r>
              <w:rPr>
                <w:rFonts w:eastAsia="宋体"/>
                <w:color w:val="000000"/>
                <w:kern w:val="0"/>
                <w:sz w:val="22"/>
                <w:szCs w:val="22"/>
              </w:rPr>
              <w:t>③预算额度测算依据是否充分，是否按照标准编制；</w:t>
            </w:r>
            <w:r>
              <w:rPr>
                <w:rFonts w:eastAsia="宋体"/>
                <w:color w:val="000000"/>
                <w:kern w:val="0"/>
                <w:sz w:val="22"/>
                <w:szCs w:val="22"/>
              </w:rPr>
              <w:br w:type="textWrapping"/>
            </w:r>
            <w:r>
              <w:rPr>
                <w:rFonts w:eastAsia="宋体"/>
                <w:color w:val="000000"/>
                <w:kern w:val="0"/>
                <w:sz w:val="22"/>
                <w:szCs w:val="22"/>
              </w:rPr>
              <w:t>④预算确定的项目投资额或资金量是否与工作任务相匹配。</w:t>
            </w:r>
          </w:p>
        </w:tc>
        <w:tc>
          <w:tcPr>
            <w:tcW w:w="271" w:type="pct"/>
            <w:gridSpan w:val="2"/>
            <w:tcBorders>
              <w:top w:val="single" w:color="auto" w:sz="4" w:space="0"/>
              <w:bottom w:val="single" w:color="auto" w:sz="4" w:space="0"/>
              <w:right w:val="single" w:color="auto" w:sz="4" w:space="0"/>
            </w:tcBorders>
            <w:shd w:val="clear" w:color="auto" w:fill="auto"/>
            <w:vAlign w:val="center"/>
          </w:tcPr>
          <w:p w14:paraId="62FCB176">
            <w:pPr>
              <w:widowControl/>
              <w:jc w:val="center"/>
              <w:rPr>
                <w:rFonts w:eastAsia="宋体"/>
                <w:color w:val="000000"/>
                <w:kern w:val="0"/>
                <w:sz w:val="22"/>
                <w:szCs w:val="22"/>
              </w:rPr>
            </w:pPr>
            <w:r>
              <w:rPr>
                <w:color w:val="000000"/>
                <w:kern w:val="0"/>
                <w:sz w:val="22"/>
                <w:szCs w:val="22"/>
              </w:rPr>
              <w:t>3</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06B763A">
            <w:pPr>
              <w:widowControl/>
              <w:jc w:val="center"/>
              <w:rPr>
                <w:rFonts w:eastAsia="宋体"/>
                <w:color w:val="000000"/>
                <w:kern w:val="0"/>
                <w:sz w:val="22"/>
                <w:szCs w:val="22"/>
              </w:rPr>
            </w:pPr>
            <w:r>
              <w:rPr>
                <w:color w:val="000000"/>
                <w:kern w:val="0"/>
                <w:sz w:val="22"/>
                <w:szCs w:val="22"/>
              </w:rPr>
              <w:t>3</w:t>
            </w:r>
          </w:p>
        </w:tc>
      </w:tr>
      <w:tr w14:paraId="2EC9B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1576" w:hRule="atLeast"/>
          <w:jc w:val="center"/>
        </w:trPr>
        <w:tc>
          <w:tcPr>
            <w:tcW w:w="244" w:type="pct"/>
            <w:vMerge w:val="continue"/>
            <w:tcBorders>
              <w:tl2br w:val="nil"/>
              <w:tr2bl w:val="nil"/>
            </w:tcBorders>
            <w:shd w:val="clear" w:color="auto" w:fill="FFFFFF"/>
            <w:vAlign w:val="center"/>
          </w:tcPr>
          <w:p w14:paraId="697F8A03">
            <w:pPr>
              <w:widowControl/>
              <w:spacing w:line="0" w:lineRule="atLeast"/>
              <w:jc w:val="center"/>
              <w:rPr>
                <w:rFonts w:eastAsia="宋体"/>
                <w:color w:val="000000"/>
                <w:kern w:val="0"/>
                <w:sz w:val="22"/>
                <w:szCs w:val="22"/>
              </w:rPr>
            </w:pPr>
          </w:p>
        </w:tc>
        <w:tc>
          <w:tcPr>
            <w:tcW w:w="379" w:type="pct"/>
            <w:vMerge w:val="continue"/>
            <w:tcBorders>
              <w:tl2br w:val="nil"/>
              <w:tr2bl w:val="nil"/>
            </w:tcBorders>
            <w:shd w:val="clear" w:color="auto" w:fill="FFFFFF"/>
            <w:vAlign w:val="center"/>
          </w:tcPr>
          <w:p w14:paraId="5D13D6BB">
            <w:pPr>
              <w:widowControl/>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009D1068">
            <w:pPr>
              <w:widowControl/>
              <w:spacing w:line="0" w:lineRule="atLeast"/>
              <w:jc w:val="center"/>
              <w:rPr>
                <w:rFonts w:eastAsia="宋体"/>
                <w:color w:val="000000"/>
                <w:kern w:val="0"/>
                <w:sz w:val="22"/>
                <w:szCs w:val="22"/>
              </w:rPr>
            </w:pPr>
            <w:r>
              <w:rPr>
                <w:rFonts w:eastAsia="宋体"/>
                <w:color w:val="000000"/>
                <w:kern w:val="0"/>
                <w:sz w:val="22"/>
                <w:szCs w:val="22"/>
              </w:rPr>
              <w:t>资金分配</w:t>
            </w:r>
          </w:p>
          <w:p w14:paraId="3822B771">
            <w:pPr>
              <w:widowControl/>
              <w:spacing w:line="0" w:lineRule="atLeast"/>
              <w:jc w:val="center"/>
              <w:rPr>
                <w:rFonts w:eastAsia="宋体"/>
                <w:color w:val="000000"/>
                <w:kern w:val="0"/>
                <w:sz w:val="22"/>
                <w:szCs w:val="22"/>
              </w:rPr>
            </w:pPr>
            <w:r>
              <w:rPr>
                <w:rFonts w:eastAsia="宋体"/>
                <w:color w:val="000000"/>
                <w:kern w:val="0"/>
                <w:sz w:val="22"/>
                <w:szCs w:val="22"/>
              </w:rPr>
              <w:t>合理性</w:t>
            </w:r>
          </w:p>
        </w:tc>
        <w:tc>
          <w:tcPr>
            <w:tcW w:w="1004" w:type="pct"/>
            <w:tcBorders>
              <w:tl2br w:val="nil"/>
              <w:tr2bl w:val="nil"/>
            </w:tcBorders>
            <w:shd w:val="clear" w:color="auto" w:fill="FFFFFF"/>
            <w:vAlign w:val="center"/>
          </w:tcPr>
          <w:p w14:paraId="76D2705E">
            <w:pPr>
              <w:widowControl/>
              <w:spacing w:line="0" w:lineRule="atLeast"/>
              <w:rPr>
                <w:rFonts w:eastAsia="宋体"/>
                <w:color w:val="000000"/>
                <w:kern w:val="0"/>
                <w:sz w:val="22"/>
                <w:szCs w:val="22"/>
              </w:rPr>
            </w:pPr>
            <w:r>
              <w:rPr>
                <w:rFonts w:eastAsia="宋体"/>
                <w:color w:val="000000"/>
                <w:kern w:val="0"/>
                <w:sz w:val="22"/>
                <w:szCs w:val="22"/>
              </w:rPr>
              <w:t>项目预算资金分配是否有测算依据，与补助单位或地方实际是否相适应，用以反映和考核项目预算资金分配的科学性、合理性情况。</w:t>
            </w:r>
          </w:p>
        </w:tc>
        <w:tc>
          <w:tcPr>
            <w:tcW w:w="2342" w:type="pct"/>
            <w:tcBorders>
              <w:bottom w:val="single" w:color="auto" w:sz="4" w:space="0"/>
              <w:tl2br w:val="nil"/>
              <w:tr2bl w:val="nil"/>
            </w:tcBorders>
            <w:shd w:val="clear" w:color="auto" w:fill="FFFFFF"/>
            <w:vAlign w:val="center"/>
          </w:tcPr>
          <w:p w14:paraId="11ACAA3C">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①预算资金分配依据是否充分；</w:t>
            </w:r>
            <w:r>
              <w:rPr>
                <w:rFonts w:eastAsia="宋体"/>
                <w:color w:val="000000"/>
                <w:kern w:val="0"/>
                <w:sz w:val="22"/>
                <w:szCs w:val="22"/>
              </w:rPr>
              <w:br w:type="textWrapping"/>
            </w:r>
            <w:r>
              <w:rPr>
                <w:rFonts w:eastAsia="宋体"/>
                <w:color w:val="000000"/>
                <w:kern w:val="0"/>
                <w:sz w:val="22"/>
                <w:szCs w:val="22"/>
              </w:rPr>
              <w:t>②资金分配额度是否合理，与项目单位或地方实际是否相适应。</w:t>
            </w:r>
          </w:p>
        </w:tc>
        <w:tc>
          <w:tcPr>
            <w:tcW w:w="271" w:type="pct"/>
            <w:gridSpan w:val="2"/>
            <w:tcBorders>
              <w:top w:val="single" w:color="auto" w:sz="4" w:space="0"/>
              <w:bottom w:val="single" w:color="auto" w:sz="4" w:space="0"/>
              <w:right w:val="single" w:color="auto" w:sz="4" w:space="0"/>
            </w:tcBorders>
            <w:shd w:val="clear" w:color="auto" w:fill="auto"/>
            <w:vAlign w:val="center"/>
          </w:tcPr>
          <w:p w14:paraId="58811352">
            <w:pPr>
              <w:widowControl/>
              <w:jc w:val="center"/>
              <w:rPr>
                <w:rFonts w:eastAsia="宋体"/>
                <w:color w:val="000000"/>
                <w:kern w:val="0"/>
                <w:sz w:val="22"/>
                <w:szCs w:val="22"/>
              </w:rPr>
            </w:pPr>
            <w:r>
              <w:rPr>
                <w:color w:val="000000"/>
                <w:kern w:val="0"/>
                <w:sz w:val="22"/>
                <w:szCs w:val="22"/>
              </w:rPr>
              <w:t>2</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730BA2">
            <w:pPr>
              <w:widowControl/>
              <w:jc w:val="center"/>
              <w:rPr>
                <w:rFonts w:eastAsia="宋体"/>
                <w:color w:val="000000"/>
                <w:kern w:val="0"/>
                <w:sz w:val="22"/>
                <w:szCs w:val="22"/>
              </w:rPr>
            </w:pPr>
            <w:r>
              <w:rPr>
                <w:rFonts w:hint="eastAsia" w:eastAsia="宋体"/>
                <w:color w:val="000000"/>
                <w:kern w:val="0"/>
                <w:sz w:val="22"/>
                <w:szCs w:val="22"/>
              </w:rPr>
              <w:t>1</w:t>
            </w:r>
          </w:p>
        </w:tc>
      </w:tr>
      <w:tr w14:paraId="18447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586" w:hRule="atLeast"/>
          <w:jc w:val="center"/>
        </w:trPr>
        <w:tc>
          <w:tcPr>
            <w:tcW w:w="244" w:type="pct"/>
            <w:vMerge w:val="restart"/>
            <w:tcBorders>
              <w:tl2br w:val="nil"/>
              <w:tr2bl w:val="nil"/>
            </w:tcBorders>
            <w:shd w:val="clear" w:color="auto" w:fill="FFFFFF"/>
            <w:vAlign w:val="center"/>
          </w:tcPr>
          <w:p w14:paraId="370B4249">
            <w:pPr>
              <w:spacing w:line="0" w:lineRule="atLeast"/>
              <w:jc w:val="center"/>
              <w:rPr>
                <w:rFonts w:eastAsia="宋体"/>
                <w:color w:val="000000"/>
                <w:kern w:val="0"/>
                <w:sz w:val="22"/>
                <w:szCs w:val="22"/>
              </w:rPr>
            </w:pPr>
            <w:r>
              <w:rPr>
                <w:rFonts w:eastAsia="宋体"/>
                <w:color w:val="000000"/>
                <w:kern w:val="0"/>
                <w:sz w:val="22"/>
                <w:szCs w:val="22"/>
              </w:rPr>
              <w:t>过程（20分）</w:t>
            </w:r>
          </w:p>
          <w:p w14:paraId="3CBDFB7A">
            <w:pPr>
              <w:spacing w:line="0" w:lineRule="atLeast"/>
              <w:jc w:val="center"/>
              <w:rPr>
                <w:rFonts w:eastAsia="宋体"/>
                <w:color w:val="000000"/>
                <w:kern w:val="0"/>
                <w:sz w:val="22"/>
                <w:szCs w:val="22"/>
              </w:rPr>
            </w:pPr>
          </w:p>
        </w:tc>
        <w:tc>
          <w:tcPr>
            <w:tcW w:w="379" w:type="pct"/>
            <w:vMerge w:val="restart"/>
            <w:tcBorders>
              <w:tl2br w:val="nil"/>
              <w:tr2bl w:val="nil"/>
            </w:tcBorders>
            <w:shd w:val="clear" w:color="auto" w:fill="FFFFFF"/>
            <w:vAlign w:val="center"/>
          </w:tcPr>
          <w:p w14:paraId="779F1309">
            <w:pPr>
              <w:widowControl/>
              <w:spacing w:line="0" w:lineRule="atLeast"/>
              <w:jc w:val="center"/>
              <w:rPr>
                <w:rFonts w:eastAsia="宋体"/>
                <w:color w:val="000000"/>
                <w:kern w:val="0"/>
                <w:sz w:val="22"/>
                <w:szCs w:val="22"/>
              </w:rPr>
            </w:pPr>
            <w:r>
              <w:rPr>
                <w:rFonts w:eastAsia="宋体"/>
                <w:color w:val="000000"/>
                <w:kern w:val="0"/>
                <w:sz w:val="22"/>
                <w:szCs w:val="22"/>
              </w:rPr>
              <w:t>资金管理（10）</w:t>
            </w:r>
          </w:p>
          <w:p w14:paraId="371D9CF8">
            <w:pPr>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44E9E06F">
            <w:pPr>
              <w:widowControl/>
              <w:spacing w:line="0" w:lineRule="atLeast"/>
              <w:jc w:val="center"/>
              <w:rPr>
                <w:rFonts w:eastAsia="宋体"/>
                <w:color w:val="000000"/>
                <w:kern w:val="0"/>
                <w:sz w:val="22"/>
                <w:szCs w:val="22"/>
              </w:rPr>
            </w:pPr>
            <w:r>
              <w:rPr>
                <w:rFonts w:eastAsia="宋体"/>
                <w:color w:val="000000"/>
                <w:kern w:val="0"/>
                <w:sz w:val="22"/>
                <w:szCs w:val="22"/>
              </w:rPr>
              <w:t>资金到位率</w:t>
            </w:r>
          </w:p>
        </w:tc>
        <w:tc>
          <w:tcPr>
            <w:tcW w:w="1004" w:type="pct"/>
            <w:tcBorders>
              <w:tl2br w:val="nil"/>
              <w:tr2bl w:val="nil"/>
            </w:tcBorders>
            <w:shd w:val="clear" w:color="000000" w:fill="FFFFFF"/>
            <w:vAlign w:val="center"/>
          </w:tcPr>
          <w:p w14:paraId="3D15B608">
            <w:pPr>
              <w:widowControl/>
              <w:spacing w:line="0" w:lineRule="atLeast"/>
              <w:rPr>
                <w:rFonts w:eastAsia="宋体"/>
                <w:color w:val="000000"/>
                <w:kern w:val="0"/>
                <w:sz w:val="22"/>
                <w:szCs w:val="22"/>
              </w:rPr>
            </w:pPr>
            <w:r>
              <w:rPr>
                <w:rFonts w:eastAsia="宋体"/>
                <w:color w:val="000000"/>
                <w:kern w:val="0"/>
                <w:sz w:val="22"/>
                <w:szCs w:val="22"/>
              </w:rPr>
              <w:t>实际到位资金与预算资金的比率，用以反映和考核资金落实情况对项目实施的总体保障程度。</w:t>
            </w:r>
          </w:p>
        </w:tc>
        <w:tc>
          <w:tcPr>
            <w:tcW w:w="2342" w:type="pct"/>
            <w:tcBorders>
              <w:tl2br w:val="nil"/>
              <w:tr2bl w:val="nil"/>
            </w:tcBorders>
            <w:shd w:val="clear" w:color="000000" w:fill="FFFFFF"/>
            <w:vAlign w:val="center"/>
          </w:tcPr>
          <w:p w14:paraId="24BC08B1">
            <w:pPr>
              <w:widowControl/>
              <w:spacing w:line="0" w:lineRule="atLeast"/>
              <w:rPr>
                <w:rFonts w:eastAsia="宋体"/>
                <w:color w:val="000000"/>
                <w:kern w:val="0"/>
                <w:sz w:val="22"/>
                <w:szCs w:val="22"/>
              </w:rPr>
            </w:pPr>
            <w:r>
              <w:rPr>
                <w:rFonts w:eastAsia="宋体"/>
                <w:color w:val="000000"/>
                <w:kern w:val="0"/>
                <w:sz w:val="22"/>
                <w:szCs w:val="22"/>
              </w:rPr>
              <w:t>资金到位率=（实际到位资金/预算资金）×100%。</w:t>
            </w:r>
          </w:p>
          <w:p w14:paraId="766D5DE2">
            <w:pPr>
              <w:widowControl/>
              <w:spacing w:line="0" w:lineRule="atLeast"/>
              <w:rPr>
                <w:rFonts w:eastAsia="宋体"/>
                <w:color w:val="000000"/>
                <w:kern w:val="0"/>
                <w:sz w:val="22"/>
                <w:szCs w:val="22"/>
              </w:rPr>
            </w:pPr>
            <w:r>
              <w:rPr>
                <w:rFonts w:eastAsia="宋体"/>
                <w:color w:val="000000"/>
                <w:kern w:val="0"/>
                <w:sz w:val="22"/>
                <w:szCs w:val="22"/>
              </w:rPr>
              <w:t>实际到位资金：一定时期（本年度或项目期）内落实到具体项目的资金。</w:t>
            </w:r>
          </w:p>
          <w:p w14:paraId="28BC3C4A">
            <w:pPr>
              <w:widowControl/>
              <w:spacing w:line="0" w:lineRule="atLeast"/>
              <w:rPr>
                <w:rFonts w:eastAsia="宋体"/>
                <w:color w:val="000000"/>
                <w:kern w:val="0"/>
                <w:sz w:val="22"/>
                <w:szCs w:val="22"/>
              </w:rPr>
            </w:pPr>
            <w:r>
              <w:rPr>
                <w:rFonts w:eastAsia="宋体"/>
                <w:color w:val="000000"/>
                <w:kern w:val="0"/>
                <w:sz w:val="22"/>
                <w:szCs w:val="22"/>
              </w:rPr>
              <w:t>预算资金：一定时期（本年度或项目期）内预算安排到具体项目的资金。</w:t>
            </w:r>
          </w:p>
        </w:tc>
        <w:tc>
          <w:tcPr>
            <w:tcW w:w="271" w:type="pct"/>
            <w:gridSpan w:val="2"/>
            <w:tcBorders>
              <w:top w:val="single" w:color="auto" w:sz="4" w:space="0"/>
              <w:bottom w:val="single" w:color="auto" w:sz="4" w:space="0"/>
              <w:right w:val="single" w:color="auto" w:sz="4" w:space="0"/>
            </w:tcBorders>
            <w:shd w:val="clear" w:color="auto" w:fill="auto"/>
            <w:vAlign w:val="center"/>
          </w:tcPr>
          <w:p w14:paraId="6B70294C">
            <w:pPr>
              <w:widowControl/>
              <w:jc w:val="center"/>
              <w:rPr>
                <w:rFonts w:eastAsia="宋体"/>
                <w:color w:val="000000"/>
                <w:kern w:val="0"/>
                <w:sz w:val="22"/>
                <w:szCs w:val="22"/>
              </w:rPr>
            </w:pPr>
            <w:r>
              <w:rPr>
                <w:rFonts w:hint="eastAsia"/>
                <w:color w:val="000000"/>
                <w:kern w:val="0"/>
                <w:sz w:val="22"/>
                <w:szCs w:val="22"/>
              </w:rPr>
              <w:t>3</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8B864D">
            <w:pPr>
              <w:widowControl/>
              <w:jc w:val="center"/>
              <w:rPr>
                <w:rFonts w:eastAsia="宋体"/>
                <w:color w:val="000000"/>
                <w:kern w:val="0"/>
                <w:sz w:val="22"/>
                <w:szCs w:val="22"/>
              </w:rPr>
            </w:pPr>
            <w:r>
              <w:rPr>
                <w:rFonts w:hint="eastAsia"/>
                <w:color w:val="000000"/>
                <w:kern w:val="0"/>
                <w:sz w:val="22"/>
                <w:szCs w:val="22"/>
              </w:rPr>
              <w:t>3</w:t>
            </w:r>
          </w:p>
        </w:tc>
      </w:tr>
      <w:tr w14:paraId="346AF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4" w:type="pct"/>
          <w:trHeight w:val="975" w:hRule="atLeast"/>
          <w:jc w:val="center"/>
        </w:trPr>
        <w:tc>
          <w:tcPr>
            <w:tcW w:w="244" w:type="pct"/>
            <w:vMerge w:val="continue"/>
            <w:tcBorders>
              <w:tl2br w:val="nil"/>
              <w:tr2bl w:val="nil"/>
            </w:tcBorders>
            <w:shd w:val="clear" w:color="auto" w:fill="FFFFFF"/>
            <w:vAlign w:val="center"/>
          </w:tcPr>
          <w:p w14:paraId="7A707513">
            <w:pPr>
              <w:spacing w:line="0" w:lineRule="atLeast"/>
              <w:jc w:val="center"/>
              <w:rPr>
                <w:rFonts w:eastAsia="宋体"/>
                <w:color w:val="000000"/>
                <w:kern w:val="0"/>
                <w:sz w:val="22"/>
                <w:szCs w:val="22"/>
              </w:rPr>
            </w:pPr>
          </w:p>
        </w:tc>
        <w:tc>
          <w:tcPr>
            <w:tcW w:w="379" w:type="pct"/>
            <w:vMerge w:val="continue"/>
            <w:tcBorders>
              <w:tl2br w:val="nil"/>
              <w:tr2bl w:val="nil"/>
            </w:tcBorders>
            <w:shd w:val="clear" w:color="auto" w:fill="FFFFFF"/>
            <w:vAlign w:val="center"/>
          </w:tcPr>
          <w:p w14:paraId="10FE2D1B">
            <w:pPr>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2BA01FDA">
            <w:pPr>
              <w:widowControl/>
              <w:spacing w:line="0" w:lineRule="atLeast"/>
              <w:jc w:val="center"/>
              <w:rPr>
                <w:rFonts w:eastAsia="宋体"/>
                <w:color w:val="000000"/>
                <w:kern w:val="0"/>
                <w:sz w:val="22"/>
                <w:szCs w:val="22"/>
              </w:rPr>
            </w:pPr>
            <w:r>
              <w:rPr>
                <w:rFonts w:eastAsia="宋体"/>
                <w:color w:val="000000"/>
                <w:kern w:val="0"/>
                <w:sz w:val="22"/>
                <w:szCs w:val="22"/>
              </w:rPr>
              <w:t>预算执行率</w:t>
            </w:r>
          </w:p>
        </w:tc>
        <w:tc>
          <w:tcPr>
            <w:tcW w:w="1004" w:type="pct"/>
            <w:tcBorders>
              <w:tl2br w:val="nil"/>
              <w:tr2bl w:val="nil"/>
            </w:tcBorders>
            <w:shd w:val="clear" w:color="auto" w:fill="FFFFFF"/>
            <w:vAlign w:val="center"/>
          </w:tcPr>
          <w:p w14:paraId="372C8448">
            <w:pPr>
              <w:widowControl/>
              <w:spacing w:line="0" w:lineRule="atLeast"/>
              <w:rPr>
                <w:rFonts w:eastAsia="宋体"/>
                <w:color w:val="000000"/>
                <w:kern w:val="0"/>
                <w:sz w:val="22"/>
                <w:szCs w:val="22"/>
              </w:rPr>
            </w:pPr>
            <w:r>
              <w:rPr>
                <w:rFonts w:eastAsia="宋体"/>
                <w:color w:val="000000"/>
                <w:kern w:val="0"/>
                <w:sz w:val="22"/>
                <w:szCs w:val="22"/>
              </w:rPr>
              <w:t>项目预算资金是否按照计划执行，用以反映或考核项目预算执行情况。</w:t>
            </w:r>
          </w:p>
        </w:tc>
        <w:tc>
          <w:tcPr>
            <w:tcW w:w="2342" w:type="pct"/>
            <w:tcBorders>
              <w:tl2br w:val="nil"/>
              <w:tr2bl w:val="nil"/>
            </w:tcBorders>
            <w:shd w:val="clear" w:color="auto" w:fill="FFFFFF"/>
            <w:vAlign w:val="center"/>
          </w:tcPr>
          <w:p w14:paraId="553FA498">
            <w:pPr>
              <w:widowControl/>
              <w:spacing w:line="0" w:lineRule="atLeast"/>
              <w:rPr>
                <w:rFonts w:eastAsia="宋体"/>
                <w:color w:val="000000"/>
                <w:kern w:val="0"/>
                <w:sz w:val="22"/>
                <w:szCs w:val="22"/>
              </w:rPr>
            </w:pPr>
            <w:r>
              <w:rPr>
                <w:rFonts w:eastAsia="宋体"/>
                <w:color w:val="000000"/>
                <w:kern w:val="0"/>
                <w:sz w:val="22"/>
                <w:szCs w:val="22"/>
              </w:rPr>
              <w:t>预算执行率=（实际支出资金/实际到位资金）×100%。</w:t>
            </w:r>
            <w:r>
              <w:rPr>
                <w:rFonts w:eastAsia="宋体"/>
                <w:color w:val="000000"/>
                <w:kern w:val="0"/>
                <w:sz w:val="22"/>
                <w:szCs w:val="22"/>
              </w:rPr>
              <w:br w:type="textWrapping"/>
            </w:r>
            <w:r>
              <w:rPr>
                <w:rFonts w:eastAsia="宋体"/>
                <w:color w:val="000000"/>
                <w:kern w:val="0"/>
                <w:sz w:val="22"/>
                <w:szCs w:val="22"/>
              </w:rPr>
              <w:t>实际支出资金：一定时期（本年度或项目期）内项目实际拨付的资金。</w:t>
            </w:r>
          </w:p>
        </w:tc>
        <w:tc>
          <w:tcPr>
            <w:tcW w:w="271" w:type="pct"/>
            <w:gridSpan w:val="2"/>
            <w:tcBorders>
              <w:top w:val="single" w:color="auto" w:sz="4" w:space="0"/>
              <w:bottom w:val="single" w:color="auto" w:sz="4" w:space="0"/>
              <w:right w:val="single" w:color="auto" w:sz="4" w:space="0"/>
            </w:tcBorders>
            <w:shd w:val="clear" w:color="auto" w:fill="auto"/>
            <w:vAlign w:val="center"/>
          </w:tcPr>
          <w:p w14:paraId="74B22FDF">
            <w:pPr>
              <w:widowControl/>
              <w:jc w:val="center"/>
              <w:rPr>
                <w:rFonts w:eastAsia="宋体"/>
                <w:color w:val="000000"/>
                <w:kern w:val="0"/>
                <w:sz w:val="22"/>
                <w:szCs w:val="22"/>
              </w:rPr>
            </w:pPr>
            <w:r>
              <w:rPr>
                <w:rFonts w:hint="eastAsia"/>
                <w:color w:val="000000"/>
                <w:kern w:val="0"/>
                <w:sz w:val="22"/>
                <w:szCs w:val="22"/>
              </w:rPr>
              <w:t>3</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03DCAE">
            <w:pPr>
              <w:widowControl/>
              <w:jc w:val="center"/>
              <w:rPr>
                <w:rFonts w:eastAsia="宋体"/>
                <w:color w:val="000000"/>
                <w:kern w:val="0"/>
                <w:sz w:val="22"/>
                <w:szCs w:val="22"/>
              </w:rPr>
            </w:pPr>
            <w:r>
              <w:rPr>
                <w:rFonts w:hint="eastAsia" w:eastAsia="宋体"/>
                <w:color w:val="000000"/>
                <w:kern w:val="0"/>
                <w:sz w:val="22"/>
                <w:szCs w:val="22"/>
              </w:rPr>
              <w:t>2</w:t>
            </w:r>
          </w:p>
        </w:tc>
      </w:tr>
      <w:tr w14:paraId="110E31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7" w:type="pct"/>
          <w:trHeight w:val="786" w:hRule="atLeast"/>
          <w:jc w:val="center"/>
        </w:trPr>
        <w:tc>
          <w:tcPr>
            <w:tcW w:w="244" w:type="pct"/>
            <w:vMerge w:val="continue"/>
            <w:tcBorders>
              <w:tl2br w:val="nil"/>
              <w:tr2bl w:val="nil"/>
            </w:tcBorders>
            <w:shd w:val="clear" w:color="auto" w:fill="FFFFFF"/>
            <w:vAlign w:val="center"/>
          </w:tcPr>
          <w:p w14:paraId="11BB5A7B">
            <w:pPr>
              <w:spacing w:line="0" w:lineRule="atLeast"/>
              <w:jc w:val="center"/>
              <w:rPr>
                <w:rFonts w:eastAsia="宋体"/>
                <w:color w:val="000000"/>
                <w:kern w:val="0"/>
                <w:sz w:val="22"/>
                <w:szCs w:val="22"/>
              </w:rPr>
            </w:pPr>
          </w:p>
        </w:tc>
        <w:tc>
          <w:tcPr>
            <w:tcW w:w="379" w:type="pct"/>
            <w:vMerge w:val="continue"/>
            <w:tcBorders>
              <w:tl2br w:val="nil"/>
              <w:tr2bl w:val="nil"/>
            </w:tcBorders>
            <w:shd w:val="clear" w:color="auto" w:fill="FFFFFF"/>
            <w:vAlign w:val="center"/>
          </w:tcPr>
          <w:p w14:paraId="3494A72E">
            <w:pPr>
              <w:widowControl/>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6863EB8A">
            <w:pPr>
              <w:widowControl/>
              <w:spacing w:line="0" w:lineRule="atLeast"/>
              <w:jc w:val="center"/>
              <w:rPr>
                <w:rFonts w:eastAsia="宋体"/>
                <w:color w:val="000000"/>
                <w:kern w:val="0"/>
                <w:sz w:val="22"/>
                <w:szCs w:val="22"/>
              </w:rPr>
            </w:pPr>
            <w:r>
              <w:rPr>
                <w:rFonts w:eastAsia="宋体"/>
                <w:color w:val="000000"/>
                <w:kern w:val="0"/>
                <w:sz w:val="22"/>
                <w:szCs w:val="22"/>
              </w:rPr>
              <w:t>资金使用</w:t>
            </w:r>
          </w:p>
          <w:p w14:paraId="7DAFCEB1">
            <w:pPr>
              <w:widowControl/>
              <w:spacing w:line="0" w:lineRule="atLeast"/>
              <w:jc w:val="center"/>
              <w:rPr>
                <w:rFonts w:eastAsia="宋体"/>
                <w:color w:val="000000"/>
                <w:kern w:val="0"/>
                <w:sz w:val="22"/>
                <w:szCs w:val="22"/>
              </w:rPr>
            </w:pPr>
            <w:r>
              <w:rPr>
                <w:rFonts w:eastAsia="宋体"/>
                <w:color w:val="000000"/>
                <w:kern w:val="0"/>
                <w:sz w:val="22"/>
                <w:szCs w:val="22"/>
              </w:rPr>
              <w:t>合规性</w:t>
            </w:r>
          </w:p>
        </w:tc>
        <w:tc>
          <w:tcPr>
            <w:tcW w:w="1004" w:type="pct"/>
            <w:tcBorders>
              <w:tl2br w:val="nil"/>
              <w:tr2bl w:val="nil"/>
            </w:tcBorders>
            <w:shd w:val="clear" w:color="000000" w:fill="FFFFFF"/>
            <w:vAlign w:val="center"/>
          </w:tcPr>
          <w:p w14:paraId="4DC7D1C1">
            <w:pPr>
              <w:widowControl/>
              <w:spacing w:line="0" w:lineRule="atLeast"/>
              <w:rPr>
                <w:rFonts w:eastAsia="宋体"/>
                <w:color w:val="000000"/>
                <w:kern w:val="0"/>
                <w:sz w:val="22"/>
                <w:szCs w:val="22"/>
              </w:rPr>
            </w:pPr>
            <w:r>
              <w:rPr>
                <w:rFonts w:eastAsia="宋体"/>
                <w:color w:val="000000"/>
                <w:kern w:val="0"/>
                <w:sz w:val="22"/>
                <w:szCs w:val="22"/>
              </w:rPr>
              <w:t>项目资金使用是否符合相关的财务管理制度规定，用以反映和考核项目资金的规范运行情况。</w:t>
            </w:r>
          </w:p>
        </w:tc>
        <w:tc>
          <w:tcPr>
            <w:tcW w:w="2342" w:type="pct"/>
            <w:tcBorders>
              <w:bottom w:val="single" w:color="auto" w:sz="4" w:space="0"/>
              <w:tl2br w:val="nil"/>
              <w:tr2bl w:val="nil"/>
            </w:tcBorders>
            <w:shd w:val="clear" w:color="000000" w:fill="FFFFFF"/>
            <w:vAlign w:val="center"/>
          </w:tcPr>
          <w:p w14:paraId="36509E35">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①是否符合国家财经法规和财务管理制度以及有关专项资金管理办法的规定；</w:t>
            </w:r>
            <w:r>
              <w:rPr>
                <w:rFonts w:eastAsia="宋体"/>
                <w:color w:val="000000"/>
                <w:kern w:val="0"/>
                <w:sz w:val="22"/>
                <w:szCs w:val="22"/>
              </w:rPr>
              <w:br w:type="textWrapping"/>
            </w:r>
            <w:r>
              <w:rPr>
                <w:rFonts w:eastAsia="宋体"/>
                <w:color w:val="000000"/>
                <w:kern w:val="0"/>
                <w:sz w:val="22"/>
                <w:szCs w:val="22"/>
              </w:rPr>
              <w:t>②资金的拨付是否有完整的审批程序和手续；</w:t>
            </w:r>
            <w:r>
              <w:rPr>
                <w:rFonts w:eastAsia="宋体"/>
                <w:color w:val="000000"/>
                <w:kern w:val="0"/>
                <w:sz w:val="22"/>
                <w:szCs w:val="22"/>
              </w:rPr>
              <w:br w:type="textWrapping"/>
            </w:r>
            <w:r>
              <w:rPr>
                <w:rFonts w:eastAsia="宋体"/>
                <w:color w:val="000000"/>
                <w:kern w:val="0"/>
                <w:sz w:val="22"/>
                <w:szCs w:val="22"/>
              </w:rPr>
              <w:t>③是否符合项目预算批复或合同规定的用途；</w:t>
            </w:r>
            <w:r>
              <w:rPr>
                <w:rFonts w:eastAsia="宋体"/>
                <w:color w:val="000000"/>
                <w:kern w:val="0"/>
                <w:sz w:val="22"/>
                <w:szCs w:val="22"/>
              </w:rPr>
              <w:br w:type="textWrapping"/>
            </w:r>
            <w:r>
              <w:rPr>
                <w:rFonts w:eastAsia="宋体"/>
                <w:color w:val="000000"/>
                <w:kern w:val="0"/>
                <w:sz w:val="22"/>
                <w:szCs w:val="22"/>
              </w:rPr>
              <w:t>④是否存在截留、挤占、挪用、虚列支出等情况。</w:t>
            </w:r>
          </w:p>
        </w:tc>
        <w:tc>
          <w:tcPr>
            <w:tcW w:w="268" w:type="pct"/>
            <w:tcBorders>
              <w:top w:val="single" w:color="auto" w:sz="4" w:space="0"/>
              <w:bottom w:val="single" w:color="auto" w:sz="4" w:space="0"/>
              <w:right w:val="single" w:color="auto" w:sz="4" w:space="0"/>
            </w:tcBorders>
            <w:shd w:val="clear" w:color="auto" w:fill="auto"/>
            <w:vAlign w:val="center"/>
          </w:tcPr>
          <w:p w14:paraId="574C2696">
            <w:pPr>
              <w:widowControl/>
              <w:jc w:val="center"/>
              <w:rPr>
                <w:rFonts w:eastAsia="宋体"/>
                <w:color w:val="000000"/>
                <w:kern w:val="0"/>
                <w:sz w:val="22"/>
                <w:szCs w:val="22"/>
              </w:rPr>
            </w:pPr>
            <w:r>
              <w:rPr>
                <w:rFonts w:hint="eastAsia"/>
                <w:color w:val="000000"/>
                <w:kern w:val="0"/>
                <w:sz w:val="22"/>
                <w:szCs w:val="22"/>
              </w:rPr>
              <w:t>4</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D69955">
            <w:pPr>
              <w:widowControl/>
              <w:jc w:val="center"/>
              <w:rPr>
                <w:rFonts w:eastAsia="宋体"/>
                <w:color w:val="000000"/>
                <w:kern w:val="0"/>
                <w:sz w:val="22"/>
                <w:szCs w:val="22"/>
              </w:rPr>
            </w:pPr>
            <w:r>
              <w:rPr>
                <w:rFonts w:hint="eastAsia"/>
                <w:color w:val="000000"/>
                <w:kern w:val="0"/>
                <w:sz w:val="22"/>
                <w:szCs w:val="22"/>
              </w:rPr>
              <w:t>4</w:t>
            </w:r>
          </w:p>
        </w:tc>
      </w:tr>
      <w:tr w14:paraId="695D5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7" w:type="pct"/>
          <w:trHeight w:val="1441" w:hRule="atLeast"/>
          <w:jc w:val="center"/>
        </w:trPr>
        <w:tc>
          <w:tcPr>
            <w:tcW w:w="244" w:type="pct"/>
            <w:vMerge w:val="continue"/>
            <w:tcBorders>
              <w:tl2br w:val="nil"/>
              <w:tr2bl w:val="nil"/>
            </w:tcBorders>
            <w:shd w:val="clear" w:color="auto" w:fill="FFFFFF"/>
            <w:vAlign w:val="center"/>
          </w:tcPr>
          <w:p w14:paraId="0D31BF32">
            <w:pPr>
              <w:spacing w:line="0" w:lineRule="atLeast"/>
              <w:jc w:val="center"/>
              <w:rPr>
                <w:rFonts w:eastAsia="宋体"/>
                <w:color w:val="000000"/>
                <w:kern w:val="0"/>
                <w:sz w:val="22"/>
                <w:szCs w:val="22"/>
              </w:rPr>
            </w:pPr>
          </w:p>
        </w:tc>
        <w:tc>
          <w:tcPr>
            <w:tcW w:w="379" w:type="pct"/>
            <w:vMerge w:val="restart"/>
            <w:tcBorders>
              <w:tl2br w:val="nil"/>
              <w:tr2bl w:val="nil"/>
            </w:tcBorders>
            <w:shd w:val="clear" w:color="auto" w:fill="FFFFFF"/>
            <w:vAlign w:val="center"/>
          </w:tcPr>
          <w:p w14:paraId="520DFAE3">
            <w:pPr>
              <w:widowControl/>
              <w:spacing w:line="0" w:lineRule="atLeast"/>
              <w:jc w:val="center"/>
              <w:rPr>
                <w:rFonts w:eastAsia="宋体"/>
                <w:color w:val="000000"/>
                <w:kern w:val="0"/>
                <w:sz w:val="22"/>
                <w:szCs w:val="22"/>
              </w:rPr>
            </w:pPr>
            <w:r>
              <w:rPr>
                <w:rFonts w:eastAsia="宋体"/>
                <w:color w:val="000000"/>
                <w:kern w:val="0"/>
                <w:sz w:val="22"/>
                <w:szCs w:val="22"/>
              </w:rPr>
              <w:t>组织实施（10）</w:t>
            </w:r>
          </w:p>
          <w:p w14:paraId="59BDF6E9">
            <w:pPr>
              <w:spacing w:line="0" w:lineRule="atLeast"/>
              <w:jc w:val="center"/>
              <w:rPr>
                <w:rFonts w:eastAsia="宋体"/>
                <w:color w:val="000000"/>
                <w:kern w:val="0"/>
                <w:sz w:val="22"/>
                <w:szCs w:val="22"/>
              </w:rPr>
            </w:pPr>
            <w:r>
              <w:rPr>
                <w:rFonts w:eastAsia="宋体"/>
                <w:color w:val="000000"/>
                <w:kern w:val="0"/>
                <w:sz w:val="22"/>
                <w:szCs w:val="22"/>
              </w:rPr>
              <w:t>　</w:t>
            </w:r>
          </w:p>
        </w:tc>
        <w:tc>
          <w:tcPr>
            <w:tcW w:w="455" w:type="pct"/>
            <w:tcBorders>
              <w:tl2br w:val="nil"/>
              <w:tr2bl w:val="nil"/>
            </w:tcBorders>
            <w:shd w:val="clear" w:color="auto" w:fill="FFFFFF"/>
            <w:vAlign w:val="center"/>
          </w:tcPr>
          <w:p w14:paraId="081D2376">
            <w:pPr>
              <w:widowControl/>
              <w:spacing w:line="0" w:lineRule="atLeast"/>
              <w:jc w:val="center"/>
              <w:rPr>
                <w:rFonts w:eastAsia="宋体"/>
                <w:color w:val="000000"/>
                <w:kern w:val="0"/>
                <w:sz w:val="22"/>
                <w:szCs w:val="22"/>
              </w:rPr>
            </w:pPr>
            <w:r>
              <w:rPr>
                <w:rFonts w:eastAsia="宋体"/>
                <w:color w:val="000000"/>
                <w:kern w:val="0"/>
                <w:sz w:val="22"/>
                <w:szCs w:val="22"/>
              </w:rPr>
              <w:t>管理制度</w:t>
            </w:r>
          </w:p>
          <w:p w14:paraId="2C8578A7">
            <w:pPr>
              <w:widowControl/>
              <w:spacing w:line="0" w:lineRule="atLeast"/>
              <w:jc w:val="center"/>
              <w:rPr>
                <w:rFonts w:eastAsia="宋体"/>
                <w:color w:val="000000"/>
                <w:kern w:val="0"/>
                <w:sz w:val="22"/>
                <w:szCs w:val="22"/>
              </w:rPr>
            </w:pPr>
            <w:r>
              <w:rPr>
                <w:rFonts w:eastAsia="宋体"/>
                <w:color w:val="000000"/>
                <w:kern w:val="0"/>
                <w:sz w:val="22"/>
                <w:szCs w:val="22"/>
              </w:rPr>
              <w:t>健全性</w:t>
            </w:r>
          </w:p>
        </w:tc>
        <w:tc>
          <w:tcPr>
            <w:tcW w:w="1004" w:type="pct"/>
            <w:tcBorders>
              <w:tl2br w:val="nil"/>
              <w:tr2bl w:val="nil"/>
            </w:tcBorders>
            <w:shd w:val="clear" w:color="000000" w:fill="FFFFFF"/>
            <w:vAlign w:val="center"/>
          </w:tcPr>
          <w:p w14:paraId="501DA397">
            <w:pPr>
              <w:widowControl/>
              <w:spacing w:line="0" w:lineRule="atLeast"/>
              <w:rPr>
                <w:rFonts w:eastAsia="宋体"/>
                <w:color w:val="000000"/>
                <w:kern w:val="0"/>
                <w:sz w:val="22"/>
                <w:szCs w:val="22"/>
              </w:rPr>
            </w:pPr>
            <w:r>
              <w:rPr>
                <w:rFonts w:eastAsia="宋体"/>
                <w:color w:val="000000"/>
                <w:kern w:val="0"/>
                <w:sz w:val="22"/>
                <w:szCs w:val="22"/>
              </w:rPr>
              <w:t>项目实施单位的财务和业务管理制度是否健全，用以反映和考核财务和业务管理制度对项目顺利实施的保障情况。</w:t>
            </w:r>
          </w:p>
        </w:tc>
        <w:tc>
          <w:tcPr>
            <w:tcW w:w="2342" w:type="pct"/>
            <w:tcBorders>
              <w:tl2br w:val="nil"/>
              <w:tr2bl w:val="nil"/>
            </w:tcBorders>
            <w:shd w:val="clear" w:color="000000" w:fill="FFFFFF"/>
            <w:vAlign w:val="center"/>
          </w:tcPr>
          <w:p w14:paraId="364A891E">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①是否已制定或具有相应的财务和业务管理制度；</w:t>
            </w:r>
            <w:r>
              <w:rPr>
                <w:rFonts w:eastAsia="宋体"/>
                <w:color w:val="000000"/>
                <w:kern w:val="0"/>
                <w:sz w:val="22"/>
                <w:szCs w:val="22"/>
              </w:rPr>
              <w:br w:type="textWrapping"/>
            </w:r>
            <w:r>
              <w:rPr>
                <w:rFonts w:eastAsia="宋体"/>
                <w:color w:val="000000"/>
                <w:kern w:val="0"/>
                <w:sz w:val="22"/>
                <w:szCs w:val="22"/>
              </w:rPr>
              <w:t>②财务和业务管理制度是否合法、合规、完整。</w:t>
            </w:r>
          </w:p>
        </w:tc>
        <w:tc>
          <w:tcPr>
            <w:tcW w:w="268" w:type="pct"/>
            <w:tcBorders>
              <w:top w:val="single" w:color="auto" w:sz="4" w:space="0"/>
              <w:bottom w:val="single" w:color="auto" w:sz="4" w:space="0"/>
              <w:right w:val="single" w:color="auto" w:sz="4" w:space="0"/>
            </w:tcBorders>
            <w:shd w:val="clear" w:color="auto" w:fill="auto"/>
            <w:vAlign w:val="center"/>
          </w:tcPr>
          <w:p w14:paraId="145D96ED">
            <w:pPr>
              <w:widowControl/>
              <w:jc w:val="center"/>
              <w:rPr>
                <w:rFonts w:eastAsia="宋体"/>
                <w:color w:val="000000"/>
                <w:kern w:val="0"/>
                <w:sz w:val="22"/>
                <w:szCs w:val="22"/>
              </w:rPr>
            </w:pPr>
            <w:r>
              <w:rPr>
                <w:color w:val="000000"/>
                <w:kern w:val="0"/>
                <w:sz w:val="22"/>
                <w:szCs w:val="22"/>
              </w:rPr>
              <w:t>5</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4DC575">
            <w:pPr>
              <w:widowControl/>
              <w:jc w:val="center"/>
              <w:rPr>
                <w:rFonts w:eastAsia="宋体"/>
                <w:color w:val="000000"/>
                <w:kern w:val="0"/>
                <w:sz w:val="22"/>
                <w:szCs w:val="22"/>
              </w:rPr>
            </w:pPr>
            <w:r>
              <w:rPr>
                <w:rFonts w:hint="eastAsia" w:eastAsia="宋体"/>
                <w:color w:val="000000"/>
                <w:kern w:val="0"/>
                <w:sz w:val="22"/>
                <w:szCs w:val="22"/>
              </w:rPr>
              <w:t>5</w:t>
            </w:r>
          </w:p>
        </w:tc>
      </w:tr>
      <w:tr w14:paraId="16EE7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7" w:type="pct"/>
          <w:trHeight w:val="1769" w:hRule="atLeast"/>
          <w:jc w:val="center"/>
        </w:trPr>
        <w:tc>
          <w:tcPr>
            <w:tcW w:w="244" w:type="pct"/>
            <w:vMerge w:val="continue"/>
            <w:tcBorders>
              <w:tl2br w:val="nil"/>
              <w:tr2bl w:val="nil"/>
            </w:tcBorders>
            <w:shd w:val="clear" w:color="auto" w:fill="FFFFFF"/>
            <w:vAlign w:val="center"/>
          </w:tcPr>
          <w:p w14:paraId="1415CC7C">
            <w:pPr>
              <w:widowControl/>
              <w:spacing w:line="0" w:lineRule="atLeast"/>
              <w:jc w:val="center"/>
              <w:rPr>
                <w:rFonts w:eastAsia="宋体"/>
                <w:color w:val="000000"/>
                <w:kern w:val="0"/>
                <w:sz w:val="22"/>
                <w:szCs w:val="22"/>
              </w:rPr>
            </w:pPr>
          </w:p>
        </w:tc>
        <w:tc>
          <w:tcPr>
            <w:tcW w:w="379" w:type="pct"/>
            <w:vMerge w:val="continue"/>
            <w:tcBorders>
              <w:tl2br w:val="nil"/>
              <w:tr2bl w:val="nil"/>
            </w:tcBorders>
            <w:shd w:val="clear" w:color="auto" w:fill="FFFFFF"/>
            <w:vAlign w:val="center"/>
          </w:tcPr>
          <w:p w14:paraId="1D14B059">
            <w:pPr>
              <w:widowControl/>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39DA8E2E">
            <w:pPr>
              <w:widowControl/>
              <w:spacing w:line="0" w:lineRule="atLeast"/>
              <w:jc w:val="center"/>
              <w:rPr>
                <w:rFonts w:eastAsia="宋体"/>
                <w:color w:val="000000"/>
                <w:kern w:val="0"/>
                <w:sz w:val="22"/>
                <w:szCs w:val="22"/>
              </w:rPr>
            </w:pPr>
            <w:r>
              <w:rPr>
                <w:rFonts w:eastAsia="宋体"/>
                <w:color w:val="000000"/>
                <w:kern w:val="0"/>
                <w:sz w:val="22"/>
                <w:szCs w:val="22"/>
              </w:rPr>
              <w:t>制度执行</w:t>
            </w:r>
          </w:p>
          <w:p w14:paraId="7D3CAF94">
            <w:pPr>
              <w:widowControl/>
              <w:spacing w:line="0" w:lineRule="atLeast"/>
              <w:jc w:val="center"/>
              <w:rPr>
                <w:rFonts w:eastAsia="宋体"/>
                <w:color w:val="000000"/>
                <w:kern w:val="0"/>
                <w:sz w:val="22"/>
                <w:szCs w:val="22"/>
              </w:rPr>
            </w:pPr>
            <w:r>
              <w:rPr>
                <w:rFonts w:eastAsia="宋体"/>
                <w:color w:val="000000"/>
                <w:kern w:val="0"/>
                <w:sz w:val="22"/>
                <w:szCs w:val="22"/>
              </w:rPr>
              <w:t>有效性</w:t>
            </w:r>
          </w:p>
        </w:tc>
        <w:tc>
          <w:tcPr>
            <w:tcW w:w="1004" w:type="pct"/>
            <w:tcBorders>
              <w:tl2br w:val="nil"/>
              <w:tr2bl w:val="nil"/>
            </w:tcBorders>
            <w:shd w:val="clear" w:color="000000" w:fill="FFFFFF"/>
            <w:vAlign w:val="center"/>
          </w:tcPr>
          <w:p w14:paraId="22695D0F">
            <w:pPr>
              <w:widowControl/>
              <w:spacing w:line="0" w:lineRule="atLeast"/>
              <w:rPr>
                <w:rFonts w:eastAsia="宋体"/>
                <w:color w:val="000000"/>
                <w:kern w:val="0"/>
                <w:sz w:val="22"/>
                <w:szCs w:val="22"/>
              </w:rPr>
            </w:pPr>
            <w:r>
              <w:rPr>
                <w:rFonts w:eastAsia="宋体"/>
                <w:color w:val="000000"/>
                <w:kern w:val="0"/>
                <w:sz w:val="22"/>
                <w:szCs w:val="22"/>
              </w:rPr>
              <w:t>项目实施是否符合相关管理规定，用以反映和考核相关管理制度的有效执行情况。</w:t>
            </w:r>
          </w:p>
        </w:tc>
        <w:tc>
          <w:tcPr>
            <w:tcW w:w="2342" w:type="pct"/>
            <w:tcBorders>
              <w:tl2br w:val="nil"/>
              <w:tr2bl w:val="nil"/>
            </w:tcBorders>
            <w:shd w:val="clear" w:color="000000" w:fill="FFFFFF"/>
            <w:vAlign w:val="center"/>
          </w:tcPr>
          <w:p w14:paraId="4C1135FA">
            <w:pPr>
              <w:widowControl/>
              <w:spacing w:line="0" w:lineRule="atLeast"/>
              <w:rPr>
                <w:rFonts w:eastAsia="宋体"/>
                <w:color w:val="000000"/>
                <w:kern w:val="0"/>
                <w:sz w:val="22"/>
                <w:szCs w:val="22"/>
              </w:rPr>
            </w:pPr>
            <w:r>
              <w:rPr>
                <w:rFonts w:eastAsia="宋体"/>
                <w:color w:val="000000"/>
                <w:kern w:val="0"/>
                <w:sz w:val="22"/>
                <w:szCs w:val="22"/>
              </w:rPr>
              <w:t>评价要点：</w:t>
            </w:r>
            <w:r>
              <w:rPr>
                <w:rFonts w:eastAsia="宋体"/>
                <w:color w:val="000000"/>
                <w:kern w:val="0"/>
                <w:sz w:val="22"/>
                <w:szCs w:val="22"/>
              </w:rPr>
              <w:br w:type="textWrapping"/>
            </w:r>
            <w:r>
              <w:rPr>
                <w:rFonts w:eastAsia="宋体"/>
                <w:color w:val="000000"/>
                <w:kern w:val="0"/>
                <w:sz w:val="22"/>
                <w:szCs w:val="22"/>
              </w:rPr>
              <w:t>①是否遵守相关法律法规和相关管理规定；</w:t>
            </w:r>
            <w:r>
              <w:rPr>
                <w:rFonts w:eastAsia="宋体"/>
                <w:color w:val="000000"/>
                <w:kern w:val="0"/>
                <w:sz w:val="22"/>
                <w:szCs w:val="22"/>
              </w:rPr>
              <w:br w:type="textWrapping"/>
            </w:r>
            <w:r>
              <w:rPr>
                <w:rFonts w:eastAsia="宋体"/>
                <w:color w:val="000000"/>
                <w:kern w:val="0"/>
                <w:sz w:val="22"/>
                <w:szCs w:val="22"/>
              </w:rPr>
              <w:t>②项目调整及支出调整手续是否完备；</w:t>
            </w:r>
            <w:r>
              <w:rPr>
                <w:rFonts w:eastAsia="宋体"/>
                <w:color w:val="000000"/>
                <w:kern w:val="0"/>
                <w:sz w:val="22"/>
                <w:szCs w:val="22"/>
              </w:rPr>
              <w:br w:type="textWrapping"/>
            </w:r>
            <w:r>
              <w:rPr>
                <w:rFonts w:eastAsia="宋体"/>
                <w:color w:val="000000"/>
                <w:kern w:val="0"/>
                <w:sz w:val="22"/>
                <w:szCs w:val="22"/>
              </w:rPr>
              <w:t>③项目合同书、验收报告、技术鉴定等资料是否齐全并及时归档；</w:t>
            </w:r>
            <w:r>
              <w:rPr>
                <w:rFonts w:eastAsia="宋体"/>
                <w:color w:val="000000"/>
                <w:kern w:val="0"/>
                <w:sz w:val="22"/>
                <w:szCs w:val="22"/>
              </w:rPr>
              <w:br w:type="textWrapping"/>
            </w:r>
            <w:r>
              <w:rPr>
                <w:rFonts w:eastAsia="宋体"/>
                <w:color w:val="000000"/>
                <w:kern w:val="0"/>
                <w:sz w:val="22"/>
                <w:szCs w:val="22"/>
              </w:rPr>
              <w:t>④项目实施的人员条件、场地设备、信息支撑等是否落实到位。</w:t>
            </w:r>
          </w:p>
        </w:tc>
        <w:tc>
          <w:tcPr>
            <w:tcW w:w="268" w:type="pct"/>
            <w:tcBorders>
              <w:top w:val="single" w:color="auto" w:sz="4" w:space="0"/>
              <w:bottom w:val="single" w:color="auto" w:sz="4" w:space="0"/>
              <w:right w:val="single" w:color="auto" w:sz="4" w:space="0"/>
            </w:tcBorders>
            <w:shd w:val="clear" w:color="auto" w:fill="auto"/>
            <w:vAlign w:val="center"/>
          </w:tcPr>
          <w:p w14:paraId="61B93F3B">
            <w:pPr>
              <w:widowControl/>
              <w:jc w:val="center"/>
              <w:rPr>
                <w:rFonts w:eastAsia="宋体"/>
                <w:color w:val="000000"/>
                <w:kern w:val="0"/>
                <w:sz w:val="22"/>
                <w:szCs w:val="22"/>
              </w:rPr>
            </w:pPr>
            <w:r>
              <w:rPr>
                <w:color w:val="000000"/>
                <w:kern w:val="0"/>
                <w:sz w:val="22"/>
                <w:szCs w:val="22"/>
              </w:rPr>
              <w:t>5</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885DCF">
            <w:pPr>
              <w:widowControl/>
              <w:jc w:val="center"/>
              <w:rPr>
                <w:rFonts w:eastAsia="宋体"/>
                <w:color w:val="000000"/>
                <w:kern w:val="0"/>
                <w:sz w:val="22"/>
                <w:szCs w:val="22"/>
              </w:rPr>
            </w:pPr>
            <w:r>
              <w:rPr>
                <w:color w:val="000000"/>
                <w:kern w:val="0"/>
                <w:sz w:val="22"/>
                <w:szCs w:val="22"/>
              </w:rPr>
              <w:t>5</w:t>
            </w:r>
          </w:p>
        </w:tc>
      </w:tr>
      <w:tr w14:paraId="1CFDB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7" w:type="pct"/>
          <w:trHeight w:val="1801" w:hRule="atLeast"/>
          <w:jc w:val="center"/>
        </w:trPr>
        <w:tc>
          <w:tcPr>
            <w:tcW w:w="244" w:type="pct"/>
            <w:vMerge w:val="restart"/>
            <w:tcBorders>
              <w:tl2br w:val="nil"/>
              <w:tr2bl w:val="nil"/>
            </w:tcBorders>
            <w:shd w:val="clear" w:color="auto" w:fill="FFFFFF"/>
            <w:vAlign w:val="center"/>
          </w:tcPr>
          <w:p w14:paraId="541FC545">
            <w:pPr>
              <w:widowControl/>
              <w:spacing w:line="0" w:lineRule="atLeast"/>
              <w:jc w:val="center"/>
              <w:rPr>
                <w:rFonts w:eastAsia="宋体"/>
                <w:color w:val="000000"/>
                <w:kern w:val="0"/>
                <w:sz w:val="22"/>
                <w:szCs w:val="22"/>
              </w:rPr>
            </w:pPr>
            <w:r>
              <w:rPr>
                <w:rFonts w:eastAsia="宋体"/>
                <w:color w:val="000000"/>
                <w:kern w:val="0"/>
                <w:sz w:val="22"/>
                <w:szCs w:val="22"/>
              </w:rPr>
              <w:t>产出（30分）</w:t>
            </w:r>
          </w:p>
        </w:tc>
        <w:tc>
          <w:tcPr>
            <w:tcW w:w="379" w:type="pct"/>
            <w:tcBorders>
              <w:tl2br w:val="nil"/>
              <w:tr2bl w:val="nil"/>
            </w:tcBorders>
            <w:shd w:val="clear" w:color="auto" w:fill="FFFFFF"/>
            <w:vAlign w:val="center"/>
          </w:tcPr>
          <w:p w14:paraId="75F71FFD">
            <w:pPr>
              <w:widowControl/>
              <w:spacing w:line="0" w:lineRule="atLeast"/>
              <w:jc w:val="center"/>
              <w:rPr>
                <w:rFonts w:eastAsia="宋体"/>
                <w:color w:val="000000"/>
                <w:kern w:val="0"/>
                <w:sz w:val="22"/>
                <w:szCs w:val="22"/>
              </w:rPr>
            </w:pPr>
            <w:r>
              <w:rPr>
                <w:rFonts w:eastAsia="宋体"/>
                <w:color w:val="000000"/>
                <w:kern w:val="0"/>
                <w:sz w:val="22"/>
                <w:szCs w:val="22"/>
              </w:rPr>
              <w:t>产出数量（10分）</w:t>
            </w:r>
          </w:p>
        </w:tc>
        <w:tc>
          <w:tcPr>
            <w:tcW w:w="455" w:type="pct"/>
            <w:tcBorders>
              <w:tl2br w:val="nil"/>
              <w:tr2bl w:val="nil"/>
            </w:tcBorders>
            <w:shd w:val="clear" w:color="auto" w:fill="FFFFFF"/>
            <w:vAlign w:val="center"/>
          </w:tcPr>
          <w:p w14:paraId="1949AA0C">
            <w:pPr>
              <w:widowControl/>
              <w:spacing w:line="0" w:lineRule="atLeast"/>
              <w:jc w:val="center"/>
              <w:rPr>
                <w:rFonts w:eastAsia="宋体"/>
                <w:color w:val="000000"/>
                <w:kern w:val="0"/>
                <w:sz w:val="22"/>
                <w:szCs w:val="22"/>
              </w:rPr>
            </w:pPr>
            <w:r>
              <w:rPr>
                <w:rFonts w:eastAsia="宋体"/>
                <w:color w:val="000000"/>
                <w:kern w:val="0"/>
                <w:sz w:val="22"/>
                <w:szCs w:val="22"/>
              </w:rPr>
              <w:t>实际完成率</w:t>
            </w:r>
          </w:p>
        </w:tc>
        <w:tc>
          <w:tcPr>
            <w:tcW w:w="1004" w:type="pct"/>
            <w:tcBorders>
              <w:tl2br w:val="nil"/>
              <w:tr2bl w:val="nil"/>
            </w:tcBorders>
            <w:shd w:val="clear" w:color="000000" w:fill="FFFFFF"/>
            <w:vAlign w:val="center"/>
          </w:tcPr>
          <w:p w14:paraId="62C593F3">
            <w:pPr>
              <w:widowControl/>
              <w:spacing w:line="0" w:lineRule="atLeast"/>
              <w:rPr>
                <w:rFonts w:eastAsia="宋体"/>
                <w:color w:val="000000"/>
                <w:kern w:val="0"/>
                <w:sz w:val="22"/>
                <w:szCs w:val="22"/>
              </w:rPr>
            </w:pPr>
            <w:r>
              <w:rPr>
                <w:rFonts w:eastAsia="宋体"/>
                <w:color w:val="000000"/>
                <w:kern w:val="0"/>
                <w:sz w:val="22"/>
                <w:szCs w:val="22"/>
              </w:rPr>
              <w:t>项目实施的实际产出数与计划产出数的比率，用以反映和考核项目产出数量目标的实现程度。</w:t>
            </w:r>
          </w:p>
        </w:tc>
        <w:tc>
          <w:tcPr>
            <w:tcW w:w="2342" w:type="pct"/>
            <w:tcBorders>
              <w:tl2br w:val="nil"/>
              <w:tr2bl w:val="nil"/>
            </w:tcBorders>
            <w:shd w:val="clear" w:color="000000" w:fill="FFFFFF"/>
            <w:vAlign w:val="center"/>
          </w:tcPr>
          <w:p w14:paraId="32FA928E">
            <w:pPr>
              <w:widowControl/>
              <w:spacing w:line="0" w:lineRule="atLeast"/>
              <w:rPr>
                <w:rFonts w:eastAsia="宋体"/>
                <w:color w:val="000000"/>
                <w:kern w:val="0"/>
                <w:sz w:val="22"/>
                <w:szCs w:val="22"/>
              </w:rPr>
            </w:pPr>
            <w:r>
              <w:rPr>
                <w:rFonts w:eastAsia="宋体"/>
                <w:color w:val="000000"/>
                <w:kern w:val="0"/>
                <w:sz w:val="22"/>
                <w:szCs w:val="22"/>
              </w:rPr>
              <w:t>实际完成率=（实际产出数/计划产出数）×100%。</w:t>
            </w:r>
            <w:r>
              <w:rPr>
                <w:rFonts w:eastAsia="宋体"/>
                <w:color w:val="000000"/>
                <w:kern w:val="0"/>
                <w:sz w:val="22"/>
                <w:szCs w:val="22"/>
              </w:rPr>
              <w:br w:type="textWrapping"/>
            </w:r>
            <w:r>
              <w:rPr>
                <w:rFonts w:eastAsia="宋体"/>
                <w:color w:val="000000"/>
                <w:kern w:val="0"/>
                <w:sz w:val="22"/>
                <w:szCs w:val="22"/>
              </w:rPr>
              <w:t>实际产出数：一定时期（本年度或项目期）内项目实际产出的产品或提供的服务数量。</w:t>
            </w:r>
            <w:r>
              <w:rPr>
                <w:rFonts w:eastAsia="宋体"/>
                <w:color w:val="000000"/>
                <w:kern w:val="0"/>
                <w:sz w:val="22"/>
                <w:szCs w:val="22"/>
              </w:rPr>
              <w:br w:type="textWrapping"/>
            </w:r>
            <w:r>
              <w:rPr>
                <w:rFonts w:eastAsia="宋体"/>
                <w:color w:val="000000"/>
                <w:kern w:val="0"/>
                <w:sz w:val="22"/>
                <w:szCs w:val="22"/>
              </w:rPr>
              <w:t>计划产出数：项目绩效目标确定的在一定时期（本年度或项目期）内计划产出的产品或提供的服务数量。</w:t>
            </w:r>
          </w:p>
        </w:tc>
        <w:tc>
          <w:tcPr>
            <w:tcW w:w="268" w:type="pct"/>
            <w:tcBorders>
              <w:top w:val="single" w:color="auto" w:sz="4" w:space="0"/>
              <w:bottom w:val="single" w:color="auto" w:sz="4" w:space="0"/>
              <w:right w:val="single" w:color="auto" w:sz="4" w:space="0"/>
            </w:tcBorders>
            <w:shd w:val="clear" w:color="auto" w:fill="auto"/>
            <w:vAlign w:val="center"/>
          </w:tcPr>
          <w:p w14:paraId="2B827CD9">
            <w:pPr>
              <w:widowControl/>
              <w:jc w:val="center"/>
              <w:rPr>
                <w:rFonts w:eastAsia="宋体"/>
                <w:color w:val="000000"/>
                <w:kern w:val="0"/>
                <w:sz w:val="22"/>
                <w:szCs w:val="22"/>
              </w:rPr>
            </w:pPr>
            <w:r>
              <w:rPr>
                <w:color w:val="000000"/>
                <w:kern w:val="0"/>
                <w:sz w:val="22"/>
                <w:szCs w:val="22"/>
              </w:rPr>
              <w:t>10</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4FC3E9">
            <w:pPr>
              <w:widowControl/>
              <w:jc w:val="center"/>
              <w:rPr>
                <w:rFonts w:eastAsia="宋体"/>
                <w:color w:val="000000"/>
                <w:kern w:val="0"/>
                <w:sz w:val="22"/>
                <w:szCs w:val="22"/>
              </w:rPr>
            </w:pPr>
            <w:r>
              <w:rPr>
                <w:rFonts w:hint="eastAsia" w:eastAsia="宋体"/>
                <w:color w:val="000000"/>
                <w:kern w:val="0"/>
                <w:sz w:val="22"/>
                <w:szCs w:val="22"/>
              </w:rPr>
              <w:t>10</w:t>
            </w:r>
          </w:p>
        </w:tc>
      </w:tr>
      <w:tr w14:paraId="683769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51" w:hRule="atLeast"/>
          <w:jc w:val="center"/>
        </w:trPr>
        <w:tc>
          <w:tcPr>
            <w:tcW w:w="244" w:type="pct"/>
            <w:vMerge w:val="continue"/>
            <w:tcBorders>
              <w:tl2br w:val="nil"/>
              <w:tr2bl w:val="nil"/>
            </w:tcBorders>
            <w:shd w:val="clear" w:color="auto" w:fill="FFFFFF"/>
            <w:vAlign w:val="center"/>
          </w:tcPr>
          <w:p w14:paraId="02258454">
            <w:pPr>
              <w:widowControl/>
              <w:spacing w:line="0" w:lineRule="atLeast"/>
              <w:jc w:val="center"/>
              <w:rPr>
                <w:rFonts w:eastAsia="宋体"/>
                <w:color w:val="000000"/>
                <w:kern w:val="0"/>
                <w:sz w:val="22"/>
                <w:szCs w:val="22"/>
              </w:rPr>
            </w:pPr>
          </w:p>
        </w:tc>
        <w:tc>
          <w:tcPr>
            <w:tcW w:w="379" w:type="pct"/>
            <w:tcBorders>
              <w:tl2br w:val="nil"/>
              <w:tr2bl w:val="nil"/>
            </w:tcBorders>
            <w:shd w:val="clear" w:color="auto" w:fill="FFFFFF"/>
            <w:vAlign w:val="center"/>
          </w:tcPr>
          <w:p w14:paraId="34168736">
            <w:pPr>
              <w:widowControl/>
              <w:spacing w:line="0" w:lineRule="atLeast"/>
              <w:jc w:val="center"/>
              <w:rPr>
                <w:rFonts w:eastAsia="宋体"/>
                <w:color w:val="000000"/>
                <w:kern w:val="0"/>
                <w:sz w:val="22"/>
                <w:szCs w:val="22"/>
              </w:rPr>
            </w:pPr>
            <w:r>
              <w:rPr>
                <w:rFonts w:eastAsia="宋体"/>
                <w:color w:val="000000"/>
                <w:kern w:val="0"/>
                <w:sz w:val="22"/>
                <w:szCs w:val="22"/>
              </w:rPr>
              <w:t>产出质量（10分）</w:t>
            </w:r>
          </w:p>
        </w:tc>
        <w:tc>
          <w:tcPr>
            <w:tcW w:w="455" w:type="pct"/>
            <w:tcBorders>
              <w:tl2br w:val="nil"/>
              <w:tr2bl w:val="nil"/>
            </w:tcBorders>
            <w:shd w:val="clear" w:color="auto" w:fill="FFFFFF"/>
            <w:vAlign w:val="center"/>
          </w:tcPr>
          <w:p w14:paraId="30F95295">
            <w:pPr>
              <w:widowControl/>
              <w:spacing w:line="0" w:lineRule="atLeast"/>
              <w:jc w:val="center"/>
              <w:rPr>
                <w:rFonts w:eastAsia="宋体"/>
                <w:color w:val="000000"/>
                <w:kern w:val="0"/>
                <w:sz w:val="22"/>
                <w:szCs w:val="22"/>
              </w:rPr>
            </w:pPr>
            <w:r>
              <w:rPr>
                <w:rFonts w:eastAsia="宋体"/>
                <w:color w:val="000000"/>
                <w:kern w:val="0"/>
                <w:sz w:val="22"/>
                <w:szCs w:val="22"/>
              </w:rPr>
              <w:t>质量达标率</w:t>
            </w:r>
          </w:p>
        </w:tc>
        <w:tc>
          <w:tcPr>
            <w:tcW w:w="1004" w:type="pct"/>
            <w:tcBorders>
              <w:tl2br w:val="nil"/>
              <w:tr2bl w:val="nil"/>
            </w:tcBorders>
            <w:shd w:val="clear" w:color="000000" w:fill="FFFFFF"/>
            <w:vAlign w:val="center"/>
          </w:tcPr>
          <w:p w14:paraId="4F4DCE2A">
            <w:pPr>
              <w:widowControl/>
              <w:spacing w:line="0" w:lineRule="atLeast"/>
              <w:rPr>
                <w:rFonts w:eastAsia="宋体"/>
                <w:color w:val="000000"/>
                <w:kern w:val="0"/>
                <w:sz w:val="22"/>
                <w:szCs w:val="22"/>
              </w:rPr>
            </w:pPr>
            <w:r>
              <w:rPr>
                <w:rFonts w:eastAsia="宋体"/>
                <w:color w:val="000000"/>
                <w:kern w:val="0"/>
                <w:sz w:val="22"/>
                <w:szCs w:val="22"/>
              </w:rPr>
              <w:t>项目完成的质量达标产出数与实际产出数的比率，用以反映和考核项目产出质量目标的实现程度。</w:t>
            </w:r>
          </w:p>
        </w:tc>
        <w:tc>
          <w:tcPr>
            <w:tcW w:w="2342" w:type="pct"/>
            <w:tcBorders>
              <w:bottom w:val="single" w:color="auto" w:sz="4" w:space="0"/>
              <w:tl2br w:val="nil"/>
              <w:tr2bl w:val="nil"/>
            </w:tcBorders>
            <w:shd w:val="clear" w:color="000000" w:fill="FFFFFF"/>
            <w:vAlign w:val="center"/>
          </w:tcPr>
          <w:p w14:paraId="26B5351E">
            <w:pPr>
              <w:widowControl/>
              <w:spacing w:line="0" w:lineRule="atLeast"/>
              <w:rPr>
                <w:rFonts w:eastAsia="宋体"/>
                <w:color w:val="000000"/>
                <w:kern w:val="0"/>
                <w:sz w:val="22"/>
                <w:szCs w:val="22"/>
              </w:rPr>
            </w:pPr>
            <w:r>
              <w:rPr>
                <w:rFonts w:eastAsia="宋体"/>
                <w:color w:val="000000"/>
                <w:kern w:val="0"/>
                <w:sz w:val="22"/>
                <w:szCs w:val="22"/>
              </w:rPr>
              <w:t>质量达标率=（质量达标产出数/实际产出数）×100%。</w:t>
            </w:r>
          </w:p>
          <w:p w14:paraId="0789F9E3">
            <w:pPr>
              <w:widowControl/>
              <w:spacing w:line="0" w:lineRule="atLeast"/>
              <w:rPr>
                <w:rFonts w:eastAsia="宋体"/>
                <w:color w:val="000000"/>
                <w:kern w:val="0"/>
                <w:sz w:val="22"/>
                <w:szCs w:val="22"/>
              </w:rPr>
            </w:pPr>
            <w:r>
              <w:rPr>
                <w:rFonts w:eastAsia="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5" w:type="pct"/>
            <w:gridSpan w:val="3"/>
            <w:tcBorders>
              <w:top w:val="single" w:color="auto" w:sz="4" w:space="0"/>
              <w:bottom w:val="single" w:color="auto" w:sz="4" w:space="0"/>
              <w:right w:val="single" w:color="auto" w:sz="4" w:space="0"/>
            </w:tcBorders>
            <w:shd w:val="clear" w:color="auto" w:fill="auto"/>
            <w:vAlign w:val="center"/>
          </w:tcPr>
          <w:p w14:paraId="6F88A0B1">
            <w:pPr>
              <w:widowControl/>
              <w:jc w:val="center"/>
              <w:rPr>
                <w:rFonts w:eastAsia="宋体"/>
                <w:color w:val="000000"/>
                <w:kern w:val="0"/>
                <w:sz w:val="22"/>
                <w:szCs w:val="22"/>
              </w:rPr>
            </w:pPr>
            <w:r>
              <w:rPr>
                <w:color w:val="000000"/>
                <w:kern w:val="0"/>
                <w:sz w:val="22"/>
                <w:szCs w:val="22"/>
              </w:rPr>
              <w:t>10</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BC76FC">
            <w:pPr>
              <w:widowControl/>
              <w:jc w:val="center"/>
              <w:rPr>
                <w:rFonts w:eastAsia="宋体"/>
                <w:color w:val="000000"/>
                <w:kern w:val="0"/>
                <w:sz w:val="22"/>
                <w:szCs w:val="22"/>
              </w:rPr>
            </w:pPr>
            <w:r>
              <w:rPr>
                <w:color w:val="000000"/>
                <w:kern w:val="0"/>
                <w:sz w:val="22"/>
                <w:szCs w:val="22"/>
              </w:rPr>
              <w:t>10</w:t>
            </w:r>
          </w:p>
        </w:tc>
      </w:tr>
      <w:tr w14:paraId="58354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1" w:hRule="atLeast"/>
          <w:jc w:val="center"/>
        </w:trPr>
        <w:tc>
          <w:tcPr>
            <w:tcW w:w="244" w:type="pct"/>
            <w:vMerge w:val="continue"/>
            <w:tcBorders>
              <w:tl2br w:val="nil"/>
              <w:tr2bl w:val="nil"/>
            </w:tcBorders>
            <w:shd w:val="clear" w:color="auto" w:fill="FFFFFF"/>
            <w:vAlign w:val="center"/>
          </w:tcPr>
          <w:p w14:paraId="719C0AAB">
            <w:pPr>
              <w:spacing w:line="0" w:lineRule="atLeast"/>
              <w:jc w:val="center"/>
              <w:rPr>
                <w:rFonts w:eastAsia="宋体"/>
                <w:color w:val="000000"/>
                <w:kern w:val="0"/>
                <w:sz w:val="22"/>
                <w:szCs w:val="22"/>
              </w:rPr>
            </w:pPr>
          </w:p>
        </w:tc>
        <w:tc>
          <w:tcPr>
            <w:tcW w:w="379" w:type="pct"/>
            <w:tcBorders>
              <w:tl2br w:val="nil"/>
              <w:tr2bl w:val="nil"/>
            </w:tcBorders>
            <w:shd w:val="clear" w:color="auto" w:fill="FFFFFF"/>
            <w:vAlign w:val="center"/>
          </w:tcPr>
          <w:p w14:paraId="1D6FBC72">
            <w:pPr>
              <w:spacing w:line="0" w:lineRule="atLeast"/>
              <w:jc w:val="center"/>
              <w:rPr>
                <w:rFonts w:eastAsia="宋体"/>
                <w:color w:val="000000"/>
                <w:kern w:val="0"/>
                <w:sz w:val="22"/>
                <w:szCs w:val="22"/>
              </w:rPr>
            </w:pPr>
            <w:r>
              <w:rPr>
                <w:rFonts w:eastAsia="宋体"/>
                <w:color w:val="000000"/>
                <w:kern w:val="0"/>
                <w:sz w:val="22"/>
                <w:szCs w:val="22"/>
              </w:rPr>
              <w:t>产出时效（5分）</w:t>
            </w:r>
          </w:p>
        </w:tc>
        <w:tc>
          <w:tcPr>
            <w:tcW w:w="455" w:type="pct"/>
            <w:tcBorders>
              <w:tl2br w:val="nil"/>
              <w:tr2bl w:val="nil"/>
            </w:tcBorders>
            <w:shd w:val="clear" w:color="auto" w:fill="FFFFFF"/>
            <w:vAlign w:val="center"/>
          </w:tcPr>
          <w:p w14:paraId="1A8D0BDB">
            <w:pPr>
              <w:widowControl/>
              <w:spacing w:line="0" w:lineRule="atLeast"/>
              <w:jc w:val="center"/>
              <w:rPr>
                <w:rFonts w:eastAsia="宋体"/>
                <w:color w:val="000000"/>
                <w:kern w:val="0"/>
                <w:sz w:val="22"/>
                <w:szCs w:val="22"/>
              </w:rPr>
            </w:pPr>
            <w:r>
              <w:rPr>
                <w:rFonts w:eastAsia="宋体"/>
                <w:color w:val="000000"/>
                <w:kern w:val="0"/>
                <w:sz w:val="22"/>
                <w:szCs w:val="22"/>
              </w:rPr>
              <w:t>完成及时性</w:t>
            </w:r>
          </w:p>
        </w:tc>
        <w:tc>
          <w:tcPr>
            <w:tcW w:w="1004" w:type="pct"/>
            <w:tcBorders>
              <w:tl2br w:val="nil"/>
              <w:tr2bl w:val="nil"/>
            </w:tcBorders>
            <w:shd w:val="clear" w:color="000000" w:fill="FFFFFF"/>
            <w:vAlign w:val="center"/>
          </w:tcPr>
          <w:p w14:paraId="435BB55A">
            <w:pPr>
              <w:widowControl/>
              <w:spacing w:line="0" w:lineRule="atLeast"/>
              <w:rPr>
                <w:rFonts w:eastAsia="宋体"/>
                <w:color w:val="000000"/>
                <w:kern w:val="0"/>
                <w:sz w:val="22"/>
                <w:szCs w:val="22"/>
              </w:rPr>
            </w:pPr>
            <w:r>
              <w:rPr>
                <w:rFonts w:eastAsia="宋体"/>
                <w:color w:val="000000"/>
                <w:kern w:val="0"/>
                <w:sz w:val="22"/>
                <w:szCs w:val="22"/>
              </w:rPr>
              <w:t>项目实际完成时间与计划完成时间的比较，用以反映和考核项目产出时效目标的实现程度。</w:t>
            </w:r>
          </w:p>
        </w:tc>
        <w:tc>
          <w:tcPr>
            <w:tcW w:w="2342" w:type="pct"/>
            <w:tcBorders>
              <w:tl2br w:val="nil"/>
              <w:tr2bl w:val="nil"/>
            </w:tcBorders>
            <w:shd w:val="clear" w:color="000000" w:fill="FFFFFF"/>
            <w:vAlign w:val="center"/>
          </w:tcPr>
          <w:p w14:paraId="42336FD9">
            <w:pPr>
              <w:widowControl/>
              <w:spacing w:line="0" w:lineRule="atLeast"/>
              <w:rPr>
                <w:rFonts w:eastAsia="宋体"/>
                <w:color w:val="000000"/>
                <w:kern w:val="0"/>
                <w:sz w:val="22"/>
                <w:szCs w:val="22"/>
              </w:rPr>
            </w:pPr>
            <w:r>
              <w:rPr>
                <w:rFonts w:eastAsia="宋体"/>
                <w:color w:val="000000"/>
                <w:kern w:val="0"/>
                <w:sz w:val="22"/>
                <w:szCs w:val="22"/>
              </w:rPr>
              <w:t>实际完成时间：项目实施单位完成该项目实际所耗用的时间。</w:t>
            </w:r>
            <w:r>
              <w:rPr>
                <w:rFonts w:eastAsia="宋体"/>
                <w:color w:val="000000"/>
                <w:kern w:val="0"/>
                <w:sz w:val="22"/>
                <w:szCs w:val="22"/>
              </w:rPr>
              <w:br w:type="textWrapping"/>
            </w:r>
            <w:r>
              <w:rPr>
                <w:rFonts w:eastAsia="宋体"/>
                <w:color w:val="000000"/>
                <w:kern w:val="0"/>
                <w:sz w:val="22"/>
                <w:szCs w:val="22"/>
              </w:rPr>
              <w:t>计划完成时间：按照项目实施计划或相关规定完成该项目所需的时间。</w:t>
            </w:r>
          </w:p>
        </w:tc>
        <w:tc>
          <w:tcPr>
            <w:tcW w:w="275" w:type="pct"/>
            <w:gridSpan w:val="3"/>
            <w:tcBorders>
              <w:top w:val="single" w:color="auto" w:sz="4" w:space="0"/>
              <w:bottom w:val="single" w:color="auto" w:sz="4" w:space="0"/>
              <w:right w:val="single" w:color="auto" w:sz="4" w:space="0"/>
            </w:tcBorders>
            <w:shd w:val="clear" w:color="auto" w:fill="auto"/>
            <w:vAlign w:val="center"/>
          </w:tcPr>
          <w:p w14:paraId="7904E512">
            <w:pPr>
              <w:widowControl/>
              <w:jc w:val="center"/>
              <w:rPr>
                <w:rFonts w:eastAsia="宋体"/>
                <w:color w:val="000000"/>
                <w:kern w:val="0"/>
                <w:sz w:val="22"/>
                <w:szCs w:val="22"/>
              </w:rPr>
            </w:pPr>
            <w:r>
              <w:rPr>
                <w:color w:val="000000"/>
                <w:kern w:val="0"/>
                <w:sz w:val="22"/>
                <w:szCs w:val="22"/>
              </w:rPr>
              <w:t>5</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55810A">
            <w:pPr>
              <w:widowControl/>
              <w:jc w:val="center"/>
              <w:rPr>
                <w:rFonts w:eastAsia="宋体"/>
                <w:color w:val="000000"/>
                <w:kern w:val="0"/>
                <w:sz w:val="22"/>
                <w:szCs w:val="22"/>
              </w:rPr>
            </w:pPr>
            <w:r>
              <w:rPr>
                <w:color w:val="000000"/>
                <w:kern w:val="0"/>
                <w:sz w:val="22"/>
                <w:szCs w:val="22"/>
              </w:rPr>
              <w:t>5</w:t>
            </w:r>
          </w:p>
        </w:tc>
      </w:tr>
      <w:tr w14:paraId="3D1C30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66" w:hRule="atLeast"/>
          <w:jc w:val="center"/>
        </w:trPr>
        <w:tc>
          <w:tcPr>
            <w:tcW w:w="244" w:type="pct"/>
            <w:vMerge w:val="continue"/>
            <w:tcBorders>
              <w:tl2br w:val="nil"/>
              <w:tr2bl w:val="nil"/>
            </w:tcBorders>
            <w:shd w:val="clear" w:color="auto" w:fill="FFFFFF"/>
            <w:vAlign w:val="center"/>
          </w:tcPr>
          <w:p w14:paraId="1D606FBA">
            <w:pPr>
              <w:widowControl/>
              <w:spacing w:line="0" w:lineRule="atLeast"/>
              <w:jc w:val="center"/>
              <w:rPr>
                <w:rFonts w:eastAsia="宋体"/>
                <w:color w:val="000000"/>
                <w:kern w:val="0"/>
                <w:sz w:val="22"/>
                <w:szCs w:val="22"/>
              </w:rPr>
            </w:pPr>
          </w:p>
        </w:tc>
        <w:tc>
          <w:tcPr>
            <w:tcW w:w="379" w:type="pct"/>
            <w:tcBorders>
              <w:tl2br w:val="nil"/>
              <w:tr2bl w:val="nil"/>
            </w:tcBorders>
            <w:shd w:val="clear" w:color="auto" w:fill="FFFFFF"/>
            <w:vAlign w:val="center"/>
          </w:tcPr>
          <w:p w14:paraId="2A930D32">
            <w:pPr>
              <w:widowControl/>
              <w:spacing w:line="0" w:lineRule="atLeast"/>
              <w:jc w:val="center"/>
              <w:rPr>
                <w:rFonts w:eastAsia="宋体"/>
                <w:color w:val="000000"/>
                <w:kern w:val="0"/>
                <w:sz w:val="22"/>
                <w:szCs w:val="22"/>
              </w:rPr>
            </w:pPr>
            <w:r>
              <w:rPr>
                <w:rFonts w:eastAsia="宋体"/>
                <w:color w:val="000000"/>
                <w:kern w:val="0"/>
                <w:sz w:val="22"/>
                <w:szCs w:val="22"/>
              </w:rPr>
              <w:t>产出成本（5分）</w:t>
            </w:r>
          </w:p>
        </w:tc>
        <w:tc>
          <w:tcPr>
            <w:tcW w:w="455" w:type="pct"/>
            <w:tcBorders>
              <w:tl2br w:val="nil"/>
              <w:tr2bl w:val="nil"/>
            </w:tcBorders>
            <w:shd w:val="clear" w:color="auto" w:fill="FFFFFF"/>
            <w:vAlign w:val="center"/>
          </w:tcPr>
          <w:p w14:paraId="0FFEF01F">
            <w:pPr>
              <w:widowControl/>
              <w:spacing w:line="0" w:lineRule="atLeast"/>
              <w:jc w:val="center"/>
              <w:rPr>
                <w:rFonts w:eastAsia="宋体"/>
                <w:color w:val="000000"/>
                <w:kern w:val="0"/>
                <w:sz w:val="22"/>
                <w:szCs w:val="22"/>
              </w:rPr>
            </w:pPr>
            <w:r>
              <w:rPr>
                <w:rFonts w:eastAsia="宋体"/>
                <w:color w:val="000000"/>
                <w:kern w:val="0"/>
                <w:sz w:val="22"/>
                <w:szCs w:val="22"/>
              </w:rPr>
              <w:t>成本节约率</w:t>
            </w:r>
          </w:p>
        </w:tc>
        <w:tc>
          <w:tcPr>
            <w:tcW w:w="1004" w:type="pct"/>
            <w:tcBorders>
              <w:tl2br w:val="nil"/>
              <w:tr2bl w:val="nil"/>
            </w:tcBorders>
            <w:shd w:val="clear" w:color="000000" w:fill="FFFFFF"/>
            <w:vAlign w:val="center"/>
          </w:tcPr>
          <w:p w14:paraId="4C5D95D4">
            <w:pPr>
              <w:widowControl/>
              <w:spacing w:line="0" w:lineRule="atLeast"/>
              <w:rPr>
                <w:rFonts w:eastAsia="宋体"/>
                <w:color w:val="000000"/>
                <w:kern w:val="0"/>
                <w:sz w:val="22"/>
                <w:szCs w:val="22"/>
              </w:rPr>
            </w:pPr>
            <w:r>
              <w:rPr>
                <w:rFonts w:eastAsia="宋体"/>
                <w:color w:val="000000"/>
                <w:kern w:val="0"/>
                <w:sz w:val="22"/>
                <w:szCs w:val="22"/>
              </w:rPr>
              <w:t>完成项目计划工作目标的实际节约成本与计划成本的比率，用以反映和考核项目的成本节约程度。</w:t>
            </w:r>
          </w:p>
        </w:tc>
        <w:tc>
          <w:tcPr>
            <w:tcW w:w="2342" w:type="pct"/>
            <w:tcBorders>
              <w:tl2br w:val="nil"/>
              <w:tr2bl w:val="nil"/>
            </w:tcBorders>
            <w:shd w:val="clear" w:color="000000" w:fill="FFFFFF"/>
            <w:vAlign w:val="center"/>
          </w:tcPr>
          <w:p w14:paraId="7FF59916">
            <w:pPr>
              <w:widowControl/>
              <w:spacing w:line="0" w:lineRule="atLeast"/>
              <w:rPr>
                <w:rFonts w:eastAsia="宋体"/>
                <w:color w:val="000000"/>
                <w:kern w:val="0"/>
                <w:sz w:val="22"/>
                <w:szCs w:val="22"/>
              </w:rPr>
            </w:pPr>
            <w:r>
              <w:rPr>
                <w:rFonts w:eastAsia="宋体"/>
                <w:color w:val="000000"/>
                <w:kern w:val="0"/>
                <w:sz w:val="22"/>
                <w:szCs w:val="22"/>
              </w:rPr>
              <w:br w:type="textWrapping"/>
            </w:r>
            <w:r>
              <w:rPr>
                <w:rFonts w:eastAsia="宋体"/>
                <w:color w:val="000000"/>
                <w:kern w:val="0"/>
                <w:sz w:val="22"/>
                <w:szCs w:val="22"/>
              </w:rPr>
              <w:t>成本节约率=[（计划成本-实际成本）/计划成本]×100%。</w:t>
            </w:r>
            <w:r>
              <w:rPr>
                <w:rFonts w:eastAsia="宋体"/>
                <w:color w:val="000000"/>
                <w:kern w:val="0"/>
                <w:sz w:val="22"/>
                <w:szCs w:val="22"/>
              </w:rPr>
              <w:br w:type="textWrapping"/>
            </w:r>
            <w:r>
              <w:rPr>
                <w:rFonts w:eastAsia="宋体"/>
                <w:color w:val="000000"/>
                <w:kern w:val="0"/>
                <w:sz w:val="22"/>
                <w:szCs w:val="22"/>
              </w:rPr>
              <w:t>实际成本：项目实施单位如期、保质、保量完成既定工作目标实际所耗费的支出。</w:t>
            </w:r>
            <w:r>
              <w:rPr>
                <w:rFonts w:eastAsia="宋体"/>
                <w:color w:val="000000"/>
                <w:kern w:val="0"/>
                <w:sz w:val="22"/>
                <w:szCs w:val="22"/>
              </w:rPr>
              <w:br w:type="textWrapping"/>
            </w:r>
            <w:r>
              <w:rPr>
                <w:rFonts w:eastAsia="宋体"/>
                <w:color w:val="000000"/>
                <w:kern w:val="0"/>
                <w:sz w:val="22"/>
                <w:szCs w:val="22"/>
              </w:rPr>
              <w:t>计划成本：项目实施单位为完成工作目标计划安排的支出，一般以项目预算为参考。</w:t>
            </w:r>
          </w:p>
        </w:tc>
        <w:tc>
          <w:tcPr>
            <w:tcW w:w="275" w:type="pct"/>
            <w:gridSpan w:val="3"/>
            <w:tcBorders>
              <w:top w:val="single" w:color="auto" w:sz="4" w:space="0"/>
              <w:bottom w:val="single" w:color="auto" w:sz="4" w:space="0"/>
              <w:right w:val="single" w:color="auto" w:sz="4" w:space="0"/>
            </w:tcBorders>
            <w:shd w:val="clear" w:color="auto" w:fill="auto"/>
            <w:vAlign w:val="center"/>
          </w:tcPr>
          <w:p w14:paraId="6859739A">
            <w:pPr>
              <w:widowControl/>
              <w:jc w:val="center"/>
              <w:rPr>
                <w:rFonts w:eastAsia="宋体"/>
                <w:color w:val="000000"/>
                <w:kern w:val="0"/>
                <w:sz w:val="22"/>
                <w:szCs w:val="22"/>
              </w:rPr>
            </w:pPr>
            <w:r>
              <w:rPr>
                <w:color w:val="000000"/>
                <w:kern w:val="0"/>
                <w:sz w:val="22"/>
                <w:szCs w:val="22"/>
              </w:rPr>
              <w:t>5</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7B0734">
            <w:pPr>
              <w:widowControl/>
              <w:jc w:val="center"/>
              <w:rPr>
                <w:rFonts w:eastAsia="宋体"/>
                <w:color w:val="000000"/>
                <w:kern w:val="0"/>
                <w:sz w:val="22"/>
                <w:szCs w:val="22"/>
              </w:rPr>
            </w:pPr>
            <w:r>
              <w:rPr>
                <w:color w:val="000000"/>
                <w:kern w:val="0"/>
                <w:sz w:val="22"/>
                <w:szCs w:val="22"/>
              </w:rPr>
              <w:t>5</w:t>
            </w:r>
          </w:p>
        </w:tc>
      </w:tr>
      <w:tr w14:paraId="423C7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244" w:type="pct"/>
            <w:vMerge w:val="restart"/>
            <w:tcBorders>
              <w:tl2br w:val="nil"/>
              <w:tr2bl w:val="nil"/>
            </w:tcBorders>
            <w:shd w:val="clear" w:color="auto" w:fill="FFFFFF"/>
            <w:vAlign w:val="center"/>
          </w:tcPr>
          <w:p w14:paraId="4BA46D8F">
            <w:pPr>
              <w:widowControl/>
              <w:spacing w:line="0" w:lineRule="atLeast"/>
              <w:jc w:val="center"/>
              <w:rPr>
                <w:rFonts w:eastAsia="宋体"/>
                <w:color w:val="000000"/>
                <w:kern w:val="0"/>
                <w:sz w:val="22"/>
                <w:szCs w:val="22"/>
              </w:rPr>
            </w:pPr>
            <w:r>
              <w:rPr>
                <w:rFonts w:eastAsia="宋体"/>
                <w:color w:val="000000"/>
                <w:kern w:val="0"/>
                <w:sz w:val="22"/>
                <w:szCs w:val="22"/>
              </w:rPr>
              <w:t>效益（30分）　</w:t>
            </w:r>
          </w:p>
        </w:tc>
        <w:tc>
          <w:tcPr>
            <w:tcW w:w="379" w:type="pct"/>
            <w:vMerge w:val="restart"/>
            <w:tcBorders>
              <w:tl2br w:val="nil"/>
              <w:tr2bl w:val="nil"/>
            </w:tcBorders>
            <w:shd w:val="clear" w:color="auto" w:fill="FFFFFF"/>
            <w:vAlign w:val="center"/>
          </w:tcPr>
          <w:p w14:paraId="7CABB5D3">
            <w:pPr>
              <w:widowControl/>
              <w:spacing w:line="0" w:lineRule="atLeast"/>
              <w:jc w:val="center"/>
              <w:rPr>
                <w:rFonts w:eastAsia="宋体"/>
                <w:color w:val="000000"/>
                <w:kern w:val="0"/>
                <w:sz w:val="22"/>
                <w:szCs w:val="22"/>
              </w:rPr>
            </w:pPr>
            <w:r>
              <w:rPr>
                <w:rFonts w:eastAsia="宋体"/>
                <w:color w:val="000000"/>
                <w:kern w:val="0"/>
                <w:sz w:val="22"/>
                <w:szCs w:val="22"/>
              </w:rPr>
              <w:t>项目效益（30分）　</w:t>
            </w:r>
          </w:p>
        </w:tc>
        <w:tc>
          <w:tcPr>
            <w:tcW w:w="455" w:type="pct"/>
            <w:tcBorders>
              <w:tl2br w:val="nil"/>
              <w:tr2bl w:val="nil"/>
            </w:tcBorders>
            <w:shd w:val="clear" w:color="auto" w:fill="FFFFFF"/>
            <w:vAlign w:val="center"/>
          </w:tcPr>
          <w:p w14:paraId="57A19000">
            <w:pPr>
              <w:widowControl/>
              <w:spacing w:line="0" w:lineRule="atLeast"/>
              <w:jc w:val="center"/>
              <w:rPr>
                <w:rFonts w:eastAsia="宋体"/>
                <w:color w:val="000000"/>
                <w:kern w:val="0"/>
                <w:sz w:val="22"/>
                <w:szCs w:val="22"/>
              </w:rPr>
            </w:pPr>
            <w:r>
              <w:rPr>
                <w:rFonts w:eastAsia="宋体"/>
                <w:color w:val="000000"/>
                <w:kern w:val="0"/>
                <w:sz w:val="22"/>
                <w:szCs w:val="22"/>
              </w:rPr>
              <w:t>实施效益</w:t>
            </w:r>
          </w:p>
        </w:tc>
        <w:tc>
          <w:tcPr>
            <w:tcW w:w="1004" w:type="pct"/>
            <w:tcBorders>
              <w:tl2br w:val="nil"/>
              <w:tr2bl w:val="nil"/>
            </w:tcBorders>
            <w:shd w:val="clear" w:color="auto" w:fill="FFFFFF"/>
            <w:vAlign w:val="center"/>
          </w:tcPr>
          <w:p w14:paraId="412CF251">
            <w:pPr>
              <w:widowControl/>
              <w:spacing w:line="0" w:lineRule="atLeast"/>
              <w:jc w:val="left"/>
              <w:rPr>
                <w:rFonts w:eastAsia="宋体"/>
                <w:color w:val="000000"/>
                <w:kern w:val="0"/>
                <w:sz w:val="22"/>
                <w:szCs w:val="22"/>
              </w:rPr>
            </w:pPr>
            <w:r>
              <w:rPr>
                <w:rFonts w:eastAsia="宋体"/>
                <w:color w:val="000000"/>
                <w:kern w:val="0"/>
                <w:sz w:val="22"/>
                <w:szCs w:val="22"/>
              </w:rPr>
              <w:t>项目实施所产生的效益。</w:t>
            </w:r>
          </w:p>
        </w:tc>
        <w:tc>
          <w:tcPr>
            <w:tcW w:w="2342" w:type="pct"/>
            <w:tcBorders>
              <w:tl2br w:val="nil"/>
              <w:tr2bl w:val="nil"/>
            </w:tcBorders>
            <w:shd w:val="clear" w:color="auto" w:fill="FFFFFF"/>
            <w:vAlign w:val="center"/>
          </w:tcPr>
          <w:p w14:paraId="110431D7">
            <w:pPr>
              <w:widowControl/>
              <w:spacing w:line="0" w:lineRule="atLeast"/>
              <w:rPr>
                <w:rFonts w:eastAsia="宋体"/>
                <w:color w:val="000000"/>
                <w:kern w:val="0"/>
                <w:sz w:val="22"/>
                <w:szCs w:val="22"/>
              </w:rPr>
            </w:pPr>
            <w:r>
              <w:rPr>
                <w:rFonts w:eastAsia="宋体"/>
                <w:color w:val="000000"/>
                <w:kern w:val="0"/>
                <w:sz w:val="22"/>
                <w:szCs w:val="22"/>
              </w:rPr>
              <w:t>项目实施所产生的社会效益、经济效益、生态效益、可持续影响等。可根据项目实际情况有选择地设置和细化。</w:t>
            </w:r>
          </w:p>
        </w:tc>
        <w:tc>
          <w:tcPr>
            <w:tcW w:w="275" w:type="pct"/>
            <w:gridSpan w:val="3"/>
            <w:tcBorders>
              <w:top w:val="single" w:color="auto" w:sz="4" w:space="0"/>
              <w:bottom w:val="single" w:color="auto" w:sz="4" w:space="0"/>
              <w:right w:val="single" w:color="auto" w:sz="4" w:space="0"/>
            </w:tcBorders>
            <w:shd w:val="clear" w:color="auto" w:fill="auto"/>
            <w:vAlign w:val="center"/>
          </w:tcPr>
          <w:p w14:paraId="4C20D4F3">
            <w:pPr>
              <w:widowControl/>
              <w:jc w:val="center"/>
              <w:rPr>
                <w:rFonts w:eastAsia="宋体"/>
                <w:color w:val="000000"/>
                <w:kern w:val="0"/>
                <w:sz w:val="22"/>
                <w:szCs w:val="22"/>
              </w:rPr>
            </w:pPr>
            <w:r>
              <w:rPr>
                <w:color w:val="000000"/>
                <w:kern w:val="0"/>
                <w:sz w:val="22"/>
                <w:szCs w:val="22"/>
              </w:rPr>
              <w:t>20</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78D8B4">
            <w:pPr>
              <w:widowControl/>
              <w:jc w:val="center"/>
              <w:rPr>
                <w:rFonts w:eastAsia="宋体"/>
                <w:color w:val="000000"/>
                <w:kern w:val="0"/>
                <w:sz w:val="22"/>
                <w:szCs w:val="22"/>
              </w:rPr>
            </w:pPr>
            <w:r>
              <w:rPr>
                <w:rFonts w:hint="eastAsia" w:eastAsia="宋体"/>
                <w:color w:val="000000"/>
                <w:kern w:val="0"/>
                <w:sz w:val="22"/>
                <w:szCs w:val="22"/>
              </w:rPr>
              <w:t>18</w:t>
            </w:r>
          </w:p>
        </w:tc>
      </w:tr>
      <w:tr w14:paraId="56C23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244" w:type="pct"/>
            <w:vMerge w:val="continue"/>
            <w:tcBorders>
              <w:tl2br w:val="nil"/>
              <w:tr2bl w:val="nil"/>
            </w:tcBorders>
            <w:shd w:val="clear" w:color="auto" w:fill="FFFFFF"/>
            <w:vAlign w:val="center"/>
          </w:tcPr>
          <w:p w14:paraId="26102AA8">
            <w:pPr>
              <w:widowControl/>
              <w:spacing w:line="0" w:lineRule="atLeast"/>
              <w:jc w:val="center"/>
              <w:rPr>
                <w:rFonts w:eastAsia="宋体"/>
                <w:color w:val="000000"/>
                <w:kern w:val="0"/>
                <w:sz w:val="22"/>
                <w:szCs w:val="22"/>
              </w:rPr>
            </w:pPr>
          </w:p>
        </w:tc>
        <w:tc>
          <w:tcPr>
            <w:tcW w:w="379" w:type="pct"/>
            <w:vMerge w:val="continue"/>
            <w:tcBorders>
              <w:tl2br w:val="nil"/>
              <w:tr2bl w:val="nil"/>
            </w:tcBorders>
            <w:shd w:val="clear" w:color="auto" w:fill="FFFFFF"/>
            <w:vAlign w:val="center"/>
          </w:tcPr>
          <w:p w14:paraId="434591C7">
            <w:pPr>
              <w:widowControl/>
              <w:spacing w:line="0" w:lineRule="atLeast"/>
              <w:jc w:val="center"/>
              <w:rPr>
                <w:rFonts w:eastAsia="宋体"/>
                <w:color w:val="000000"/>
                <w:kern w:val="0"/>
                <w:sz w:val="22"/>
                <w:szCs w:val="22"/>
              </w:rPr>
            </w:pPr>
          </w:p>
        </w:tc>
        <w:tc>
          <w:tcPr>
            <w:tcW w:w="455" w:type="pct"/>
            <w:tcBorders>
              <w:tl2br w:val="nil"/>
              <w:tr2bl w:val="nil"/>
            </w:tcBorders>
            <w:shd w:val="clear" w:color="auto" w:fill="FFFFFF"/>
            <w:vAlign w:val="center"/>
          </w:tcPr>
          <w:p w14:paraId="5E60C9D7">
            <w:pPr>
              <w:widowControl/>
              <w:spacing w:line="0" w:lineRule="atLeast"/>
              <w:jc w:val="center"/>
              <w:rPr>
                <w:rFonts w:eastAsia="宋体"/>
                <w:color w:val="000000"/>
                <w:kern w:val="0"/>
                <w:sz w:val="22"/>
                <w:szCs w:val="22"/>
              </w:rPr>
            </w:pPr>
            <w:r>
              <w:rPr>
                <w:rFonts w:eastAsia="宋体"/>
                <w:color w:val="000000"/>
                <w:kern w:val="0"/>
                <w:sz w:val="22"/>
                <w:szCs w:val="22"/>
              </w:rPr>
              <w:t>满意度</w:t>
            </w:r>
          </w:p>
        </w:tc>
        <w:tc>
          <w:tcPr>
            <w:tcW w:w="1004" w:type="pct"/>
            <w:tcBorders>
              <w:tl2br w:val="nil"/>
              <w:tr2bl w:val="nil"/>
            </w:tcBorders>
            <w:shd w:val="clear" w:color="000000" w:fill="FFFFFF"/>
            <w:vAlign w:val="center"/>
          </w:tcPr>
          <w:p w14:paraId="5470EEB0">
            <w:pPr>
              <w:widowControl/>
              <w:spacing w:line="0" w:lineRule="atLeast"/>
              <w:rPr>
                <w:rFonts w:eastAsia="宋体"/>
                <w:color w:val="000000"/>
                <w:kern w:val="0"/>
                <w:sz w:val="22"/>
                <w:szCs w:val="22"/>
              </w:rPr>
            </w:pPr>
            <w:r>
              <w:rPr>
                <w:rFonts w:eastAsia="宋体"/>
                <w:color w:val="000000"/>
                <w:kern w:val="0"/>
                <w:sz w:val="22"/>
                <w:szCs w:val="22"/>
              </w:rPr>
              <w:t>社会公众或服务对象对项目实施效果的满意程度。</w:t>
            </w:r>
          </w:p>
        </w:tc>
        <w:tc>
          <w:tcPr>
            <w:tcW w:w="2342" w:type="pct"/>
            <w:tcBorders>
              <w:tl2br w:val="nil"/>
              <w:tr2bl w:val="nil"/>
            </w:tcBorders>
            <w:shd w:val="clear" w:color="000000" w:fill="FFFFFF"/>
            <w:vAlign w:val="center"/>
          </w:tcPr>
          <w:p w14:paraId="3047B3A8">
            <w:pPr>
              <w:widowControl/>
              <w:spacing w:line="0" w:lineRule="atLeast"/>
              <w:rPr>
                <w:rFonts w:eastAsia="宋体"/>
                <w:color w:val="000000"/>
                <w:kern w:val="0"/>
                <w:sz w:val="22"/>
                <w:szCs w:val="22"/>
              </w:rPr>
            </w:pPr>
            <w:r>
              <w:rPr>
                <w:rFonts w:eastAsia="宋体"/>
                <w:color w:val="000000"/>
                <w:kern w:val="0"/>
                <w:sz w:val="22"/>
                <w:szCs w:val="22"/>
              </w:rPr>
              <w:t>社会公众或服务对象是指因该项目实施而受到影响的部门（单位）、群体或个人。一般采取社会调查的方式。</w:t>
            </w:r>
          </w:p>
        </w:tc>
        <w:tc>
          <w:tcPr>
            <w:tcW w:w="275" w:type="pct"/>
            <w:gridSpan w:val="3"/>
            <w:tcBorders>
              <w:top w:val="single" w:color="auto" w:sz="4" w:space="0"/>
              <w:bottom w:val="single" w:color="auto" w:sz="4" w:space="0"/>
              <w:right w:val="single" w:color="auto" w:sz="4" w:space="0"/>
            </w:tcBorders>
            <w:shd w:val="clear" w:color="auto" w:fill="auto"/>
            <w:vAlign w:val="center"/>
          </w:tcPr>
          <w:p w14:paraId="32E6EDB4">
            <w:pPr>
              <w:widowControl/>
              <w:jc w:val="center"/>
              <w:rPr>
                <w:rFonts w:eastAsia="宋体"/>
                <w:color w:val="000000"/>
                <w:kern w:val="0"/>
                <w:sz w:val="22"/>
                <w:szCs w:val="22"/>
              </w:rPr>
            </w:pPr>
            <w:r>
              <w:rPr>
                <w:color w:val="000000"/>
                <w:kern w:val="0"/>
                <w:sz w:val="22"/>
                <w:szCs w:val="22"/>
              </w:rPr>
              <w:t>10</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E5DE75">
            <w:pPr>
              <w:widowControl/>
              <w:jc w:val="center"/>
              <w:rPr>
                <w:rFonts w:eastAsia="宋体"/>
                <w:color w:val="000000"/>
                <w:kern w:val="0"/>
                <w:sz w:val="22"/>
                <w:szCs w:val="22"/>
              </w:rPr>
            </w:pPr>
            <w:r>
              <w:rPr>
                <w:color w:val="000000"/>
                <w:kern w:val="0"/>
                <w:sz w:val="22"/>
                <w:szCs w:val="22"/>
              </w:rPr>
              <w:t>10</w:t>
            </w:r>
          </w:p>
        </w:tc>
      </w:tr>
      <w:tr w14:paraId="2D23B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2" w:hRule="atLeast"/>
          <w:jc w:val="center"/>
        </w:trPr>
        <w:tc>
          <w:tcPr>
            <w:tcW w:w="244" w:type="pct"/>
            <w:tcBorders>
              <w:tl2br w:val="nil"/>
              <w:tr2bl w:val="nil"/>
            </w:tcBorders>
            <w:shd w:val="clear" w:color="auto" w:fill="FFFFFF"/>
            <w:vAlign w:val="center"/>
          </w:tcPr>
          <w:p w14:paraId="5C90F60D">
            <w:pPr>
              <w:widowControl/>
              <w:spacing w:line="0" w:lineRule="atLeast"/>
              <w:jc w:val="center"/>
              <w:rPr>
                <w:rFonts w:eastAsia="宋体"/>
                <w:b/>
                <w:color w:val="000000"/>
                <w:kern w:val="0"/>
                <w:sz w:val="22"/>
                <w:szCs w:val="22"/>
              </w:rPr>
            </w:pPr>
          </w:p>
        </w:tc>
        <w:tc>
          <w:tcPr>
            <w:tcW w:w="379" w:type="pct"/>
            <w:tcBorders>
              <w:tl2br w:val="nil"/>
              <w:tr2bl w:val="nil"/>
            </w:tcBorders>
            <w:shd w:val="clear" w:color="auto" w:fill="FFFFFF"/>
            <w:vAlign w:val="center"/>
          </w:tcPr>
          <w:p w14:paraId="603B4BA7">
            <w:pPr>
              <w:widowControl/>
              <w:spacing w:line="0" w:lineRule="atLeast"/>
              <w:jc w:val="center"/>
              <w:rPr>
                <w:rFonts w:eastAsia="宋体"/>
                <w:b/>
                <w:color w:val="000000"/>
                <w:kern w:val="0"/>
                <w:sz w:val="22"/>
                <w:szCs w:val="22"/>
              </w:rPr>
            </w:pPr>
            <w:r>
              <w:rPr>
                <w:rFonts w:eastAsia="宋体"/>
                <w:b/>
                <w:color w:val="000000"/>
                <w:kern w:val="0"/>
                <w:sz w:val="22"/>
                <w:szCs w:val="22"/>
              </w:rPr>
              <w:t>合计</w:t>
            </w:r>
          </w:p>
        </w:tc>
        <w:tc>
          <w:tcPr>
            <w:tcW w:w="455" w:type="pct"/>
            <w:tcBorders>
              <w:tl2br w:val="nil"/>
              <w:tr2bl w:val="nil"/>
            </w:tcBorders>
            <w:shd w:val="clear" w:color="auto" w:fill="FFFFFF"/>
            <w:vAlign w:val="center"/>
          </w:tcPr>
          <w:p w14:paraId="2F84A031">
            <w:pPr>
              <w:widowControl/>
              <w:spacing w:line="0" w:lineRule="atLeast"/>
              <w:jc w:val="center"/>
              <w:rPr>
                <w:rFonts w:eastAsia="宋体"/>
                <w:b/>
                <w:color w:val="000000"/>
                <w:kern w:val="0"/>
                <w:sz w:val="22"/>
                <w:szCs w:val="22"/>
              </w:rPr>
            </w:pPr>
          </w:p>
        </w:tc>
        <w:tc>
          <w:tcPr>
            <w:tcW w:w="1004" w:type="pct"/>
            <w:tcBorders>
              <w:tl2br w:val="nil"/>
              <w:tr2bl w:val="nil"/>
            </w:tcBorders>
            <w:shd w:val="clear" w:color="000000" w:fill="FFFFFF"/>
            <w:vAlign w:val="center"/>
          </w:tcPr>
          <w:p w14:paraId="0A815900">
            <w:pPr>
              <w:widowControl/>
              <w:spacing w:line="0" w:lineRule="atLeast"/>
              <w:rPr>
                <w:rFonts w:eastAsia="宋体"/>
                <w:b/>
                <w:color w:val="000000"/>
                <w:kern w:val="0"/>
                <w:sz w:val="22"/>
                <w:szCs w:val="22"/>
              </w:rPr>
            </w:pPr>
          </w:p>
        </w:tc>
        <w:tc>
          <w:tcPr>
            <w:tcW w:w="2342" w:type="pct"/>
            <w:tcBorders>
              <w:tl2br w:val="nil"/>
              <w:tr2bl w:val="nil"/>
            </w:tcBorders>
            <w:shd w:val="clear" w:color="000000" w:fill="FFFFFF"/>
            <w:vAlign w:val="center"/>
          </w:tcPr>
          <w:p w14:paraId="2D001BF3">
            <w:pPr>
              <w:widowControl/>
              <w:spacing w:line="0" w:lineRule="atLeast"/>
              <w:rPr>
                <w:rFonts w:eastAsia="宋体"/>
                <w:b/>
                <w:color w:val="000000"/>
                <w:kern w:val="0"/>
                <w:sz w:val="22"/>
                <w:szCs w:val="22"/>
              </w:rPr>
            </w:pPr>
          </w:p>
        </w:tc>
        <w:tc>
          <w:tcPr>
            <w:tcW w:w="275" w:type="pct"/>
            <w:gridSpan w:val="3"/>
            <w:tcBorders>
              <w:top w:val="single" w:color="auto" w:sz="4" w:space="0"/>
              <w:bottom w:val="single" w:color="auto" w:sz="4" w:space="0"/>
              <w:right w:val="single" w:color="auto" w:sz="4" w:space="0"/>
            </w:tcBorders>
            <w:shd w:val="clear" w:color="auto" w:fill="auto"/>
            <w:vAlign w:val="center"/>
          </w:tcPr>
          <w:p w14:paraId="56E9A11B">
            <w:pPr>
              <w:widowControl/>
              <w:jc w:val="center"/>
              <w:rPr>
                <w:b/>
                <w:color w:val="000000"/>
                <w:kern w:val="0"/>
                <w:sz w:val="22"/>
                <w:szCs w:val="22"/>
              </w:rPr>
            </w:pPr>
            <w:r>
              <w:rPr>
                <w:rFonts w:hint="eastAsia"/>
                <w:b/>
                <w:color w:val="000000"/>
                <w:kern w:val="0"/>
                <w:sz w:val="22"/>
                <w:szCs w:val="22"/>
              </w:rPr>
              <w:t>100</w:t>
            </w:r>
          </w:p>
        </w:tc>
        <w:tc>
          <w:tcPr>
            <w:tcW w:w="30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D92268">
            <w:pPr>
              <w:widowControl/>
              <w:jc w:val="center"/>
              <w:rPr>
                <w:b/>
                <w:color w:val="000000"/>
                <w:kern w:val="0"/>
                <w:sz w:val="22"/>
                <w:szCs w:val="22"/>
              </w:rPr>
            </w:pPr>
            <w:r>
              <w:rPr>
                <w:rFonts w:hint="eastAsia"/>
                <w:b/>
                <w:color w:val="000000"/>
                <w:kern w:val="0"/>
                <w:sz w:val="22"/>
                <w:szCs w:val="22"/>
              </w:rPr>
              <w:t>95</w:t>
            </w:r>
          </w:p>
        </w:tc>
      </w:tr>
    </w:tbl>
    <w:p w14:paraId="3A4436BB">
      <w:pPr>
        <w:pStyle w:val="12"/>
        <w:snapToGrid w:val="0"/>
        <w:spacing w:line="560" w:lineRule="exact"/>
        <w:ind w:firstLine="0" w:firstLineChars="0"/>
        <w:rPr>
          <w:rStyle w:val="9"/>
          <w:rFonts w:ascii="方正仿宋_GBK" w:hAnsi="方正仿宋_GBK" w:eastAsia="方正仿宋_GBK" w:cs="方正仿宋_GBK"/>
          <w:b w:val="0"/>
          <w:spacing w:val="-4"/>
          <w:sz w:val="32"/>
          <w:szCs w:val="32"/>
        </w:rPr>
      </w:pPr>
    </w:p>
    <w:sectPr>
      <w:pgSz w:w="16838" w:h="11906" w:orient="landscape"/>
      <w:pgMar w:top="720" w:right="720" w:bottom="720" w:left="720" w:header="737" w:footer="850" w:gutter="0"/>
      <w:pgNumType w:start="0"/>
      <w:cols w:space="0" w:num="1"/>
      <w:titlePg/>
      <w:docGrid w:type="lines" w:linePitch="4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A48325-4A06-40F6-84A7-84D9DB6188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2" w:fontKey="{766FD057-B0FA-4E01-9312-ABF3FA7FC845}"/>
  </w:font>
  <w:font w:name="Arial">
    <w:panose1 w:val="020B0604020202020204"/>
    <w:charset w:val="00"/>
    <w:family w:val="swiss"/>
    <w:pitch w:val="default"/>
    <w:sig w:usb0="E0002EFF" w:usb1="C000785B" w:usb2="00000009" w:usb3="00000000" w:csb0="400001FF" w:csb1="FFFF0000"/>
  </w:font>
  <w:font w:name="方正仿宋_GBK">
    <w:panose1 w:val="02000000000000000000"/>
    <w:charset w:val="86"/>
    <w:family w:val="script"/>
    <w:pitch w:val="default"/>
    <w:sig w:usb0="A00002BF" w:usb1="38CF7CFA" w:usb2="00082016" w:usb3="00000000" w:csb0="00040001" w:csb1="00000000"/>
    <w:embedRegular r:id="rId3" w:fontKey="{668A18A4-8DA6-4F36-B017-8B79EE21583F}"/>
  </w:font>
  <w:font w:name="方正小标宋_GBK">
    <w:panose1 w:val="02000000000000000000"/>
    <w:charset w:val="86"/>
    <w:family w:val="script"/>
    <w:pitch w:val="default"/>
    <w:sig w:usb0="A00002BF" w:usb1="38CF7CFA" w:usb2="00082016" w:usb3="00000000" w:csb0="00040001" w:csb1="00000000"/>
    <w:embedRegular r:id="rId4" w:fontKey="{7A84CCB0-23BB-4D57-930D-CBED6D08FE4C}"/>
  </w:font>
  <w:font w:name="楷体">
    <w:panose1 w:val="02010609060101010101"/>
    <w:charset w:val="86"/>
    <w:family w:val="modern"/>
    <w:pitch w:val="default"/>
    <w:sig w:usb0="800002BF" w:usb1="38CF7CFA" w:usb2="00000016" w:usb3="00000000" w:csb0="00040001" w:csb1="00000000"/>
    <w:embedRegular r:id="rId5" w:fontKey="{0C007183-80D7-42B8-9499-2445D9AE725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3946399"/>
    </w:sdtPr>
    <w:sdtContent>
      <w:p w14:paraId="4FEB1B21">
        <w:pPr>
          <w:pStyle w:val="5"/>
          <w:jc w:val="center"/>
        </w:pPr>
        <w:r>
          <w:fldChar w:fldCharType="begin"/>
        </w:r>
        <w:r>
          <w:instrText xml:space="preserve">PAGE   \* MERGEFORMAT</w:instrText>
        </w:r>
        <w:r>
          <w:fldChar w:fldCharType="separate"/>
        </w:r>
        <w:r>
          <w:rPr>
            <w:lang w:val="zh-CN"/>
          </w:rPr>
          <w:t>10</w:t>
        </w:r>
        <w:r>
          <w:fldChar w:fldCharType="end"/>
        </w:r>
      </w:p>
    </w:sdtContent>
  </w:sdt>
  <w:p w14:paraId="3913993B">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6C1FEE"/>
    <w:multiLevelType w:val="singleLevel"/>
    <w:tmpl w:val="9B6C1FEE"/>
    <w:lvl w:ilvl="0" w:tentative="0">
      <w:start w:val="1"/>
      <w:numFmt w:val="decimal"/>
      <w:suff w:val="nothing"/>
      <w:lvlText w:val="（%1）"/>
      <w:lvlJc w:val="left"/>
    </w:lvl>
  </w:abstractNum>
  <w:abstractNum w:abstractNumId="1">
    <w:nsid w:val="BC83223C"/>
    <w:multiLevelType w:val="singleLevel"/>
    <w:tmpl w:val="BC83223C"/>
    <w:lvl w:ilvl="0" w:tentative="0">
      <w:start w:val="4"/>
      <w:numFmt w:val="decimal"/>
      <w:lvlText w:val="%1."/>
      <w:lvlJc w:val="left"/>
      <w:pPr>
        <w:tabs>
          <w:tab w:val="left" w:pos="312"/>
        </w:tabs>
      </w:pPr>
    </w:lvl>
  </w:abstractNum>
  <w:abstractNum w:abstractNumId="2">
    <w:nsid w:val="456B2DA0"/>
    <w:multiLevelType w:val="singleLevel"/>
    <w:tmpl w:val="456B2DA0"/>
    <w:lvl w:ilvl="0" w:tentative="0">
      <w:start w:val="5"/>
      <w:numFmt w:val="chineseCounting"/>
      <w:suff w:val="nothing"/>
      <w:lvlText w:val="%1、"/>
      <w:lvlJc w:val="left"/>
      <w:rPr>
        <w:rFonts w:hint="eastAsia"/>
      </w:rPr>
    </w:lvl>
  </w:abstractNum>
  <w:abstractNum w:abstractNumId="3">
    <w:nsid w:val="56A2E7EB"/>
    <w:multiLevelType w:val="singleLevel"/>
    <w:tmpl w:val="56A2E7EB"/>
    <w:lvl w:ilvl="0" w:tentative="0">
      <w:start w:val="1"/>
      <w:numFmt w:val="decimal"/>
      <w:suff w:val="nothing"/>
      <w:lvlText w:val="%1．"/>
      <w:lvlJc w:val="left"/>
      <w:pPr>
        <w:ind w:firstLine="4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1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96BFD"/>
    <w:rsid w:val="000B4E42"/>
    <w:rsid w:val="0013361E"/>
    <w:rsid w:val="00150E54"/>
    <w:rsid w:val="00176C8A"/>
    <w:rsid w:val="001D04E0"/>
    <w:rsid w:val="001F2CBD"/>
    <w:rsid w:val="0023283D"/>
    <w:rsid w:val="00277696"/>
    <w:rsid w:val="002E1F7E"/>
    <w:rsid w:val="003B19D7"/>
    <w:rsid w:val="0043448B"/>
    <w:rsid w:val="00481212"/>
    <w:rsid w:val="004B0E6F"/>
    <w:rsid w:val="004B6581"/>
    <w:rsid w:val="004C176D"/>
    <w:rsid w:val="00535AC9"/>
    <w:rsid w:val="005653F2"/>
    <w:rsid w:val="0057731A"/>
    <w:rsid w:val="005C31F2"/>
    <w:rsid w:val="005C3B29"/>
    <w:rsid w:val="00611FF2"/>
    <w:rsid w:val="00643586"/>
    <w:rsid w:val="00682D22"/>
    <w:rsid w:val="00720942"/>
    <w:rsid w:val="007509AA"/>
    <w:rsid w:val="00757ED0"/>
    <w:rsid w:val="007E06A8"/>
    <w:rsid w:val="007E69FC"/>
    <w:rsid w:val="007F7794"/>
    <w:rsid w:val="00805999"/>
    <w:rsid w:val="008207A6"/>
    <w:rsid w:val="00835974"/>
    <w:rsid w:val="009B6B5F"/>
    <w:rsid w:val="009C60F9"/>
    <w:rsid w:val="009E1F8B"/>
    <w:rsid w:val="00A16F37"/>
    <w:rsid w:val="00AD5B8B"/>
    <w:rsid w:val="00BD17D0"/>
    <w:rsid w:val="00C408C3"/>
    <w:rsid w:val="00C665FB"/>
    <w:rsid w:val="00C739FA"/>
    <w:rsid w:val="00CA3BE6"/>
    <w:rsid w:val="00CD6F8E"/>
    <w:rsid w:val="00D265B9"/>
    <w:rsid w:val="00D26BE2"/>
    <w:rsid w:val="00D7458B"/>
    <w:rsid w:val="00DD064F"/>
    <w:rsid w:val="00E3118B"/>
    <w:rsid w:val="00E6033A"/>
    <w:rsid w:val="00E7021F"/>
    <w:rsid w:val="00E71358"/>
    <w:rsid w:val="00EE3764"/>
    <w:rsid w:val="00EF4A05"/>
    <w:rsid w:val="00F0260F"/>
    <w:rsid w:val="00F05D73"/>
    <w:rsid w:val="00F66980"/>
    <w:rsid w:val="09DE5F9A"/>
    <w:rsid w:val="1B0B4838"/>
    <w:rsid w:val="3D4F2463"/>
    <w:rsid w:val="605B086E"/>
    <w:rsid w:val="6AEA2C62"/>
    <w:rsid w:val="77306AFB"/>
    <w:rsid w:val="7D007C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qFormat/>
    <w:uiPriority w:val="99"/>
    <w:pPr>
      <w:keepNext/>
      <w:keepLines/>
      <w:spacing w:before="260" w:after="260" w:line="413" w:lineRule="auto"/>
      <w:outlineLvl w:val="1"/>
    </w:pPr>
    <w:rPr>
      <w:rFonts w:ascii="Arial" w:hAnsi="Arial" w:eastAsia="黑体" w:cs="Arial"/>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556"/>
    </w:pPr>
    <w:rPr>
      <w:rFonts w:ascii="仿宋_GB2312" w:cs="仿宋_GB2312"/>
      <w:kern w:val="0"/>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99"/>
    <w:rPr>
      <w:b/>
      <w:bCs/>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paragraph" w:styleId="12">
    <w:name w:val="List Paragraph"/>
    <w:basedOn w:val="1"/>
    <w:qFormat/>
    <w:uiPriority w:val="99"/>
    <w:pPr>
      <w:ind w:firstLine="420" w:firstLineChars="200"/>
    </w:pPr>
    <w:rPr>
      <w:rFonts w:ascii="Calibri" w:hAnsi="Calibri" w:eastAsia="宋体" w:cs="Calibri"/>
      <w:sz w:val="21"/>
      <w:szCs w:val="21"/>
    </w:rPr>
  </w:style>
  <w:style w:type="paragraph" w:customStyle="1" w:styleId="13">
    <w:name w:val="列出段落1"/>
    <w:basedOn w:val="1"/>
    <w:unhideWhenUsed/>
    <w:qFormat/>
    <w:uiPriority w:val="99"/>
    <w:pPr>
      <w:ind w:firstLine="420" w:firstLineChars="200"/>
    </w:pPr>
  </w:style>
  <w:style w:type="character" w:customStyle="1" w:styleId="14">
    <w:name w:val="批注框文本 Char"/>
    <w:basedOn w:val="8"/>
    <w:link w:val="4"/>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15</Pages>
  <Words>5370</Words>
  <Characters>5530</Characters>
  <Lines>56</Lines>
  <Paragraphs>16</Paragraphs>
  <TotalTime>21</TotalTime>
  <ScaleCrop>false</ScaleCrop>
  <LinksUpToDate>false</LinksUpToDate>
  <CharactersWithSpaces>5534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Qxb</cp:lastModifiedBy>
  <dcterms:modified xsi:type="dcterms:W3CDTF">2025-02-07T08:08:44Z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68C6CF622AF648B7999CB0C73B71781D_12</vt:lpwstr>
  </property>
</Properties>
</file>