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cs="仿宋_GB2312"/>
        </w:rPr>
      </w:pPr>
      <w:r>
        <w:rPr>
          <w:rFonts w:hint="eastAsia" w:ascii="仿宋_GB2312" w:hAnsi="仿宋_GB2312" w:cs="仿宋_GB2312"/>
        </w:rPr>
        <w:t>附件·2</w:t>
      </w:r>
    </w:p>
    <w:p>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巴州水利局项目支出绩效部门评价报告</w:t>
      </w:r>
    </w:p>
    <w:p>
      <w:pPr>
        <w:spacing w:line="540" w:lineRule="exact"/>
        <w:ind w:firstLine="1044" w:firstLineChars="200"/>
        <w:jc w:val="center"/>
        <w:rPr>
          <w:rFonts w:ascii="仿宋_GB2312" w:hAnsi="仿宋_GB2312" w:cs="仿宋_GB2312"/>
          <w:b/>
          <w:kern w:val="0"/>
          <w:sz w:val="52"/>
          <w:szCs w:val="52"/>
        </w:rPr>
      </w:pPr>
    </w:p>
    <w:p>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rPr>
          <w:rFonts w:ascii="仿宋_GB2312" w:hAnsi="仿宋_GB2312" w:cs="仿宋_GB2312"/>
          <w:kern w:val="0"/>
          <w:szCs w:val="30"/>
        </w:rPr>
      </w:pPr>
    </w:p>
    <w:p>
      <w:pPr>
        <w:ind w:left="2520" w:leftChars="240" w:right="750" w:rightChars="250" w:hanging="1800" w:hangingChars="500"/>
        <w:outlineLvl w:val="0"/>
        <w:rPr>
          <w:rFonts w:ascii="仿宋_GB2312" w:hAnsi="仿宋_GB2312" w:cs="仿宋_GB2312"/>
          <w:kern w:val="0"/>
          <w:sz w:val="36"/>
          <w:szCs w:val="36"/>
        </w:rPr>
      </w:pPr>
      <w:r>
        <w:rPr>
          <w:rFonts w:hint="eastAsia" w:ascii="仿宋_GB2312" w:hAnsi="仿宋_GB2312" w:cs="仿宋_GB2312"/>
          <w:kern w:val="0"/>
          <w:sz w:val="36"/>
          <w:szCs w:val="36"/>
        </w:rPr>
        <w:t>项目名称：项目前期类项目</w:t>
      </w:r>
    </w:p>
    <w:p>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实施单位（公章）：巴州水利局</w:t>
      </w:r>
    </w:p>
    <w:p>
      <w:pPr>
        <w:ind w:firstLine="720" w:firstLineChars="200"/>
        <w:jc w:val="left"/>
        <w:outlineLvl w:val="0"/>
        <w:rPr>
          <w:rFonts w:hint="eastAsia" w:ascii="仿宋_GB2312" w:hAnsi="仿宋_GB2312" w:cs="仿宋_GB2312"/>
          <w:kern w:val="0"/>
          <w:sz w:val="36"/>
          <w:szCs w:val="36"/>
        </w:rPr>
      </w:pPr>
      <w:r>
        <w:rPr>
          <w:rFonts w:hint="eastAsia" w:ascii="仿宋_GB2312" w:hAnsi="仿宋_GB2312" w:cs="仿宋_GB2312"/>
          <w:kern w:val="0"/>
          <w:sz w:val="36"/>
          <w:szCs w:val="36"/>
        </w:rPr>
        <w:t>主管部门（公章）：巴州水利局</w:t>
      </w:r>
    </w:p>
    <w:p>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填报时间：2020年5月</w:t>
      </w: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rPr>
          <w:rFonts w:ascii="宋体" w:hAnsi="宋体" w:eastAsia="宋体" w:cs="Arial"/>
          <w:b/>
          <w:bCs/>
          <w:sz w:val="36"/>
          <w:szCs w:val="36"/>
        </w:rPr>
      </w:pP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（项目前期类项目）</w:t>
      </w:r>
    </w:p>
    <w:p>
      <w:pPr>
        <w:jc w:val="center"/>
        <w:rPr>
          <w:rFonts w:ascii="仿宋_GB2312"/>
          <w:szCs w:val="30"/>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 w:hAnsi="仿宋" w:eastAsia="仿宋"/>
          <w:szCs w:val="30"/>
        </w:rPr>
      </w:pPr>
      <w:r>
        <w:rPr>
          <w:rFonts w:hint="eastAsia" w:ascii="仿宋" w:hAnsi="仿宋" w:eastAsia="仿宋"/>
          <w:szCs w:val="30"/>
        </w:rPr>
        <w:t>（一）项目概况。包括项目背景、主要内容及实施情况、资金投入和使用情况等。</w:t>
      </w:r>
    </w:p>
    <w:p>
      <w:pPr>
        <w:spacing w:line="540" w:lineRule="exact"/>
        <w:ind w:firstLine="600" w:firstLineChars="200"/>
        <w:rPr>
          <w:rFonts w:ascii="仿宋" w:hAnsi="仿宋" w:eastAsia="仿宋"/>
          <w:szCs w:val="30"/>
        </w:rPr>
      </w:pPr>
      <w:r>
        <w:rPr>
          <w:rFonts w:hint="eastAsia" w:ascii="仿宋" w:hAnsi="仿宋" w:eastAsia="仿宋"/>
          <w:szCs w:val="30"/>
        </w:rPr>
        <w:t>项目背景、主要内容及实施情况:为认真贯彻落实《国务院办公厅关于推进农业水价综合改革的意见》（国办发[2016]2号），按照自治区人民政府《关于印发新疆维吾尔自治区农业水价综合改革实施方案的通知》（新政发[2017]29号）的安排部署，巴州人民政府于2017年6月27日成立了以图格杰加甫州长为组长的自治州农业水价综合改革领导小组（巴政办发[2017]58号），开展《巴州农业水价综合改革实施方案》编制工作，确定到2022年全州各县市建立健全合理反映供水成本、有利于节水和农田水利体制机制创新、与投融资体制相适应的农业水价形成机制。</w:t>
      </w:r>
    </w:p>
    <w:p>
      <w:pPr>
        <w:spacing w:line="540" w:lineRule="exact"/>
        <w:ind w:firstLine="600" w:firstLineChars="200"/>
        <w:outlineLvl w:val="0"/>
        <w:rPr>
          <w:rFonts w:ascii="仿宋" w:hAnsi="仿宋" w:eastAsia="仿宋"/>
          <w:szCs w:val="30"/>
        </w:rPr>
      </w:pPr>
      <w:r>
        <w:rPr>
          <w:rFonts w:hint="eastAsia" w:ascii="仿宋" w:hAnsi="仿宋" w:eastAsia="仿宋"/>
          <w:szCs w:val="30"/>
        </w:rPr>
        <w:t>开展《巴州水利</w:t>
      </w:r>
      <w:r>
        <w:rPr>
          <w:rFonts w:hint="eastAsia" w:ascii="仿宋" w:hAnsi="仿宋" w:eastAsia="仿宋"/>
          <w:szCs w:val="30"/>
          <w:lang w:eastAsia="zh-CN"/>
        </w:rPr>
        <w:t>“十三五”规划</w:t>
      </w:r>
      <w:r>
        <w:rPr>
          <w:rFonts w:hint="eastAsia" w:ascii="仿宋" w:hAnsi="仿宋" w:eastAsia="仿宋"/>
          <w:szCs w:val="30"/>
        </w:rPr>
        <w:t>中期评估报告》编制工作，对我州开展好落实</w:t>
      </w:r>
      <w:r>
        <w:rPr>
          <w:rFonts w:ascii="仿宋" w:hAnsi="仿宋" w:eastAsia="仿宋"/>
          <w:szCs w:val="30"/>
        </w:rPr>
        <w:t>最严格水资源管理工作</w:t>
      </w:r>
      <w:r>
        <w:rPr>
          <w:rFonts w:hint="eastAsia" w:ascii="仿宋" w:hAnsi="仿宋" w:eastAsia="仿宋"/>
          <w:szCs w:val="30"/>
        </w:rPr>
        <w:t>、</w:t>
      </w:r>
      <w:r>
        <w:rPr>
          <w:rFonts w:ascii="仿宋" w:hAnsi="仿宋" w:eastAsia="仿宋"/>
          <w:szCs w:val="30"/>
        </w:rPr>
        <w:t>节水</w:t>
      </w:r>
      <w:r>
        <w:rPr>
          <w:rFonts w:hint="eastAsia" w:ascii="仿宋" w:hAnsi="仿宋" w:eastAsia="仿宋"/>
          <w:szCs w:val="30"/>
        </w:rPr>
        <w:t>型社会建设</w:t>
      </w:r>
      <w:r>
        <w:rPr>
          <w:rFonts w:ascii="仿宋" w:hAnsi="仿宋" w:eastAsia="仿宋"/>
          <w:szCs w:val="30"/>
        </w:rPr>
        <w:t>工作</w:t>
      </w:r>
      <w:r>
        <w:rPr>
          <w:rFonts w:hint="eastAsia" w:ascii="仿宋" w:hAnsi="仿宋" w:eastAsia="仿宋"/>
          <w:szCs w:val="30"/>
        </w:rPr>
        <w:t>、</w:t>
      </w:r>
      <w:r>
        <w:rPr>
          <w:rFonts w:ascii="仿宋" w:hAnsi="仿宋" w:eastAsia="仿宋" w:cs="仿宋"/>
          <w:szCs w:val="30"/>
        </w:rPr>
        <w:t>水生态保护工作有序推进</w:t>
      </w:r>
      <w:r>
        <w:rPr>
          <w:rFonts w:hint="eastAsia" w:ascii="仿宋" w:hAnsi="仿宋" w:eastAsia="仿宋" w:cs="仿宋"/>
          <w:szCs w:val="30"/>
        </w:rPr>
        <w:t>、</w:t>
      </w:r>
      <w:r>
        <w:rPr>
          <w:rFonts w:ascii="仿宋" w:hAnsi="仿宋" w:eastAsia="仿宋"/>
          <w:szCs w:val="30"/>
        </w:rPr>
        <w:t>重点骨干工程建设</w:t>
      </w:r>
      <w:r>
        <w:rPr>
          <w:rFonts w:hint="eastAsia" w:ascii="仿宋" w:hAnsi="仿宋" w:eastAsia="仿宋"/>
          <w:szCs w:val="30"/>
        </w:rPr>
        <w:t>、提高</w:t>
      </w:r>
      <w:r>
        <w:rPr>
          <w:rFonts w:ascii="仿宋" w:hAnsi="仿宋" w:eastAsia="仿宋"/>
          <w:szCs w:val="30"/>
        </w:rPr>
        <w:t>防汛抗旱减灾能力</w:t>
      </w:r>
      <w:r>
        <w:rPr>
          <w:rFonts w:hint="eastAsia" w:ascii="仿宋" w:hAnsi="仿宋" w:eastAsia="仿宋"/>
          <w:szCs w:val="30"/>
        </w:rPr>
        <w:t>、发送</w:t>
      </w:r>
      <w:r>
        <w:rPr>
          <w:rFonts w:ascii="仿宋" w:hAnsi="仿宋" w:eastAsia="仿宋"/>
          <w:szCs w:val="30"/>
        </w:rPr>
        <w:t>农村水利工程建设、提升水利信息化</w:t>
      </w:r>
      <w:r>
        <w:rPr>
          <w:rFonts w:hint="eastAsia" w:ascii="仿宋" w:hAnsi="仿宋" w:eastAsia="仿宋"/>
          <w:szCs w:val="30"/>
        </w:rPr>
        <w:t>、持续推进</w:t>
      </w:r>
      <w:r>
        <w:rPr>
          <w:rFonts w:ascii="仿宋" w:hAnsi="仿宋" w:eastAsia="仿宋"/>
          <w:szCs w:val="30"/>
        </w:rPr>
        <w:t>水利改革</w:t>
      </w:r>
      <w:r>
        <w:rPr>
          <w:rFonts w:hint="eastAsia" w:ascii="仿宋" w:hAnsi="仿宋" w:eastAsia="仿宋"/>
          <w:szCs w:val="30"/>
        </w:rPr>
        <w:t>具有重要意义。</w:t>
      </w:r>
    </w:p>
    <w:p>
      <w:pPr>
        <w:spacing w:line="540" w:lineRule="exact"/>
        <w:ind w:firstLine="600" w:firstLineChars="200"/>
        <w:outlineLvl w:val="0"/>
        <w:rPr>
          <w:rFonts w:ascii="仿宋" w:hAnsi="仿宋" w:eastAsia="仿宋"/>
          <w:szCs w:val="30"/>
        </w:rPr>
      </w:pPr>
      <w:r>
        <w:rPr>
          <w:rFonts w:hint="eastAsia" w:ascii="仿宋" w:hAnsi="仿宋" w:eastAsia="仿宋"/>
          <w:szCs w:val="30"/>
        </w:rPr>
        <w:t>资金投入和使用情况:巴州水利局项目前期项目预算投入68万元，其中：项目前期工作费55万元、《</w:t>
      </w:r>
      <w:r>
        <w:rPr>
          <w:rFonts w:hint="eastAsia" w:ascii="仿宋" w:hAnsi="仿宋" w:eastAsia="仿宋"/>
          <w:szCs w:val="30"/>
          <w:lang w:eastAsia="zh-CN"/>
        </w:rPr>
        <w:t>“十三五”规划</w:t>
      </w:r>
      <w:r>
        <w:rPr>
          <w:rFonts w:hint="eastAsia" w:ascii="仿宋" w:hAnsi="仿宋" w:eastAsia="仿宋"/>
          <w:szCs w:val="30"/>
        </w:rPr>
        <w:t>中期评估报告》编制费5万元、农业水价综合改革实施方案编制8万元。项目实施中，因 “天山杯”工作检查需要，年中调剂使用水利“天山杯”专题片制作费0.9万元（巴签报（2019）834号），预算投入54.1万元，截止2019年12月31日，项目前期工作支出56.17万元，其中：项目前期工作费支出43.17万元、《</w:t>
      </w:r>
      <w:r>
        <w:rPr>
          <w:rFonts w:hint="eastAsia" w:ascii="仿宋" w:hAnsi="仿宋" w:eastAsia="仿宋"/>
          <w:szCs w:val="30"/>
          <w:lang w:eastAsia="zh-CN"/>
        </w:rPr>
        <w:t>“十三五”规划</w:t>
      </w:r>
      <w:r>
        <w:rPr>
          <w:rFonts w:hint="eastAsia" w:ascii="仿宋" w:hAnsi="仿宋" w:eastAsia="仿宋"/>
          <w:szCs w:val="30"/>
        </w:rPr>
        <w:t>中期评估报告》编制费支出5万元、农业水价综合改革实施方案编制支出8万元。</w:t>
      </w:r>
    </w:p>
    <w:p>
      <w:pPr>
        <w:spacing w:line="540" w:lineRule="exact"/>
        <w:ind w:firstLine="600" w:firstLineChars="200"/>
        <w:rPr>
          <w:rFonts w:ascii="仿宋" w:hAnsi="仿宋" w:eastAsia="仿宋"/>
          <w:szCs w:val="30"/>
        </w:rPr>
      </w:pPr>
      <w:r>
        <w:rPr>
          <w:rFonts w:hint="eastAsia" w:ascii="仿宋" w:hAnsi="仿宋" w:eastAsia="仿宋"/>
          <w:szCs w:val="30"/>
        </w:rPr>
        <w:t>（二）项目绩效目标。包括总体目标和阶段性目标。</w:t>
      </w:r>
    </w:p>
    <w:p>
      <w:pPr>
        <w:spacing w:line="540" w:lineRule="exact"/>
        <w:ind w:firstLine="600" w:firstLineChars="200"/>
        <w:rPr>
          <w:rFonts w:ascii="仿宋" w:hAnsi="仿宋" w:eastAsia="仿宋"/>
          <w:szCs w:val="30"/>
        </w:rPr>
      </w:pPr>
      <w:r>
        <w:rPr>
          <w:rFonts w:hint="eastAsia" w:ascii="仿宋" w:hAnsi="仿宋" w:eastAsia="仿宋"/>
          <w:szCs w:val="30"/>
        </w:rPr>
        <w:t>总体目标:按照自治区人民政府《关于印发新疆维吾尔自治区农业水价综合改革实施方案的通知》要求，2019年7月底前完成编制《巴州农业水价综合改革实施方案》工作。2019年10月底前完成编制《巴州水利</w:t>
      </w:r>
      <w:r>
        <w:rPr>
          <w:rFonts w:hint="eastAsia" w:ascii="仿宋" w:hAnsi="仿宋" w:eastAsia="仿宋"/>
          <w:szCs w:val="30"/>
          <w:lang w:eastAsia="zh-CN"/>
        </w:rPr>
        <w:t>“十三五”规划</w:t>
      </w:r>
      <w:r>
        <w:rPr>
          <w:rFonts w:hint="eastAsia" w:ascii="仿宋" w:hAnsi="仿宋" w:eastAsia="仿宋"/>
          <w:szCs w:val="30"/>
        </w:rPr>
        <w:t>中期评估报告》工作。完成2019年度下达投资计划的各类水利项目前期工作。</w:t>
      </w:r>
    </w:p>
    <w:p>
      <w:pPr>
        <w:spacing w:line="540" w:lineRule="exact"/>
        <w:ind w:firstLine="600" w:firstLineChars="200"/>
        <w:rPr>
          <w:rFonts w:ascii="仿宋" w:hAnsi="仿宋" w:eastAsia="仿宋"/>
          <w:szCs w:val="30"/>
        </w:rPr>
      </w:pPr>
      <w:r>
        <w:rPr>
          <w:rFonts w:hint="eastAsia" w:ascii="仿宋" w:hAnsi="仿宋" w:eastAsia="仿宋"/>
          <w:szCs w:val="30"/>
        </w:rPr>
        <w:t>阶段性目标:2019年7月底前完成编制《巴州农业水价综合改革实施方案》工作。2019年10月底前完成编制《巴州水利</w:t>
      </w:r>
      <w:r>
        <w:rPr>
          <w:rFonts w:hint="eastAsia" w:ascii="仿宋" w:hAnsi="仿宋" w:eastAsia="仿宋"/>
          <w:szCs w:val="30"/>
          <w:lang w:eastAsia="zh-CN"/>
        </w:rPr>
        <w:t>“十三五”规划</w:t>
      </w:r>
      <w:r>
        <w:rPr>
          <w:rFonts w:hint="eastAsia" w:ascii="仿宋" w:hAnsi="仿宋" w:eastAsia="仿宋"/>
          <w:szCs w:val="30"/>
        </w:rPr>
        <w:t>中期评估报告》工作。</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0" w:firstLineChars="200"/>
        <w:rPr>
          <w:rFonts w:ascii="仿宋_GB2312"/>
        </w:rPr>
      </w:pPr>
      <w:r>
        <w:rPr>
          <w:rFonts w:hint="eastAsia" w:ascii="仿宋_GB2312"/>
        </w:rPr>
        <w:t>（一）绩效评价目的、对象和范围。</w:t>
      </w:r>
    </w:p>
    <w:p>
      <w:pPr>
        <w:spacing w:line="600" w:lineRule="exact"/>
        <w:ind w:firstLine="640" w:firstLineChars="200"/>
        <w:rPr>
          <w:rFonts w:ascii="仿宋_GB2312"/>
        </w:rPr>
      </w:pPr>
      <w:r>
        <w:rPr>
          <w:rFonts w:ascii="仿宋_GB2312"/>
          <w:bCs/>
          <w:sz w:val="32"/>
          <w:szCs w:val="32"/>
        </w:rPr>
        <w:t>为全面</w:t>
      </w:r>
      <w:r>
        <w:rPr>
          <w:rFonts w:hint="eastAsia" w:ascii="仿宋_GB2312"/>
          <w:bCs/>
          <w:sz w:val="32"/>
          <w:szCs w:val="32"/>
        </w:rPr>
        <w:t>实施</w:t>
      </w:r>
      <w:r>
        <w:rPr>
          <w:rFonts w:ascii="仿宋_GB2312"/>
          <w:bCs/>
          <w:sz w:val="32"/>
          <w:szCs w:val="32"/>
        </w:rPr>
        <w:t>预算绩效管理，</w:t>
      </w:r>
      <w:r>
        <w:rPr>
          <w:rFonts w:hint="eastAsia" w:ascii="仿宋_GB2312"/>
          <w:bCs/>
          <w:sz w:val="32"/>
          <w:szCs w:val="32"/>
        </w:rPr>
        <w:t>建立科学、合理的项目支出绩效评价管理体系，提高财政资源配置效率和使用效益，</w:t>
      </w:r>
      <w:r>
        <w:rPr>
          <w:rFonts w:hint="eastAsia" w:ascii="仿宋_GB2312"/>
        </w:rPr>
        <w:t>落实《项目支出绩效评价管理办法》，结合我局年初部门预算项目支出管理绩效目标，对2019年开展的项目前期类项目进行绩效评价。</w:t>
      </w:r>
    </w:p>
    <w:p>
      <w:pPr>
        <w:spacing w:line="600" w:lineRule="exact"/>
        <w:ind w:firstLine="600" w:firstLineChars="200"/>
        <w:rPr>
          <w:rFonts w:ascii="仿宋_GB2312"/>
        </w:rPr>
      </w:pPr>
      <w:r>
        <w:rPr>
          <w:rFonts w:hint="eastAsia" w:ascii="仿宋_GB2312"/>
        </w:rPr>
        <w:t>评价对象和范围是2019年编制完成《巴州农业水价综合改革实施方案》1项、《巴州水利</w:t>
      </w:r>
      <w:r>
        <w:rPr>
          <w:rFonts w:hint="eastAsia" w:ascii="仿宋_GB2312"/>
          <w:lang w:eastAsia="zh-CN"/>
        </w:rPr>
        <w:t>“十三五”规划</w:t>
      </w:r>
      <w:r>
        <w:rPr>
          <w:rFonts w:hint="eastAsia" w:ascii="仿宋_GB2312"/>
        </w:rPr>
        <w:t>中期评估报告》1项，完成2019年度下达投资计划的各类水利项目前期工作目标值。</w:t>
      </w:r>
    </w:p>
    <w:p>
      <w:pPr>
        <w:spacing w:line="600" w:lineRule="exact"/>
        <w:ind w:firstLine="600" w:firstLineChars="200"/>
        <w:rPr>
          <w:rFonts w:ascii="仿宋_GB2312"/>
        </w:rPr>
      </w:pPr>
      <w:r>
        <w:rPr>
          <w:rFonts w:hint="eastAsia" w:ascii="仿宋_GB2312"/>
        </w:rPr>
        <w:t>（二）绩效评价原则、评价指标体系（附表说明）、评价方法、评价标准等。</w:t>
      </w:r>
    </w:p>
    <w:p>
      <w:pPr>
        <w:spacing w:line="600" w:lineRule="exact"/>
        <w:ind w:firstLine="640"/>
        <w:rPr>
          <w:rFonts w:ascii="仿宋_GB2312"/>
        </w:rPr>
      </w:pPr>
      <w:r>
        <w:rPr>
          <w:rFonts w:hint="eastAsia" w:ascii="仿宋_GB2312"/>
        </w:rPr>
        <w:t>绩效评价原则：项目前期类项目遵循科学公正、公开透明原则。绩效目标和绩效评价结果能够在州政府网站财政公开依法依规公开，并自觉接受社会监督。</w:t>
      </w:r>
    </w:p>
    <w:p>
      <w:pPr>
        <w:spacing w:line="600" w:lineRule="exact"/>
        <w:ind w:firstLine="600" w:firstLineChars="200"/>
        <w:rPr>
          <w:rFonts w:ascii="仿宋_GB2312"/>
        </w:rPr>
      </w:pPr>
      <w:r>
        <w:rPr>
          <w:rFonts w:hint="eastAsia" w:ascii="仿宋_GB2312"/>
        </w:rPr>
        <w:t>在项目实施中，能够始终坚持绩效目标一致性原则，基本上能够做到绩效指标完成值与绩效目标一致。</w:t>
      </w:r>
    </w:p>
    <w:p>
      <w:pPr>
        <w:spacing w:line="600" w:lineRule="exact"/>
        <w:ind w:firstLine="600" w:firstLineChars="200"/>
        <w:rPr>
          <w:rFonts w:ascii="仿宋_GB2312"/>
        </w:rPr>
      </w:pPr>
      <w:r>
        <w:rPr>
          <w:rFonts w:hint="eastAsia" w:ascii="仿宋_GB2312"/>
        </w:rPr>
        <w:t>绩效评价指标体系：见附表</w:t>
      </w:r>
    </w:p>
    <w:p>
      <w:pPr>
        <w:spacing w:line="600" w:lineRule="exact"/>
        <w:ind w:firstLine="600" w:firstLineChars="200"/>
        <w:rPr>
          <w:rFonts w:ascii="仿宋_GB2312"/>
        </w:rPr>
      </w:pPr>
      <w:r>
        <w:rPr>
          <w:rFonts w:hint="eastAsia" w:ascii="仿宋_GB2312"/>
        </w:rPr>
        <w:t>绩效评价方法：评价方法</w:t>
      </w:r>
      <w:r>
        <w:rPr>
          <w:rFonts w:hint="eastAsia" w:ascii="仿宋_GB2312"/>
          <w:bCs/>
        </w:rPr>
        <w:t>专家评判法。</w:t>
      </w:r>
      <w:r>
        <w:rPr>
          <w:rFonts w:hint="eastAsia" w:ascii="仿宋_GB2312"/>
        </w:rPr>
        <w:t>是指通过专家评估、公众问卷及抽样调查等对项目支出效果进行评判，评价绩效目标实现程度。</w:t>
      </w:r>
    </w:p>
    <w:p>
      <w:pPr>
        <w:pStyle w:val="12"/>
        <w:spacing w:line="520" w:lineRule="exact"/>
        <w:ind w:firstLine="960" w:firstLineChars="300"/>
        <w:rPr>
          <w:rFonts w:ascii="仿宋_GB2312" w:eastAsia="仿宋_GB2312"/>
        </w:rPr>
      </w:pPr>
      <w:r>
        <w:rPr>
          <w:rFonts w:hint="eastAsia" w:ascii="楷体" w:hAnsi="楷体" w:eastAsia="楷体" w:cs="楷体"/>
          <w:sz w:val="32"/>
          <w:szCs w:val="32"/>
        </w:rPr>
        <w:t>绩效评价标准：主要有计划标准、历史标准、其他标准等，结合项目的特点，确定此次绩效评价指标标准为计划标准。</w:t>
      </w:r>
    </w:p>
    <w:p>
      <w:pPr>
        <w:spacing w:line="600" w:lineRule="exact"/>
        <w:ind w:firstLine="600" w:firstLineChars="200"/>
        <w:rPr>
          <w:rFonts w:ascii="仿宋_GB2312"/>
        </w:rPr>
      </w:pPr>
      <w:r>
        <w:rPr>
          <w:rFonts w:hint="eastAsia" w:ascii="仿宋_GB2312"/>
        </w:rPr>
        <w:t xml:space="preserve">（三）绩效评价工作过程。 </w:t>
      </w:r>
    </w:p>
    <w:p>
      <w:pPr>
        <w:spacing w:line="600" w:lineRule="exact"/>
        <w:ind w:firstLine="600" w:firstLineChars="200"/>
        <w:rPr>
          <w:rFonts w:ascii="仿宋_GB2312"/>
        </w:rPr>
      </w:pPr>
      <w:r>
        <w:rPr>
          <w:rFonts w:hint="eastAsia" w:ascii="仿宋_GB2312"/>
        </w:rPr>
        <w:t>绩效评价过程按照财政部门的要求开展项目绩效目标申报、在规定时间内完成绩效监控、绩效自评及绩效报告。</w:t>
      </w:r>
    </w:p>
    <w:p>
      <w:pPr>
        <w:numPr>
          <w:ilvl w:val="0"/>
          <w:numId w:val="1"/>
        </w:numPr>
        <w:spacing w:line="600" w:lineRule="exact"/>
        <w:ind w:firstLine="600" w:firstLineChars="200"/>
        <w:rPr>
          <w:rFonts w:ascii="仿宋_GB2312"/>
        </w:rPr>
      </w:pPr>
      <w:r>
        <w:rPr>
          <w:rFonts w:hint="eastAsia" w:ascii="黑体" w:hAnsi="黑体" w:eastAsia="黑体"/>
        </w:rPr>
        <w:t>综合评价情况及评价结论</w:t>
      </w:r>
      <w:r>
        <w:rPr>
          <w:rFonts w:hint="eastAsia" w:ascii="仿宋_GB2312"/>
        </w:rPr>
        <w:t>（附相关评分表）</w:t>
      </w:r>
    </w:p>
    <w:p>
      <w:pPr>
        <w:spacing w:line="600" w:lineRule="exact"/>
        <w:ind w:firstLine="608" w:firstLineChars="200"/>
        <w:rPr>
          <w:rFonts w:ascii="仿宋_GB2312" w:hAnsi="仿宋" w:cs="仿宋_GB2312"/>
          <w:spacing w:val="-8"/>
          <w:sz w:val="32"/>
          <w:szCs w:val="32"/>
        </w:rPr>
      </w:pPr>
      <w:r>
        <w:rPr>
          <w:rFonts w:hint="eastAsia" w:ascii="仿宋_GB2312" w:hAnsi="仿宋" w:cs="仿宋_GB2312"/>
          <w:spacing w:val="-8"/>
          <w:sz w:val="32"/>
          <w:szCs w:val="32"/>
        </w:rPr>
        <w:t>在明确评价目的、评价对象、范围及项目内容的基础上，根据绩效评价规范的要求和本次评价的实际情况，组成本项目评价工作小组并参照财政部“项目支出绩效评价指标体系框架”，制定了绩效评价方案。</w:t>
      </w:r>
    </w:p>
    <w:p>
      <w:pPr>
        <w:pStyle w:val="12"/>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rPr>
        <w:t>评价小组收集了项目立项文件、项目预算资金材料、项目工作总结，完成了项目基础信息表并形成绩效评价框架，指导具体的绩效评价工作。</w:t>
      </w:r>
    </w:p>
    <w:p>
      <w:pPr>
        <w:spacing w:line="600" w:lineRule="exact"/>
        <w:rPr>
          <w:rFonts w:ascii="仿宋_GB2312" w:hAnsi="仿宋" w:cs="仿宋_GB2312"/>
          <w:spacing w:val="-8"/>
          <w:sz w:val="32"/>
          <w:szCs w:val="32"/>
        </w:rPr>
      </w:pPr>
    </w:p>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ascii="仿宋_GB2312"/>
        </w:rPr>
      </w:pPr>
      <w:r>
        <w:rPr>
          <w:rFonts w:hint="eastAsia" w:ascii="仿宋_GB2312"/>
        </w:rPr>
        <w:t>（一）项目决策情况。</w:t>
      </w:r>
    </w:p>
    <w:p>
      <w:pPr>
        <w:spacing w:line="600" w:lineRule="exact"/>
        <w:ind w:firstLine="600" w:firstLineChars="200"/>
        <w:outlineLvl w:val="0"/>
        <w:rPr>
          <w:rFonts w:ascii="仿宋_GB2312"/>
        </w:rPr>
      </w:pPr>
      <w:r>
        <w:rPr>
          <w:rFonts w:hint="eastAsia" w:ascii="仿宋_GB2312"/>
        </w:rPr>
        <w:t>为扎实推进农业水价综合改革工作，自治州人民政府安排州发改委、州水利局联合对全州八县一市2008年以来的农业水价综合改革进展情况进行摸底调查，全面掌握各县市现状农业用水量、执行水价、计量设施配套等情况，并分批次派工作人员赴昌吉州、伊犁州、吐鲁番等地州学习借鉴先进经验。2017年11月，巴州水利局牵头组织编制完成了《巴州农业水价综合改革实施方案》（初稿），经征求各成员单位意见后报请自治州人民政府审批。2018年5月11日，巴州人民政府以巴政发[2018]42号文件正式批准印发《自治州农业水价综合改革实施方案》。</w:t>
      </w:r>
    </w:p>
    <w:p>
      <w:pPr>
        <w:spacing w:line="600" w:lineRule="exact"/>
        <w:ind w:firstLine="600" w:firstLineChars="200"/>
        <w:outlineLvl w:val="0"/>
        <w:rPr>
          <w:rFonts w:ascii="仿宋_GB2312"/>
        </w:rPr>
      </w:pPr>
      <w:r>
        <w:rPr>
          <w:rFonts w:hint="eastAsia" w:ascii="仿宋_GB2312"/>
        </w:rPr>
        <w:t>（二）项目过程情况。</w:t>
      </w:r>
    </w:p>
    <w:p>
      <w:pPr>
        <w:spacing w:line="600" w:lineRule="exact"/>
        <w:ind w:firstLine="600" w:firstLineChars="200"/>
        <w:rPr>
          <w:rFonts w:ascii="仿宋_GB2312"/>
        </w:rPr>
      </w:pPr>
      <w:r>
        <w:rPr>
          <w:rFonts w:hint="eastAsia" w:ascii="仿宋_GB2312"/>
        </w:rPr>
        <w:t>巴州人民政府于2017年6月27日成立了以图格杰加甫州长为组长的自治州农业水价综合改革领导小组（巴政办发[2017]58号），开展《巴州农业水价综合改革实施方案》编制工作，结合水利局工作实际，制定了相关工作编制计划和方案，与委托编制单位签订协议并完成编制报告。我局委托有资质的设计单位开展编制工作，形成初稿后，报水利局相关科室征求意见，评审征求意见，形成初步评审稿，再次征求农业综合水价综合改革涉及的相关部门，如：财政、发改农业征求部门专家的意见，并形成报审稿。《巴州农业水价综合改革实施方案》报政府常务会议研究同意后，印发巴县一市人民政府组织实施。</w:t>
      </w:r>
    </w:p>
    <w:p>
      <w:pPr>
        <w:spacing w:line="600" w:lineRule="exact"/>
        <w:ind w:firstLine="600" w:firstLineChars="200"/>
        <w:outlineLvl w:val="0"/>
        <w:rPr>
          <w:rFonts w:ascii="仿宋_GB2312"/>
        </w:rPr>
      </w:pPr>
      <w:r>
        <w:rPr>
          <w:rFonts w:hint="eastAsia" w:ascii="仿宋_GB2312"/>
        </w:rPr>
        <w:t>（三）项目产出情况。</w:t>
      </w:r>
    </w:p>
    <w:p>
      <w:pPr>
        <w:spacing w:line="600" w:lineRule="exact"/>
        <w:ind w:firstLine="750" w:firstLineChars="250"/>
        <w:outlineLvl w:val="0"/>
        <w:rPr>
          <w:rFonts w:ascii="仿宋_GB2312"/>
        </w:rPr>
      </w:pPr>
      <w:r>
        <w:rPr>
          <w:rFonts w:hint="eastAsia" w:ascii="仿宋_GB2312"/>
        </w:rPr>
        <w:t>巴州水利局委托巴州水利勘测设计院开展此项工作，2019年编制完成《巴州农业水价综合改革实施方案》1项、《巴州水利</w:t>
      </w:r>
      <w:r>
        <w:rPr>
          <w:rFonts w:hint="eastAsia" w:ascii="仿宋_GB2312"/>
          <w:lang w:eastAsia="zh-CN"/>
        </w:rPr>
        <w:t>“十三五”规划</w:t>
      </w:r>
      <w:bookmarkStart w:id="0" w:name="_GoBack"/>
      <w:bookmarkEnd w:id="0"/>
      <w:r>
        <w:rPr>
          <w:rFonts w:hint="eastAsia" w:ascii="仿宋_GB2312"/>
        </w:rPr>
        <w:t>中期评估报告》1项，完成2019年度下达投资计划的各类水利项目前期工作目标值。</w:t>
      </w:r>
    </w:p>
    <w:p>
      <w:pPr>
        <w:spacing w:line="600" w:lineRule="exact"/>
        <w:ind w:firstLine="600" w:firstLineChars="200"/>
        <w:outlineLvl w:val="0"/>
        <w:rPr>
          <w:rFonts w:ascii="仿宋_GB2312"/>
        </w:rPr>
      </w:pPr>
      <w:r>
        <w:rPr>
          <w:rFonts w:hint="eastAsia" w:ascii="仿宋_GB2312"/>
        </w:rPr>
        <w:t>（四）项目效益情况。</w:t>
      </w:r>
    </w:p>
    <w:p>
      <w:pPr>
        <w:spacing w:line="600" w:lineRule="exact"/>
        <w:ind w:firstLine="750" w:firstLineChars="250"/>
        <w:outlineLvl w:val="0"/>
        <w:rPr>
          <w:rFonts w:ascii="仿宋_GB2312"/>
        </w:rPr>
      </w:pPr>
      <w:r>
        <w:rPr>
          <w:rFonts w:hint="eastAsia" w:ascii="仿宋_GB2312"/>
        </w:rPr>
        <w:t>为认真做好2019年农业水价综合改革各项工作,2019年4月3日，巴州发改委、财政局、水利局、农业局联合印发了巴州农业水价综合改革2019年度实施计划。实施计划明确尉犁县、博湖县被列入2019年农业水价综合改革实施项目县,实施改革面积50万亩。</w:t>
      </w:r>
    </w:p>
    <w:p>
      <w:pPr>
        <w:spacing w:line="600" w:lineRule="exact"/>
        <w:ind w:firstLine="600" w:firstLineChars="200"/>
        <w:outlineLvl w:val="0"/>
        <w:rPr>
          <w:rFonts w:ascii="仿宋_GB2312"/>
        </w:rPr>
      </w:pPr>
      <w:r>
        <w:rPr>
          <w:rFonts w:hint="eastAsia" w:ascii="仿宋_GB2312"/>
        </w:rPr>
        <w:t>项目前期项目的开展，在2019年度为全州争取中央和自治区下达水利项目资金9.04亿元、</w:t>
      </w:r>
      <w:r>
        <w:rPr>
          <w:rFonts w:ascii="仿宋_GB2312"/>
        </w:rPr>
        <w:t>统筹推进水利改革发展各项工作</w:t>
      </w:r>
      <w:r>
        <w:rPr>
          <w:rFonts w:hint="eastAsia" w:ascii="仿宋_GB2312"/>
        </w:rPr>
        <w:t>，基层水利项目单位满意度95%。</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outlineLvl w:val="0"/>
        <w:rPr>
          <w:rFonts w:ascii="仿宋_GB2312"/>
        </w:rPr>
      </w:pPr>
      <w:r>
        <w:rPr>
          <w:rFonts w:hint="eastAsia" w:ascii="仿宋_GB2312"/>
        </w:rPr>
        <w:t>巴州水利局积极开展了预算项目申报工作，并在年度内按照预算支出进度完成了支出计划，在规定时间内按要求完成项目绩效监控，实际完成值基本上与年度绩效目标保持一致。</w:t>
      </w:r>
    </w:p>
    <w:p>
      <w:pPr>
        <w:tabs>
          <w:tab w:val="left" w:pos="3076"/>
        </w:tabs>
        <w:spacing w:line="600" w:lineRule="exact"/>
        <w:ind w:firstLine="600" w:firstLineChars="200"/>
        <w:rPr>
          <w:rFonts w:ascii="黑体" w:hAnsi="黑体" w:eastAsia="黑体"/>
        </w:rPr>
      </w:pPr>
      <w:r>
        <w:rPr>
          <w:rFonts w:hint="eastAsia" w:ascii="黑体" w:hAnsi="黑体" w:eastAsia="黑体"/>
        </w:rPr>
        <w:t>六、有关建议</w:t>
      </w:r>
      <w:r>
        <w:rPr>
          <w:rFonts w:ascii="黑体" w:hAnsi="黑体" w:eastAsia="黑体"/>
        </w:rPr>
        <w:tab/>
      </w:r>
    </w:p>
    <w:p>
      <w:pPr>
        <w:tabs>
          <w:tab w:val="left" w:pos="3076"/>
        </w:tabs>
        <w:spacing w:line="600" w:lineRule="exact"/>
        <w:ind w:firstLine="585"/>
        <w:rPr>
          <w:rFonts w:ascii="仿宋" w:hAnsi="仿宋" w:eastAsia="仿宋"/>
          <w:szCs w:val="30"/>
        </w:rPr>
      </w:pPr>
      <w:r>
        <w:rPr>
          <w:rFonts w:hint="eastAsia" w:ascii="仿宋" w:hAnsi="仿宋" w:eastAsia="仿宋"/>
          <w:szCs w:val="30"/>
        </w:rPr>
        <w:t>为了保质保量完成项目绩效评价工作任务，按要求完成绩效目标申报、绩效监控和绩效评价工作，建议财政部门更进一步加强绩效培训工作，在执行中进一步指导和督导预算单位开展绩效工作。</w:t>
      </w:r>
    </w:p>
    <w:p>
      <w:pPr>
        <w:tabs>
          <w:tab w:val="left" w:pos="3076"/>
        </w:tabs>
        <w:spacing w:line="600" w:lineRule="exact"/>
        <w:ind w:firstLine="585"/>
        <w:rPr>
          <w:rFonts w:ascii="仿宋" w:hAnsi="仿宋" w:eastAsia="仿宋"/>
          <w:szCs w:val="30"/>
        </w:rPr>
      </w:pPr>
      <w:r>
        <w:rPr>
          <w:rFonts w:hint="eastAsia" w:ascii="仿宋" w:hAnsi="仿宋" w:eastAsia="仿宋"/>
          <w:szCs w:val="30"/>
        </w:rPr>
        <w:t>建议各相关部门结合本职工作，严格落实《巴州农业水价综合改革实施方案》内容，保证工作任务如期完成计划任务。</w:t>
      </w:r>
    </w:p>
    <w:p>
      <w:pPr>
        <w:spacing w:line="600" w:lineRule="exact"/>
        <w:ind w:firstLine="600" w:firstLineChars="200"/>
        <w:rPr>
          <w:rFonts w:ascii="黑体" w:hAnsi="黑体" w:eastAsia="黑体"/>
        </w:rPr>
      </w:pPr>
      <w:r>
        <w:rPr>
          <w:rFonts w:hint="eastAsia" w:ascii="黑体" w:hAnsi="黑体" w:eastAsia="黑体"/>
        </w:rPr>
        <w:t>七、其他需要说明的问题</w:t>
      </w:r>
    </w:p>
    <w:p>
      <w:pPr>
        <w:spacing w:line="600" w:lineRule="exact"/>
        <w:ind w:firstLine="450" w:firstLineChars="150"/>
        <w:rPr>
          <w:rFonts w:ascii="仿宋" w:hAnsi="仿宋" w:eastAsia="仿宋"/>
          <w:szCs w:val="30"/>
        </w:rPr>
      </w:pPr>
      <w:r>
        <w:rPr>
          <w:rFonts w:hint="eastAsia" w:ascii="仿宋" w:hAnsi="仿宋" w:eastAsia="仿宋"/>
          <w:szCs w:val="30"/>
        </w:rPr>
        <w:t>《巴州农业水价综合改革实施方案》2019年3月获得州人民政府审批并印发八县一市贯彻落实。</w:t>
      </w:r>
    </w:p>
    <w:p>
      <w:pPr>
        <w:spacing w:line="600" w:lineRule="exact"/>
        <w:ind w:firstLine="450" w:firstLineChars="150"/>
        <w:rPr>
          <w:rFonts w:ascii="仿宋" w:hAnsi="仿宋" w:eastAsia="仿宋"/>
          <w:szCs w:val="30"/>
        </w:rPr>
      </w:pPr>
    </w:p>
    <w:p>
      <w:pPr>
        <w:spacing w:line="600" w:lineRule="exact"/>
        <w:ind w:firstLine="450" w:firstLineChars="150"/>
        <w:rPr>
          <w:rFonts w:ascii="仿宋" w:hAnsi="仿宋" w:eastAsia="仿宋"/>
          <w:szCs w:val="30"/>
        </w:rPr>
      </w:pPr>
    </w:p>
    <w:p>
      <w:pPr>
        <w:spacing w:line="600" w:lineRule="exact"/>
        <w:ind w:firstLine="450" w:firstLineChars="150"/>
        <w:rPr>
          <w:rFonts w:ascii="仿宋" w:hAnsi="仿宋" w:eastAsia="仿宋"/>
          <w:szCs w:val="30"/>
        </w:rPr>
      </w:pPr>
    </w:p>
    <w:p>
      <w:pPr>
        <w:spacing w:line="600" w:lineRule="exact"/>
        <w:ind w:firstLine="450" w:firstLineChars="150"/>
        <w:rPr>
          <w:rFonts w:ascii="仿宋" w:hAnsi="仿宋" w:eastAsia="仿宋"/>
          <w:szCs w:val="30"/>
        </w:rPr>
      </w:pPr>
    </w:p>
    <w:p>
      <w:pPr>
        <w:spacing w:line="600" w:lineRule="exact"/>
        <w:ind w:firstLine="450" w:firstLineChars="150"/>
        <w:rPr>
          <w:rFonts w:ascii="仿宋" w:hAnsi="仿宋" w:eastAsia="仿宋"/>
          <w:szCs w:val="30"/>
        </w:rPr>
      </w:pPr>
    </w:p>
    <w:p>
      <w:pPr>
        <w:spacing w:line="600" w:lineRule="exact"/>
        <w:ind w:firstLine="450" w:firstLineChars="150"/>
        <w:rPr>
          <w:rFonts w:ascii="黑体" w:hAnsi="黑体" w:eastAsia="黑体"/>
        </w:rPr>
      </w:pPr>
    </w:p>
    <w:p>
      <w:pPr>
        <w:spacing w:line="600" w:lineRule="exact"/>
        <w:ind w:firstLine="600" w:firstLineChars="200"/>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pPr>
        <w:pStyle w:val="2"/>
        <w:spacing w:before="0" w:after="0" w:line="240" w:lineRule="auto"/>
        <w:jc w:val="center"/>
        <w:rPr>
          <w:bCs/>
          <w:color w:val="000000"/>
        </w:rPr>
      </w:pPr>
    </w:p>
    <w:tbl>
      <w:tblPr>
        <w:tblStyle w:val="5"/>
        <w:tblW w:w="1534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723"/>
        <w:gridCol w:w="148"/>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3"/>
          <w:wAfter w:w="17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734"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8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61"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1"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894" w:type="dxa"/>
            <w:gridSpan w:val="4"/>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bl>
    <w:tbl>
      <w:tblPr>
        <w:tblStyle w:val="6"/>
        <w:tblW w:w="15435" w:type="dxa"/>
        <w:tblInd w:w="-1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0"/>
        <w:gridCol w:w="87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0" w:type="dxa"/>
          </w:tcPr>
          <w:p>
            <w:pPr>
              <w:tabs>
                <w:tab w:val="left" w:pos="1002"/>
              </w:tabs>
              <w:spacing w:line="600" w:lineRule="exact"/>
              <w:rPr>
                <w:rFonts w:ascii="仿宋_GB2312"/>
                <w:bCs/>
                <w:sz w:val="22"/>
                <w:szCs w:val="22"/>
              </w:rPr>
            </w:pPr>
            <w:r>
              <w:rPr>
                <w:rFonts w:hint="eastAsia" w:ascii="仿宋_GB2312"/>
                <w:bCs/>
                <w:sz w:val="22"/>
                <w:szCs w:val="22"/>
              </w:rPr>
              <w:tab/>
            </w:r>
            <w:r>
              <w:rPr>
                <w:rFonts w:hint="eastAsia" w:ascii="仿宋_GB2312"/>
                <w:bCs/>
                <w:sz w:val="22"/>
                <w:szCs w:val="22"/>
              </w:rPr>
              <w:t>总分</w:t>
            </w:r>
          </w:p>
        </w:tc>
        <w:tc>
          <w:tcPr>
            <w:tcW w:w="870" w:type="dxa"/>
          </w:tcPr>
          <w:p>
            <w:pPr>
              <w:spacing w:line="600" w:lineRule="exact"/>
              <w:rPr>
                <w:rFonts w:ascii="仿宋_GB2312"/>
                <w:bCs/>
                <w:sz w:val="22"/>
                <w:szCs w:val="22"/>
              </w:rPr>
            </w:pPr>
            <w:r>
              <w:rPr>
                <w:rFonts w:hint="eastAsia" w:ascii="仿宋_GB2312"/>
                <w:bCs/>
                <w:sz w:val="22"/>
                <w:szCs w:val="22"/>
              </w:rPr>
              <w:t>100</w:t>
            </w:r>
          </w:p>
        </w:tc>
        <w:tc>
          <w:tcPr>
            <w:tcW w:w="915" w:type="dxa"/>
          </w:tcPr>
          <w:p>
            <w:pPr>
              <w:spacing w:line="600" w:lineRule="exact"/>
              <w:rPr>
                <w:rFonts w:ascii="仿宋_GB2312"/>
                <w:bCs/>
                <w:sz w:val="22"/>
                <w:szCs w:val="22"/>
              </w:rPr>
            </w:pPr>
            <w:r>
              <w:rPr>
                <w:rFonts w:hint="eastAsia" w:ascii="仿宋_GB2312"/>
                <w:bCs/>
                <w:sz w:val="22"/>
                <w:szCs w:val="22"/>
              </w:rPr>
              <w:t>100</w:t>
            </w:r>
          </w:p>
        </w:tc>
      </w:tr>
    </w:tbl>
    <w:p/>
    <w:tbl>
      <w:tblPr>
        <w:tblStyle w:val="6"/>
        <w:tblpPr w:leftFromText="180" w:rightFromText="180" w:vertAnchor="text" w:tblpX="-1978" w:tblpY="-1706"/>
        <w:tblOverlap w:val="never"/>
        <w:tblW w:w="3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86" w:type="dxa"/>
          </w:tcPr>
          <w:p/>
        </w:tc>
      </w:tr>
    </w:tbl>
    <w:p/>
    <w:tbl>
      <w:tblPr>
        <w:tblStyle w:val="6"/>
        <w:tblpPr w:leftFromText="180" w:rightFromText="180" w:vertAnchor="text" w:tblpX="-1978" w:tblpY="-1706"/>
        <w:tblOverlap w:val="never"/>
        <w:tblW w:w="3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86" w:type="dxa"/>
          </w:tcPr>
          <w:p/>
        </w:tc>
      </w:tr>
    </w:tbl>
    <w:p/>
    <w:tbl>
      <w:tblPr>
        <w:tblStyle w:val="6"/>
        <w:tblpPr w:leftFromText="180" w:rightFromText="180" w:vertAnchor="text" w:tblpX="1817" w:tblpY="909"/>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324" w:type="dxa"/>
          </w:tcPr>
          <w:p>
            <w:pPr>
              <w:spacing w:line="600" w:lineRule="exact"/>
              <w:rPr>
                <w:rFonts w:ascii="仿宋_GB2312"/>
                <w:bCs/>
                <w:sz w:val="32"/>
                <w:szCs w:val="32"/>
              </w:rPr>
            </w:pPr>
          </w:p>
        </w:tc>
      </w:tr>
    </w:tbl>
    <w:p>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95C4E8"/>
    <w:multiLevelType w:val="singleLevel"/>
    <w:tmpl w:val="C195C4E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C10B5"/>
    <w:rsid w:val="00002BE2"/>
    <w:rsid w:val="00033C4C"/>
    <w:rsid w:val="00040B40"/>
    <w:rsid w:val="00075A42"/>
    <w:rsid w:val="00077B0D"/>
    <w:rsid w:val="0008515F"/>
    <w:rsid w:val="000925ED"/>
    <w:rsid w:val="000B3D71"/>
    <w:rsid w:val="000E1C3E"/>
    <w:rsid w:val="00105BEA"/>
    <w:rsid w:val="001124E6"/>
    <w:rsid w:val="00115606"/>
    <w:rsid w:val="0018238C"/>
    <w:rsid w:val="001E01BC"/>
    <w:rsid w:val="00227929"/>
    <w:rsid w:val="00251A9F"/>
    <w:rsid w:val="002656B6"/>
    <w:rsid w:val="002820D5"/>
    <w:rsid w:val="002F1467"/>
    <w:rsid w:val="003C528B"/>
    <w:rsid w:val="00455222"/>
    <w:rsid w:val="0047210D"/>
    <w:rsid w:val="00474FD2"/>
    <w:rsid w:val="004D6AA3"/>
    <w:rsid w:val="004E1148"/>
    <w:rsid w:val="004F00D9"/>
    <w:rsid w:val="00557DED"/>
    <w:rsid w:val="005651FB"/>
    <w:rsid w:val="005662B7"/>
    <w:rsid w:val="00581EDA"/>
    <w:rsid w:val="005858F5"/>
    <w:rsid w:val="005B50B8"/>
    <w:rsid w:val="005E1B78"/>
    <w:rsid w:val="00620700"/>
    <w:rsid w:val="006554BC"/>
    <w:rsid w:val="006B597B"/>
    <w:rsid w:val="006F4D44"/>
    <w:rsid w:val="00735BE5"/>
    <w:rsid w:val="00786F26"/>
    <w:rsid w:val="007B6B83"/>
    <w:rsid w:val="007C3795"/>
    <w:rsid w:val="00835345"/>
    <w:rsid w:val="00896277"/>
    <w:rsid w:val="008C0379"/>
    <w:rsid w:val="00924BE6"/>
    <w:rsid w:val="00934649"/>
    <w:rsid w:val="00950ACB"/>
    <w:rsid w:val="00956B1F"/>
    <w:rsid w:val="00996501"/>
    <w:rsid w:val="00A62E9D"/>
    <w:rsid w:val="00A9767D"/>
    <w:rsid w:val="00AB5ED1"/>
    <w:rsid w:val="00AC1C6A"/>
    <w:rsid w:val="00AD52D5"/>
    <w:rsid w:val="00AF57DA"/>
    <w:rsid w:val="00B724F8"/>
    <w:rsid w:val="00B80059"/>
    <w:rsid w:val="00B8120C"/>
    <w:rsid w:val="00BB0517"/>
    <w:rsid w:val="00C33056"/>
    <w:rsid w:val="00C460D9"/>
    <w:rsid w:val="00C470BD"/>
    <w:rsid w:val="00C6478C"/>
    <w:rsid w:val="00C7234C"/>
    <w:rsid w:val="00CB674F"/>
    <w:rsid w:val="00CC10B5"/>
    <w:rsid w:val="00CD4ACA"/>
    <w:rsid w:val="00D043E9"/>
    <w:rsid w:val="00D374C5"/>
    <w:rsid w:val="00D46864"/>
    <w:rsid w:val="00D55ED2"/>
    <w:rsid w:val="00D82879"/>
    <w:rsid w:val="00D86B9F"/>
    <w:rsid w:val="00DA4F65"/>
    <w:rsid w:val="00E62829"/>
    <w:rsid w:val="00EA03A9"/>
    <w:rsid w:val="00ED61D9"/>
    <w:rsid w:val="00EE3AED"/>
    <w:rsid w:val="00EF0AFA"/>
    <w:rsid w:val="00F72DD9"/>
    <w:rsid w:val="00F758E1"/>
    <w:rsid w:val="00FA49EB"/>
    <w:rsid w:val="00FB45E1"/>
    <w:rsid w:val="0E696168"/>
    <w:rsid w:val="0E780ABD"/>
    <w:rsid w:val="1754673B"/>
    <w:rsid w:val="2064501A"/>
    <w:rsid w:val="28253141"/>
    <w:rsid w:val="2BAF6734"/>
    <w:rsid w:val="33CD79CF"/>
    <w:rsid w:val="346D4291"/>
    <w:rsid w:val="3BFD7A99"/>
    <w:rsid w:val="3C29258A"/>
    <w:rsid w:val="3FAF27D5"/>
    <w:rsid w:val="4A1708A0"/>
    <w:rsid w:val="58C145FF"/>
    <w:rsid w:val="7BB046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标题 2 Char"/>
    <w:basedOn w:val="7"/>
    <w:link w:val="2"/>
    <w:qFormat/>
    <w:uiPriority w:val="0"/>
    <w:rPr>
      <w:rFonts w:ascii="Arial" w:hAnsi="Arial" w:eastAsia="黑体" w:cs="Times New Roman"/>
      <w:b/>
      <w:sz w:val="32"/>
      <w:szCs w:val="24"/>
    </w:rPr>
  </w:style>
  <w:style w:type="paragraph" w:customStyle="1" w:styleId="12">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D7094-1073-411B-860F-A53203F2CD6D}">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13</Pages>
  <Words>844</Words>
  <Characters>4814</Characters>
  <Lines>40</Lines>
  <Paragraphs>11</Paragraphs>
  <TotalTime>7</TotalTime>
  <ScaleCrop>false</ScaleCrop>
  <LinksUpToDate>false</LinksUpToDate>
  <CharactersWithSpaces>5647</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dcterms:modified xsi:type="dcterms:W3CDTF">2023-08-14T10:11:39Z</dcterms:modified>
  <cp:revision>203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A6A6BBFEC9CB45E2859B1F900A6144C8_12</vt:lpwstr>
  </property>
</Properties>
</file>