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2665719">
      <w:pPr>
        <w:spacing w:line="540" w:lineRule="exact"/>
        <w:jc w:val="center"/>
        <w:rPr>
          <w:rFonts w:ascii="方正小标宋_GBK" w:hAnsi="华文中宋" w:eastAsia="方正小标宋_GBK" w:cs="宋体"/>
          <w:b/>
          <w:kern w:val="0"/>
          <w:sz w:val="48"/>
          <w:szCs w:val="48"/>
        </w:rPr>
      </w:pPr>
      <w:r>
        <w:rPr>
          <w:rFonts w:hint="eastAsia" w:ascii="方正小标宋_GBK" w:hAnsi="华文中宋" w:eastAsia="方正小标宋_GBK" w:cs="宋体"/>
          <w:b/>
          <w:kern w:val="0"/>
          <w:sz w:val="48"/>
          <w:szCs w:val="48"/>
        </w:rPr>
        <w:t>巴州工信局项目支出</w:t>
      </w:r>
      <w:r>
        <w:rPr>
          <w:rFonts w:ascii="方正小标宋_GBK" w:hAnsi="华文中宋" w:eastAsia="方正小标宋_GBK" w:cs="宋体"/>
          <w:b/>
          <w:kern w:val="0"/>
          <w:sz w:val="48"/>
          <w:szCs w:val="48"/>
        </w:rPr>
        <w:t>绩效</w:t>
      </w:r>
      <w:r>
        <w:rPr>
          <w:rFonts w:hint="eastAsia" w:ascii="方正小标宋_GBK" w:hAnsi="华文中宋" w:eastAsia="方正小标宋_GBK" w:cs="宋体"/>
          <w:b/>
          <w:kern w:val="0"/>
          <w:sz w:val="48"/>
          <w:szCs w:val="48"/>
        </w:rPr>
        <w:t>评价报告</w:t>
      </w:r>
    </w:p>
    <w:p w14:paraId="37F82266">
      <w:pPr>
        <w:spacing w:line="540" w:lineRule="exact"/>
        <w:jc w:val="center"/>
        <w:rPr>
          <w:rFonts w:ascii="华文中宋" w:hAnsi="华文中宋" w:eastAsia="华文中宋" w:cs="宋体"/>
          <w:b/>
          <w:kern w:val="0"/>
          <w:sz w:val="52"/>
          <w:szCs w:val="52"/>
        </w:rPr>
      </w:pPr>
    </w:p>
    <w:p w14:paraId="44099825">
      <w:pPr>
        <w:spacing w:line="540" w:lineRule="exact"/>
        <w:jc w:val="center"/>
        <w:rPr>
          <w:rFonts w:ascii="华文中宋" w:hAnsi="华文中宋" w:eastAsia="华文中宋" w:cs="宋体"/>
          <w:b/>
          <w:kern w:val="0"/>
          <w:sz w:val="52"/>
          <w:szCs w:val="52"/>
        </w:rPr>
      </w:pPr>
    </w:p>
    <w:p w14:paraId="29770598">
      <w:pPr>
        <w:spacing w:line="540" w:lineRule="exact"/>
        <w:jc w:val="center"/>
        <w:rPr>
          <w:rFonts w:ascii="华文中宋" w:hAnsi="华文中宋" w:eastAsia="华文中宋" w:cs="宋体"/>
          <w:b/>
          <w:kern w:val="0"/>
          <w:sz w:val="52"/>
          <w:szCs w:val="52"/>
        </w:rPr>
      </w:pPr>
    </w:p>
    <w:p w14:paraId="233B2A48">
      <w:pPr>
        <w:spacing w:line="540" w:lineRule="exact"/>
        <w:jc w:val="center"/>
        <w:rPr>
          <w:rFonts w:hAnsi="宋体" w:cs="宋体"/>
          <w:kern w:val="0"/>
          <w:sz w:val="36"/>
          <w:szCs w:val="36"/>
        </w:rPr>
      </w:pPr>
      <w:r>
        <w:rPr>
          <w:rFonts w:hint="eastAsia" w:hAnsi="宋体" w:cs="宋体"/>
          <w:kern w:val="0"/>
          <w:sz w:val="36"/>
          <w:szCs w:val="36"/>
        </w:rPr>
        <w:t>（2019年度）</w:t>
      </w:r>
    </w:p>
    <w:p w14:paraId="4EAEBDC7">
      <w:pPr>
        <w:spacing w:line="540" w:lineRule="exact"/>
        <w:jc w:val="center"/>
        <w:rPr>
          <w:rFonts w:hAnsi="宋体" w:cs="宋体"/>
          <w:kern w:val="0"/>
          <w:szCs w:val="30"/>
        </w:rPr>
      </w:pPr>
    </w:p>
    <w:p w14:paraId="4BF0F7DF">
      <w:pPr>
        <w:spacing w:line="540" w:lineRule="exact"/>
        <w:jc w:val="center"/>
        <w:rPr>
          <w:rFonts w:hAnsi="宋体" w:cs="宋体"/>
          <w:kern w:val="0"/>
          <w:szCs w:val="30"/>
        </w:rPr>
      </w:pPr>
    </w:p>
    <w:p w14:paraId="1F83327B">
      <w:pPr>
        <w:spacing w:line="540" w:lineRule="exact"/>
        <w:jc w:val="center"/>
        <w:rPr>
          <w:rFonts w:hAnsi="宋体" w:cs="宋体"/>
          <w:kern w:val="0"/>
          <w:szCs w:val="30"/>
        </w:rPr>
      </w:pPr>
    </w:p>
    <w:p w14:paraId="3AD8C045">
      <w:pPr>
        <w:spacing w:line="540" w:lineRule="exact"/>
        <w:jc w:val="center"/>
        <w:rPr>
          <w:rFonts w:hAnsi="宋体" w:cs="宋体"/>
          <w:kern w:val="0"/>
          <w:szCs w:val="30"/>
        </w:rPr>
      </w:pPr>
    </w:p>
    <w:p w14:paraId="329B2E5F">
      <w:pPr>
        <w:spacing w:line="540" w:lineRule="exact"/>
        <w:jc w:val="center"/>
        <w:rPr>
          <w:rFonts w:hAnsi="宋体" w:cs="宋体"/>
          <w:kern w:val="0"/>
          <w:szCs w:val="30"/>
        </w:rPr>
      </w:pPr>
    </w:p>
    <w:p w14:paraId="1ED7ABFB">
      <w:pPr>
        <w:spacing w:line="540" w:lineRule="exact"/>
        <w:rPr>
          <w:rFonts w:hAnsi="宋体" w:cs="宋体"/>
          <w:kern w:val="0"/>
          <w:szCs w:val="30"/>
        </w:rPr>
      </w:pPr>
    </w:p>
    <w:p w14:paraId="4605B865">
      <w:pPr>
        <w:spacing w:line="700" w:lineRule="exact"/>
        <w:ind w:firstLine="900" w:firstLineChars="250"/>
        <w:jc w:val="left"/>
        <w:rPr>
          <w:rFonts w:hAnsi="宋体" w:cs="宋体"/>
          <w:kern w:val="0"/>
          <w:sz w:val="36"/>
          <w:szCs w:val="36"/>
        </w:rPr>
      </w:pPr>
      <w:r>
        <w:rPr>
          <w:rFonts w:hint="eastAsia" w:hAnsi="宋体" w:cs="宋体"/>
          <w:kern w:val="0"/>
          <w:sz w:val="36"/>
          <w:szCs w:val="36"/>
        </w:rPr>
        <w:t>项目名称：工业和信息化工作推进</w:t>
      </w:r>
    </w:p>
    <w:p w14:paraId="0249F280">
      <w:pPr>
        <w:spacing w:line="700" w:lineRule="exact"/>
        <w:ind w:firstLine="900" w:firstLineChars="250"/>
        <w:jc w:val="left"/>
        <w:rPr>
          <w:rFonts w:hAnsi="宋体" w:cs="宋体"/>
          <w:kern w:val="0"/>
          <w:sz w:val="36"/>
          <w:szCs w:val="36"/>
        </w:rPr>
      </w:pPr>
      <w:r>
        <w:rPr>
          <w:rFonts w:hint="eastAsia" w:hAnsi="宋体" w:cs="宋体"/>
          <w:kern w:val="0"/>
          <w:sz w:val="36"/>
          <w:szCs w:val="36"/>
        </w:rPr>
        <w:t>实施单位（公章）：巴州工信局</w:t>
      </w:r>
    </w:p>
    <w:p w14:paraId="5DC47A29">
      <w:pPr>
        <w:spacing w:line="700" w:lineRule="exact"/>
        <w:ind w:firstLine="849" w:firstLineChars="236"/>
        <w:jc w:val="left"/>
        <w:rPr>
          <w:rFonts w:hAnsi="宋体" w:cs="宋体"/>
          <w:kern w:val="0"/>
          <w:sz w:val="36"/>
          <w:szCs w:val="36"/>
        </w:rPr>
      </w:pPr>
      <w:r>
        <w:rPr>
          <w:rFonts w:hint="eastAsia" w:hAnsi="宋体" w:cs="宋体"/>
          <w:kern w:val="0"/>
          <w:sz w:val="36"/>
          <w:szCs w:val="36"/>
        </w:rPr>
        <w:t>主管部门（公章）：巴州工信局</w:t>
      </w:r>
    </w:p>
    <w:p w14:paraId="2E2A7B14">
      <w:pPr>
        <w:spacing w:line="700" w:lineRule="exact"/>
        <w:ind w:firstLine="849" w:firstLineChars="236"/>
        <w:jc w:val="left"/>
        <w:rPr>
          <w:rFonts w:hAnsi="宋体" w:cs="宋体"/>
          <w:kern w:val="0"/>
          <w:sz w:val="36"/>
          <w:szCs w:val="36"/>
        </w:rPr>
      </w:pPr>
      <w:r>
        <w:rPr>
          <w:rFonts w:hint="eastAsia" w:hAnsi="宋体" w:cs="宋体"/>
          <w:kern w:val="0"/>
          <w:sz w:val="36"/>
          <w:szCs w:val="36"/>
        </w:rPr>
        <w:t>项目负责人（签章）：井长林</w:t>
      </w:r>
      <w:r>
        <w:rPr>
          <w:rFonts w:hAnsi="宋体" w:cs="宋体"/>
          <w:kern w:val="0"/>
          <w:sz w:val="36"/>
          <w:szCs w:val="36"/>
        </w:rPr>
        <w:t xml:space="preserve"> </w:t>
      </w:r>
    </w:p>
    <w:p w14:paraId="0569745A">
      <w:pPr>
        <w:spacing w:line="700" w:lineRule="exact"/>
        <w:ind w:firstLine="849" w:firstLineChars="236"/>
        <w:jc w:val="left"/>
        <w:rPr>
          <w:rFonts w:hAnsi="宋体" w:cs="宋体"/>
          <w:kern w:val="0"/>
          <w:sz w:val="36"/>
          <w:szCs w:val="36"/>
        </w:rPr>
      </w:pPr>
      <w:r>
        <w:rPr>
          <w:rFonts w:hint="eastAsia" w:hAnsi="宋体" w:cs="宋体"/>
          <w:kern w:val="0"/>
          <w:sz w:val="36"/>
          <w:szCs w:val="36"/>
        </w:rPr>
        <w:t xml:space="preserve">填报时间： 2020年4月20日 </w:t>
      </w:r>
      <w:r>
        <w:rPr>
          <w:rFonts w:hAnsi="宋体" w:cs="宋体"/>
          <w:kern w:val="0"/>
          <w:sz w:val="36"/>
          <w:szCs w:val="36"/>
        </w:rPr>
        <w:t xml:space="preserve"> </w:t>
      </w:r>
    </w:p>
    <w:p w14:paraId="0BF4AE39">
      <w:pPr>
        <w:jc w:val="center"/>
        <w:rPr>
          <w:rFonts w:hint="eastAsia" w:ascii="宋体" w:hAnsi="宋体" w:eastAsia="宋体" w:cs="Arial"/>
          <w:b/>
          <w:bCs/>
          <w:sz w:val="36"/>
          <w:szCs w:val="36"/>
        </w:rPr>
      </w:pPr>
    </w:p>
    <w:p w14:paraId="6E5F0965">
      <w:pPr>
        <w:jc w:val="center"/>
        <w:rPr>
          <w:rFonts w:hint="eastAsia" w:ascii="宋体" w:hAnsi="宋体" w:eastAsia="宋体" w:cs="Arial"/>
          <w:b/>
          <w:bCs/>
          <w:sz w:val="36"/>
          <w:szCs w:val="36"/>
        </w:rPr>
      </w:pPr>
    </w:p>
    <w:p w14:paraId="0C18A6F7">
      <w:pPr>
        <w:jc w:val="center"/>
        <w:rPr>
          <w:rFonts w:hint="eastAsia" w:ascii="宋体" w:hAnsi="宋体" w:eastAsia="宋体" w:cs="Arial"/>
          <w:b/>
          <w:bCs/>
          <w:sz w:val="36"/>
          <w:szCs w:val="36"/>
        </w:rPr>
      </w:pPr>
    </w:p>
    <w:p w14:paraId="760B7201">
      <w:pPr>
        <w:jc w:val="center"/>
        <w:rPr>
          <w:rFonts w:hint="eastAsia" w:ascii="宋体" w:hAnsi="宋体" w:eastAsia="宋体" w:cs="Arial"/>
          <w:b/>
          <w:bCs/>
          <w:sz w:val="36"/>
          <w:szCs w:val="36"/>
        </w:rPr>
      </w:pPr>
    </w:p>
    <w:p w14:paraId="6CC30745">
      <w:pPr>
        <w:jc w:val="center"/>
        <w:rPr>
          <w:rFonts w:ascii="Arial" w:hAnsi="Arial" w:eastAsia="宋体" w:cs="Arial"/>
          <w:b/>
          <w:bCs/>
          <w:sz w:val="36"/>
          <w:szCs w:val="36"/>
        </w:rPr>
      </w:pPr>
      <w:r>
        <w:rPr>
          <w:rFonts w:hint="eastAsia" w:ascii="宋体" w:hAnsi="宋体" w:eastAsia="宋体" w:cs="Arial"/>
          <w:b/>
          <w:bCs/>
          <w:sz w:val="36"/>
          <w:szCs w:val="36"/>
        </w:rPr>
        <w:t>巴州工信局2019年项目支出</w:t>
      </w:r>
      <w:r>
        <w:rPr>
          <w:rFonts w:ascii="宋体" w:hAnsi="宋体" w:eastAsia="宋体" w:cs="Arial"/>
          <w:b/>
          <w:bCs/>
          <w:sz w:val="36"/>
          <w:szCs w:val="36"/>
        </w:rPr>
        <w:t>绩效</w:t>
      </w:r>
      <w:r>
        <w:rPr>
          <w:rFonts w:hint="eastAsia" w:ascii="宋体" w:hAnsi="宋体" w:eastAsia="宋体" w:cs="Arial"/>
          <w:b/>
          <w:bCs/>
          <w:sz w:val="36"/>
          <w:szCs w:val="36"/>
        </w:rPr>
        <w:t>评价报告</w:t>
      </w:r>
    </w:p>
    <w:p w14:paraId="5E1C8E38">
      <w:pPr>
        <w:spacing w:line="600" w:lineRule="exact"/>
        <w:ind w:firstLine="600" w:firstLineChars="200"/>
        <w:rPr>
          <w:rFonts w:ascii="黑体" w:hAnsi="黑体" w:eastAsia="黑体"/>
        </w:rPr>
      </w:pPr>
      <w:r>
        <w:rPr>
          <w:rFonts w:hint="eastAsia" w:ascii="黑体" w:hAnsi="黑体" w:eastAsia="黑体"/>
        </w:rPr>
        <w:t>一、基本情况</w:t>
      </w:r>
    </w:p>
    <w:p w14:paraId="21BA4537">
      <w:pPr>
        <w:spacing w:line="600" w:lineRule="exact"/>
        <w:ind w:firstLine="602" w:firstLineChars="200"/>
        <w:outlineLvl w:val="0"/>
        <w:rPr>
          <w:rFonts w:ascii="仿宋_GB2312"/>
          <w:b/>
          <w:bCs/>
        </w:rPr>
      </w:pPr>
      <w:r>
        <w:rPr>
          <w:rFonts w:hint="eastAsia" w:ascii="仿宋_GB2312"/>
          <w:b/>
          <w:bCs/>
        </w:rPr>
        <w:t>（一）项目概况</w:t>
      </w:r>
    </w:p>
    <w:p w14:paraId="6F5B0F31">
      <w:pPr>
        <w:spacing w:line="600" w:lineRule="exact"/>
        <w:ind w:firstLine="600" w:firstLineChars="200"/>
        <w:outlineLvl w:val="0"/>
        <w:rPr>
          <w:rFonts w:ascii="仿宋_GB2312"/>
        </w:rPr>
      </w:pPr>
      <w:r>
        <w:rPr>
          <w:rFonts w:hint="eastAsia" w:ascii="仿宋_GB2312"/>
        </w:rPr>
        <w:t>开展自治州工业领域节能监察及培训，实施工业企业能效对标工作，对全州小火电机组、燃煤锅炉及淘汰落后产能及工艺设备进行核查，适时淘汰或退出。做好全州重点用能企业节能量核查，确保完成自治州工业领域节能双控指标任务。大力发展纺织服装产业创新力和竞争力，发挥我州焉耆盆地特色产业优势，推动我州葡萄酒产业发展。包括项目背景、主要内容及实施情况、资金投入和使用情况等。</w:t>
      </w:r>
    </w:p>
    <w:p w14:paraId="13EE5BFE">
      <w:pPr>
        <w:numPr>
          <w:ilvl w:val="0"/>
          <w:numId w:val="1"/>
        </w:numPr>
        <w:spacing w:line="600" w:lineRule="exact"/>
        <w:ind w:firstLine="602"/>
        <w:rPr>
          <w:rFonts w:ascii="仿宋_GB2312"/>
          <w:b/>
          <w:bCs/>
        </w:rPr>
      </w:pPr>
      <w:r>
        <w:rPr>
          <w:rFonts w:hint="eastAsia" w:ascii="仿宋_GB2312"/>
          <w:b/>
          <w:bCs/>
        </w:rPr>
        <w:t>项目绩效目标。包括总体目标和阶段性目标。</w:t>
      </w:r>
    </w:p>
    <w:p w14:paraId="6BE32E20">
      <w:pPr>
        <w:spacing w:line="600" w:lineRule="exact"/>
        <w:rPr>
          <w:rFonts w:ascii="仿宋_GB2312"/>
        </w:rPr>
      </w:pPr>
      <w:r>
        <w:rPr>
          <w:rFonts w:hint="eastAsia" w:ascii="仿宋_GB2312"/>
        </w:rPr>
        <w:t xml:space="preserve">    1、每月开展一次安全生产大检查。对民爆、机电、化工、建材、纺织、轻工和园区等行业和领域，进行安全生产监管和指导，排查事故安全隐患，提高安全生产意识和防范安全事故能力，杜绝发生重特大安全生产事故。2、开展自治州工业领域节能监察及培训，实施工业企业能效对标工作，对全州小火电机组、燃煤锅炉及淘汰落后产能及工艺设备进行核查，适时淘汰或退出。做好全州重点用能企业节能量核查，确保完成自治州工业领域节能双控指标任务。3、大力发展纺织服装产业，增强纺织服装产业创新力和竞争力，提升产业发展质量和效益，推进纺织服装产业健康稳定持续发展。4、发挥我州焉耆盆地特色产业优势，推动我州葡萄酒产业发展。5、加强对州域内200家规模以上企业的服务力度，侧重于32家重点企业服务对象，为企业做好煤、电、油、气运等生产要素等保障工作，加快自治州新型工业化的发展步伐。6、按照国家关于2020年储气设施建设“供气企业10%、城镇燃气企业5%、地方政府3天”的目标，加快我州在天然气生产、供应、储备、销售等环节建设。7、八县一市全部实现政企分开，履行行业监管职能9、中国中小企业博览会由国家工信部和广东省在广州市联合举办，新疆政府每年组成代表团参会参展，按自治区要求巴州政府将组成代表团，作为新疆代表团的组成部分参会参展。10、加强对州域内全州物流企业171家，21家快递318个网点的安全管理工作，3个“100%”全覆盖11、消除和降低城镇人口密集区安全和环境风险，保障人民群众生民财产安全，促进化工产业转型升级12、提高经信委履职服务保障工作水平</w:t>
      </w:r>
    </w:p>
    <w:p w14:paraId="0846A031">
      <w:pPr>
        <w:spacing w:line="600" w:lineRule="exact"/>
        <w:ind w:firstLine="600" w:firstLineChars="200"/>
        <w:rPr>
          <w:rFonts w:ascii="黑体" w:hAnsi="黑体" w:eastAsia="黑体"/>
        </w:rPr>
      </w:pPr>
      <w:r>
        <w:rPr>
          <w:rFonts w:hint="eastAsia" w:ascii="黑体" w:hAnsi="黑体" w:eastAsia="黑体"/>
        </w:rPr>
        <w:t>二、绩效评价工作开展情况</w:t>
      </w:r>
    </w:p>
    <w:p w14:paraId="01EB6D45">
      <w:pPr>
        <w:spacing w:line="600" w:lineRule="exact"/>
        <w:ind w:firstLine="602" w:firstLineChars="200"/>
        <w:rPr>
          <w:rFonts w:ascii="仿宋_GB2312"/>
          <w:b/>
          <w:bCs/>
        </w:rPr>
      </w:pPr>
      <w:r>
        <w:rPr>
          <w:rFonts w:hint="eastAsia" w:ascii="仿宋_GB2312"/>
          <w:b/>
          <w:bCs/>
        </w:rPr>
        <w:t>（一）绩效评价目的、对象和范围。</w:t>
      </w:r>
    </w:p>
    <w:p w14:paraId="79A27934">
      <w:pPr>
        <w:pBdr>
          <w:bottom w:val="single" w:color="FFFFFF" w:sz="4" w:space="31"/>
        </w:pBdr>
        <w:spacing w:line="560" w:lineRule="exact"/>
        <w:ind w:firstLine="624" w:firstLineChars="200"/>
        <w:rPr>
          <w:rFonts w:ascii="仿宋_GB2312" w:hAnsi="仿宋_GB2312" w:cs="仿宋_GB2312"/>
          <w:sz w:val="32"/>
          <w:szCs w:val="32"/>
        </w:rPr>
      </w:pPr>
      <w:r>
        <w:rPr>
          <w:rStyle w:val="9"/>
          <w:rFonts w:hint="eastAsia" w:ascii="仿宋" w:hAnsi="仿宋" w:eastAsia="仿宋" w:cs="楷体"/>
          <w:b w:val="0"/>
          <w:spacing w:val="-4"/>
          <w:sz w:val="32"/>
          <w:szCs w:val="32"/>
        </w:rPr>
        <w:t>工业节能专项能力建设项目：</w:t>
      </w:r>
      <w:r>
        <w:rPr>
          <w:rFonts w:hint="eastAsia" w:ascii="仿宋_GB2312" w:hAnsi="仿宋_GB2312" w:cs="仿宋_GB2312"/>
          <w:sz w:val="32"/>
          <w:szCs w:val="32"/>
        </w:rPr>
        <w:t>根据自治区经信委《</w:t>
      </w:r>
      <w:r>
        <w:rPr>
          <w:rFonts w:hint="eastAsia" w:ascii="仿宋_GB2312" w:hAnsi="仿宋_GB2312" w:cs="仿宋_GB2312"/>
          <w:kern w:val="0"/>
          <w:sz w:val="32"/>
          <w:szCs w:val="32"/>
        </w:rPr>
        <w:t>关于印发2018年度自治区工业节能专项资金项目申报指南的通知》（</w:t>
      </w:r>
      <w:r>
        <w:rPr>
          <w:rFonts w:hint="eastAsia" w:ascii="仿宋_GB2312" w:hAnsi="仿宋_GB2312" w:cs="仿宋_GB2312"/>
          <w:sz w:val="32"/>
          <w:szCs w:val="32"/>
          <w:shd w:val="clear" w:color="auto" w:fill="FFFFFF"/>
        </w:rPr>
        <w:t>新经信环资〔2018〕333号</w:t>
      </w:r>
      <w:r>
        <w:rPr>
          <w:rFonts w:hint="eastAsia" w:ascii="仿宋_GB2312" w:hAnsi="仿宋_GB2312" w:cs="仿宋_GB2312"/>
          <w:kern w:val="0"/>
          <w:sz w:val="32"/>
          <w:szCs w:val="32"/>
        </w:rPr>
        <w:t>，以下简称</w:t>
      </w:r>
      <w:r>
        <w:rPr>
          <w:rFonts w:hint="eastAsia" w:ascii="仿宋_GB2312" w:hAnsi="仿宋_GB2312" w:cs="仿宋_GB2312"/>
          <w:sz w:val="32"/>
          <w:szCs w:val="32"/>
        </w:rPr>
        <w:t>《通知》</w:t>
      </w:r>
      <w:r>
        <w:rPr>
          <w:rFonts w:hint="eastAsia" w:ascii="仿宋_GB2312" w:hAnsi="仿宋_GB2312" w:cs="仿宋_GB2312"/>
          <w:kern w:val="0"/>
          <w:sz w:val="32"/>
          <w:szCs w:val="32"/>
        </w:rPr>
        <w:t>）和自治区</w:t>
      </w:r>
      <w:r>
        <w:rPr>
          <w:rFonts w:hint="eastAsia" w:ascii="仿宋_GB2312" w:hAnsi="仿宋_GB2312" w:cs="仿宋_GB2312"/>
          <w:sz w:val="32"/>
          <w:szCs w:val="32"/>
        </w:rPr>
        <w:t>财政厅《关于下达2018年自治区节能减排专项资金预算（第一批）的通知》</w:t>
      </w:r>
      <w:r>
        <w:rPr>
          <w:rFonts w:hint="eastAsia" w:ascii="仿宋_GB2312" w:hAnsi="仿宋_GB2312" w:cs="仿宋_GB2312"/>
          <w:kern w:val="0"/>
          <w:sz w:val="32"/>
          <w:szCs w:val="32"/>
        </w:rPr>
        <w:t>（</w:t>
      </w:r>
      <w:r>
        <w:rPr>
          <w:rFonts w:hint="eastAsia" w:ascii="仿宋_GB2312" w:hAnsi="仿宋_GB2312" w:cs="仿宋_GB2312"/>
          <w:sz w:val="32"/>
          <w:szCs w:val="32"/>
          <w:shd w:val="clear" w:color="auto" w:fill="FFFFFF"/>
        </w:rPr>
        <w:t>新财建〔2018〕151号）</w:t>
      </w:r>
      <w:r>
        <w:rPr>
          <w:rFonts w:hint="eastAsia" w:ascii="仿宋_GB2312" w:hAnsi="仿宋_GB2312" w:cs="仿宋_GB2312"/>
          <w:kern w:val="0"/>
          <w:sz w:val="32"/>
          <w:szCs w:val="32"/>
        </w:rPr>
        <w:t>要求</w:t>
      </w:r>
      <w:r>
        <w:rPr>
          <w:rFonts w:hint="eastAsia" w:ascii="仿宋_GB2312" w:hAnsi="仿宋_GB2312" w:cs="仿宋_GB2312"/>
          <w:sz w:val="32"/>
          <w:szCs w:val="32"/>
        </w:rPr>
        <w:t>，我委及时下发到库尔勒经济技术开发区经发局、各县市商经委和财政局、各工业园区。</w:t>
      </w:r>
      <w:r>
        <w:rPr>
          <w:rFonts w:hint="eastAsia" w:ascii="仿宋_GB2312" w:hAnsi="仿宋_GB2312" w:cs="仿宋_GB2312"/>
          <w:color w:val="000000"/>
          <w:sz w:val="32"/>
          <w:szCs w:val="32"/>
        </w:rPr>
        <w:t>在资金分配上重点用于支持工业节能、工业绿色转型升级项目，在资金下达前对所有项目在巴音郭楞蒙古自治州人民政府网站进行了为期一周的公示，遵循了公开透明、突出重点、注重实效的原则。</w:t>
      </w:r>
      <w:r>
        <w:rPr>
          <w:rFonts w:hint="eastAsia" w:ascii="仿宋_GB2312" w:hAnsi="仿宋_GB2312" w:cs="仿宋_GB2312"/>
          <w:sz w:val="32"/>
          <w:szCs w:val="32"/>
        </w:rPr>
        <w:t>专项资金管理方式方面：根据《通知》相关规定，巴州工信局、财政局委托自治区节能服务中心对巴州申报的2018年工业节能专项资金的3个项目的节能减排效果进行审核，组织专家对专项资金支持项目进行了筛选和评审,为确保自治区工业节能专项资金支持项目的有效实施，巴州工信局从2018年起仅对竣工验收的项目给予资金奖励。自治区工业节能专项资金在管理上分工明确，工作细致深入，监管严格有效且程序到位，较好地执行了《通知》相关规定。</w:t>
      </w:r>
    </w:p>
    <w:p w14:paraId="1C719228">
      <w:pPr>
        <w:pBdr>
          <w:bottom w:val="single" w:color="FFFFFF" w:sz="4" w:space="31"/>
        </w:pBdr>
        <w:spacing w:line="560" w:lineRule="exact"/>
        <w:ind w:firstLine="624" w:firstLineChars="200"/>
        <w:rPr>
          <w:rStyle w:val="9"/>
          <w:rFonts w:hint="eastAsia" w:ascii="仿宋_GB2312" w:hAnsi="仿宋"/>
          <w:b w:val="0"/>
          <w:spacing w:val="-4"/>
          <w:sz w:val="32"/>
          <w:szCs w:val="32"/>
        </w:rPr>
      </w:pPr>
      <w:r>
        <w:rPr>
          <w:rStyle w:val="9"/>
          <w:rFonts w:hint="eastAsia" w:ascii="仿宋_GB2312" w:hAnsi="仿宋" w:cs="楷体"/>
          <w:b w:val="0"/>
          <w:spacing w:val="-4"/>
          <w:sz w:val="32"/>
          <w:szCs w:val="32"/>
        </w:rPr>
        <w:t>“访惠聚”为民办实事项目:</w:t>
      </w:r>
      <w:r>
        <w:rPr>
          <w:rStyle w:val="9"/>
          <w:rFonts w:hint="eastAsia" w:ascii="仿宋_GB2312" w:hAnsi="仿宋"/>
          <w:b w:val="0"/>
          <w:spacing w:val="-4"/>
          <w:sz w:val="32"/>
          <w:szCs w:val="32"/>
        </w:rPr>
        <w:t>巴州工信局驻焉耆县查汗采开乡哈尔布热村工作队始终围绕“1+2+5”工作任务，聚集社会稳定和长治久安总目标，指导、规范所驻村服务与管理工作，为完成好工作队维护社会稳定、建强基层组织、做好群众工作、落实惠民政策、拓宽致富门路、推进脱贫攻坚、办好实事好事、壮大党员队伍等八项任务，实现“三不出”，工作队在入驻之年就制定完善各项管理制度，尤其是工作队经费管理使用制度，为工作队经费能严格按照有关规定，用到实处提供了制度保证。2019年也在经费划拨到单位之前就提前按照工作队为民办实事经费使用范围提前提出使用计划，为发挥经费作用奠定了良好基础。资金到位后，严格按照年初提出的计划和绩效评估，在规定范围内结合所驻村实际，用于访贫问苦、给群众送信息、举办各类活动、组织村民参观学习、美丽乡村建设补助、为困难群众修缮房屋，桥道、桥涵、引水渠维修、补充村委会落实维稳措施经费等方面。截止2019年12月底将工作队为民办实事经费全部使用完毕，有效的为村民解决实际困难、修缮困难群众房屋、提升美丽乡村建议成效、补充村级落实维稳措施资金等方面发挥了应有的作用，村容村貌整体优化，农村居住环境、整体精神风貌、稳定局面日趋向好。</w:t>
      </w:r>
    </w:p>
    <w:p w14:paraId="1CBA0223">
      <w:pPr>
        <w:pBdr>
          <w:bottom w:val="single" w:color="FFFFFF" w:sz="4" w:space="31"/>
        </w:pBdr>
        <w:spacing w:line="560" w:lineRule="exact"/>
        <w:ind w:firstLine="624" w:firstLineChars="200"/>
        <w:rPr>
          <w:rStyle w:val="9"/>
          <w:rFonts w:ascii="仿宋_GB2312" w:hAnsi="仿宋_GB2312" w:cs="仿宋_GB2312"/>
          <w:b w:val="0"/>
          <w:spacing w:val="-4"/>
          <w:sz w:val="32"/>
          <w:szCs w:val="32"/>
        </w:rPr>
      </w:pPr>
      <w:r>
        <w:rPr>
          <w:rStyle w:val="9"/>
          <w:rFonts w:hint="eastAsia" w:ascii="仿宋_GB2312" w:hAnsi="仿宋_GB2312" w:cs="仿宋_GB2312"/>
          <w:b w:val="0"/>
          <w:spacing w:val="-4"/>
          <w:sz w:val="32"/>
          <w:szCs w:val="32"/>
        </w:rPr>
        <w:t>工业和信息化推进项目开展情况：资金能够正常到位，严格按照规定用途使用，提高资金使用效率，全年工业和信息化工作能够按计划推进，完成了预期的计划。大力抓好优势产业发展，培育新动能,</w:t>
      </w:r>
      <w:r>
        <w:rPr>
          <w:rFonts w:hint="eastAsia" w:ascii="仿宋_GB2312" w:hAnsi="仿宋_GB2312" w:cs="仿宋_GB2312"/>
          <w:sz w:val="32"/>
          <w:szCs w:val="32"/>
        </w:rPr>
        <w:t xml:space="preserve"> </w:t>
      </w:r>
      <w:r>
        <w:rPr>
          <w:rStyle w:val="9"/>
          <w:rFonts w:hint="eastAsia" w:ascii="仿宋_GB2312" w:hAnsi="仿宋_GB2312" w:cs="仿宋_GB2312"/>
          <w:b w:val="0"/>
          <w:spacing w:val="-4"/>
          <w:sz w:val="32"/>
          <w:szCs w:val="32"/>
        </w:rPr>
        <w:t>抓好工业领域固定资产投资和重点项目推进,</w:t>
      </w:r>
      <w:r>
        <w:rPr>
          <w:rFonts w:hint="eastAsia" w:ascii="仿宋_GB2312" w:hAnsi="仿宋_GB2312" w:cs="仿宋_GB2312"/>
          <w:sz w:val="32"/>
          <w:szCs w:val="32"/>
        </w:rPr>
        <w:t xml:space="preserve"> </w:t>
      </w:r>
      <w:r>
        <w:rPr>
          <w:rStyle w:val="9"/>
          <w:rFonts w:hint="eastAsia" w:ascii="仿宋_GB2312" w:hAnsi="仿宋_GB2312" w:cs="仿宋_GB2312"/>
          <w:b w:val="0"/>
          <w:spacing w:val="-4"/>
          <w:sz w:val="32"/>
          <w:szCs w:val="32"/>
        </w:rPr>
        <w:t>依法依规淘汰落后产能，严格落实中央</w:t>
      </w:r>
      <w:r>
        <w:rPr>
          <w:rStyle w:val="9"/>
          <w:rFonts w:hint="eastAsia" w:ascii="仿宋_GB2312" w:hAnsi="仿宋_GB2312" w:cs="仿宋_GB2312"/>
          <w:b w:val="0"/>
          <w:spacing w:val="-4"/>
          <w:sz w:val="32"/>
          <w:szCs w:val="32"/>
          <w:lang w:eastAsia="zh-CN"/>
        </w:rPr>
        <w:t>环保督察</w:t>
      </w:r>
      <w:r>
        <w:rPr>
          <w:rStyle w:val="9"/>
          <w:rFonts w:hint="eastAsia" w:ascii="仿宋_GB2312" w:hAnsi="仿宋_GB2312" w:cs="仿宋_GB2312"/>
          <w:b w:val="0"/>
          <w:spacing w:val="-4"/>
          <w:sz w:val="32"/>
          <w:szCs w:val="32"/>
        </w:rPr>
        <w:t>整改任务。绿色发展初显成效，工业节能态势良好,</w:t>
      </w:r>
      <w:r>
        <w:rPr>
          <w:rFonts w:hint="eastAsia" w:ascii="仿宋_GB2312" w:hAnsi="仿宋_GB2312" w:cs="仿宋_GB2312"/>
          <w:sz w:val="32"/>
          <w:szCs w:val="32"/>
        </w:rPr>
        <w:t xml:space="preserve"> </w:t>
      </w:r>
      <w:r>
        <w:rPr>
          <w:rStyle w:val="9"/>
          <w:rFonts w:hint="eastAsia" w:ascii="仿宋_GB2312" w:hAnsi="仿宋_GB2312" w:cs="仿宋_GB2312"/>
          <w:b w:val="0"/>
          <w:spacing w:val="-4"/>
          <w:sz w:val="32"/>
          <w:szCs w:val="32"/>
        </w:rPr>
        <w:t>“两化”融合深入推进。</w:t>
      </w:r>
    </w:p>
    <w:p w14:paraId="22313E05">
      <w:pPr>
        <w:pBdr>
          <w:bottom w:val="single" w:color="FFFFFF" w:sz="4" w:space="31"/>
        </w:pBdr>
        <w:spacing w:line="560" w:lineRule="exact"/>
        <w:ind w:firstLine="624" w:firstLineChars="200"/>
        <w:rPr>
          <w:rStyle w:val="9"/>
          <w:rFonts w:ascii="仿宋_GB2312" w:hAnsi="仿宋_GB2312" w:cs="仿宋_GB2312"/>
          <w:b w:val="0"/>
          <w:spacing w:val="-4"/>
          <w:sz w:val="32"/>
          <w:szCs w:val="32"/>
        </w:rPr>
      </w:pPr>
      <w:r>
        <w:rPr>
          <w:rStyle w:val="9"/>
          <w:rFonts w:hint="eastAsia" w:ascii="仿宋_GB2312" w:hAnsi="仿宋_GB2312" w:cs="仿宋_GB2312"/>
          <w:b w:val="0"/>
          <w:spacing w:val="-4"/>
          <w:sz w:val="32"/>
          <w:szCs w:val="32"/>
        </w:rPr>
        <w:t>企业服务项目：资金能够如期到位，使用过程中做到节约使用，强化资金使用效能，有力提升了为企业服务的水平和质量。着力做好重点行业、重点企业的监测分析、运行协调和企业服务，坚持稳导向，重点抓好52个经济增长点、48个提能达产、48个升规入统后备企业、规上工业企业的协调、服务工作，做好州域内煤、电、油、气运的协调保障服务工作。每月做好对全州工业经济的运行分析，为州党委、州人民政府提供决策服务。</w:t>
      </w:r>
    </w:p>
    <w:p w14:paraId="795EFB80">
      <w:pPr>
        <w:pBdr>
          <w:bottom w:val="single" w:color="FFFFFF" w:sz="4" w:space="31"/>
        </w:pBdr>
        <w:spacing w:line="560" w:lineRule="exact"/>
        <w:ind w:firstLine="624" w:firstLineChars="200"/>
        <w:rPr>
          <w:rFonts w:ascii="仿宋_GB2312" w:hAnsi="仿宋_GB2312" w:cs="仿宋_GB2312"/>
          <w:sz w:val="32"/>
          <w:szCs w:val="32"/>
        </w:rPr>
      </w:pPr>
      <w:r>
        <w:rPr>
          <w:rStyle w:val="9"/>
          <w:rFonts w:hint="eastAsia" w:ascii="仿宋" w:hAnsi="仿宋" w:eastAsia="仿宋" w:cs="楷体"/>
          <w:b w:val="0"/>
          <w:spacing w:val="-4"/>
          <w:sz w:val="32"/>
          <w:szCs w:val="32"/>
        </w:rPr>
        <w:t>纺织服装工业城市发展规划修编项目:</w:t>
      </w:r>
      <w:r>
        <w:rPr>
          <w:rFonts w:hint="eastAsia" w:ascii="仿宋_GB2312" w:hAnsi="仿宋_GB2312" w:cs="仿宋_GB2312"/>
          <w:sz w:val="32"/>
          <w:szCs w:val="32"/>
        </w:rPr>
        <w:t>按照国家发展纺织服装产业要求，引导纺织服装产业发展，并将各项政策落到实处。充分发挥政府资金的导向作用，推动纺织服装产业高质量发展。2019年4月23日，州人民政府授权委托州工信局牵头组织并邀请中国纺织工业联合会、中国国际工程咨询有限公司、自治区工信厅领导作为评审专家召开了《巴音郭楞蒙古自治州纺织服装产业发展规划（2019-2023年）》评审会，评审通过《规划》。6月18日，《规划》评审意见第六稿修改完善编印。《巴音郭楞蒙古自治州纺织服装产业发展规划（2019-2023年）》反复征求库尔勒经济技术开发区经发局、各县市、各工业园区、各级有关部门以及州领导意见建议。遵循了公开透明、突出重点、注重实效的原则。</w:t>
      </w:r>
    </w:p>
    <w:p w14:paraId="6A54045E">
      <w:pPr>
        <w:pBdr>
          <w:bottom w:val="single" w:color="FFFFFF" w:sz="4" w:space="31"/>
        </w:pBdr>
        <w:spacing w:line="560" w:lineRule="exact"/>
        <w:ind w:firstLine="640" w:firstLineChars="200"/>
        <w:rPr>
          <w:rFonts w:ascii="仿宋_GB2312" w:hAnsi="仿宋_GB2312" w:cs="仿宋_GB2312"/>
          <w:sz w:val="32"/>
          <w:szCs w:val="32"/>
        </w:rPr>
      </w:pPr>
      <w:r>
        <w:rPr>
          <w:rFonts w:hint="eastAsia" w:ascii="仿宋_GB2312" w:hAnsi="仿宋_GB2312" w:cs="仿宋_GB2312"/>
          <w:sz w:val="32"/>
          <w:szCs w:val="32"/>
        </w:rPr>
        <w:t xml:space="preserve">  </w:t>
      </w:r>
      <w:r>
        <w:rPr>
          <w:rStyle w:val="9"/>
          <w:rFonts w:hint="eastAsia" w:ascii="仿宋" w:hAnsi="仿宋" w:eastAsia="仿宋" w:cs="楷体"/>
          <w:b w:val="0"/>
          <w:spacing w:val="-4"/>
          <w:sz w:val="32"/>
          <w:szCs w:val="32"/>
        </w:rPr>
        <w:t>支持中小企业发展和管理项目:</w:t>
      </w:r>
      <w:r>
        <w:rPr>
          <w:rFonts w:hint="eastAsia" w:ascii="仿宋_GB2312" w:hAnsi="仿宋_GB2312" w:cs="仿宋_GB2312"/>
          <w:sz w:val="32"/>
          <w:szCs w:val="32"/>
        </w:rPr>
        <w:t>根据自治区工信厅、财政厅《关于举办2019年“创客中国”新疆中小企业创新创业大赛的通知》（新工信企业〔2019〕27号）要求，2019年7月巴州工信局与州财政局发布公开招标公告，2019年8月，乌鲁木齐易创空间信息科技有限公司在参加2019年“创客中国”新疆中小企业创新创业大赛巴州选拔赛项目投标会上，以在办赛能力强、办赛经验丰富、服务资源丰富、专家导师库建设完善、有金融服务团队等方面的优势，取得巴州选拔赛的承办资格。巴州报名参赛企业42家，举办赛前培训服务活动2场，经过初审后有13家企业具备参赛资格。举办现场赛1场，选拔赛邀请疆内专业评审专家5名，最终评选出企业组6家企业和2家创客，分别获得企业组和创客组一二三等奖，并发放相应奖金以资鼓励，奖金总金额9400元。其中1家企业组项目和2家创客组项目入围自治区总决赛，分别获得自治区总决赛企业组二等奖，创客组三等奖的荣誉。巴州企业新疆全安药业股份有限公司的项目入围全国200强。</w:t>
      </w:r>
    </w:p>
    <w:p w14:paraId="3E6275E5">
      <w:pPr>
        <w:pBdr>
          <w:bottom w:val="single" w:color="FFFFFF" w:sz="4" w:space="31"/>
        </w:pBdr>
        <w:spacing w:line="560" w:lineRule="exact"/>
        <w:ind w:firstLine="624" w:firstLineChars="200"/>
        <w:rPr>
          <w:rFonts w:ascii="仿宋_GB2312" w:hAnsi="仿宋_GB2312" w:cs="仿宋_GB2312"/>
          <w:sz w:val="32"/>
          <w:szCs w:val="32"/>
        </w:rPr>
      </w:pPr>
      <w:r>
        <w:rPr>
          <w:rStyle w:val="9"/>
          <w:rFonts w:hint="eastAsia" w:ascii="仿宋" w:hAnsi="仿宋" w:eastAsia="仿宋" w:cs="楷体"/>
          <w:b w:val="0"/>
          <w:spacing w:val="-4"/>
          <w:sz w:val="32"/>
          <w:szCs w:val="32"/>
        </w:rPr>
        <w:t>工业节能专项能力建设项目：</w:t>
      </w:r>
      <w:r>
        <w:rPr>
          <w:rFonts w:hint="eastAsia" w:ascii="仿宋_GB2312" w:hAnsi="仿宋_GB2312" w:cs="仿宋_GB2312"/>
          <w:sz w:val="32"/>
          <w:szCs w:val="32"/>
        </w:rPr>
        <w:t>根据自治区经信委《</w:t>
      </w:r>
      <w:r>
        <w:rPr>
          <w:rFonts w:hint="eastAsia" w:ascii="仿宋_GB2312" w:hAnsi="仿宋_GB2312" w:cs="仿宋_GB2312"/>
          <w:kern w:val="0"/>
          <w:sz w:val="32"/>
          <w:szCs w:val="32"/>
        </w:rPr>
        <w:t>关于印发2018年度自治区工业节能专项资金项目申报指南的通知》（</w:t>
      </w:r>
      <w:r>
        <w:rPr>
          <w:rFonts w:hint="eastAsia" w:ascii="仿宋_GB2312" w:hAnsi="仿宋_GB2312" w:cs="仿宋_GB2312"/>
          <w:sz w:val="32"/>
          <w:szCs w:val="32"/>
          <w:shd w:val="clear" w:color="auto" w:fill="FFFFFF"/>
        </w:rPr>
        <w:t>新经信环资〔2018〕333号</w:t>
      </w:r>
      <w:r>
        <w:rPr>
          <w:rFonts w:hint="eastAsia" w:ascii="仿宋_GB2312" w:hAnsi="仿宋_GB2312" w:cs="仿宋_GB2312"/>
          <w:kern w:val="0"/>
          <w:sz w:val="32"/>
          <w:szCs w:val="32"/>
        </w:rPr>
        <w:t>，以下简称</w:t>
      </w:r>
      <w:r>
        <w:rPr>
          <w:rFonts w:hint="eastAsia" w:ascii="仿宋_GB2312" w:hAnsi="仿宋_GB2312" w:cs="仿宋_GB2312"/>
          <w:sz w:val="32"/>
          <w:szCs w:val="32"/>
        </w:rPr>
        <w:t>《通知》</w:t>
      </w:r>
      <w:r>
        <w:rPr>
          <w:rFonts w:hint="eastAsia" w:ascii="仿宋_GB2312" w:hAnsi="仿宋_GB2312" w:cs="仿宋_GB2312"/>
          <w:kern w:val="0"/>
          <w:sz w:val="32"/>
          <w:szCs w:val="32"/>
        </w:rPr>
        <w:t>）和自治区</w:t>
      </w:r>
      <w:r>
        <w:rPr>
          <w:rFonts w:hint="eastAsia" w:ascii="仿宋_GB2312" w:hAnsi="仿宋_GB2312" w:cs="仿宋_GB2312"/>
          <w:sz w:val="32"/>
          <w:szCs w:val="32"/>
        </w:rPr>
        <w:t>财政厅《关于下达2018年自治区节能减排专项资金预算（第一批）的通知》</w:t>
      </w:r>
      <w:r>
        <w:rPr>
          <w:rFonts w:hint="eastAsia" w:ascii="仿宋_GB2312" w:hAnsi="仿宋_GB2312" w:cs="仿宋_GB2312"/>
          <w:kern w:val="0"/>
          <w:sz w:val="32"/>
          <w:szCs w:val="32"/>
        </w:rPr>
        <w:t>（</w:t>
      </w:r>
      <w:r>
        <w:rPr>
          <w:rFonts w:hint="eastAsia" w:ascii="仿宋_GB2312" w:hAnsi="仿宋_GB2312" w:cs="仿宋_GB2312"/>
          <w:sz w:val="32"/>
          <w:szCs w:val="32"/>
          <w:shd w:val="clear" w:color="auto" w:fill="FFFFFF"/>
        </w:rPr>
        <w:t>新财建〔2018〕151号）</w:t>
      </w:r>
      <w:r>
        <w:rPr>
          <w:rFonts w:hint="eastAsia" w:ascii="仿宋_GB2312" w:hAnsi="仿宋_GB2312" w:cs="仿宋_GB2312"/>
          <w:kern w:val="0"/>
          <w:sz w:val="32"/>
          <w:szCs w:val="32"/>
        </w:rPr>
        <w:t>要求</w:t>
      </w:r>
      <w:r>
        <w:rPr>
          <w:rFonts w:hint="eastAsia" w:ascii="仿宋_GB2312" w:hAnsi="仿宋_GB2312" w:cs="仿宋_GB2312"/>
          <w:sz w:val="32"/>
          <w:szCs w:val="32"/>
        </w:rPr>
        <w:t>，我委及时下发到库尔勒经济技术开发区经发局、各县市商经委和财政局、各工业园区。</w:t>
      </w:r>
      <w:r>
        <w:rPr>
          <w:rFonts w:hint="eastAsia" w:ascii="仿宋_GB2312" w:hAnsi="仿宋_GB2312" w:cs="仿宋_GB2312"/>
          <w:color w:val="000000"/>
          <w:sz w:val="32"/>
          <w:szCs w:val="32"/>
        </w:rPr>
        <w:t>在资金分配上重点用于支持工业节能、工业绿色转型升级项目，在资金下达前对所有项目在巴音郭楞蒙古自治州人民政府网站进行了为期一周的公示，遵循了公开透明、突出重点、注重实效的原则。</w:t>
      </w:r>
      <w:r>
        <w:rPr>
          <w:rFonts w:hint="eastAsia" w:ascii="仿宋_GB2312" w:hAnsi="仿宋_GB2312" w:cs="仿宋_GB2312"/>
          <w:sz w:val="32"/>
          <w:szCs w:val="32"/>
        </w:rPr>
        <w:t>专项资金管理方式方面：根据《通知》相关规定，巴州工信局、财政局委托自治区节能服务中心对巴州申报的2018年工业节能专项资金的3个项目的节能减排效果进行审核，组织专家对专项资金支持项目进行了筛选和评审,为确保自治区工业节能专项资金支持项目的有效实施，巴州工信局从2018年起仅对竣工验收的项目给予资金奖励。自治区工业节能专项资金在管理上分工明确，工作细致深入，监管严格有效且程序到位，较好地执行了《通知》相关规定。</w:t>
      </w:r>
    </w:p>
    <w:p w14:paraId="6E828B16">
      <w:pPr>
        <w:pBdr>
          <w:bottom w:val="single" w:color="FFFFFF" w:sz="4" w:space="31"/>
        </w:pBdr>
        <w:spacing w:line="560" w:lineRule="exact"/>
        <w:ind w:firstLine="627" w:firstLineChars="200"/>
        <w:rPr>
          <w:rStyle w:val="9"/>
          <w:rFonts w:hint="eastAsia" w:ascii="仿宋_GB2312" w:hAnsi="仿宋"/>
          <w:b w:val="0"/>
          <w:spacing w:val="-4"/>
          <w:sz w:val="32"/>
          <w:szCs w:val="32"/>
        </w:rPr>
      </w:pPr>
      <w:r>
        <w:rPr>
          <w:rStyle w:val="9"/>
          <w:rFonts w:hint="eastAsia" w:ascii="仿宋_GB2312" w:hAnsi="仿宋" w:cs="楷体"/>
          <w:spacing w:val="-4"/>
          <w:sz w:val="32"/>
          <w:szCs w:val="32"/>
        </w:rPr>
        <w:t>“访惠聚”为民办实事项目:</w:t>
      </w:r>
      <w:r>
        <w:rPr>
          <w:rStyle w:val="9"/>
          <w:rFonts w:hint="eastAsia" w:ascii="仿宋_GB2312" w:hAnsi="仿宋"/>
          <w:b w:val="0"/>
          <w:spacing w:val="-4"/>
          <w:sz w:val="32"/>
          <w:szCs w:val="32"/>
        </w:rPr>
        <w:t>巴州工信局驻焉耆县查汗采开乡哈尔布热村工作队始终围绕“1+2+5”工作任务，聚集社会稳定和长治久安总目标，指导、规范所驻村服务与管理工作，为完成好工作队维护社会稳定、建强基层组织、做好群众工作、落实惠民政策、拓宽致富门路、推进脱贫攻坚、办好实事好事、壮大党员队伍等八项任务，实现“三不出”，工作队在入驻之年就制定完善各项管理制度，尤其是工作队经费管理使用制度，为工作队经费能严格按照有关规定，用到实处提供了制度保证。2019年也在经费划拨到单位之前就提前按照工作队为民办实事经费使用范围提前提出使用计划，为发挥经费作用奠定了良好基础。资金到位后，严格按照年初提出的计划和绩效评估，在规定范围内结合所驻村实际，用于访贫问苦、给群众送信息、举办各类活动、组织村民参观学习、美丽乡村建设补助、为困难群众修缮房屋，桥道、桥涵、引水渠维修、补充村委会落实维稳措施经费等方面。截止2019年12月底将工作队为民办实事经费全部使用完毕，有效的为村民解决实际困难、修缮困难群众房屋、提升美丽乡村建议成效、补充村级落实维稳措施资金等方面发挥了应有的作用，村容村貌整体优化，农村居住环境、整体精神风貌、稳定局面日趋向好。</w:t>
      </w:r>
    </w:p>
    <w:p w14:paraId="5B563F85">
      <w:pPr>
        <w:pBdr>
          <w:bottom w:val="single" w:color="FFFFFF" w:sz="4" w:space="31"/>
        </w:pBdr>
        <w:spacing w:line="560" w:lineRule="exact"/>
        <w:ind w:firstLine="627" w:firstLineChars="200"/>
        <w:rPr>
          <w:rStyle w:val="9"/>
          <w:rFonts w:ascii="仿宋_GB2312" w:hAnsi="仿宋_GB2312" w:cs="仿宋_GB2312"/>
          <w:b w:val="0"/>
          <w:spacing w:val="-4"/>
          <w:sz w:val="32"/>
          <w:szCs w:val="32"/>
        </w:rPr>
      </w:pPr>
      <w:r>
        <w:rPr>
          <w:rStyle w:val="9"/>
          <w:rFonts w:hint="eastAsia" w:ascii="仿宋_GB2312" w:hAnsi="仿宋_GB2312" w:cs="仿宋_GB2312"/>
          <w:spacing w:val="-4"/>
          <w:sz w:val="32"/>
          <w:szCs w:val="32"/>
        </w:rPr>
        <w:t>工业和信息化推进项目开展情况：</w:t>
      </w:r>
      <w:r>
        <w:rPr>
          <w:rStyle w:val="9"/>
          <w:rFonts w:hint="eastAsia" w:ascii="仿宋_GB2312" w:hAnsi="仿宋_GB2312" w:cs="仿宋_GB2312"/>
          <w:b w:val="0"/>
          <w:spacing w:val="-4"/>
          <w:sz w:val="32"/>
          <w:szCs w:val="32"/>
        </w:rPr>
        <w:t>资金能够正常到位，严格按照规定用途使用，提高资金使用效率，全年工业和信息化工作能够按计划推进，完成了预期的计划。大力抓好优势产业发展，培育新动能,</w:t>
      </w:r>
      <w:r>
        <w:rPr>
          <w:rFonts w:hint="eastAsia" w:ascii="仿宋_GB2312" w:hAnsi="仿宋_GB2312" w:cs="仿宋_GB2312"/>
          <w:sz w:val="32"/>
          <w:szCs w:val="32"/>
        </w:rPr>
        <w:t xml:space="preserve"> </w:t>
      </w:r>
      <w:r>
        <w:rPr>
          <w:rStyle w:val="9"/>
          <w:rFonts w:hint="eastAsia" w:ascii="仿宋_GB2312" w:hAnsi="仿宋_GB2312" w:cs="仿宋_GB2312"/>
          <w:b w:val="0"/>
          <w:spacing w:val="-4"/>
          <w:sz w:val="32"/>
          <w:szCs w:val="32"/>
        </w:rPr>
        <w:t>抓好工业领域固定资产投资和重点项目推进,</w:t>
      </w:r>
      <w:r>
        <w:rPr>
          <w:rFonts w:hint="eastAsia" w:ascii="仿宋_GB2312" w:hAnsi="仿宋_GB2312" w:cs="仿宋_GB2312"/>
          <w:sz w:val="32"/>
          <w:szCs w:val="32"/>
        </w:rPr>
        <w:t xml:space="preserve"> </w:t>
      </w:r>
      <w:r>
        <w:rPr>
          <w:rStyle w:val="9"/>
          <w:rFonts w:hint="eastAsia" w:ascii="仿宋_GB2312" w:hAnsi="仿宋_GB2312" w:cs="仿宋_GB2312"/>
          <w:b w:val="0"/>
          <w:spacing w:val="-4"/>
          <w:sz w:val="32"/>
          <w:szCs w:val="32"/>
        </w:rPr>
        <w:t>依法依规淘汰落后产能，严格落实中央</w:t>
      </w:r>
      <w:r>
        <w:rPr>
          <w:rStyle w:val="9"/>
          <w:rFonts w:hint="eastAsia" w:ascii="仿宋_GB2312" w:hAnsi="仿宋_GB2312" w:cs="仿宋_GB2312"/>
          <w:b w:val="0"/>
          <w:spacing w:val="-4"/>
          <w:sz w:val="32"/>
          <w:szCs w:val="32"/>
          <w:lang w:eastAsia="zh-CN"/>
        </w:rPr>
        <w:t>环保督察</w:t>
      </w:r>
      <w:bookmarkStart w:id="0" w:name="_GoBack"/>
      <w:bookmarkEnd w:id="0"/>
      <w:r>
        <w:rPr>
          <w:rStyle w:val="9"/>
          <w:rFonts w:hint="eastAsia" w:ascii="仿宋_GB2312" w:hAnsi="仿宋_GB2312" w:cs="仿宋_GB2312"/>
          <w:b w:val="0"/>
          <w:spacing w:val="-4"/>
          <w:sz w:val="32"/>
          <w:szCs w:val="32"/>
        </w:rPr>
        <w:t>整改任务。绿色发展初显成效，工业节能态势良好,</w:t>
      </w:r>
      <w:r>
        <w:rPr>
          <w:rFonts w:hint="eastAsia" w:ascii="仿宋_GB2312" w:hAnsi="仿宋_GB2312" w:cs="仿宋_GB2312"/>
          <w:sz w:val="32"/>
          <w:szCs w:val="32"/>
        </w:rPr>
        <w:t xml:space="preserve"> </w:t>
      </w:r>
      <w:r>
        <w:rPr>
          <w:rStyle w:val="9"/>
          <w:rFonts w:hint="eastAsia" w:ascii="仿宋_GB2312" w:hAnsi="仿宋_GB2312" w:cs="仿宋_GB2312"/>
          <w:b w:val="0"/>
          <w:spacing w:val="-4"/>
          <w:sz w:val="32"/>
          <w:szCs w:val="32"/>
        </w:rPr>
        <w:t>“两化”融合深入推进。</w:t>
      </w:r>
    </w:p>
    <w:p w14:paraId="3316A8CE">
      <w:pPr>
        <w:pBdr>
          <w:bottom w:val="single" w:color="FFFFFF" w:sz="4" w:space="31"/>
        </w:pBdr>
        <w:spacing w:line="560" w:lineRule="exact"/>
        <w:ind w:firstLine="627" w:firstLineChars="200"/>
        <w:rPr>
          <w:rStyle w:val="9"/>
          <w:rFonts w:ascii="仿宋_GB2312" w:hAnsi="仿宋_GB2312" w:cs="仿宋_GB2312"/>
          <w:b w:val="0"/>
          <w:spacing w:val="-4"/>
          <w:sz w:val="32"/>
          <w:szCs w:val="32"/>
        </w:rPr>
      </w:pPr>
      <w:r>
        <w:rPr>
          <w:rStyle w:val="9"/>
          <w:rFonts w:hint="eastAsia" w:ascii="仿宋_GB2312" w:hAnsi="仿宋_GB2312" w:cs="仿宋_GB2312"/>
          <w:spacing w:val="-4"/>
          <w:sz w:val="32"/>
          <w:szCs w:val="32"/>
        </w:rPr>
        <w:t>企业服务项目：</w:t>
      </w:r>
      <w:r>
        <w:rPr>
          <w:rStyle w:val="9"/>
          <w:rFonts w:hint="eastAsia" w:ascii="仿宋_GB2312" w:hAnsi="仿宋_GB2312" w:cs="仿宋_GB2312"/>
          <w:b w:val="0"/>
          <w:spacing w:val="-4"/>
          <w:sz w:val="32"/>
          <w:szCs w:val="32"/>
        </w:rPr>
        <w:t>资金能够如期到位，使用过程中做到节约使用，强化资金使用效能，有力提升了为企业服务的水平和质量。着力做好重点行业、重点企业的监测分析、运行协调和企业服务，坚持稳导向，重点抓好52个经济增长点、48个提能达产、48个升规入统后备企业、规上工业企业的协调、服务工作，做好州域内煤、电、油、气运的协调保障服务工作。每月做好对全州工业经济的运行分析，为州党委、州人民政府提供决策服务。</w:t>
      </w:r>
    </w:p>
    <w:p w14:paraId="63E78456">
      <w:pPr>
        <w:pBdr>
          <w:bottom w:val="single" w:color="FFFFFF" w:sz="4" w:space="31"/>
        </w:pBdr>
        <w:spacing w:line="560" w:lineRule="exact"/>
        <w:ind w:firstLine="624" w:firstLineChars="200"/>
        <w:rPr>
          <w:rFonts w:ascii="仿宋_GB2312" w:hAnsi="仿宋_GB2312" w:cs="仿宋_GB2312"/>
          <w:sz w:val="32"/>
          <w:szCs w:val="32"/>
        </w:rPr>
      </w:pPr>
      <w:r>
        <w:rPr>
          <w:rStyle w:val="9"/>
          <w:rFonts w:hint="eastAsia" w:ascii="仿宋" w:hAnsi="仿宋" w:eastAsia="仿宋" w:cs="楷体"/>
          <w:b w:val="0"/>
          <w:spacing w:val="-4"/>
          <w:sz w:val="32"/>
          <w:szCs w:val="32"/>
        </w:rPr>
        <w:t>纺织服装工业城市发展规划修编项目:</w:t>
      </w:r>
      <w:r>
        <w:rPr>
          <w:rFonts w:hint="eastAsia" w:ascii="仿宋_GB2312" w:hAnsi="仿宋_GB2312" w:cs="仿宋_GB2312"/>
          <w:sz w:val="32"/>
          <w:szCs w:val="32"/>
        </w:rPr>
        <w:t>按照国家发展纺织服装产业要求，引导纺织服装产业发展，并将各项政策落到实处。充分发挥政府资金的导向作用，推动纺织服装产业高质量发展。2019年4月23日，州人民政府授权委托州工信局牵头组织并邀请中国纺织工业联合会、中国国际工程咨询有限公司、自治区工信厅领导作为评审专家召开了《巴音郭楞蒙古自治州纺织服装产业发展规划（2019-2023年）》评审会，评审通过《规划》。6月18日，《规划》评审意见第六稿修改完善编印。《巴音郭楞蒙古自治州纺织服装产业发展规划（2019-2023年）》反复征求库尔勒经济技术开发区经发局、各县市、各工业园区、各级有关部门以及州领导意见建议。遵循了公开透明、突出重点、注重实效的原则。</w:t>
      </w:r>
    </w:p>
    <w:p w14:paraId="2F96099A">
      <w:pPr>
        <w:pBdr>
          <w:bottom w:val="single" w:color="FFFFFF" w:sz="4" w:space="31"/>
        </w:pBdr>
        <w:spacing w:line="560" w:lineRule="exact"/>
        <w:ind w:firstLine="640" w:firstLineChars="200"/>
        <w:rPr>
          <w:rFonts w:ascii="仿宋_GB2312" w:hAnsi="仿宋_GB2312" w:cs="仿宋_GB2312"/>
          <w:sz w:val="32"/>
          <w:szCs w:val="32"/>
        </w:rPr>
      </w:pPr>
      <w:r>
        <w:rPr>
          <w:rFonts w:hint="eastAsia" w:ascii="仿宋_GB2312" w:hAnsi="仿宋_GB2312" w:cs="仿宋_GB2312"/>
          <w:sz w:val="32"/>
          <w:szCs w:val="32"/>
        </w:rPr>
        <w:t xml:space="preserve">  </w:t>
      </w:r>
      <w:r>
        <w:rPr>
          <w:rStyle w:val="9"/>
          <w:rFonts w:hint="eastAsia" w:ascii="仿宋" w:hAnsi="仿宋" w:eastAsia="仿宋" w:cs="楷体"/>
          <w:b w:val="0"/>
          <w:spacing w:val="-4"/>
          <w:sz w:val="32"/>
          <w:szCs w:val="32"/>
        </w:rPr>
        <w:t>支持中小企业发展和管理项目:</w:t>
      </w:r>
      <w:r>
        <w:rPr>
          <w:rFonts w:hint="eastAsia" w:ascii="仿宋_GB2312" w:hAnsi="仿宋_GB2312" w:cs="仿宋_GB2312"/>
          <w:sz w:val="32"/>
          <w:szCs w:val="32"/>
        </w:rPr>
        <w:t>根据自治区工信厅、财政厅《关于举办2019年“创客中国”新疆中小企业创新创业大赛的通知》（新工信企业〔2019〕27号）要求，2019年7月巴州工信局与州财政局发布公开招标公告，2019年8月，乌鲁木齐易创空间信息科技有限公司在参加2019年“创客中国”新疆中小企业创新创业大赛巴州选拔赛项目投标会上，以在办赛能力强、办赛经验丰富、服务资源丰富、专家导师库建设完善、有金融服务团队等方面的优势，取得巴州选拔赛的承办资格。巴州报名参赛企业42家，举办赛前培训服务活动2场，经过初审后有13家企业具备参赛资格。举办现场赛1场，选拔赛邀请疆内专业评审专家5名，最终评选出企业组6家企业和2家创客，分别获得企业组和创客组一二三等奖，并发放相应奖金以资鼓励，奖金总金额9400元。其中1家企业组项目和2家创客组项目入围自治区总决赛，分别获得自治区总决赛企业组二等奖，创客组三等奖的荣誉。巴州企业新疆全安药业股份有限公司的项目入围全国200强。</w:t>
      </w:r>
    </w:p>
    <w:p w14:paraId="722253C9">
      <w:pPr>
        <w:numPr>
          <w:ilvl w:val="0"/>
          <w:numId w:val="1"/>
        </w:numPr>
        <w:pBdr>
          <w:bottom w:val="single" w:color="FFFFFF" w:sz="4" w:space="31"/>
        </w:pBdr>
        <w:spacing w:line="560" w:lineRule="exact"/>
        <w:ind w:firstLine="602"/>
        <w:rPr>
          <w:rFonts w:ascii="仿宋_GB2312"/>
          <w:b/>
          <w:bCs/>
        </w:rPr>
      </w:pPr>
      <w:r>
        <w:rPr>
          <w:rFonts w:hint="eastAsia" w:ascii="仿宋_GB2312"/>
          <w:b/>
          <w:bCs/>
        </w:rPr>
        <w:t>绩效评价原则、评价指标体系、评价方法、评价标准</w:t>
      </w:r>
    </w:p>
    <w:p w14:paraId="0647EAE1">
      <w:pPr>
        <w:spacing w:line="600" w:lineRule="exact"/>
        <w:ind w:firstLine="640"/>
        <w:rPr>
          <w:rFonts w:ascii="仿宋_GB2312"/>
          <w:bCs/>
          <w:sz w:val="32"/>
          <w:szCs w:val="32"/>
        </w:rPr>
      </w:pPr>
      <w:r>
        <w:rPr>
          <w:rStyle w:val="9"/>
          <w:rFonts w:hint="eastAsia" w:ascii="仿宋_GB2312" w:hAnsi="仿宋" w:cs="楷体"/>
          <w:spacing w:val="-4"/>
          <w:sz w:val="32"/>
          <w:szCs w:val="32"/>
        </w:rPr>
        <w:t>绩效评价原则：</w:t>
      </w:r>
      <w:r>
        <w:rPr>
          <w:rFonts w:hint="eastAsia" w:ascii="仿宋_GB2312"/>
          <w:bCs/>
          <w:sz w:val="32"/>
          <w:szCs w:val="32"/>
        </w:rPr>
        <w:t>（1）科学公正。绩效评价应当运用科学合理的方法，按照规范的程序，对项目绩效进行客观、公正的反映。</w:t>
      </w:r>
    </w:p>
    <w:p w14:paraId="496186AE">
      <w:pPr>
        <w:spacing w:line="600" w:lineRule="exact"/>
        <w:ind w:firstLine="640"/>
        <w:rPr>
          <w:rFonts w:ascii="仿宋_GB2312"/>
          <w:bCs/>
          <w:sz w:val="32"/>
          <w:szCs w:val="32"/>
        </w:rPr>
      </w:pPr>
      <w:r>
        <w:rPr>
          <w:rFonts w:hint="eastAsia" w:ascii="仿宋_GB2312"/>
          <w:bCs/>
          <w:sz w:val="32"/>
          <w:szCs w:val="32"/>
        </w:rPr>
        <w:t>（2）统筹兼顾。单位自评、部门评价和财政评价应职责明确，各有侧重，相互衔接。单位自评应由项目单位自主实施，即“谁支出、谁自评”。部门评价和财政评价应在单位自评的基础上开展，必要时可委托第三方机构实施。</w:t>
      </w:r>
    </w:p>
    <w:p w14:paraId="6CE2CCED">
      <w:pPr>
        <w:spacing w:line="600" w:lineRule="exact"/>
        <w:ind w:firstLine="640"/>
        <w:rPr>
          <w:rFonts w:ascii="仿宋_GB2312"/>
          <w:bCs/>
          <w:sz w:val="32"/>
          <w:szCs w:val="32"/>
        </w:rPr>
      </w:pPr>
      <w:r>
        <w:rPr>
          <w:rFonts w:hint="eastAsia" w:ascii="仿宋_GB2312"/>
          <w:bCs/>
          <w:sz w:val="32"/>
          <w:szCs w:val="32"/>
        </w:rPr>
        <w:t>（3）激励约束。绩效评价结果应与预算安排、政策调整、改进管理实质性挂钩，体现奖优罚劣和激励相容导向，有效要安排、低效要压减、无效要问责。</w:t>
      </w:r>
    </w:p>
    <w:p w14:paraId="1D77A038">
      <w:pPr>
        <w:spacing w:line="600" w:lineRule="exact"/>
        <w:ind w:firstLine="640" w:firstLineChars="200"/>
        <w:rPr>
          <w:rFonts w:hint="eastAsia" w:ascii="仿宋_GB2312"/>
          <w:bCs/>
          <w:sz w:val="32"/>
          <w:szCs w:val="32"/>
        </w:rPr>
      </w:pPr>
      <w:r>
        <w:rPr>
          <w:rFonts w:hint="eastAsia" w:ascii="仿宋_GB2312"/>
          <w:bCs/>
          <w:sz w:val="32"/>
          <w:szCs w:val="32"/>
        </w:rPr>
        <w:t>（4）公开透明。绩效评价结果应依法依规公开，并自觉接受社会监督。</w:t>
      </w:r>
    </w:p>
    <w:p w14:paraId="5D7C24E4">
      <w:pPr>
        <w:spacing w:line="580" w:lineRule="exact"/>
        <w:ind w:firstLine="643" w:firstLineChars="200"/>
        <w:rPr>
          <w:rFonts w:hint="eastAsia" w:ascii="仿宋_GB2312"/>
        </w:rPr>
      </w:pPr>
      <w:r>
        <w:rPr>
          <w:rFonts w:hint="eastAsia"/>
          <w:b/>
          <w:sz w:val="32"/>
          <w:szCs w:val="32"/>
        </w:rPr>
        <w:t>评价方法</w:t>
      </w:r>
      <w:r>
        <w:rPr>
          <w:rFonts w:hint="eastAsia"/>
        </w:rPr>
        <w:t>：</w:t>
      </w:r>
      <w:r>
        <w:rPr>
          <w:rFonts w:hint="eastAsia" w:ascii="仿宋_GB2312"/>
        </w:rPr>
        <w:t>财政和部门评价的方法主要包括成本效益分析法、比较法、因素分析法、最低成本法、公众评判法、标杆管理法等。有时只需采用其中的一种，而有时则要采用两种或三种相结合。这些方法各具特色，互相补充，但彼此并不能替代。</w:t>
      </w:r>
      <w:r>
        <w:rPr>
          <w:rFonts w:hAnsi="仿宋"/>
          <w:color w:val="000000"/>
          <w:szCs w:val="30"/>
        </w:rPr>
        <w:t>结合本次绩效评估项目的具体情况，为确保本次绩效评估工作的真实可靠，</w:t>
      </w:r>
      <w:r>
        <w:rPr>
          <w:rFonts w:hint="eastAsia" w:ascii="仿宋_GB2312"/>
        </w:rPr>
        <w:t>我单位采用了最低成本法进行评价。</w:t>
      </w:r>
    </w:p>
    <w:p w14:paraId="2854FC4E">
      <w:pPr>
        <w:pStyle w:val="13"/>
        <w:spacing w:line="520" w:lineRule="exact"/>
        <w:rPr>
          <w:rFonts w:hint="eastAsia" w:ascii="仿宋_GB2312" w:eastAsia="仿宋_GB2312"/>
          <w:b/>
          <w:sz w:val="32"/>
          <w:szCs w:val="32"/>
        </w:rPr>
      </w:pPr>
      <w:r>
        <w:rPr>
          <w:rFonts w:hint="eastAsia" w:ascii="仿宋_GB2312" w:eastAsia="仿宋_GB2312"/>
          <w:b/>
          <w:sz w:val="32"/>
          <w:szCs w:val="32"/>
        </w:rPr>
        <w:t>评价标准：</w:t>
      </w:r>
    </w:p>
    <w:p w14:paraId="63573D6B">
      <w:pPr>
        <w:pStyle w:val="13"/>
        <w:spacing w:line="520" w:lineRule="exact"/>
        <w:ind w:firstLine="320" w:firstLineChars="100"/>
        <w:rPr>
          <w:rFonts w:hint="eastAsia" w:ascii="仿宋_GB2312" w:eastAsia="仿宋_GB2312" w:cs="Times New Roman"/>
          <w:spacing w:val="-8"/>
          <w:sz w:val="32"/>
          <w:szCs w:val="32"/>
        </w:rPr>
      </w:pPr>
      <w:r>
        <w:rPr>
          <w:rFonts w:hint="eastAsia" w:ascii="仿宋_GB2312" w:eastAsia="仿宋_GB2312" w:cs="Times New Roman"/>
          <w:sz w:val="32"/>
          <w:szCs w:val="32"/>
        </w:rPr>
        <w:t>财政项目资金绩效评价，是以结果为导向的财政支出管理模式，绩效评价标准主要有计划标准、历史标准、其他标准等，结合项目的特点，确定此次绩效评价指标标准为行业标准和计划标准。财务管理采用国家财务相关法律法规，产出和效果指标采用项目申报文本中的指标值作为绩效评价标准</w:t>
      </w:r>
    </w:p>
    <w:p w14:paraId="59F3F0D7">
      <w:pPr>
        <w:pBdr>
          <w:bottom w:val="single" w:color="FFFFFF" w:sz="4" w:space="31"/>
        </w:pBdr>
        <w:spacing w:line="560" w:lineRule="exact"/>
      </w:pPr>
      <w:r>
        <w:rPr>
          <w:rFonts w:hint="eastAsia" w:ascii="黑体" w:hAnsi="黑体" w:eastAsia="黑体"/>
        </w:rPr>
        <w:t>三、综合评价情况及评价结论</w:t>
      </w:r>
      <w:r>
        <w:rPr>
          <w:rFonts w:hint="eastAsia" w:ascii="仿宋_GB2312"/>
        </w:rPr>
        <w:t>（附相关评分表）</w:t>
      </w:r>
    </w:p>
    <w:p w14:paraId="32265AF4">
      <w:pPr>
        <w:pBdr>
          <w:bottom w:val="single" w:color="FFFFFF" w:sz="4" w:space="31"/>
        </w:pBdr>
        <w:spacing w:line="560" w:lineRule="exact"/>
        <w:rPr>
          <w:rFonts w:hint="eastAsia"/>
        </w:rPr>
      </w:pPr>
      <w:r>
        <w:rPr>
          <w:rFonts w:hint="eastAsia" w:ascii="仿宋_GB2312"/>
        </w:rPr>
        <w:t>自评得分95分。</w:t>
      </w:r>
    </w:p>
    <w:p w14:paraId="6B20FC51">
      <w:pPr>
        <w:pBdr>
          <w:bottom w:val="single" w:color="FFFFFF" w:sz="4" w:space="31"/>
        </w:pBdr>
        <w:spacing w:line="560" w:lineRule="exact"/>
        <w:rPr>
          <w:rFonts w:hint="eastAsia" w:ascii="黑体" w:hAnsi="黑体" w:eastAsia="黑体"/>
        </w:rPr>
      </w:pPr>
      <w:r>
        <w:rPr>
          <w:rFonts w:hint="eastAsia" w:ascii="黑体" w:hAnsi="黑体" w:eastAsia="黑体"/>
        </w:rPr>
        <w:t>四、绩效评价指标分析</w:t>
      </w:r>
    </w:p>
    <w:p w14:paraId="237D1F76">
      <w:pPr>
        <w:pStyle w:val="14"/>
        <w:numPr>
          <w:ilvl w:val="0"/>
          <w:numId w:val="2"/>
        </w:numPr>
        <w:pBdr>
          <w:bottom w:val="single" w:color="FFFFFF" w:sz="4" w:space="31"/>
        </w:pBdr>
        <w:spacing w:line="560" w:lineRule="exact"/>
        <w:ind w:firstLineChars="0"/>
        <w:rPr>
          <w:rFonts w:hint="eastAsia" w:ascii="仿宋_GB2312"/>
          <w:b/>
          <w:bCs/>
        </w:rPr>
      </w:pPr>
      <w:r>
        <w:rPr>
          <w:rFonts w:hint="eastAsia" w:ascii="仿宋_GB2312"/>
          <w:b/>
          <w:bCs/>
        </w:rPr>
        <w:t>项目决策情况。</w:t>
      </w:r>
    </w:p>
    <w:p w14:paraId="05711883">
      <w:pPr>
        <w:pBdr>
          <w:bottom w:val="single" w:color="FFFFFF" w:sz="4" w:space="31"/>
        </w:pBdr>
        <w:spacing w:line="560" w:lineRule="exact"/>
        <w:ind w:firstLine="594" w:firstLineChars="198"/>
        <w:rPr>
          <w:rFonts w:hint="eastAsia"/>
        </w:rPr>
      </w:pPr>
      <w:r>
        <w:rPr>
          <w:rFonts w:hint="eastAsia"/>
        </w:rPr>
        <w:t>开展自治州工业领域节能监察及培训，实施工业企业能效对标工作，对全州小火电机组、燃煤锅炉及淘汰落后产能及工艺设备进行核查，适时淘汰或退出。做好全州重点用能企业节能量核查，确保完成自治州工业领域节能双控指标任务。大力发展纺织服装产业创新力和竞争力，发挥我州焉耆盆地特色产业优势，推动我州葡萄酒产业发展。</w:t>
      </w:r>
    </w:p>
    <w:p w14:paraId="12235893">
      <w:pPr>
        <w:pBdr>
          <w:bottom w:val="single" w:color="FFFFFF" w:sz="4" w:space="31"/>
        </w:pBdr>
        <w:spacing w:line="560" w:lineRule="exact"/>
        <w:ind w:firstLine="594" w:firstLineChars="198"/>
      </w:pPr>
      <w:r>
        <w:rPr>
          <w:rFonts w:hint="eastAsia"/>
        </w:rPr>
        <w:t>（二）</w:t>
      </w:r>
      <w:r>
        <w:rPr>
          <w:rFonts w:hint="eastAsia" w:ascii="仿宋_GB2312"/>
          <w:b/>
          <w:bCs/>
        </w:rPr>
        <w:t>项目过程情况。</w:t>
      </w:r>
    </w:p>
    <w:p w14:paraId="7E37C721">
      <w:pPr>
        <w:pBdr>
          <w:bottom w:val="single" w:color="FFFFFF" w:sz="4" w:space="31"/>
        </w:pBdr>
        <w:spacing w:line="560" w:lineRule="exact"/>
        <w:ind w:firstLine="600" w:firstLineChars="200"/>
        <w:rPr>
          <w:rStyle w:val="9"/>
          <w:rFonts w:hint="eastAsia" w:ascii="仿宋_GB2312" w:hAnsi="仿宋" w:cs="楷体"/>
          <w:b w:val="0"/>
          <w:color w:val="000000" w:themeColor="text1"/>
          <w:spacing w:val="-4"/>
          <w:sz w:val="32"/>
          <w:szCs w:val="32"/>
        </w:rPr>
      </w:pPr>
      <w:r>
        <w:rPr>
          <w:rFonts w:hint="eastAsia"/>
        </w:rPr>
        <w:t xml:space="preserve">   </w:t>
      </w:r>
      <w:r>
        <w:rPr>
          <w:rFonts w:hint="eastAsia" w:ascii="仿宋_GB2312"/>
        </w:rPr>
        <w:t xml:space="preserve"> </w:t>
      </w:r>
      <w:r>
        <w:rPr>
          <w:rStyle w:val="9"/>
          <w:rFonts w:hint="eastAsia" w:ascii="仿宋_GB2312" w:hAnsi="仿宋" w:cs="楷体"/>
          <w:b w:val="0"/>
          <w:color w:val="000000" w:themeColor="text1"/>
          <w:spacing w:val="-4"/>
          <w:sz w:val="32"/>
          <w:szCs w:val="32"/>
        </w:rPr>
        <w:t>1、每月开展一次安全生产大检查。对民爆、机电、化工、建材、纺织、轻工和园区等行业和领域，进行安全生产管理和指导，排查事故安全隐患，提高安全生产意识和防范安全事故能力，杜绝发生重特大安全生产事故。</w:t>
      </w:r>
    </w:p>
    <w:p w14:paraId="6960567A">
      <w:pPr>
        <w:pBdr>
          <w:bottom w:val="single" w:color="FFFFFF" w:sz="4" w:space="31"/>
        </w:pBdr>
        <w:spacing w:line="560" w:lineRule="exact"/>
        <w:ind w:firstLine="624" w:firstLineChars="200"/>
        <w:rPr>
          <w:rStyle w:val="9"/>
          <w:rFonts w:hint="eastAsia" w:ascii="仿宋_GB2312" w:hAnsi="仿宋" w:cs="楷体"/>
          <w:b w:val="0"/>
          <w:color w:val="000000" w:themeColor="text1"/>
          <w:spacing w:val="-4"/>
          <w:sz w:val="32"/>
          <w:szCs w:val="32"/>
        </w:rPr>
      </w:pPr>
      <w:r>
        <w:rPr>
          <w:rStyle w:val="9"/>
          <w:rFonts w:hint="eastAsia" w:ascii="仿宋_GB2312" w:hAnsi="仿宋" w:cs="楷体"/>
          <w:b w:val="0"/>
          <w:color w:val="000000" w:themeColor="text1"/>
          <w:spacing w:val="-4"/>
          <w:sz w:val="32"/>
          <w:szCs w:val="32"/>
        </w:rPr>
        <w:t xml:space="preserve">2、开展自治州工业领域节能监察及培训，实施工业企业能效对标工作，对全州小火电机组、燃煤锅炉及淘汰落后产能及工艺设备进行核查，适时淘汰或退出。做好全州重点用能企业节能量核查，确保完成自治州工业领域节能双控指标任务。 </w:t>
      </w:r>
    </w:p>
    <w:p w14:paraId="6ABD3967">
      <w:pPr>
        <w:pBdr>
          <w:bottom w:val="single" w:color="FFFFFF" w:sz="4" w:space="31"/>
        </w:pBdr>
        <w:spacing w:line="560" w:lineRule="exact"/>
        <w:ind w:firstLine="624" w:firstLineChars="200"/>
        <w:rPr>
          <w:rStyle w:val="9"/>
          <w:rFonts w:hint="eastAsia" w:ascii="仿宋_GB2312" w:hAnsi="仿宋" w:cs="楷体"/>
          <w:b w:val="0"/>
          <w:color w:val="000000" w:themeColor="text1"/>
          <w:spacing w:val="-4"/>
          <w:sz w:val="32"/>
          <w:szCs w:val="32"/>
        </w:rPr>
      </w:pPr>
      <w:r>
        <w:rPr>
          <w:rStyle w:val="9"/>
          <w:rFonts w:hint="eastAsia" w:ascii="仿宋_GB2312" w:hAnsi="仿宋" w:cs="楷体"/>
          <w:b w:val="0"/>
          <w:color w:val="000000" w:themeColor="text1"/>
          <w:spacing w:val="-4"/>
          <w:sz w:val="32"/>
          <w:szCs w:val="32"/>
        </w:rPr>
        <w:t>3、大力发展纺织服装产业，增强纺织服装产业创新力和竞争力，提升产业发展质量和效益，推进纺织服装产业健康稳定持续发展。</w:t>
      </w:r>
    </w:p>
    <w:p w14:paraId="36BC76E1">
      <w:pPr>
        <w:pBdr>
          <w:bottom w:val="single" w:color="FFFFFF" w:sz="4" w:space="31"/>
        </w:pBdr>
        <w:spacing w:line="560" w:lineRule="exact"/>
        <w:ind w:firstLine="624" w:firstLineChars="200"/>
        <w:rPr>
          <w:rStyle w:val="9"/>
          <w:rFonts w:hint="eastAsia" w:ascii="仿宋_GB2312" w:hAnsi="仿宋" w:cs="楷体"/>
          <w:b w:val="0"/>
          <w:color w:val="000000" w:themeColor="text1"/>
          <w:spacing w:val="-4"/>
          <w:sz w:val="32"/>
          <w:szCs w:val="32"/>
        </w:rPr>
      </w:pPr>
      <w:r>
        <w:rPr>
          <w:rStyle w:val="9"/>
          <w:rFonts w:hint="eastAsia" w:ascii="仿宋_GB2312" w:hAnsi="仿宋" w:cs="楷体"/>
          <w:b w:val="0"/>
          <w:color w:val="000000" w:themeColor="text1"/>
          <w:spacing w:val="-4"/>
          <w:sz w:val="32"/>
          <w:szCs w:val="32"/>
        </w:rPr>
        <w:t>4、发挥我州焉耆盆地特色产业优势，推动我州葡萄酒产业发展。</w:t>
      </w:r>
    </w:p>
    <w:p w14:paraId="53E5260B">
      <w:pPr>
        <w:pBdr>
          <w:bottom w:val="single" w:color="FFFFFF" w:sz="4" w:space="31"/>
        </w:pBdr>
        <w:spacing w:line="560" w:lineRule="exact"/>
        <w:ind w:firstLine="624" w:firstLineChars="200"/>
        <w:rPr>
          <w:rStyle w:val="9"/>
          <w:rFonts w:hint="eastAsia" w:ascii="仿宋_GB2312" w:hAnsi="仿宋" w:cs="楷体"/>
          <w:b w:val="0"/>
          <w:color w:val="000000" w:themeColor="text1"/>
          <w:spacing w:val="-4"/>
          <w:sz w:val="32"/>
          <w:szCs w:val="32"/>
        </w:rPr>
      </w:pPr>
      <w:r>
        <w:rPr>
          <w:rStyle w:val="9"/>
          <w:rFonts w:hint="eastAsia" w:ascii="仿宋_GB2312" w:hAnsi="仿宋" w:cs="楷体"/>
          <w:b w:val="0"/>
          <w:color w:val="000000" w:themeColor="text1"/>
          <w:spacing w:val="-4"/>
          <w:sz w:val="32"/>
          <w:szCs w:val="32"/>
        </w:rPr>
        <w:t>5、加强对州域内200家规模以上企业的服务力度，侧重于32家重点企业服务对象，为企业做好煤、电、油、气运等生产要素等保障工作，加快自治州新型工业化的发展步伐。</w:t>
      </w:r>
    </w:p>
    <w:p w14:paraId="3C9AA77D">
      <w:pPr>
        <w:pBdr>
          <w:bottom w:val="single" w:color="FFFFFF" w:sz="4" w:space="31"/>
        </w:pBdr>
        <w:spacing w:line="560" w:lineRule="exact"/>
        <w:ind w:firstLine="624" w:firstLineChars="200"/>
        <w:rPr>
          <w:rStyle w:val="9"/>
          <w:rFonts w:hint="eastAsia" w:ascii="仿宋_GB2312" w:hAnsi="仿宋" w:cs="楷体"/>
          <w:b w:val="0"/>
          <w:color w:val="000000" w:themeColor="text1"/>
          <w:spacing w:val="-4"/>
          <w:sz w:val="32"/>
          <w:szCs w:val="32"/>
        </w:rPr>
      </w:pPr>
      <w:r>
        <w:rPr>
          <w:rStyle w:val="9"/>
          <w:rFonts w:hint="eastAsia" w:ascii="仿宋_GB2312" w:hAnsi="仿宋" w:cs="楷体"/>
          <w:b w:val="0"/>
          <w:color w:val="000000" w:themeColor="text1"/>
          <w:spacing w:val="-4"/>
          <w:sz w:val="32"/>
          <w:szCs w:val="32"/>
        </w:rPr>
        <w:t>6、按照国家关于2020年储气设施建设“供气企业10%、城镇燃气企业5%、地方政府3天”的目标，加快我州在天然气生产、供应、储备、销售等环节建设。</w:t>
      </w:r>
    </w:p>
    <w:p w14:paraId="7D2CC23A">
      <w:pPr>
        <w:pBdr>
          <w:bottom w:val="single" w:color="FFFFFF" w:sz="4" w:space="31"/>
        </w:pBdr>
        <w:spacing w:line="560" w:lineRule="exact"/>
        <w:ind w:firstLine="624" w:firstLineChars="200"/>
        <w:rPr>
          <w:rStyle w:val="9"/>
          <w:rFonts w:hint="eastAsia" w:ascii="仿宋_GB2312" w:hAnsi="仿宋" w:cs="楷体"/>
          <w:b w:val="0"/>
          <w:color w:val="000000" w:themeColor="text1"/>
          <w:spacing w:val="-4"/>
          <w:sz w:val="32"/>
          <w:szCs w:val="32"/>
        </w:rPr>
      </w:pPr>
      <w:r>
        <w:rPr>
          <w:rStyle w:val="9"/>
          <w:rFonts w:hint="eastAsia" w:ascii="仿宋_GB2312" w:hAnsi="仿宋" w:cs="楷体"/>
          <w:b w:val="0"/>
          <w:color w:val="000000" w:themeColor="text1"/>
          <w:spacing w:val="-4"/>
          <w:sz w:val="32"/>
          <w:szCs w:val="32"/>
        </w:rPr>
        <w:t>7、八县一市全部实现政企分开，履行行业监管职能</w:t>
      </w:r>
    </w:p>
    <w:p w14:paraId="66FBF6CD">
      <w:pPr>
        <w:pBdr>
          <w:bottom w:val="single" w:color="FFFFFF" w:sz="4" w:space="31"/>
        </w:pBdr>
        <w:spacing w:line="560" w:lineRule="exact"/>
        <w:ind w:firstLine="624" w:firstLineChars="200"/>
        <w:rPr>
          <w:rStyle w:val="9"/>
          <w:rFonts w:hint="eastAsia" w:ascii="仿宋_GB2312" w:hAnsi="仿宋" w:cs="楷体"/>
          <w:b w:val="0"/>
          <w:color w:val="000000" w:themeColor="text1"/>
          <w:spacing w:val="-4"/>
          <w:sz w:val="32"/>
          <w:szCs w:val="32"/>
        </w:rPr>
      </w:pPr>
      <w:r>
        <w:rPr>
          <w:rStyle w:val="9"/>
          <w:rFonts w:hint="eastAsia" w:ascii="仿宋_GB2312" w:hAnsi="仿宋" w:cs="楷体"/>
          <w:b w:val="0"/>
          <w:color w:val="000000" w:themeColor="text1"/>
          <w:spacing w:val="-4"/>
          <w:sz w:val="32"/>
          <w:szCs w:val="32"/>
        </w:rPr>
        <w:t>8、中国中小企业博览会由国家工信部和广东省在广州市联合举办，新疆政府每年组成代表团参会参展，按自治区要求巴州政府将组成代表团，作为新疆代表团的组成部分参会参展。组织开展工业招商引资工作。</w:t>
      </w:r>
    </w:p>
    <w:p w14:paraId="6733C8DF">
      <w:pPr>
        <w:pBdr>
          <w:bottom w:val="single" w:color="FFFFFF" w:sz="4" w:space="31"/>
        </w:pBdr>
        <w:spacing w:line="560" w:lineRule="exact"/>
        <w:ind w:firstLine="624" w:firstLineChars="200"/>
        <w:rPr>
          <w:rStyle w:val="9"/>
          <w:rFonts w:hint="eastAsia" w:ascii="仿宋_GB2312" w:hAnsi="仿宋" w:cs="楷体"/>
          <w:b w:val="0"/>
          <w:color w:val="000000" w:themeColor="text1"/>
          <w:spacing w:val="-4"/>
          <w:sz w:val="32"/>
          <w:szCs w:val="32"/>
        </w:rPr>
      </w:pPr>
      <w:r>
        <w:rPr>
          <w:rStyle w:val="9"/>
          <w:rFonts w:hint="eastAsia" w:ascii="仿宋_GB2312" w:hAnsi="仿宋" w:cs="楷体"/>
          <w:b w:val="0"/>
          <w:color w:val="000000" w:themeColor="text1"/>
          <w:spacing w:val="-4"/>
          <w:sz w:val="32"/>
          <w:szCs w:val="32"/>
        </w:rPr>
        <w:t>9、加强对州域内全州物流企业171家，21家快递318个网点的安全管理工作，3个“100%”全覆盖。</w:t>
      </w:r>
    </w:p>
    <w:p w14:paraId="0BCD4507">
      <w:pPr>
        <w:pBdr>
          <w:bottom w:val="single" w:color="FFFFFF" w:sz="4" w:space="31"/>
        </w:pBdr>
        <w:spacing w:line="560" w:lineRule="exact"/>
        <w:ind w:firstLine="624" w:firstLineChars="200"/>
        <w:rPr>
          <w:rStyle w:val="9"/>
          <w:rFonts w:hint="eastAsia" w:ascii="仿宋_GB2312" w:hAnsi="仿宋" w:cs="楷体"/>
          <w:b w:val="0"/>
          <w:color w:val="000000" w:themeColor="text1"/>
          <w:spacing w:val="-4"/>
          <w:sz w:val="32"/>
          <w:szCs w:val="32"/>
        </w:rPr>
      </w:pPr>
      <w:r>
        <w:rPr>
          <w:rStyle w:val="9"/>
          <w:rFonts w:hint="eastAsia" w:ascii="仿宋_GB2312" w:hAnsi="仿宋" w:cs="楷体"/>
          <w:b w:val="0"/>
          <w:color w:val="000000" w:themeColor="text1"/>
          <w:spacing w:val="-4"/>
          <w:sz w:val="32"/>
          <w:szCs w:val="32"/>
        </w:rPr>
        <w:t>10、消除和降低城镇人口密集区安全和环境风险，保障人民群众生民财产安全，促进化工产业转型升级。</w:t>
      </w:r>
    </w:p>
    <w:p w14:paraId="535D7E7C">
      <w:pPr>
        <w:pBdr>
          <w:bottom w:val="single" w:color="FFFFFF" w:sz="4" w:space="31"/>
        </w:pBdr>
        <w:spacing w:line="560" w:lineRule="exact"/>
        <w:ind w:firstLine="624" w:firstLineChars="200"/>
        <w:rPr>
          <w:rStyle w:val="9"/>
          <w:rFonts w:hint="eastAsia" w:ascii="仿宋_GB2312" w:hAnsi="仿宋" w:cs="楷体"/>
          <w:b w:val="0"/>
          <w:color w:val="000000" w:themeColor="text1"/>
          <w:spacing w:val="-4"/>
          <w:sz w:val="32"/>
          <w:szCs w:val="32"/>
        </w:rPr>
      </w:pPr>
      <w:r>
        <w:rPr>
          <w:rStyle w:val="9"/>
          <w:rFonts w:hint="eastAsia" w:ascii="仿宋_GB2312" w:hAnsi="仿宋" w:cs="楷体"/>
          <w:b w:val="0"/>
          <w:color w:val="000000" w:themeColor="text1"/>
          <w:spacing w:val="-4"/>
          <w:sz w:val="32"/>
          <w:szCs w:val="32"/>
        </w:rPr>
        <w:t>11、提高工信局履职服务保障工作水平，组织指导和协调推进工业领域续建项目，新建项目和储备项目建设。</w:t>
      </w:r>
    </w:p>
    <w:p w14:paraId="01946891">
      <w:pPr>
        <w:pStyle w:val="2"/>
        <w:ind w:left="0" w:leftChars="0" w:firstLine="0" w:firstLineChars="0"/>
      </w:pPr>
    </w:p>
    <w:p w14:paraId="7D482E37">
      <w:pPr>
        <w:pStyle w:val="2"/>
        <w:ind w:left="0" w:leftChars="0" w:firstLine="0" w:firstLineChars="0"/>
      </w:pPr>
    </w:p>
    <w:p w14:paraId="21574791">
      <w:pPr>
        <w:numPr>
          <w:ilvl w:val="0"/>
          <w:numId w:val="3"/>
        </w:numPr>
        <w:spacing w:line="600" w:lineRule="exact"/>
        <w:ind w:firstLine="600"/>
        <w:outlineLvl w:val="0"/>
        <w:rPr>
          <w:rFonts w:ascii="仿宋_GB2312"/>
        </w:rPr>
      </w:pPr>
      <w:r>
        <w:rPr>
          <w:rFonts w:hint="eastAsia" w:ascii="仿宋_GB2312"/>
          <w:b/>
          <w:bCs/>
        </w:rPr>
        <w:t>项目产出情况</w:t>
      </w:r>
      <w:r>
        <w:rPr>
          <w:rFonts w:hint="eastAsia" w:ascii="仿宋_GB2312"/>
        </w:rPr>
        <w:t>。</w:t>
      </w:r>
    </w:p>
    <w:p w14:paraId="7B2566D4">
      <w:pPr>
        <w:numPr>
          <w:ilvl w:val="0"/>
          <w:numId w:val="4"/>
        </w:numPr>
        <w:spacing w:line="540" w:lineRule="exact"/>
        <w:ind w:firstLine="564"/>
        <w:rPr>
          <w:rStyle w:val="9"/>
          <w:rFonts w:ascii="仿宋" w:hAnsi="仿宋" w:eastAsia="仿宋" w:cs="楷体"/>
          <w:bCs w:val="0"/>
          <w:spacing w:val="-4"/>
          <w:sz w:val="32"/>
          <w:szCs w:val="32"/>
        </w:rPr>
      </w:pPr>
      <w:r>
        <w:rPr>
          <w:rStyle w:val="9"/>
          <w:rFonts w:hint="eastAsia" w:ascii="仿宋" w:hAnsi="仿宋" w:eastAsia="仿宋" w:cs="楷体"/>
          <w:bCs w:val="0"/>
          <w:spacing w:val="-4"/>
          <w:sz w:val="32"/>
          <w:szCs w:val="32"/>
        </w:rPr>
        <w:t>产出指标</w:t>
      </w:r>
    </w:p>
    <w:p w14:paraId="51DE4B72">
      <w:pPr>
        <w:spacing w:line="540" w:lineRule="exact"/>
        <w:rPr>
          <w:rStyle w:val="9"/>
          <w:rFonts w:ascii="仿宋" w:hAnsi="仿宋" w:eastAsia="仿宋" w:cs="楷体"/>
          <w:b w:val="0"/>
          <w:spacing w:val="-4"/>
          <w:sz w:val="32"/>
          <w:szCs w:val="32"/>
        </w:rPr>
      </w:pPr>
      <w:r>
        <w:rPr>
          <w:rStyle w:val="9"/>
          <w:rFonts w:hint="eastAsia" w:ascii="仿宋" w:hAnsi="仿宋" w:eastAsia="仿宋" w:cs="楷体"/>
          <w:b w:val="0"/>
          <w:spacing w:val="-4"/>
          <w:sz w:val="32"/>
          <w:szCs w:val="32"/>
        </w:rPr>
        <w:t xml:space="preserve">    </w:t>
      </w:r>
      <w:r>
        <w:rPr>
          <w:rStyle w:val="9"/>
          <w:rFonts w:hint="eastAsia" w:ascii="仿宋" w:hAnsi="仿宋" w:eastAsia="仿宋" w:cs="楷体"/>
          <w:bCs w:val="0"/>
          <w:spacing w:val="-4"/>
          <w:sz w:val="32"/>
          <w:szCs w:val="32"/>
        </w:rPr>
        <w:t>数量指标:</w:t>
      </w:r>
      <w:r>
        <w:rPr>
          <w:rStyle w:val="9"/>
          <w:rFonts w:hint="eastAsia" w:ascii="仿宋" w:hAnsi="仿宋" w:eastAsia="仿宋" w:cs="楷体"/>
          <w:b w:val="0"/>
          <w:spacing w:val="-4"/>
          <w:sz w:val="32"/>
          <w:szCs w:val="32"/>
        </w:rPr>
        <w:t>完成人员工资社保发放109人；工业和信息化工作调研达到7次；保障6辆公务用车正常运行维护；完成单位年度预算支付。</w:t>
      </w:r>
    </w:p>
    <w:p w14:paraId="1B8E59C7">
      <w:pPr>
        <w:spacing w:line="540" w:lineRule="exact"/>
        <w:ind w:firstLine="627" w:firstLineChars="200"/>
        <w:rPr>
          <w:rStyle w:val="9"/>
          <w:rFonts w:ascii="仿宋" w:hAnsi="仿宋" w:eastAsia="仿宋" w:cs="楷体"/>
          <w:b w:val="0"/>
          <w:spacing w:val="-4"/>
          <w:sz w:val="32"/>
          <w:szCs w:val="32"/>
        </w:rPr>
      </w:pPr>
      <w:r>
        <w:rPr>
          <w:rStyle w:val="9"/>
          <w:rFonts w:hint="eastAsia" w:ascii="仿宋" w:hAnsi="仿宋" w:eastAsia="仿宋" w:cs="楷体"/>
          <w:bCs w:val="0"/>
          <w:spacing w:val="-4"/>
          <w:sz w:val="32"/>
          <w:szCs w:val="32"/>
        </w:rPr>
        <w:t>时效指标：</w:t>
      </w:r>
      <w:r>
        <w:rPr>
          <w:rStyle w:val="9"/>
          <w:rFonts w:hint="eastAsia" w:ascii="仿宋" w:hAnsi="仿宋" w:eastAsia="仿宋" w:cs="楷体"/>
          <w:b w:val="0"/>
          <w:spacing w:val="-4"/>
          <w:sz w:val="32"/>
          <w:szCs w:val="32"/>
        </w:rPr>
        <w:t>2019年底前完成5万千瓦及以下燃煤机组淘汰关停；完成2019年工信工作年初工作任务；完成当年工作。</w:t>
      </w:r>
    </w:p>
    <w:p w14:paraId="3F89849A">
      <w:pPr>
        <w:spacing w:line="540" w:lineRule="exact"/>
        <w:ind w:firstLine="627" w:firstLineChars="200"/>
        <w:rPr>
          <w:rStyle w:val="9"/>
          <w:rFonts w:ascii="仿宋" w:hAnsi="仿宋" w:eastAsia="仿宋" w:cs="楷体"/>
          <w:b w:val="0"/>
          <w:spacing w:val="-4"/>
          <w:sz w:val="32"/>
          <w:szCs w:val="32"/>
        </w:rPr>
      </w:pPr>
      <w:r>
        <w:rPr>
          <w:rStyle w:val="9"/>
          <w:rFonts w:hint="eastAsia" w:ascii="仿宋" w:hAnsi="仿宋" w:eastAsia="仿宋" w:cs="楷体"/>
          <w:bCs w:val="0"/>
          <w:spacing w:val="-4"/>
          <w:sz w:val="32"/>
          <w:szCs w:val="32"/>
        </w:rPr>
        <w:t>成本指标：</w:t>
      </w:r>
      <w:r>
        <w:rPr>
          <w:rStyle w:val="9"/>
          <w:rFonts w:hint="eastAsia" w:ascii="仿宋" w:hAnsi="仿宋" w:eastAsia="仿宋" w:cs="楷体"/>
          <w:b w:val="0"/>
          <w:spacing w:val="-4"/>
          <w:sz w:val="32"/>
          <w:szCs w:val="32"/>
        </w:rPr>
        <w:t>推动工业和信息化工作人员及公用经费782万元。</w:t>
      </w:r>
    </w:p>
    <w:p w14:paraId="68433346">
      <w:pPr>
        <w:spacing w:line="540" w:lineRule="exact"/>
        <w:ind w:firstLine="627" w:firstLineChars="200"/>
        <w:rPr>
          <w:rStyle w:val="9"/>
          <w:rFonts w:ascii="仿宋" w:hAnsi="仿宋" w:eastAsia="仿宋" w:cs="楷体"/>
          <w:bCs w:val="0"/>
          <w:spacing w:val="-4"/>
          <w:sz w:val="32"/>
          <w:szCs w:val="32"/>
        </w:rPr>
      </w:pPr>
      <w:r>
        <w:rPr>
          <w:rStyle w:val="9"/>
          <w:rFonts w:hint="eastAsia" w:ascii="仿宋" w:hAnsi="仿宋" w:eastAsia="仿宋" w:cs="楷体"/>
          <w:bCs w:val="0"/>
          <w:spacing w:val="-4"/>
          <w:sz w:val="32"/>
          <w:szCs w:val="32"/>
        </w:rPr>
        <w:t>效益指标</w:t>
      </w:r>
    </w:p>
    <w:p w14:paraId="07515053">
      <w:pPr>
        <w:spacing w:line="540" w:lineRule="exact"/>
        <w:ind w:firstLine="627" w:firstLineChars="200"/>
        <w:rPr>
          <w:rStyle w:val="9"/>
          <w:rFonts w:ascii="仿宋" w:hAnsi="仿宋" w:eastAsia="仿宋" w:cs="楷体"/>
          <w:b w:val="0"/>
          <w:spacing w:val="-4"/>
          <w:sz w:val="32"/>
          <w:szCs w:val="32"/>
        </w:rPr>
      </w:pPr>
      <w:r>
        <w:rPr>
          <w:rStyle w:val="9"/>
          <w:rFonts w:hint="eastAsia" w:ascii="仿宋" w:hAnsi="仿宋" w:eastAsia="仿宋" w:cs="楷体"/>
          <w:bCs w:val="0"/>
          <w:spacing w:val="-4"/>
          <w:sz w:val="32"/>
          <w:szCs w:val="32"/>
        </w:rPr>
        <w:t>社会效益指标：</w:t>
      </w:r>
      <w:r>
        <w:rPr>
          <w:rStyle w:val="9"/>
          <w:rFonts w:hint="eastAsia" w:ascii="仿宋" w:hAnsi="仿宋" w:eastAsia="仿宋" w:cs="楷体"/>
          <w:b w:val="0"/>
          <w:spacing w:val="-4"/>
          <w:sz w:val="32"/>
          <w:szCs w:val="32"/>
        </w:rPr>
        <w:t>纺织服装产业带动就业效果明显。</w:t>
      </w:r>
    </w:p>
    <w:p w14:paraId="4E79E8B1">
      <w:pPr>
        <w:spacing w:line="540" w:lineRule="exact"/>
        <w:ind w:firstLine="627" w:firstLineChars="200"/>
        <w:rPr>
          <w:rStyle w:val="9"/>
          <w:rFonts w:ascii="仿宋" w:hAnsi="仿宋" w:eastAsia="仿宋" w:cs="楷体"/>
          <w:b w:val="0"/>
          <w:spacing w:val="-4"/>
          <w:sz w:val="32"/>
          <w:szCs w:val="32"/>
        </w:rPr>
      </w:pPr>
      <w:r>
        <w:rPr>
          <w:rStyle w:val="9"/>
          <w:rFonts w:hint="eastAsia" w:ascii="仿宋" w:hAnsi="仿宋" w:eastAsia="仿宋" w:cs="楷体"/>
          <w:bCs w:val="0"/>
          <w:spacing w:val="-4"/>
          <w:sz w:val="32"/>
          <w:szCs w:val="32"/>
        </w:rPr>
        <w:t>可持续影响指标：</w:t>
      </w:r>
      <w:r>
        <w:rPr>
          <w:rStyle w:val="9"/>
          <w:rFonts w:hint="eastAsia" w:ascii="仿宋" w:hAnsi="仿宋" w:eastAsia="仿宋" w:cs="楷体"/>
          <w:b w:val="0"/>
          <w:spacing w:val="-4"/>
          <w:sz w:val="32"/>
          <w:szCs w:val="32"/>
        </w:rPr>
        <w:t>持续推进推动巴州工业和信息化工作可持续发展。</w:t>
      </w:r>
    </w:p>
    <w:p w14:paraId="192EDA5D">
      <w:pPr>
        <w:snapToGrid w:val="0"/>
        <w:spacing w:line="540" w:lineRule="exact"/>
        <w:ind w:firstLine="627" w:firstLineChars="200"/>
        <w:rPr>
          <w:rStyle w:val="9"/>
          <w:rFonts w:ascii="黑体" w:hAnsi="黑体" w:eastAsia="黑体" w:cs="黑体"/>
          <w:spacing w:val="-4"/>
          <w:sz w:val="32"/>
          <w:szCs w:val="32"/>
        </w:rPr>
      </w:pPr>
      <w:r>
        <w:rPr>
          <w:rStyle w:val="9"/>
          <w:rFonts w:hint="eastAsia" w:ascii="黑体" w:hAnsi="黑体" w:eastAsia="黑体" w:cs="黑体"/>
          <w:spacing w:val="-4"/>
          <w:sz w:val="32"/>
          <w:szCs w:val="32"/>
        </w:rPr>
        <w:t>2、满意度指标</w:t>
      </w:r>
    </w:p>
    <w:p w14:paraId="5EDA9EEE">
      <w:pPr>
        <w:snapToGrid w:val="0"/>
        <w:spacing w:line="540" w:lineRule="exact"/>
        <w:ind w:firstLine="648"/>
        <w:rPr>
          <w:rStyle w:val="9"/>
          <w:rFonts w:ascii="黑体" w:hAnsi="黑体" w:eastAsia="黑体" w:cs="黑体"/>
          <w:spacing w:val="-4"/>
          <w:sz w:val="32"/>
          <w:szCs w:val="32"/>
        </w:rPr>
      </w:pPr>
      <w:r>
        <w:rPr>
          <w:rStyle w:val="9"/>
          <w:rFonts w:hint="eastAsia" w:ascii="仿宋_GB2312" w:hAnsi="仿宋_GB2312" w:cs="仿宋_GB2312"/>
          <w:b w:val="0"/>
          <w:bCs w:val="0"/>
          <w:spacing w:val="-4"/>
          <w:sz w:val="32"/>
          <w:szCs w:val="32"/>
        </w:rPr>
        <w:t>服务对象满意度指标：达到95%服务对象满意。</w:t>
      </w:r>
    </w:p>
    <w:p w14:paraId="639066AE">
      <w:pPr>
        <w:pStyle w:val="2"/>
        <w:ind w:left="600" w:firstLine="600"/>
      </w:pPr>
    </w:p>
    <w:p w14:paraId="54947082">
      <w:pPr>
        <w:numPr>
          <w:ilvl w:val="0"/>
          <w:numId w:val="5"/>
        </w:numPr>
        <w:spacing w:line="600" w:lineRule="exact"/>
        <w:ind w:firstLine="600" w:firstLineChars="200"/>
        <w:rPr>
          <w:rFonts w:ascii="黑体" w:hAnsi="黑体" w:eastAsia="黑体"/>
        </w:rPr>
      </w:pPr>
      <w:r>
        <w:rPr>
          <w:rFonts w:hint="eastAsia" w:ascii="黑体" w:hAnsi="黑体" w:eastAsia="黑体"/>
        </w:rPr>
        <w:t>主要经验及做法、存在的问题及原因分析</w:t>
      </w:r>
    </w:p>
    <w:p w14:paraId="0AAD77E5">
      <w:pPr>
        <w:pBdr>
          <w:bottom w:val="single" w:color="FFFFFF" w:sz="4" w:space="31"/>
        </w:pBdr>
        <w:spacing w:line="560" w:lineRule="exact"/>
        <w:ind w:firstLine="600" w:firstLineChars="200"/>
        <w:rPr>
          <w:rFonts w:ascii="仿宋_GB2312"/>
          <w:snapToGrid w:val="0"/>
          <w:color w:val="000000"/>
          <w:kern w:val="0"/>
          <w:sz w:val="31"/>
          <w:szCs w:val="31"/>
        </w:rPr>
      </w:pPr>
      <w:r>
        <w:rPr>
          <w:rFonts w:hint="eastAsia"/>
        </w:rPr>
        <w:t xml:space="preserve">   </w:t>
      </w:r>
      <w:r>
        <w:rPr>
          <w:rFonts w:hint="eastAsia" w:ascii="方正楷体_GBK" w:hAnsi="_x000B__x000C_" w:eastAsia="方正楷体_GBK"/>
          <w:snapToGrid w:val="0"/>
          <w:color w:val="000000"/>
          <w:kern w:val="0"/>
          <w:sz w:val="31"/>
          <w:szCs w:val="31"/>
        </w:rPr>
        <w:t>（一）煤炭供应存在隐忧。</w:t>
      </w:r>
      <w:r>
        <w:rPr>
          <w:rFonts w:hint="eastAsia" w:ascii="仿宋_GB2312"/>
          <w:snapToGrid w:val="0"/>
          <w:color w:val="000000"/>
          <w:kern w:val="0"/>
          <w:sz w:val="31"/>
          <w:szCs w:val="31"/>
        </w:rPr>
        <w:t>2019年煤炭总需求720万吨左右，本地煤炭产量预计380万吨，剔除85万吨配焦煤外售，实际需从外地调入煤炭425万吨，主要从准东调入，外调煤占总需求量的59%。因准东煤矿限产及其自用煤增加，向外地供煤不能完全保证；巴州主力煤矿金川煤矿10月拟更换采掘面，计划停产3个月，下半年有可能出现煤炭供应紧张局面，我局正在加紧协调这方面工作。8月24日，我局已向自治区工信厅递交《关于协调解决巴州煤炭保供有关问题的请示》，其中，主要请求协调解决铁路运输车皮、煤源、煤价问题。</w:t>
      </w:r>
    </w:p>
    <w:p w14:paraId="0D6096F2">
      <w:pPr>
        <w:pBdr>
          <w:bottom w:val="single" w:color="FFFFFF" w:sz="4" w:space="31"/>
        </w:pBdr>
        <w:spacing w:line="560" w:lineRule="exact"/>
        <w:ind w:firstLine="620" w:firstLineChars="200"/>
        <w:rPr>
          <w:rFonts w:eastAsia="方正仿宋_GBK"/>
          <w:snapToGrid w:val="0"/>
          <w:spacing w:val="4"/>
          <w:kern w:val="0"/>
          <w:sz w:val="31"/>
          <w:szCs w:val="31"/>
        </w:rPr>
      </w:pPr>
      <w:r>
        <w:rPr>
          <w:rFonts w:hint="eastAsia" w:ascii="方正楷体_GBK" w:hAnsi="_x000B__x000C_" w:eastAsia="方正楷体_GBK"/>
          <w:snapToGrid w:val="0"/>
          <w:color w:val="000000"/>
          <w:kern w:val="0"/>
          <w:sz w:val="31"/>
          <w:szCs w:val="31"/>
        </w:rPr>
        <w:t>（二）天然气供应出现供需方矛盾。</w:t>
      </w:r>
      <w:r>
        <w:rPr>
          <w:rFonts w:hint="eastAsia" w:ascii="仿宋_GB2312" w:hAnsi="仿宋_GB2312" w:cs="仿宋_GB2312"/>
          <w:snapToGrid w:val="0"/>
          <w:spacing w:val="4"/>
          <w:kern w:val="0"/>
          <w:sz w:val="32"/>
          <w:szCs w:val="32"/>
        </w:rPr>
        <w:t>据调查摸底，2019年，全州天然气需求量29亿方，中石油、中石化两家企业实际给巴州供应量16.4亿方（中石油14.9亿方，中石化1.5亿方），缺口量12.6亿方（包含冬季企业生产用气）。</w:t>
      </w:r>
      <w:r>
        <w:rPr>
          <w:rFonts w:hint="eastAsia" w:ascii="仿宋_GB2312" w:hAnsi="仿宋_GB2312" w:cs="仿宋_GB2312"/>
          <w:snapToGrid w:val="0"/>
          <w:kern w:val="0"/>
          <w:sz w:val="32"/>
          <w:szCs w:val="32"/>
        </w:rPr>
        <w:t>截至目</w:t>
      </w:r>
      <w:r>
        <w:rPr>
          <w:rFonts w:hint="eastAsia" w:ascii="仿宋_GB2312" w:hAnsi="宋体" w:cs="宋体"/>
          <w:snapToGrid w:val="0"/>
          <w:kern w:val="0"/>
          <w:sz w:val="31"/>
          <w:szCs w:val="31"/>
        </w:rPr>
        <w:t>前，一供气量较上年减少，不能满足实际需求；二供气综合价格上涨，包括，居民气、均衡1、均衡2、调峰气，分别上涨13%、21%、</w:t>
      </w:r>
      <w:r>
        <w:rPr>
          <w:rFonts w:hint="eastAsia" w:ascii="方正仿宋_GBK" w:hAnsi="宋体" w:eastAsia="方正仿宋_GBK" w:cs="宋体"/>
          <w:snapToGrid w:val="0"/>
          <w:kern w:val="0"/>
          <w:sz w:val="31"/>
          <w:szCs w:val="31"/>
        </w:rPr>
        <w:t>31%和38.6%</w:t>
      </w:r>
      <w:r>
        <w:rPr>
          <w:rFonts w:hint="eastAsia" w:ascii="宋体" w:hAnsi="宋体" w:cs="宋体"/>
          <w:snapToGrid w:val="0"/>
          <w:kern w:val="0"/>
          <w:sz w:val="31"/>
          <w:szCs w:val="31"/>
        </w:rPr>
        <w:t>；</w:t>
      </w:r>
      <w:r>
        <w:rPr>
          <w:rFonts w:hint="eastAsia" w:ascii="仿宋_GB2312" w:hAnsi="宋体" w:cs="宋体"/>
          <w:snapToGrid w:val="0"/>
          <w:kern w:val="0"/>
          <w:sz w:val="31"/>
          <w:szCs w:val="31"/>
        </w:rPr>
        <w:t>而终端价格尚未理顺，导致燃气企业经营困难。6月30日，自治区召开了签订天然气供销合同协调会，要求中石油天然气销售新疆分公司向中石油总部反映城然企业的诉求，并更改合同条款。目前，我局密切跟踪关注，将根据自治区的要求，积极做好协调工作，力促企业早日</w:t>
      </w:r>
      <w:r>
        <w:rPr>
          <w:rFonts w:hint="eastAsia" w:eastAsia="方正仿宋_GBK"/>
          <w:snapToGrid w:val="0"/>
          <w:spacing w:val="4"/>
          <w:kern w:val="0"/>
          <w:sz w:val="31"/>
          <w:szCs w:val="31"/>
        </w:rPr>
        <w:t>签订《</w:t>
      </w:r>
      <w:r>
        <w:rPr>
          <w:rFonts w:eastAsia="方正仿宋_GBK"/>
          <w:snapToGrid w:val="0"/>
          <w:spacing w:val="4"/>
          <w:kern w:val="0"/>
          <w:sz w:val="31"/>
          <w:szCs w:val="31"/>
        </w:rPr>
        <w:t>2019-2020</w:t>
      </w:r>
      <w:r>
        <w:rPr>
          <w:rFonts w:hint="eastAsia" w:eastAsia="方正仿宋_GBK"/>
          <w:snapToGrid w:val="0"/>
          <w:spacing w:val="4"/>
          <w:kern w:val="0"/>
          <w:sz w:val="31"/>
          <w:szCs w:val="31"/>
        </w:rPr>
        <w:t>年天然气购销合同》。</w:t>
      </w:r>
    </w:p>
    <w:p w14:paraId="196870F5">
      <w:pPr>
        <w:pBdr>
          <w:bottom w:val="single" w:color="FFFFFF" w:sz="4" w:space="31"/>
        </w:pBdr>
        <w:spacing w:line="560" w:lineRule="exact"/>
        <w:ind w:firstLine="620" w:firstLineChars="200"/>
        <w:rPr>
          <w:rFonts w:ascii="仿宋_GB2312"/>
          <w:snapToGrid w:val="0"/>
          <w:color w:val="000000"/>
          <w:kern w:val="0"/>
          <w:sz w:val="31"/>
          <w:szCs w:val="31"/>
        </w:rPr>
      </w:pPr>
      <w:r>
        <w:rPr>
          <w:rFonts w:hint="eastAsia" w:ascii="方正楷体_GBK" w:hAnsi="_x000B__x000C_" w:eastAsia="方正楷体_GBK"/>
          <w:snapToGrid w:val="0"/>
          <w:color w:val="000000"/>
          <w:kern w:val="0"/>
          <w:sz w:val="31"/>
          <w:szCs w:val="31"/>
        </w:rPr>
        <w:t>（三）纺织工业生产下行压力大。</w:t>
      </w:r>
      <w:r>
        <w:rPr>
          <w:rFonts w:hint="eastAsia" w:ascii="仿宋_GB2312"/>
          <w:snapToGrid w:val="0"/>
          <w:color w:val="000000"/>
          <w:kern w:val="0"/>
          <w:sz w:val="31"/>
          <w:szCs w:val="31"/>
        </w:rPr>
        <w:t>受纺织服装市场预期改变影响，粘胶纱、棉纱需求减弱，订单减少，价格下降，影响棉纱企业生产；尉犁县纺织企业税票问题处理进度缓慢，影响16家企业正常生产。</w:t>
      </w:r>
    </w:p>
    <w:p w14:paraId="286EBBC6">
      <w:pPr>
        <w:pBdr>
          <w:bottom w:val="single" w:color="FFFFFF" w:sz="4" w:space="31"/>
        </w:pBdr>
        <w:spacing w:line="560" w:lineRule="exact"/>
        <w:ind w:firstLine="620" w:firstLineChars="200"/>
        <w:rPr>
          <w:rFonts w:ascii="仿宋_GB2312"/>
          <w:snapToGrid w:val="0"/>
          <w:color w:val="000000"/>
          <w:kern w:val="0"/>
          <w:sz w:val="31"/>
          <w:szCs w:val="31"/>
        </w:rPr>
      </w:pPr>
      <w:r>
        <w:rPr>
          <w:rFonts w:hint="eastAsia" w:ascii="方正楷体_GBK" w:hAnsi="_x000B__x000C_" w:eastAsia="方正楷体_GBK"/>
          <w:snapToGrid w:val="0"/>
          <w:color w:val="000000"/>
          <w:kern w:val="0"/>
          <w:sz w:val="31"/>
          <w:szCs w:val="31"/>
        </w:rPr>
        <w:t>（四）工业增长潜力尚未释放。</w:t>
      </w:r>
      <w:r>
        <w:rPr>
          <w:rFonts w:hint="eastAsia" w:ascii="仿宋_GB2312"/>
          <w:snapToGrid w:val="0"/>
          <w:color w:val="000000"/>
          <w:kern w:val="0"/>
          <w:sz w:val="31"/>
          <w:szCs w:val="31"/>
        </w:rPr>
        <w:t>52个增长点、48个提能达产、48个升规入统进展不理想，潜力尚未释放，1-8月，分别完成年度目标的23.4%、59.3%和12.3%。</w:t>
      </w:r>
    </w:p>
    <w:p w14:paraId="3D45A64A">
      <w:pPr>
        <w:pBdr>
          <w:bottom w:val="single" w:color="FFFFFF" w:sz="4" w:space="31"/>
        </w:pBdr>
        <w:spacing w:line="560" w:lineRule="exact"/>
        <w:ind w:firstLine="620" w:firstLineChars="200"/>
        <w:rPr>
          <w:rFonts w:ascii="仿宋_GB2312"/>
          <w:snapToGrid w:val="0"/>
          <w:color w:val="000000"/>
          <w:kern w:val="0"/>
          <w:sz w:val="31"/>
          <w:szCs w:val="31"/>
        </w:rPr>
      </w:pPr>
      <w:r>
        <w:rPr>
          <w:rFonts w:hint="eastAsia" w:ascii="方正楷体_GBK" w:hAnsi="_x000B__x000C_" w:eastAsia="方正楷体_GBK"/>
          <w:snapToGrid w:val="0"/>
          <w:color w:val="000000"/>
          <w:kern w:val="0"/>
          <w:sz w:val="31"/>
          <w:szCs w:val="31"/>
        </w:rPr>
        <w:t>（五）非石油工业投资下滑。</w:t>
      </w:r>
      <w:r>
        <w:rPr>
          <w:rFonts w:hint="eastAsia" w:ascii="仿宋_GB2312"/>
          <w:snapToGrid w:val="0"/>
          <w:color w:val="000000"/>
          <w:kern w:val="0"/>
          <w:sz w:val="31"/>
          <w:szCs w:val="31"/>
        </w:rPr>
        <w:t>1-9月，非石油工业完成投资同比下降12.2%，其中纺织业完成投资同比下降75.1%，投资下滑将影响非石油工业增长后劲。</w:t>
      </w:r>
    </w:p>
    <w:p w14:paraId="38D894FD">
      <w:pPr>
        <w:pBdr>
          <w:bottom w:val="single" w:color="FFFFFF" w:sz="4" w:space="31"/>
        </w:pBdr>
        <w:spacing w:line="560" w:lineRule="exact"/>
        <w:ind w:firstLine="620" w:firstLineChars="200"/>
        <w:rPr>
          <w:rFonts w:ascii="仿宋_GB2312"/>
          <w:snapToGrid w:val="0"/>
          <w:color w:val="000000"/>
          <w:kern w:val="0"/>
          <w:sz w:val="31"/>
          <w:szCs w:val="31"/>
        </w:rPr>
      </w:pPr>
      <w:r>
        <w:rPr>
          <w:rFonts w:hint="eastAsia" w:ascii="方正楷体_GBK" w:hAnsi="_x000B__x000C_" w:eastAsia="方正楷体_GBK"/>
          <w:snapToGrid w:val="0"/>
          <w:color w:val="000000"/>
          <w:kern w:val="0"/>
          <w:sz w:val="31"/>
          <w:szCs w:val="31"/>
        </w:rPr>
        <w:t>（六）产业结构偏重，能源型产业占比过高。</w:t>
      </w:r>
      <w:r>
        <w:rPr>
          <w:rFonts w:hint="eastAsia" w:ascii="仿宋_GB2312"/>
          <w:snapToGrid w:val="0"/>
          <w:color w:val="000000"/>
          <w:kern w:val="0"/>
          <w:sz w:val="31"/>
          <w:szCs w:val="31"/>
        </w:rPr>
        <w:t>我州重工业比重大，新旧动能结构占比不合理，战略性新兴产业、高技术产业占工业总比重低，具有优势的新能源、先进装备制造等产业配套也不完善。</w:t>
      </w:r>
    </w:p>
    <w:p w14:paraId="60647614">
      <w:pPr>
        <w:pStyle w:val="2"/>
        <w:ind w:left="0" w:leftChars="0" w:firstLine="0" w:firstLineChars="0"/>
      </w:pPr>
    </w:p>
    <w:p w14:paraId="782A7657">
      <w:pPr>
        <w:numPr>
          <w:ilvl w:val="0"/>
          <w:numId w:val="5"/>
        </w:numPr>
        <w:spacing w:line="600" w:lineRule="exact"/>
        <w:ind w:firstLine="600" w:firstLineChars="200"/>
        <w:rPr>
          <w:rFonts w:ascii="黑体" w:hAnsi="黑体" w:eastAsia="黑体"/>
        </w:rPr>
      </w:pPr>
      <w:r>
        <w:rPr>
          <w:rFonts w:hint="eastAsia" w:ascii="黑体" w:hAnsi="黑体" w:eastAsia="黑体"/>
        </w:rPr>
        <w:t>有关建议</w:t>
      </w:r>
    </w:p>
    <w:p w14:paraId="3CF27CB0">
      <w:pPr>
        <w:pBdr>
          <w:bottom w:val="single" w:color="FFFFFF" w:sz="4" w:space="31"/>
        </w:pBdr>
        <w:spacing w:line="560" w:lineRule="exact"/>
        <w:ind w:firstLine="620" w:firstLineChars="200"/>
        <w:rPr>
          <w:rFonts w:ascii="仿宋_GB2312"/>
          <w:snapToGrid w:val="0"/>
          <w:color w:val="000000"/>
          <w:kern w:val="0"/>
          <w:sz w:val="31"/>
          <w:szCs w:val="31"/>
        </w:rPr>
      </w:pPr>
      <w:r>
        <w:rPr>
          <w:rFonts w:hint="eastAsia" w:ascii="方正楷体_GBK" w:hAnsi="_x000B__x000C_" w:eastAsia="方正楷体_GBK"/>
          <w:snapToGrid w:val="0"/>
          <w:color w:val="000000"/>
          <w:kern w:val="0"/>
          <w:sz w:val="31"/>
          <w:szCs w:val="31"/>
        </w:rPr>
        <w:t>（一）重点做好煤、气、油、运的保障协调。</w:t>
      </w:r>
      <w:r>
        <w:rPr>
          <w:rFonts w:hint="eastAsia" w:ascii="仿宋_GB2312"/>
          <w:snapToGrid w:val="0"/>
          <w:color w:val="000000"/>
          <w:kern w:val="0"/>
          <w:sz w:val="31"/>
          <w:szCs w:val="31"/>
        </w:rPr>
        <w:t>大力抓好煤炭、天然气、铁路运输等要素协调工作。充分认清可能出现的煤炭供应趋紧态势，高度重视今冬明春煤炭保供、天然气协调工作，未雨绸缪，认真落实</w:t>
      </w:r>
      <w:r>
        <w:rPr>
          <w:rFonts w:hint="eastAsia" w:ascii="仿宋_GB2312"/>
          <w:snapToGrid w:val="0"/>
          <w:color w:val="000000"/>
          <w:spacing w:val="4"/>
          <w:kern w:val="0"/>
          <w:sz w:val="31"/>
          <w:szCs w:val="31"/>
        </w:rPr>
        <w:t>《关于提前做好今冬明春煤炭储备保障工作的通知》要求，</w:t>
      </w:r>
      <w:r>
        <w:rPr>
          <w:rFonts w:hint="eastAsia" w:ascii="仿宋_GB2312"/>
          <w:snapToGrid w:val="0"/>
          <w:spacing w:val="4"/>
          <w:kern w:val="0"/>
          <w:sz w:val="31"/>
          <w:szCs w:val="31"/>
        </w:rPr>
        <w:t>建立煤炭储备旬报制度，</w:t>
      </w:r>
      <w:r>
        <w:rPr>
          <w:rFonts w:hint="eastAsia" w:ascii="仿宋_GB2312"/>
          <w:snapToGrid w:val="0"/>
          <w:color w:val="000000"/>
          <w:kern w:val="0"/>
          <w:sz w:val="31"/>
          <w:szCs w:val="31"/>
        </w:rPr>
        <w:t>督促重点企业做好储煤工作。</w:t>
      </w:r>
      <w:r>
        <w:rPr>
          <w:rFonts w:hint="eastAsia" w:ascii="仿宋_GB2312"/>
          <w:snapToGrid w:val="0"/>
          <w:kern w:val="0"/>
          <w:sz w:val="31"/>
          <w:szCs w:val="31"/>
        </w:rPr>
        <w:t>做好协调服务工作，加快邢美矿业年产120万吨煤炭项目建设，力争年底出煤。</w:t>
      </w:r>
      <w:r>
        <w:rPr>
          <w:rFonts w:hint="eastAsia" w:ascii="仿宋_GB2312"/>
          <w:snapToGrid w:val="0"/>
          <w:color w:val="000000"/>
          <w:kern w:val="0"/>
          <w:sz w:val="31"/>
          <w:szCs w:val="31"/>
        </w:rPr>
        <w:t>抓好天然气协调争取工作，加强与中石油销售</w:t>
      </w:r>
      <w:r>
        <w:rPr>
          <w:rFonts w:hint="eastAsia" w:ascii="仿宋_GB2312"/>
          <w:snapToGrid w:val="0"/>
          <w:kern w:val="0"/>
          <w:sz w:val="31"/>
          <w:szCs w:val="31"/>
        </w:rPr>
        <w:t>新疆</w:t>
      </w:r>
      <w:r>
        <w:rPr>
          <w:rFonts w:hint="eastAsia" w:ascii="仿宋_GB2312"/>
          <w:snapToGrid w:val="0"/>
          <w:color w:val="000000"/>
          <w:kern w:val="0"/>
          <w:sz w:val="31"/>
          <w:szCs w:val="31"/>
        </w:rPr>
        <w:t>分公司、中石油塔里木油田公司的协调，督促天然气大户签订供销合同，尽最大努力为用气大户争取用气缺口指标。积极与自治区油区办协调，协调落实沥青企业用油指标，保障沥青企业正常生产。加强与自治区运行局、库尔勒铁路货运中心联系，加强煤炭外调、季节性工业品外运顺畅工作力度。</w:t>
      </w:r>
    </w:p>
    <w:p w14:paraId="219A6CEC">
      <w:pPr>
        <w:pBdr>
          <w:bottom w:val="single" w:color="FFFFFF" w:sz="4" w:space="31"/>
        </w:pBdr>
        <w:spacing w:line="560" w:lineRule="exact"/>
        <w:ind w:firstLine="620" w:firstLineChars="200"/>
        <w:rPr>
          <w:rFonts w:ascii="仿宋_GB2312" w:hAnsi="微软雅黑"/>
          <w:snapToGrid w:val="0"/>
          <w:kern w:val="0"/>
          <w:sz w:val="31"/>
          <w:szCs w:val="31"/>
        </w:rPr>
      </w:pPr>
      <w:r>
        <w:rPr>
          <w:rFonts w:hint="eastAsia" w:ascii="方正楷体_GBK" w:hAnsi="_x000B__x000C_" w:eastAsia="方正楷体_GBK"/>
          <w:snapToGrid w:val="0"/>
          <w:color w:val="000000"/>
          <w:kern w:val="0"/>
          <w:sz w:val="31"/>
          <w:szCs w:val="31"/>
        </w:rPr>
        <w:t>（二）继续加强工业经济运行监测、服务和协调。</w:t>
      </w:r>
      <w:r>
        <w:rPr>
          <w:rFonts w:hint="eastAsia" w:ascii="仿宋_GB2312" w:hAnsi="微软雅黑"/>
          <w:snapToGrid w:val="0"/>
          <w:color w:val="000000"/>
          <w:kern w:val="0"/>
          <w:sz w:val="31"/>
          <w:szCs w:val="31"/>
        </w:rPr>
        <w:t>一是强化运行监测，力争实现目标。准确把握重点企业运行总体趋势，及时解决经济运行中存在的问题；切实协调、指导、解决好企业资金、用工、市场等方面的问题，确保企业满负荷生产。二是进一步强化调度协作，主动及时沟通，积极支持和帮助企业完善手续；加强部门互动协作，信息共享，深入新开办企业走访、了解情况，做好各项基础工作，培育新的增长点，重点加强52个增长点、48家提能达产、48家升规入统企业的协调服务。</w:t>
      </w:r>
      <w:r>
        <w:rPr>
          <w:rFonts w:hint="eastAsia" w:ascii="仿宋_GB2312" w:hAnsi="微软雅黑"/>
          <w:snapToGrid w:val="0"/>
          <w:kern w:val="0"/>
          <w:sz w:val="31"/>
          <w:szCs w:val="31"/>
        </w:rPr>
        <w:t>三是各县市、各园区要发挥主体责任，按照“一企一策”的要求，对每个增长点、提能达产、升规入统企业提出具体的帮扶措施，并明确责任单位和责任人，按月报送工作推进情况。</w:t>
      </w:r>
    </w:p>
    <w:p w14:paraId="73A1F587">
      <w:pPr>
        <w:pBdr>
          <w:bottom w:val="single" w:color="FFFFFF" w:sz="4" w:space="31"/>
        </w:pBdr>
        <w:spacing w:line="560" w:lineRule="exact"/>
        <w:ind w:firstLine="620" w:firstLineChars="200"/>
        <w:rPr>
          <w:rFonts w:ascii="仿宋_GB2312"/>
          <w:snapToGrid w:val="0"/>
          <w:color w:val="000000"/>
          <w:kern w:val="0"/>
          <w:sz w:val="31"/>
          <w:szCs w:val="31"/>
        </w:rPr>
      </w:pPr>
      <w:r>
        <w:rPr>
          <w:rFonts w:hint="eastAsia" w:ascii="方正楷体_GBK" w:hAnsi="_x000B__x000C_" w:eastAsia="方正楷体_GBK"/>
          <w:snapToGrid w:val="0"/>
          <w:color w:val="000000"/>
          <w:kern w:val="0"/>
          <w:sz w:val="31"/>
          <w:szCs w:val="31"/>
        </w:rPr>
        <w:t>（三）推进重点项目建设。</w:t>
      </w:r>
      <w:r>
        <w:rPr>
          <w:rFonts w:hint="eastAsia" w:ascii="仿宋_GB2312"/>
          <w:snapToGrid w:val="0"/>
          <w:color w:val="000000"/>
          <w:kern w:val="0"/>
          <w:sz w:val="31"/>
          <w:szCs w:val="31"/>
        </w:rPr>
        <w:t>着力抓好天成西域25万吨钢管制造智能生产线、利泰丝路智能化纺纱三期、晨光生物植物综合提取、邢美矿业年产120万吨煤炭等重大项目推进服务工作。积极推进400万吨油煤共炼、120万吨PTA、150万吨PET、60万吨乙烷制乙烯建设，延伸化纤产业，与纺织产业紧密融合。</w:t>
      </w:r>
      <w:r>
        <w:rPr>
          <w:rFonts w:hint="eastAsia" w:ascii="仿宋_GB2312" w:hAnsi="_x000B__x000C_"/>
          <w:snapToGrid w:val="0"/>
          <w:color w:val="000000"/>
          <w:kern w:val="0"/>
          <w:sz w:val="31"/>
          <w:szCs w:val="31"/>
        </w:rPr>
        <w:t>尽快盘活</w:t>
      </w:r>
      <w:r>
        <w:rPr>
          <w:rFonts w:hint="eastAsia" w:ascii="仿宋_GB2312" w:hAnsi="黑体"/>
          <w:snapToGrid w:val="0"/>
          <w:color w:val="000000"/>
          <w:kern w:val="0"/>
          <w:sz w:val="31"/>
          <w:szCs w:val="31"/>
        </w:rPr>
        <w:t>东辰工贸30万吨煤制甲醇、聚芳高科新材料项目投产和保利深蓝、天源化工及尉犁县纺织企业恢复生产工作，力促轮台龙泰改性沥青、塔星沥青二期、昆仑聚能生物等项目建成投产。推动</w:t>
      </w:r>
      <w:r>
        <w:rPr>
          <w:rFonts w:hint="eastAsia" w:ascii="仿宋_GB2312"/>
          <w:snapToGrid w:val="0"/>
          <w:color w:val="000000"/>
          <w:kern w:val="0"/>
          <w:sz w:val="31"/>
          <w:szCs w:val="31"/>
        </w:rPr>
        <w:t>军民融合产业宇航科技探空火箭实验中心、国家航天局空间碎片观测基地项目、子午工程二期库尔勒站项目建设。加快中泰昌达生物质面料、昆昱达纺织、西北袜业产业园、河北智阳纺织手巾城及罗布麻纤维、天丝等项目前期工作，拓展纺织产业链条。</w:t>
      </w:r>
    </w:p>
    <w:p w14:paraId="2D2ED762">
      <w:pPr>
        <w:pBdr>
          <w:bottom w:val="single" w:color="FFFFFF" w:sz="4" w:space="31"/>
        </w:pBdr>
        <w:spacing w:line="560" w:lineRule="exact"/>
        <w:ind w:firstLine="620" w:firstLineChars="200"/>
        <w:rPr>
          <w:rFonts w:ascii="仿宋_GB2312"/>
          <w:snapToGrid w:val="0"/>
          <w:kern w:val="0"/>
          <w:sz w:val="31"/>
          <w:szCs w:val="31"/>
        </w:rPr>
      </w:pPr>
      <w:r>
        <w:rPr>
          <w:rFonts w:hint="eastAsia" w:ascii="方正楷体_GBK" w:hAnsi="_x000B__x000C_" w:eastAsia="方正楷体_GBK"/>
          <w:snapToGrid w:val="0"/>
          <w:color w:val="000000"/>
          <w:kern w:val="0"/>
          <w:sz w:val="31"/>
          <w:szCs w:val="31"/>
        </w:rPr>
        <w:t>（四）采取有力措施扭转纺织行业生产下滑局面。</w:t>
      </w:r>
      <w:r>
        <w:rPr>
          <w:rFonts w:hint="eastAsia" w:ascii="仿宋_GB2312"/>
          <w:snapToGrid w:val="0"/>
          <w:kern w:val="0"/>
          <w:sz w:val="31"/>
          <w:szCs w:val="31"/>
        </w:rPr>
        <w:t>一是抓住康平纳、汇同泰投产的有利时机，加大宣传，吸引周边地区有印染需求的企业与其合作，增加订单，释放已有产能；加大印染下游产业招商力度，加速延伸产业链。二是抓好尉犁县纺织税票案的审理进度。税务、公安要加强沟通协调，依法依规进行查处，能结案的尽快结案，暂时不能结案的要提出解决办法；对已结案的企业，尉犁县政府、工业园区要想方设法使企业尽快恢复生产。三是加大织造、服装、家纺、产业用纺织等生产环节的招商引资力度，延生产业链，增强发展后劲。</w:t>
      </w:r>
    </w:p>
    <w:p w14:paraId="2D27FEC9">
      <w:pPr>
        <w:pBdr>
          <w:bottom w:val="single" w:color="FFFFFF" w:sz="4" w:space="31"/>
        </w:pBdr>
        <w:spacing w:line="560" w:lineRule="exact"/>
        <w:ind w:firstLine="620" w:firstLineChars="200"/>
        <w:rPr>
          <w:rFonts w:ascii="仿宋_GB2312" w:hAnsi="宋体"/>
          <w:snapToGrid w:val="0"/>
          <w:color w:val="000000"/>
          <w:kern w:val="0"/>
          <w:sz w:val="31"/>
          <w:szCs w:val="31"/>
          <w:shd w:val="clear" w:color="auto" w:fill="FFFFFF"/>
        </w:rPr>
      </w:pPr>
      <w:r>
        <w:rPr>
          <w:rFonts w:hint="eastAsia" w:ascii="方正楷体_GBK" w:hAnsi="_x000B__x000C_" w:eastAsia="方正楷体_GBK"/>
          <w:snapToGrid w:val="0"/>
          <w:color w:val="000000"/>
          <w:kern w:val="0"/>
          <w:sz w:val="31"/>
          <w:szCs w:val="31"/>
        </w:rPr>
        <w:t>（五）突出五大发展新理念。</w:t>
      </w:r>
      <w:r>
        <w:rPr>
          <w:rFonts w:hint="eastAsia" w:ascii="仿宋_GB2312" w:hAnsi="宋体"/>
          <w:snapToGrid w:val="0"/>
          <w:color w:val="000000"/>
          <w:kern w:val="0"/>
          <w:sz w:val="31"/>
          <w:szCs w:val="31"/>
          <w:shd w:val="clear" w:color="auto" w:fill="FFFFFF"/>
        </w:rPr>
        <w:t>认真落实州政府常务会研究通过的《自治州制造业高质量发展2025行动方案》，以加快新一代信息技术与制造业深度融合为主线，努力扩大我州制造业规模，培育制造新兴业态，推动制造业提质增效和转型升级。按照中纺院编制的《巴州纺织服装产业规划》（2019—2023年），进一步明晰产业方向，落实重点任务，</w:t>
      </w:r>
      <w:r>
        <w:rPr>
          <w:rFonts w:hint="eastAsia" w:ascii="仿宋_GB2312" w:hAnsi="宋体"/>
          <w:snapToGrid w:val="0"/>
          <w:color w:val="000000"/>
          <w:spacing w:val="8"/>
          <w:kern w:val="0"/>
          <w:sz w:val="31"/>
          <w:szCs w:val="31"/>
          <w:shd w:val="clear" w:color="auto" w:fill="FFFFFF"/>
        </w:rPr>
        <w:t>培育产业链条，</w:t>
      </w:r>
      <w:r>
        <w:rPr>
          <w:rFonts w:hint="eastAsia" w:ascii="仿宋_GB2312" w:hAnsi="宋体"/>
          <w:snapToGrid w:val="0"/>
          <w:color w:val="000000"/>
          <w:kern w:val="0"/>
          <w:sz w:val="31"/>
          <w:szCs w:val="31"/>
          <w:shd w:val="clear" w:color="auto" w:fill="FFFFFF"/>
        </w:rPr>
        <w:t>推进产业聚集，形成发展新动能，创造竞争新优势。</w:t>
      </w:r>
    </w:p>
    <w:p w14:paraId="6E040D26">
      <w:pPr>
        <w:pBdr>
          <w:bottom w:val="single" w:color="FFFFFF" w:sz="4" w:space="31"/>
        </w:pBdr>
        <w:spacing w:line="560" w:lineRule="exact"/>
        <w:ind w:firstLine="620" w:firstLineChars="200"/>
        <w:rPr>
          <w:rFonts w:ascii="仿宋_GB2312" w:hAnsi="黑体"/>
          <w:snapToGrid w:val="0"/>
          <w:color w:val="000000"/>
          <w:kern w:val="0"/>
          <w:sz w:val="31"/>
          <w:szCs w:val="31"/>
        </w:rPr>
      </w:pPr>
      <w:r>
        <w:rPr>
          <w:rFonts w:hint="eastAsia" w:ascii="方正楷体_GBK" w:hAnsi="_x000B__x000C_" w:eastAsia="方正楷体_GBK"/>
          <w:snapToGrid w:val="0"/>
          <w:color w:val="000000"/>
          <w:kern w:val="0"/>
          <w:sz w:val="31"/>
          <w:szCs w:val="31"/>
        </w:rPr>
        <w:t>（六）加大招商引资工作力度。</w:t>
      </w:r>
      <w:r>
        <w:rPr>
          <w:rFonts w:hint="eastAsia" w:ascii="仿宋_GB2312" w:hAnsi="_x000B__x000C_"/>
          <w:snapToGrid w:val="0"/>
          <w:color w:val="000000"/>
          <w:kern w:val="0"/>
          <w:sz w:val="31"/>
          <w:szCs w:val="31"/>
        </w:rPr>
        <w:t>重点围绕石油石化、纺织服装、农副产品加工、</w:t>
      </w:r>
      <w:r>
        <w:rPr>
          <w:rFonts w:hint="eastAsia" w:ascii="仿宋_GB2312" w:hAnsi="宋体"/>
          <w:snapToGrid w:val="0"/>
          <w:color w:val="000000"/>
          <w:spacing w:val="6"/>
          <w:kern w:val="0"/>
          <w:sz w:val="31"/>
          <w:szCs w:val="31"/>
        </w:rPr>
        <w:t>战略性新兴产业</w:t>
      </w:r>
      <w:r>
        <w:rPr>
          <w:rFonts w:hint="eastAsia" w:ascii="仿宋_GB2312" w:hAnsi="_x000B__x000C_"/>
          <w:snapToGrid w:val="0"/>
          <w:color w:val="000000"/>
          <w:kern w:val="0"/>
          <w:sz w:val="31"/>
          <w:szCs w:val="31"/>
        </w:rPr>
        <w:t>等产业，瞄准京津冀、长三角、珠三角、川渝地区重点关联企业，上门招商，驻点招商，</w:t>
      </w:r>
      <w:r>
        <w:rPr>
          <w:rFonts w:hint="eastAsia" w:ascii="仿宋_GB2312"/>
          <w:snapToGrid w:val="0"/>
          <w:color w:val="000000"/>
          <w:kern w:val="0"/>
          <w:sz w:val="31"/>
          <w:szCs w:val="31"/>
        </w:rPr>
        <w:t>落实达成的招商意向，积极跟踪对接，力争早签协议、早落地。</w:t>
      </w:r>
    </w:p>
    <w:p w14:paraId="2AD2C162">
      <w:pPr>
        <w:pBdr>
          <w:bottom w:val="single" w:color="FFFFFF" w:sz="4" w:space="31"/>
        </w:pBdr>
        <w:spacing w:line="560" w:lineRule="exact"/>
        <w:ind w:firstLine="620" w:firstLineChars="200"/>
        <w:rPr>
          <w:rFonts w:ascii="仿宋_GB2312" w:hAnsi="微软雅黑"/>
          <w:snapToGrid w:val="0"/>
          <w:color w:val="000000"/>
          <w:kern w:val="0"/>
          <w:sz w:val="31"/>
          <w:szCs w:val="31"/>
        </w:rPr>
      </w:pPr>
      <w:r>
        <w:rPr>
          <w:rFonts w:hint="eastAsia" w:ascii="方正楷体_GBK" w:hAnsi="_x000B__x000C_" w:eastAsia="方正楷体_GBK"/>
          <w:snapToGrid w:val="0"/>
          <w:color w:val="000000"/>
          <w:kern w:val="0"/>
          <w:sz w:val="31"/>
          <w:szCs w:val="31"/>
        </w:rPr>
        <w:t>（七）落实好“放管服”措施。</w:t>
      </w:r>
      <w:r>
        <w:rPr>
          <w:rFonts w:hint="eastAsia" w:ascii="仿宋_GB2312" w:hAnsi="黑体"/>
          <w:snapToGrid w:val="0"/>
          <w:color w:val="000000"/>
          <w:kern w:val="0"/>
          <w:sz w:val="31"/>
          <w:szCs w:val="31"/>
        </w:rPr>
        <w:t>持之以恒扶持民营经济发展，抓好减费降税、纺织行业财政补贴、清理拖欠民营企业中小企业账款和涉企保证金清理等工作。</w:t>
      </w:r>
      <w:r>
        <w:rPr>
          <w:rFonts w:hint="eastAsia" w:ascii="仿宋_GB2312" w:hAnsi="微软雅黑"/>
          <w:snapToGrid w:val="0"/>
          <w:color w:val="000000"/>
          <w:kern w:val="0"/>
          <w:sz w:val="31"/>
          <w:szCs w:val="31"/>
        </w:rPr>
        <w:t>通过创新服务手段，强化政策措施，提升发展环境等手段，帮助企业稳步发展；加强作风建设，增强服务意识，为企业营造调结构、促发展的良好氛围；引导企业加大技术改造，用足用好现有各项政策，提升企业发展能力。</w:t>
      </w:r>
    </w:p>
    <w:p w14:paraId="3BF67A7C">
      <w:pPr>
        <w:pStyle w:val="2"/>
        <w:ind w:left="600" w:firstLine="0" w:firstLineChars="0"/>
      </w:pPr>
    </w:p>
    <w:p w14:paraId="4EF161F1">
      <w:pPr>
        <w:numPr>
          <w:ilvl w:val="0"/>
          <w:numId w:val="5"/>
        </w:numPr>
        <w:spacing w:line="600" w:lineRule="exact"/>
        <w:ind w:firstLine="600" w:firstLineChars="200"/>
        <w:rPr>
          <w:rFonts w:ascii="黑体" w:hAnsi="黑体" w:eastAsia="黑体"/>
        </w:rPr>
      </w:pPr>
      <w:r>
        <w:rPr>
          <w:rFonts w:hint="eastAsia" w:ascii="黑体" w:hAnsi="黑体" w:eastAsia="黑体"/>
        </w:rPr>
        <w:t>其他需要说明的问题</w:t>
      </w:r>
    </w:p>
    <w:p w14:paraId="189A57B3">
      <w:pPr>
        <w:pStyle w:val="2"/>
        <w:ind w:left="600" w:firstLine="0" w:firstLineChars="0"/>
      </w:pPr>
      <w:r>
        <w:rPr>
          <w:rFonts w:hint="eastAsia"/>
        </w:rPr>
        <w:t>无。</w:t>
      </w:r>
    </w:p>
    <w:p w14:paraId="7A317BC3">
      <w:pPr>
        <w:sectPr>
          <w:pgSz w:w="11906" w:h="16838"/>
          <w:pgMar w:top="1928" w:right="1531" w:bottom="1701" w:left="1531" w:header="737" w:footer="851" w:gutter="0"/>
          <w:cols w:space="720" w:num="1"/>
          <w:docGrid w:type="lines" w:linePitch="408" w:charSpace="0"/>
        </w:sectPr>
      </w:pPr>
    </w:p>
    <w:p w14:paraId="1E98A171">
      <w:pPr>
        <w:pStyle w:val="4"/>
        <w:spacing w:before="0" w:after="0" w:line="240" w:lineRule="auto"/>
        <w:jc w:val="center"/>
        <w:rPr>
          <w:rFonts w:ascii="宋体" w:hAnsi="宋体" w:eastAsia="宋体" w:cs="宋体"/>
          <w:bCs/>
          <w:color w:val="000000"/>
          <w:sz w:val="36"/>
          <w:szCs w:val="28"/>
        </w:rPr>
      </w:pPr>
      <w:r>
        <w:rPr>
          <w:rFonts w:hint="eastAsia" w:ascii="宋体" w:hAnsi="宋体" w:eastAsia="宋体" w:cs="宋体"/>
          <w:bCs/>
          <w:color w:val="000000"/>
          <w:sz w:val="36"/>
          <w:szCs w:val="28"/>
        </w:rPr>
        <w:t>项目支出绩效评价指标体系框架</w:t>
      </w:r>
    </w:p>
    <w:p w14:paraId="4C71476A">
      <w:pPr>
        <w:pStyle w:val="4"/>
        <w:spacing w:before="0" w:after="0" w:line="240" w:lineRule="auto"/>
        <w:jc w:val="center"/>
        <w:rPr>
          <w:bCs/>
          <w:color w:val="000000"/>
        </w:rPr>
      </w:pPr>
    </w:p>
    <w:tbl>
      <w:tblPr>
        <w:tblStyle w:val="7"/>
        <w:tblW w:w="15375" w:type="dxa"/>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764"/>
        <w:gridCol w:w="1290"/>
        <w:gridCol w:w="7"/>
        <w:gridCol w:w="1411"/>
        <w:gridCol w:w="7"/>
        <w:gridCol w:w="2773"/>
        <w:gridCol w:w="7"/>
        <w:gridCol w:w="7339"/>
        <w:gridCol w:w="829"/>
        <w:gridCol w:w="12"/>
        <w:gridCol w:w="14"/>
        <w:gridCol w:w="896"/>
        <w:gridCol w:w="12"/>
        <w:gridCol w:w="14"/>
      </w:tblGrid>
      <w:tr w14:paraId="738890E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1"/>
          <w:wAfter w:w="11" w:type="dxa"/>
          <w:trHeight w:val="692" w:hRule="atLeast"/>
          <w:tblHeader/>
          <w:jc w:val="center"/>
        </w:trPr>
        <w:tc>
          <w:tcPr>
            <w:tcW w:w="764" w:type="dxa"/>
            <w:tcBorders>
              <w:tl2br w:val="nil"/>
              <w:tr2bl w:val="nil"/>
            </w:tcBorders>
            <w:shd w:val="clear" w:color="auto" w:fill="FFFFFF"/>
            <w:vAlign w:val="center"/>
          </w:tcPr>
          <w:p w14:paraId="731C39B0">
            <w:pPr>
              <w:widowControl/>
              <w:spacing w:line="0" w:lineRule="atLeast"/>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一级指标</w:t>
            </w:r>
          </w:p>
        </w:tc>
        <w:tc>
          <w:tcPr>
            <w:tcW w:w="1297" w:type="dxa"/>
            <w:gridSpan w:val="2"/>
            <w:tcBorders>
              <w:tl2br w:val="nil"/>
              <w:tr2bl w:val="nil"/>
            </w:tcBorders>
            <w:shd w:val="clear" w:color="auto" w:fill="FFFFFF"/>
            <w:vAlign w:val="center"/>
          </w:tcPr>
          <w:p w14:paraId="46B074B9">
            <w:pPr>
              <w:widowControl/>
              <w:spacing w:line="0" w:lineRule="atLeast"/>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二级指标</w:t>
            </w:r>
          </w:p>
        </w:tc>
        <w:tc>
          <w:tcPr>
            <w:tcW w:w="1411" w:type="dxa"/>
            <w:tcBorders>
              <w:tl2br w:val="nil"/>
              <w:tr2bl w:val="nil"/>
            </w:tcBorders>
            <w:shd w:val="clear" w:color="auto" w:fill="FFFFFF"/>
            <w:vAlign w:val="center"/>
          </w:tcPr>
          <w:p w14:paraId="526B8304">
            <w:pPr>
              <w:widowControl/>
              <w:spacing w:line="0" w:lineRule="atLeast"/>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三级指标</w:t>
            </w:r>
          </w:p>
        </w:tc>
        <w:tc>
          <w:tcPr>
            <w:tcW w:w="2788" w:type="dxa"/>
            <w:gridSpan w:val="3"/>
            <w:tcBorders>
              <w:tl2br w:val="nil"/>
              <w:tr2bl w:val="nil"/>
            </w:tcBorders>
            <w:shd w:val="clear" w:color="auto" w:fill="FFFFFF"/>
            <w:vAlign w:val="center"/>
          </w:tcPr>
          <w:p w14:paraId="33CBA868">
            <w:pPr>
              <w:widowControl/>
              <w:spacing w:line="0" w:lineRule="atLeast"/>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指标解释</w:t>
            </w:r>
          </w:p>
        </w:tc>
        <w:tc>
          <w:tcPr>
            <w:tcW w:w="7341" w:type="dxa"/>
            <w:tcBorders>
              <w:tl2br w:val="nil"/>
              <w:tr2bl w:val="nil"/>
            </w:tcBorders>
            <w:shd w:val="clear" w:color="auto" w:fill="FFFFFF"/>
            <w:vAlign w:val="center"/>
          </w:tcPr>
          <w:p w14:paraId="6B42904D">
            <w:pPr>
              <w:widowControl/>
              <w:spacing w:line="0" w:lineRule="atLeast"/>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指标说明</w:t>
            </w:r>
          </w:p>
        </w:tc>
        <w:tc>
          <w:tcPr>
            <w:tcW w:w="841" w:type="dxa"/>
            <w:gridSpan w:val="2"/>
            <w:tcBorders>
              <w:top w:val="single" w:color="auto" w:sz="4" w:space="0"/>
              <w:bottom w:val="single" w:color="auto" w:sz="4" w:space="0"/>
              <w:right w:val="single" w:color="auto" w:sz="4" w:space="0"/>
            </w:tcBorders>
            <w:shd w:val="clear" w:color="auto" w:fill="auto"/>
          </w:tcPr>
          <w:p w14:paraId="722F2F58">
            <w:pPr>
              <w:widowControl/>
              <w:spacing w:line="0" w:lineRule="atLeast"/>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分值</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36C3A7E1">
            <w:pPr>
              <w:widowControl/>
              <w:jc w:val="left"/>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评价</w:t>
            </w:r>
          </w:p>
          <w:p w14:paraId="6CBF60D7">
            <w:pPr>
              <w:widowControl/>
              <w:jc w:val="left"/>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结果</w:t>
            </w:r>
          </w:p>
        </w:tc>
      </w:tr>
      <w:tr w14:paraId="0D0586E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1"/>
          <w:wAfter w:w="11" w:type="dxa"/>
          <w:trHeight w:val="1919" w:hRule="atLeast"/>
          <w:jc w:val="center"/>
        </w:trPr>
        <w:tc>
          <w:tcPr>
            <w:tcW w:w="764" w:type="dxa"/>
            <w:vMerge w:val="restart"/>
            <w:tcBorders>
              <w:tl2br w:val="nil"/>
              <w:tr2bl w:val="nil"/>
            </w:tcBorders>
            <w:shd w:val="clear" w:color="auto" w:fill="FFFFFF"/>
            <w:vAlign w:val="center"/>
          </w:tcPr>
          <w:p w14:paraId="751C64C0">
            <w:pPr>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决策（20分）　</w:t>
            </w:r>
          </w:p>
        </w:tc>
        <w:tc>
          <w:tcPr>
            <w:tcW w:w="1297" w:type="dxa"/>
            <w:gridSpan w:val="2"/>
            <w:vMerge w:val="restart"/>
            <w:tcBorders>
              <w:tl2br w:val="nil"/>
              <w:tr2bl w:val="nil"/>
            </w:tcBorders>
            <w:shd w:val="clear" w:color="auto" w:fill="FFFFFF"/>
            <w:vAlign w:val="center"/>
          </w:tcPr>
          <w:p w14:paraId="4DE1DDE4">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绩效目标（15）　</w:t>
            </w:r>
          </w:p>
        </w:tc>
        <w:tc>
          <w:tcPr>
            <w:tcW w:w="1411" w:type="dxa"/>
            <w:tcBorders>
              <w:tl2br w:val="nil"/>
              <w:tr2bl w:val="nil"/>
            </w:tcBorders>
            <w:shd w:val="clear" w:color="auto" w:fill="FFFFFF"/>
            <w:vAlign w:val="center"/>
          </w:tcPr>
          <w:p w14:paraId="1B085C02">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绩效目标</w:t>
            </w:r>
          </w:p>
          <w:p w14:paraId="3930CEF4">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合理性</w:t>
            </w:r>
          </w:p>
        </w:tc>
        <w:tc>
          <w:tcPr>
            <w:tcW w:w="2788" w:type="dxa"/>
            <w:gridSpan w:val="3"/>
            <w:tcBorders>
              <w:tl2br w:val="nil"/>
              <w:tr2bl w:val="nil"/>
            </w:tcBorders>
            <w:shd w:val="clear" w:color="000000" w:fill="FFFFFF"/>
            <w:vAlign w:val="center"/>
          </w:tcPr>
          <w:p w14:paraId="095FB274">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项目所设定的绩效目标是否依据充分，是否符合客观实际，用以反映和考核项目绩效目标与项目实施的相符情况。</w:t>
            </w:r>
          </w:p>
        </w:tc>
        <w:tc>
          <w:tcPr>
            <w:tcW w:w="7341" w:type="dxa"/>
            <w:tcBorders>
              <w:tl2br w:val="nil"/>
              <w:tr2bl w:val="nil"/>
            </w:tcBorders>
            <w:shd w:val="clear" w:color="000000" w:fill="FFFFFF"/>
            <w:vAlign w:val="center"/>
          </w:tcPr>
          <w:p w14:paraId="6480E3D1">
            <w:pPr>
              <w:widowControl/>
              <w:spacing w:line="0" w:lineRule="atLeast"/>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评价要点：</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（如未设定预算绩效目标，也可考核其他工作任务目标）</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①项目是否有绩效目标；</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②项目绩效目标与实际工作内容是否具有相关性；</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③项目预期产出效益和效果是否符合正常的业绩水平；</w:t>
            </w:r>
          </w:p>
          <w:p w14:paraId="68155ADD">
            <w:pPr>
              <w:widowControl/>
              <w:spacing w:line="0" w:lineRule="atLeast"/>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④是否与预算确定的项目投资额或资金量相匹配。</w:t>
            </w:r>
          </w:p>
        </w:tc>
        <w:tc>
          <w:tcPr>
            <w:tcW w:w="841" w:type="dxa"/>
            <w:gridSpan w:val="2"/>
            <w:tcBorders>
              <w:top w:val="single" w:color="auto" w:sz="4" w:space="0"/>
              <w:bottom w:val="single" w:color="auto" w:sz="4" w:space="0"/>
              <w:right w:val="single" w:color="auto" w:sz="4" w:space="0"/>
            </w:tcBorders>
            <w:shd w:val="clear" w:color="auto" w:fill="auto"/>
          </w:tcPr>
          <w:p w14:paraId="45AAF173">
            <w:pPr>
              <w:widowControl/>
              <w:jc w:val="left"/>
              <w:rPr>
                <w:rFonts w:ascii="宋体" w:hAnsi="宋体" w:eastAsia="宋体" w:cs="宋体"/>
                <w:color w:val="000000"/>
                <w:kern w:val="0"/>
                <w:sz w:val="22"/>
                <w:szCs w:val="22"/>
              </w:rPr>
            </w:pPr>
            <w:r>
              <w:rPr>
                <w:rFonts w:ascii="宋体" w:hAnsi="宋体" w:eastAsia="宋体" w:cs="宋体"/>
                <w:color w:val="000000"/>
                <w:kern w:val="0"/>
                <w:sz w:val="22"/>
                <w:szCs w:val="22"/>
              </w:rPr>
              <w:t>10</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004E3DCB">
            <w:pPr>
              <w:widowControl/>
              <w:jc w:val="left"/>
              <w:rPr>
                <w:rFonts w:ascii="宋体" w:hAnsi="宋体" w:eastAsia="宋体" w:cs="宋体"/>
                <w:color w:val="000000"/>
                <w:kern w:val="0"/>
                <w:sz w:val="22"/>
                <w:szCs w:val="22"/>
              </w:rPr>
            </w:pPr>
            <w:r>
              <w:rPr>
                <w:rFonts w:ascii="宋体" w:hAnsi="宋体" w:eastAsia="宋体" w:cs="宋体"/>
                <w:color w:val="000000"/>
                <w:kern w:val="0"/>
                <w:sz w:val="22"/>
                <w:szCs w:val="22"/>
              </w:rPr>
              <w:t>10</w:t>
            </w:r>
          </w:p>
        </w:tc>
      </w:tr>
      <w:tr w14:paraId="4CA53F2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1"/>
          <w:wAfter w:w="11" w:type="dxa"/>
          <w:trHeight w:val="1464" w:hRule="atLeast"/>
          <w:jc w:val="center"/>
        </w:trPr>
        <w:tc>
          <w:tcPr>
            <w:tcW w:w="764" w:type="dxa"/>
            <w:vMerge w:val="continue"/>
            <w:tcBorders>
              <w:tl2br w:val="nil"/>
              <w:tr2bl w:val="nil"/>
            </w:tcBorders>
            <w:shd w:val="clear" w:color="auto" w:fill="FFFFFF"/>
            <w:vAlign w:val="center"/>
          </w:tcPr>
          <w:p w14:paraId="45D32E4C">
            <w:pPr>
              <w:widowControl/>
              <w:spacing w:line="0" w:lineRule="atLeast"/>
              <w:jc w:val="center"/>
              <w:rPr>
                <w:rFonts w:ascii="宋体" w:hAnsi="宋体" w:eastAsia="宋体" w:cs="宋体"/>
                <w:color w:val="000000"/>
                <w:kern w:val="0"/>
                <w:sz w:val="22"/>
                <w:szCs w:val="22"/>
              </w:rPr>
            </w:pPr>
          </w:p>
        </w:tc>
        <w:tc>
          <w:tcPr>
            <w:tcW w:w="1297" w:type="dxa"/>
            <w:gridSpan w:val="2"/>
            <w:vMerge w:val="continue"/>
            <w:tcBorders>
              <w:tl2br w:val="nil"/>
              <w:tr2bl w:val="nil"/>
            </w:tcBorders>
            <w:shd w:val="clear" w:color="auto" w:fill="FFFFFF"/>
            <w:vAlign w:val="center"/>
          </w:tcPr>
          <w:p w14:paraId="7EBDE8B6">
            <w:pPr>
              <w:widowControl/>
              <w:spacing w:line="0" w:lineRule="atLeast"/>
              <w:jc w:val="center"/>
              <w:rPr>
                <w:rFonts w:ascii="宋体" w:hAnsi="宋体" w:eastAsia="宋体" w:cs="宋体"/>
                <w:color w:val="000000"/>
                <w:kern w:val="0"/>
                <w:sz w:val="22"/>
                <w:szCs w:val="22"/>
              </w:rPr>
            </w:pPr>
          </w:p>
        </w:tc>
        <w:tc>
          <w:tcPr>
            <w:tcW w:w="1411" w:type="dxa"/>
            <w:tcBorders>
              <w:tl2br w:val="nil"/>
              <w:tr2bl w:val="nil"/>
            </w:tcBorders>
            <w:shd w:val="clear" w:color="auto" w:fill="FFFFFF"/>
            <w:vAlign w:val="center"/>
          </w:tcPr>
          <w:p w14:paraId="7069103F">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绩效指标</w:t>
            </w:r>
          </w:p>
          <w:p w14:paraId="18900AB8">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明确性</w:t>
            </w:r>
          </w:p>
        </w:tc>
        <w:tc>
          <w:tcPr>
            <w:tcW w:w="2788" w:type="dxa"/>
            <w:gridSpan w:val="3"/>
            <w:tcBorders>
              <w:tl2br w:val="nil"/>
              <w:tr2bl w:val="nil"/>
            </w:tcBorders>
            <w:shd w:val="clear" w:color="000000" w:fill="FFFFFF"/>
            <w:vAlign w:val="center"/>
          </w:tcPr>
          <w:p w14:paraId="09EDE3AC">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依据绩效目标设定的绩效指标是否清晰、细化、可衡量等，用以反映和考核项目绩效目标的明细化情况。</w:t>
            </w:r>
          </w:p>
        </w:tc>
        <w:tc>
          <w:tcPr>
            <w:tcW w:w="7341" w:type="dxa"/>
            <w:tcBorders>
              <w:tl2br w:val="nil"/>
              <w:tr2bl w:val="nil"/>
            </w:tcBorders>
            <w:shd w:val="clear" w:color="000000" w:fill="FFFFFF"/>
            <w:vAlign w:val="center"/>
          </w:tcPr>
          <w:p w14:paraId="771327EE">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评价要点：</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①是否将项目绩效目标细化分解为具体的绩效指标；</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②是否通过清晰、可衡量的指标值予以体现；</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③是否与项目目标任务数或计划数相对应。</w:t>
            </w:r>
            <w:r>
              <w:rPr>
                <w:rFonts w:hint="eastAsia" w:ascii="宋体" w:hAnsi="宋体" w:eastAsia="宋体" w:cs="宋体"/>
                <w:color w:val="000000"/>
                <w:kern w:val="0"/>
                <w:sz w:val="22"/>
                <w:szCs w:val="22"/>
              </w:rPr>
              <w:br w:type="textWrapping"/>
            </w:r>
          </w:p>
        </w:tc>
        <w:tc>
          <w:tcPr>
            <w:tcW w:w="841" w:type="dxa"/>
            <w:gridSpan w:val="2"/>
            <w:tcBorders>
              <w:top w:val="single" w:color="auto" w:sz="4" w:space="0"/>
              <w:bottom w:val="single" w:color="auto" w:sz="4" w:space="0"/>
              <w:right w:val="single" w:color="auto" w:sz="4" w:space="0"/>
            </w:tcBorders>
            <w:shd w:val="clear" w:color="auto" w:fill="auto"/>
          </w:tcPr>
          <w:p w14:paraId="730689DD">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2085152A">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5</w:t>
            </w:r>
          </w:p>
        </w:tc>
      </w:tr>
      <w:tr w14:paraId="1873363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1"/>
          <w:wAfter w:w="11" w:type="dxa"/>
          <w:trHeight w:val="1942" w:hRule="atLeast"/>
          <w:jc w:val="center"/>
        </w:trPr>
        <w:tc>
          <w:tcPr>
            <w:tcW w:w="764" w:type="dxa"/>
            <w:vMerge w:val="continue"/>
            <w:tcBorders>
              <w:tl2br w:val="nil"/>
              <w:tr2bl w:val="nil"/>
            </w:tcBorders>
            <w:shd w:val="clear" w:color="auto" w:fill="FFFFFF"/>
            <w:vAlign w:val="center"/>
          </w:tcPr>
          <w:p w14:paraId="78B240B8">
            <w:pPr>
              <w:spacing w:line="0" w:lineRule="atLeast"/>
              <w:jc w:val="center"/>
              <w:rPr>
                <w:rFonts w:ascii="宋体" w:hAnsi="宋体" w:eastAsia="宋体" w:cs="宋体"/>
                <w:color w:val="000000"/>
                <w:kern w:val="0"/>
                <w:sz w:val="22"/>
                <w:szCs w:val="22"/>
              </w:rPr>
            </w:pPr>
          </w:p>
        </w:tc>
        <w:tc>
          <w:tcPr>
            <w:tcW w:w="1297" w:type="dxa"/>
            <w:gridSpan w:val="2"/>
            <w:vMerge w:val="restart"/>
            <w:tcBorders>
              <w:tl2br w:val="nil"/>
              <w:tr2bl w:val="nil"/>
            </w:tcBorders>
            <w:shd w:val="clear" w:color="auto" w:fill="FFFFFF"/>
            <w:vAlign w:val="center"/>
          </w:tcPr>
          <w:p w14:paraId="137BDAFA">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资金投入（5）</w:t>
            </w:r>
          </w:p>
          <w:p w14:paraId="19C6C8EB">
            <w:pPr>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　</w:t>
            </w:r>
          </w:p>
        </w:tc>
        <w:tc>
          <w:tcPr>
            <w:tcW w:w="1411" w:type="dxa"/>
            <w:tcBorders>
              <w:tl2br w:val="nil"/>
              <w:tr2bl w:val="nil"/>
            </w:tcBorders>
            <w:shd w:val="clear" w:color="auto" w:fill="FFFFFF"/>
            <w:vAlign w:val="center"/>
          </w:tcPr>
          <w:p w14:paraId="083D0F2F">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预算编制</w:t>
            </w:r>
          </w:p>
          <w:p w14:paraId="45E9A4E3">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科学性</w:t>
            </w:r>
          </w:p>
        </w:tc>
        <w:tc>
          <w:tcPr>
            <w:tcW w:w="2788" w:type="dxa"/>
            <w:gridSpan w:val="3"/>
            <w:tcBorders>
              <w:tl2br w:val="nil"/>
              <w:tr2bl w:val="nil"/>
            </w:tcBorders>
            <w:shd w:val="clear" w:color="auto" w:fill="FFFFFF"/>
            <w:vAlign w:val="center"/>
          </w:tcPr>
          <w:p w14:paraId="7C58DCFA">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项目预算编制是否经过科学论证、有明确标准，资金额度与年度目标是否相适应，用以反映和考核项目预算编制的科学性、合理性情况。</w:t>
            </w:r>
          </w:p>
        </w:tc>
        <w:tc>
          <w:tcPr>
            <w:tcW w:w="7341" w:type="dxa"/>
            <w:tcBorders>
              <w:tl2br w:val="nil"/>
              <w:tr2bl w:val="nil"/>
            </w:tcBorders>
            <w:shd w:val="clear" w:color="auto" w:fill="FFFFFF"/>
            <w:vAlign w:val="center"/>
          </w:tcPr>
          <w:p w14:paraId="634FFCE1">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评价要点：</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①预算编制是否经过科学论证；</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②预算内容与项目内容是否匹配；</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③预算额度测算依据是否充分，是否按照标准编制；</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④预算确定的项目投资额或资金量是否与工作任务相匹配。</w:t>
            </w:r>
          </w:p>
        </w:tc>
        <w:tc>
          <w:tcPr>
            <w:tcW w:w="841" w:type="dxa"/>
            <w:gridSpan w:val="2"/>
            <w:tcBorders>
              <w:top w:val="single" w:color="auto" w:sz="4" w:space="0"/>
              <w:bottom w:val="single" w:color="auto" w:sz="4" w:space="0"/>
              <w:right w:val="single" w:color="auto" w:sz="4" w:space="0"/>
            </w:tcBorders>
            <w:shd w:val="clear" w:color="auto" w:fill="auto"/>
          </w:tcPr>
          <w:p w14:paraId="55687561">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2.5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4CA456B0">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2</w:t>
            </w:r>
            <w:r>
              <w:rPr>
                <w:rFonts w:ascii="宋体" w:hAnsi="宋体" w:eastAsia="宋体" w:cs="宋体"/>
                <w:color w:val="000000"/>
                <w:kern w:val="0"/>
                <w:sz w:val="22"/>
                <w:szCs w:val="22"/>
              </w:rPr>
              <w:t>.5</w:t>
            </w:r>
          </w:p>
        </w:tc>
      </w:tr>
      <w:tr w14:paraId="0588C24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1"/>
          <w:wAfter w:w="11" w:type="dxa"/>
          <w:trHeight w:val="1706" w:hRule="atLeast"/>
          <w:jc w:val="center"/>
        </w:trPr>
        <w:tc>
          <w:tcPr>
            <w:tcW w:w="764" w:type="dxa"/>
            <w:vMerge w:val="continue"/>
            <w:tcBorders>
              <w:tl2br w:val="nil"/>
              <w:tr2bl w:val="nil"/>
            </w:tcBorders>
            <w:shd w:val="clear" w:color="auto" w:fill="FFFFFF"/>
            <w:vAlign w:val="center"/>
          </w:tcPr>
          <w:p w14:paraId="478AE9C8">
            <w:pPr>
              <w:widowControl/>
              <w:spacing w:line="0" w:lineRule="atLeast"/>
              <w:jc w:val="center"/>
              <w:rPr>
                <w:rFonts w:ascii="宋体" w:hAnsi="宋体" w:eastAsia="宋体" w:cs="宋体"/>
                <w:color w:val="000000"/>
                <w:kern w:val="0"/>
                <w:sz w:val="22"/>
                <w:szCs w:val="22"/>
              </w:rPr>
            </w:pPr>
          </w:p>
        </w:tc>
        <w:tc>
          <w:tcPr>
            <w:tcW w:w="1297" w:type="dxa"/>
            <w:gridSpan w:val="2"/>
            <w:vMerge w:val="continue"/>
            <w:tcBorders>
              <w:tl2br w:val="nil"/>
              <w:tr2bl w:val="nil"/>
            </w:tcBorders>
            <w:shd w:val="clear" w:color="auto" w:fill="FFFFFF"/>
            <w:vAlign w:val="center"/>
          </w:tcPr>
          <w:p w14:paraId="02BF4B90">
            <w:pPr>
              <w:widowControl/>
              <w:spacing w:line="0" w:lineRule="atLeast"/>
              <w:jc w:val="center"/>
              <w:rPr>
                <w:rFonts w:ascii="宋体" w:hAnsi="宋体" w:eastAsia="宋体" w:cs="宋体"/>
                <w:color w:val="000000"/>
                <w:kern w:val="0"/>
                <w:sz w:val="22"/>
                <w:szCs w:val="22"/>
              </w:rPr>
            </w:pPr>
          </w:p>
        </w:tc>
        <w:tc>
          <w:tcPr>
            <w:tcW w:w="1411" w:type="dxa"/>
            <w:tcBorders>
              <w:tl2br w:val="nil"/>
              <w:tr2bl w:val="nil"/>
            </w:tcBorders>
            <w:shd w:val="clear" w:color="auto" w:fill="FFFFFF"/>
            <w:vAlign w:val="center"/>
          </w:tcPr>
          <w:p w14:paraId="0D944D1C">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资金分配</w:t>
            </w:r>
          </w:p>
          <w:p w14:paraId="2EC01209">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合理性</w:t>
            </w:r>
          </w:p>
        </w:tc>
        <w:tc>
          <w:tcPr>
            <w:tcW w:w="2788" w:type="dxa"/>
            <w:gridSpan w:val="3"/>
            <w:tcBorders>
              <w:tl2br w:val="nil"/>
              <w:tr2bl w:val="nil"/>
            </w:tcBorders>
            <w:shd w:val="clear" w:color="auto" w:fill="FFFFFF"/>
            <w:vAlign w:val="center"/>
          </w:tcPr>
          <w:p w14:paraId="533878B1">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项目预算资金分配是否有测算依据，与补助单位或地方实际是否相适应，用以反映和考核项目预算资金分配的科学性、合理性情况。</w:t>
            </w:r>
          </w:p>
        </w:tc>
        <w:tc>
          <w:tcPr>
            <w:tcW w:w="7341" w:type="dxa"/>
            <w:tcBorders>
              <w:bottom w:val="single" w:color="auto" w:sz="4" w:space="0"/>
              <w:tl2br w:val="nil"/>
              <w:tr2bl w:val="nil"/>
            </w:tcBorders>
            <w:shd w:val="clear" w:color="auto" w:fill="FFFFFF"/>
            <w:vAlign w:val="center"/>
          </w:tcPr>
          <w:p w14:paraId="7A061546">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评价要点：</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①预算资金分配依据是否充分；</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②资金分配额度是否合理，与项目单位或地方实际是否相适应。</w:t>
            </w:r>
          </w:p>
        </w:tc>
        <w:tc>
          <w:tcPr>
            <w:tcW w:w="841" w:type="dxa"/>
            <w:gridSpan w:val="2"/>
            <w:tcBorders>
              <w:top w:val="single" w:color="auto" w:sz="4" w:space="0"/>
              <w:bottom w:val="single" w:color="auto" w:sz="4" w:space="0"/>
              <w:right w:val="single" w:color="auto" w:sz="4" w:space="0"/>
            </w:tcBorders>
            <w:shd w:val="clear" w:color="auto" w:fill="auto"/>
          </w:tcPr>
          <w:p w14:paraId="02993216">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2.5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1FE03FF9">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2.5</w:t>
            </w:r>
          </w:p>
        </w:tc>
      </w:tr>
      <w:tr w14:paraId="3F45812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1"/>
          <w:wAfter w:w="11" w:type="dxa"/>
          <w:trHeight w:val="1415" w:hRule="atLeast"/>
          <w:jc w:val="center"/>
        </w:trPr>
        <w:tc>
          <w:tcPr>
            <w:tcW w:w="764" w:type="dxa"/>
            <w:vMerge w:val="restart"/>
            <w:tcBorders>
              <w:tl2br w:val="nil"/>
              <w:tr2bl w:val="nil"/>
            </w:tcBorders>
            <w:shd w:val="clear" w:color="auto" w:fill="FFFFFF"/>
            <w:vAlign w:val="center"/>
          </w:tcPr>
          <w:p w14:paraId="22142BD6">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　</w:t>
            </w:r>
          </w:p>
          <w:p w14:paraId="6270E2D4">
            <w:pPr>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过程（20分）　</w:t>
            </w:r>
          </w:p>
        </w:tc>
        <w:tc>
          <w:tcPr>
            <w:tcW w:w="1297" w:type="dxa"/>
            <w:gridSpan w:val="2"/>
            <w:vMerge w:val="restart"/>
            <w:tcBorders>
              <w:tl2br w:val="nil"/>
              <w:tr2bl w:val="nil"/>
            </w:tcBorders>
            <w:shd w:val="clear" w:color="auto" w:fill="FFFFFF"/>
            <w:vAlign w:val="center"/>
          </w:tcPr>
          <w:p w14:paraId="1FC55019">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资金管理（10）</w:t>
            </w:r>
          </w:p>
        </w:tc>
        <w:tc>
          <w:tcPr>
            <w:tcW w:w="1411" w:type="dxa"/>
            <w:tcBorders>
              <w:tl2br w:val="nil"/>
              <w:tr2bl w:val="nil"/>
            </w:tcBorders>
            <w:shd w:val="clear" w:color="auto" w:fill="FFFFFF"/>
            <w:vAlign w:val="center"/>
          </w:tcPr>
          <w:p w14:paraId="49D6F78B">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资金到位率</w:t>
            </w:r>
          </w:p>
        </w:tc>
        <w:tc>
          <w:tcPr>
            <w:tcW w:w="2788" w:type="dxa"/>
            <w:gridSpan w:val="3"/>
            <w:tcBorders>
              <w:tl2br w:val="nil"/>
              <w:tr2bl w:val="nil"/>
            </w:tcBorders>
            <w:shd w:val="clear" w:color="000000" w:fill="FFFFFF"/>
            <w:vAlign w:val="center"/>
          </w:tcPr>
          <w:p w14:paraId="2793F13D">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实际到位资金与预算资金的比率，用以反映和考核资金落实情况对项目实施的总体保障程度。</w:t>
            </w:r>
          </w:p>
        </w:tc>
        <w:tc>
          <w:tcPr>
            <w:tcW w:w="7341" w:type="dxa"/>
            <w:tcBorders>
              <w:tl2br w:val="nil"/>
              <w:tr2bl w:val="nil"/>
            </w:tcBorders>
            <w:shd w:val="clear" w:color="000000" w:fill="FFFFFF"/>
            <w:vAlign w:val="center"/>
          </w:tcPr>
          <w:p w14:paraId="5985E55A">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资金到位率=（实际到位资金/预算资金）×100%。</w:t>
            </w:r>
          </w:p>
          <w:p w14:paraId="69F428EF">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实际到位资金：一定时期（本年度或项目期）内落实到具体项目的资金。</w:t>
            </w:r>
          </w:p>
          <w:p w14:paraId="597C1416">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预算资金：一定时期（本年度或项目期）内预算安排到具体项目的资金。</w:t>
            </w:r>
          </w:p>
        </w:tc>
        <w:tc>
          <w:tcPr>
            <w:tcW w:w="841" w:type="dxa"/>
            <w:gridSpan w:val="2"/>
            <w:tcBorders>
              <w:top w:val="single" w:color="auto" w:sz="4" w:space="0"/>
              <w:bottom w:val="single" w:color="auto" w:sz="4" w:space="0"/>
              <w:right w:val="single" w:color="auto" w:sz="4" w:space="0"/>
            </w:tcBorders>
            <w:shd w:val="clear" w:color="auto" w:fill="auto"/>
          </w:tcPr>
          <w:p w14:paraId="36161516">
            <w:pPr>
              <w:widowControl/>
              <w:jc w:val="left"/>
              <w:rPr>
                <w:rFonts w:ascii="宋体" w:hAnsi="宋体" w:eastAsia="宋体" w:cs="宋体"/>
                <w:color w:val="000000"/>
                <w:kern w:val="0"/>
                <w:sz w:val="22"/>
                <w:szCs w:val="22"/>
              </w:rPr>
            </w:pPr>
            <w:r>
              <w:rPr>
                <w:rFonts w:ascii="宋体" w:hAnsi="宋体" w:eastAsia="宋体" w:cs="宋体"/>
                <w:color w:val="000000"/>
                <w:kern w:val="0"/>
                <w:sz w:val="22"/>
                <w:szCs w:val="22"/>
              </w:rPr>
              <w:t>2.5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60450DC4">
            <w:pPr>
              <w:widowControl/>
              <w:jc w:val="left"/>
              <w:rPr>
                <w:rFonts w:ascii="宋体" w:hAnsi="宋体" w:eastAsia="宋体" w:cs="宋体"/>
                <w:color w:val="000000"/>
                <w:kern w:val="0"/>
                <w:sz w:val="22"/>
                <w:szCs w:val="22"/>
              </w:rPr>
            </w:pPr>
            <w:r>
              <w:rPr>
                <w:rFonts w:ascii="宋体" w:hAnsi="宋体" w:eastAsia="宋体" w:cs="宋体"/>
                <w:color w:val="000000"/>
                <w:kern w:val="0"/>
                <w:sz w:val="22"/>
                <w:szCs w:val="22"/>
              </w:rPr>
              <w:t>2.5</w:t>
            </w:r>
          </w:p>
        </w:tc>
      </w:tr>
      <w:tr w14:paraId="715083A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1"/>
          <w:wAfter w:w="11" w:type="dxa"/>
          <w:trHeight w:val="1320" w:hRule="atLeast"/>
          <w:jc w:val="center"/>
        </w:trPr>
        <w:tc>
          <w:tcPr>
            <w:tcW w:w="764" w:type="dxa"/>
            <w:vMerge w:val="continue"/>
            <w:tcBorders>
              <w:tl2br w:val="nil"/>
              <w:tr2bl w:val="nil"/>
            </w:tcBorders>
            <w:shd w:val="clear" w:color="auto" w:fill="FFFFFF"/>
            <w:vAlign w:val="center"/>
          </w:tcPr>
          <w:p w14:paraId="5A58C7DD">
            <w:pPr>
              <w:spacing w:line="0" w:lineRule="atLeast"/>
              <w:jc w:val="center"/>
              <w:rPr>
                <w:rFonts w:ascii="宋体" w:hAnsi="宋体" w:eastAsia="宋体" w:cs="宋体"/>
                <w:color w:val="000000"/>
                <w:kern w:val="0"/>
                <w:sz w:val="22"/>
                <w:szCs w:val="22"/>
              </w:rPr>
            </w:pPr>
          </w:p>
        </w:tc>
        <w:tc>
          <w:tcPr>
            <w:tcW w:w="1297" w:type="dxa"/>
            <w:gridSpan w:val="2"/>
            <w:vMerge w:val="continue"/>
            <w:tcBorders>
              <w:tl2br w:val="nil"/>
              <w:tr2bl w:val="nil"/>
            </w:tcBorders>
            <w:shd w:val="clear" w:color="auto" w:fill="FFFFFF"/>
            <w:vAlign w:val="center"/>
          </w:tcPr>
          <w:p w14:paraId="0254DB28">
            <w:pPr>
              <w:spacing w:line="0" w:lineRule="atLeast"/>
              <w:jc w:val="center"/>
              <w:rPr>
                <w:rFonts w:ascii="宋体" w:hAnsi="宋体" w:eastAsia="宋体" w:cs="宋体"/>
                <w:color w:val="000000"/>
                <w:kern w:val="0"/>
                <w:sz w:val="22"/>
                <w:szCs w:val="22"/>
              </w:rPr>
            </w:pPr>
          </w:p>
        </w:tc>
        <w:tc>
          <w:tcPr>
            <w:tcW w:w="1411" w:type="dxa"/>
            <w:tcBorders>
              <w:tl2br w:val="nil"/>
              <w:tr2bl w:val="nil"/>
            </w:tcBorders>
            <w:shd w:val="clear" w:color="auto" w:fill="FFFFFF"/>
            <w:vAlign w:val="center"/>
          </w:tcPr>
          <w:p w14:paraId="3B149503">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预算执行率</w:t>
            </w:r>
          </w:p>
        </w:tc>
        <w:tc>
          <w:tcPr>
            <w:tcW w:w="2788" w:type="dxa"/>
            <w:gridSpan w:val="3"/>
            <w:tcBorders>
              <w:tl2br w:val="nil"/>
              <w:tr2bl w:val="nil"/>
            </w:tcBorders>
            <w:shd w:val="clear" w:color="auto" w:fill="FFFFFF"/>
            <w:vAlign w:val="center"/>
          </w:tcPr>
          <w:p w14:paraId="66E9DBC7">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项目预算资金是否按照计划执行，用以反映或考核项目预算执行情况。</w:t>
            </w:r>
          </w:p>
        </w:tc>
        <w:tc>
          <w:tcPr>
            <w:tcW w:w="7341" w:type="dxa"/>
            <w:tcBorders>
              <w:tl2br w:val="nil"/>
              <w:tr2bl w:val="nil"/>
            </w:tcBorders>
            <w:shd w:val="clear" w:color="auto" w:fill="FFFFFF"/>
            <w:vAlign w:val="center"/>
          </w:tcPr>
          <w:p w14:paraId="6BF4FBB7">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预算执行率=（实际支出资金/实际到位资金）×100%。</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实际支出资金：一定时期（本年度或项目期）内项目实际拨付的资金。</w:t>
            </w:r>
          </w:p>
        </w:tc>
        <w:tc>
          <w:tcPr>
            <w:tcW w:w="841" w:type="dxa"/>
            <w:gridSpan w:val="2"/>
            <w:tcBorders>
              <w:top w:val="single" w:color="auto" w:sz="4" w:space="0"/>
              <w:bottom w:val="single" w:color="auto" w:sz="4" w:space="0"/>
              <w:right w:val="single" w:color="auto" w:sz="4" w:space="0"/>
            </w:tcBorders>
            <w:shd w:val="clear" w:color="auto" w:fill="auto"/>
          </w:tcPr>
          <w:p w14:paraId="07FAEA66">
            <w:pPr>
              <w:widowControl/>
              <w:jc w:val="left"/>
              <w:rPr>
                <w:rFonts w:ascii="宋体" w:hAnsi="宋体" w:eastAsia="宋体" w:cs="宋体"/>
                <w:color w:val="000000"/>
                <w:kern w:val="0"/>
                <w:sz w:val="22"/>
                <w:szCs w:val="22"/>
              </w:rPr>
            </w:pPr>
            <w:r>
              <w:rPr>
                <w:rFonts w:ascii="宋体" w:hAnsi="宋体" w:eastAsia="宋体" w:cs="宋体"/>
                <w:color w:val="000000"/>
                <w:kern w:val="0"/>
                <w:sz w:val="22"/>
                <w:szCs w:val="22"/>
              </w:rPr>
              <w:t>2.5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176BE4E2">
            <w:pPr>
              <w:widowControl/>
              <w:jc w:val="left"/>
              <w:rPr>
                <w:rFonts w:ascii="宋体" w:hAnsi="宋体" w:eastAsia="宋体" w:cs="宋体"/>
                <w:color w:val="000000"/>
                <w:kern w:val="0"/>
                <w:sz w:val="22"/>
                <w:szCs w:val="22"/>
              </w:rPr>
            </w:pPr>
            <w:r>
              <w:rPr>
                <w:rFonts w:ascii="宋体" w:hAnsi="宋体" w:eastAsia="宋体" w:cs="宋体"/>
                <w:color w:val="000000"/>
                <w:kern w:val="0"/>
                <w:sz w:val="22"/>
                <w:szCs w:val="22"/>
              </w:rPr>
              <w:t>2.5</w:t>
            </w:r>
          </w:p>
        </w:tc>
      </w:tr>
      <w:tr w14:paraId="44A99F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2"/>
          <w:wAfter w:w="23" w:type="dxa"/>
          <w:trHeight w:val="2076" w:hRule="atLeast"/>
          <w:jc w:val="center"/>
        </w:trPr>
        <w:tc>
          <w:tcPr>
            <w:tcW w:w="764" w:type="dxa"/>
            <w:vMerge w:val="continue"/>
            <w:tcBorders>
              <w:tl2br w:val="nil"/>
              <w:tr2bl w:val="nil"/>
            </w:tcBorders>
            <w:shd w:val="clear" w:color="auto" w:fill="FFFFFF"/>
            <w:vAlign w:val="center"/>
          </w:tcPr>
          <w:p w14:paraId="7AC1F342">
            <w:pPr>
              <w:spacing w:line="0" w:lineRule="atLeast"/>
              <w:jc w:val="center"/>
              <w:rPr>
                <w:rFonts w:ascii="宋体" w:hAnsi="宋体" w:eastAsia="宋体" w:cs="宋体"/>
                <w:color w:val="000000"/>
                <w:kern w:val="0"/>
                <w:sz w:val="22"/>
                <w:szCs w:val="22"/>
              </w:rPr>
            </w:pPr>
          </w:p>
        </w:tc>
        <w:tc>
          <w:tcPr>
            <w:tcW w:w="1297" w:type="dxa"/>
            <w:gridSpan w:val="2"/>
            <w:tcBorders>
              <w:tl2br w:val="nil"/>
              <w:tr2bl w:val="nil"/>
            </w:tcBorders>
            <w:shd w:val="clear" w:color="auto" w:fill="FFFFFF"/>
            <w:vAlign w:val="center"/>
          </w:tcPr>
          <w:p w14:paraId="3CB22982">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资金管理</w:t>
            </w:r>
          </w:p>
        </w:tc>
        <w:tc>
          <w:tcPr>
            <w:tcW w:w="1411" w:type="dxa"/>
            <w:tcBorders>
              <w:tl2br w:val="nil"/>
              <w:tr2bl w:val="nil"/>
            </w:tcBorders>
            <w:shd w:val="clear" w:color="auto" w:fill="FFFFFF"/>
            <w:vAlign w:val="center"/>
          </w:tcPr>
          <w:p w14:paraId="77530A58">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资金使用</w:t>
            </w:r>
          </w:p>
          <w:p w14:paraId="413C2DFF">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合规性</w:t>
            </w:r>
          </w:p>
        </w:tc>
        <w:tc>
          <w:tcPr>
            <w:tcW w:w="2788" w:type="dxa"/>
            <w:gridSpan w:val="3"/>
            <w:tcBorders>
              <w:tl2br w:val="nil"/>
              <w:tr2bl w:val="nil"/>
            </w:tcBorders>
            <w:shd w:val="clear" w:color="000000" w:fill="FFFFFF"/>
            <w:vAlign w:val="center"/>
          </w:tcPr>
          <w:p w14:paraId="33DC82BC">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项目资金使用是否符合相关的财务管理制度规定，用以反映和考核项目资金的规范运行情况。</w:t>
            </w:r>
          </w:p>
        </w:tc>
        <w:tc>
          <w:tcPr>
            <w:tcW w:w="7341" w:type="dxa"/>
            <w:tcBorders>
              <w:bottom w:val="single" w:color="auto" w:sz="4" w:space="0"/>
              <w:tl2br w:val="nil"/>
              <w:tr2bl w:val="nil"/>
            </w:tcBorders>
            <w:shd w:val="clear" w:color="000000" w:fill="FFFFFF"/>
            <w:vAlign w:val="center"/>
          </w:tcPr>
          <w:p w14:paraId="497E8906">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评价要点：</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①是否符合国家财经法规和财务管理制度以及有关专项资金管理办法的规定；</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②资金的拨付是否有完整的审批程序和手续；</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③是否符合项目预算批复或合同规定的用途；</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④是否存在截留、挤占、挪用、虚列支出等情况。</w:t>
            </w:r>
          </w:p>
        </w:tc>
        <w:tc>
          <w:tcPr>
            <w:tcW w:w="829" w:type="dxa"/>
            <w:tcBorders>
              <w:top w:val="single" w:color="auto" w:sz="4" w:space="0"/>
              <w:bottom w:val="single" w:color="auto" w:sz="4" w:space="0"/>
              <w:right w:val="single" w:color="auto" w:sz="4" w:space="0"/>
            </w:tcBorders>
            <w:shd w:val="clear" w:color="auto" w:fill="auto"/>
          </w:tcPr>
          <w:p w14:paraId="026B752A">
            <w:pPr>
              <w:widowControl/>
              <w:jc w:val="left"/>
              <w:rPr>
                <w:rFonts w:ascii="宋体" w:hAnsi="宋体" w:eastAsia="宋体" w:cs="宋体"/>
                <w:color w:val="000000"/>
                <w:kern w:val="0"/>
                <w:sz w:val="22"/>
                <w:szCs w:val="22"/>
              </w:rPr>
            </w:pPr>
            <w:r>
              <w:rPr>
                <w:rFonts w:ascii="宋体" w:hAnsi="宋体" w:eastAsia="宋体" w:cs="宋体"/>
                <w:color w:val="000000"/>
                <w:kern w:val="0"/>
                <w:sz w:val="22"/>
                <w:szCs w:val="22"/>
              </w:rPr>
              <w:t>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1AC397C2">
            <w:pPr>
              <w:widowControl/>
              <w:jc w:val="left"/>
              <w:rPr>
                <w:rFonts w:ascii="宋体" w:hAnsi="宋体" w:eastAsia="宋体" w:cs="宋体"/>
                <w:color w:val="000000"/>
                <w:kern w:val="0"/>
                <w:sz w:val="22"/>
                <w:szCs w:val="22"/>
              </w:rPr>
            </w:pPr>
            <w:r>
              <w:rPr>
                <w:rFonts w:ascii="宋体" w:hAnsi="宋体" w:eastAsia="宋体" w:cs="宋体"/>
                <w:color w:val="000000"/>
                <w:kern w:val="0"/>
                <w:sz w:val="22"/>
                <w:szCs w:val="22"/>
              </w:rPr>
              <w:t>5</w:t>
            </w:r>
          </w:p>
        </w:tc>
      </w:tr>
      <w:tr w14:paraId="00AE130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2"/>
          <w:wAfter w:w="23" w:type="dxa"/>
          <w:trHeight w:val="1797" w:hRule="atLeast"/>
          <w:jc w:val="center"/>
        </w:trPr>
        <w:tc>
          <w:tcPr>
            <w:tcW w:w="764" w:type="dxa"/>
            <w:vMerge w:val="continue"/>
            <w:tcBorders>
              <w:tl2br w:val="nil"/>
              <w:tr2bl w:val="nil"/>
            </w:tcBorders>
            <w:shd w:val="clear" w:color="auto" w:fill="FFFFFF"/>
            <w:vAlign w:val="center"/>
          </w:tcPr>
          <w:p w14:paraId="6FCDB3E2">
            <w:pPr>
              <w:spacing w:line="0" w:lineRule="atLeast"/>
              <w:jc w:val="center"/>
              <w:rPr>
                <w:rFonts w:ascii="宋体" w:hAnsi="宋体" w:eastAsia="宋体" w:cs="宋体"/>
                <w:color w:val="000000"/>
                <w:kern w:val="0"/>
                <w:sz w:val="22"/>
                <w:szCs w:val="22"/>
              </w:rPr>
            </w:pPr>
          </w:p>
        </w:tc>
        <w:tc>
          <w:tcPr>
            <w:tcW w:w="1297" w:type="dxa"/>
            <w:gridSpan w:val="2"/>
            <w:vMerge w:val="restart"/>
            <w:tcBorders>
              <w:tl2br w:val="nil"/>
              <w:tr2bl w:val="nil"/>
            </w:tcBorders>
            <w:shd w:val="clear" w:color="auto" w:fill="FFFFFF"/>
            <w:vAlign w:val="center"/>
          </w:tcPr>
          <w:p w14:paraId="05F01EE7">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组织实施（10）</w:t>
            </w:r>
          </w:p>
          <w:p w14:paraId="6E1137A3">
            <w:pPr>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　</w:t>
            </w:r>
          </w:p>
        </w:tc>
        <w:tc>
          <w:tcPr>
            <w:tcW w:w="1411" w:type="dxa"/>
            <w:tcBorders>
              <w:tl2br w:val="nil"/>
              <w:tr2bl w:val="nil"/>
            </w:tcBorders>
            <w:shd w:val="clear" w:color="auto" w:fill="FFFFFF"/>
            <w:vAlign w:val="center"/>
          </w:tcPr>
          <w:p w14:paraId="72B0B2D8">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管理制度</w:t>
            </w:r>
          </w:p>
          <w:p w14:paraId="55797BA9">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健全性</w:t>
            </w:r>
          </w:p>
        </w:tc>
        <w:tc>
          <w:tcPr>
            <w:tcW w:w="2788" w:type="dxa"/>
            <w:gridSpan w:val="3"/>
            <w:tcBorders>
              <w:tl2br w:val="nil"/>
              <w:tr2bl w:val="nil"/>
            </w:tcBorders>
            <w:shd w:val="clear" w:color="000000" w:fill="FFFFFF"/>
            <w:vAlign w:val="center"/>
          </w:tcPr>
          <w:p w14:paraId="21A75ACD">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项目实施单位的财务和业务管理制度是否健全，用以反映和考核财务和业务管理制度对项目顺利实施的保障情况。</w:t>
            </w:r>
          </w:p>
        </w:tc>
        <w:tc>
          <w:tcPr>
            <w:tcW w:w="7341" w:type="dxa"/>
            <w:tcBorders>
              <w:tl2br w:val="nil"/>
              <w:tr2bl w:val="nil"/>
            </w:tcBorders>
            <w:shd w:val="clear" w:color="000000" w:fill="FFFFFF"/>
            <w:vAlign w:val="center"/>
          </w:tcPr>
          <w:p w14:paraId="2B916228">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评价要点：</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①是否已制定或具有相应的财务和业务管理制度；</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②财务和业务管理制度是否合法、合规、完整。</w:t>
            </w:r>
          </w:p>
        </w:tc>
        <w:tc>
          <w:tcPr>
            <w:tcW w:w="829" w:type="dxa"/>
            <w:tcBorders>
              <w:top w:val="single" w:color="auto" w:sz="4" w:space="0"/>
              <w:bottom w:val="single" w:color="auto" w:sz="4" w:space="0"/>
              <w:right w:val="single" w:color="auto" w:sz="4" w:space="0"/>
            </w:tcBorders>
            <w:shd w:val="clear" w:color="auto" w:fill="auto"/>
          </w:tcPr>
          <w:p w14:paraId="0AE822D0">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141D164D">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5</w:t>
            </w:r>
          </w:p>
        </w:tc>
      </w:tr>
      <w:tr w14:paraId="7B8DB10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2"/>
          <w:wAfter w:w="23" w:type="dxa"/>
          <w:trHeight w:val="1769" w:hRule="atLeast"/>
          <w:jc w:val="center"/>
        </w:trPr>
        <w:tc>
          <w:tcPr>
            <w:tcW w:w="764" w:type="dxa"/>
            <w:vMerge w:val="continue"/>
            <w:tcBorders>
              <w:tl2br w:val="nil"/>
              <w:tr2bl w:val="nil"/>
            </w:tcBorders>
            <w:shd w:val="clear" w:color="auto" w:fill="FFFFFF"/>
            <w:vAlign w:val="center"/>
          </w:tcPr>
          <w:p w14:paraId="4C83FF3E">
            <w:pPr>
              <w:widowControl/>
              <w:spacing w:line="0" w:lineRule="atLeast"/>
              <w:jc w:val="center"/>
              <w:rPr>
                <w:rFonts w:ascii="宋体" w:hAnsi="宋体" w:eastAsia="宋体" w:cs="宋体"/>
                <w:color w:val="000000"/>
                <w:kern w:val="0"/>
                <w:sz w:val="22"/>
                <w:szCs w:val="22"/>
              </w:rPr>
            </w:pPr>
          </w:p>
        </w:tc>
        <w:tc>
          <w:tcPr>
            <w:tcW w:w="1297" w:type="dxa"/>
            <w:gridSpan w:val="2"/>
            <w:vMerge w:val="continue"/>
            <w:tcBorders>
              <w:tl2br w:val="nil"/>
              <w:tr2bl w:val="nil"/>
            </w:tcBorders>
            <w:shd w:val="clear" w:color="auto" w:fill="FFFFFF"/>
            <w:vAlign w:val="center"/>
          </w:tcPr>
          <w:p w14:paraId="2B59F5F9">
            <w:pPr>
              <w:widowControl/>
              <w:spacing w:line="0" w:lineRule="atLeast"/>
              <w:jc w:val="center"/>
              <w:rPr>
                <w:rFonts w:ascii="宋体" w:hAnsi="宋体" w:eastAsia="宋体" w:cs="宋体"/>
                <w:color w:val="000000"/>
                <w:kern w:val="0"/>
                <w:sz w:val="22"/>
                <w:szCs w:val="22"/>
              </w:rPr>
            </w:pPr>
          </w:p>
        </w:tc>
        <w:tc>
          <w:tcPr>
            <w:tcW w:w="1411" w:type="dxa"/>
            <w:tcBorders>
              <w:tl2br w:val="nil"/>
              <w:tr2bl w:val="nil"/>
            </w:tcBorders>
            <w:shd w:val="clear" w:color="auto" w:fill="FFFFFF"/>
            <w:vAlign w:val="center"/>
          </w:tcPr>
          <w:p w14:paraId="2B8A086E">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制度执行</w:t>
            </w:r>
          </w:p>
          <w:p w14:paraId="1FA2D972">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有效性</w:t>
            </w:r>
          </w:p>
        </w:tc>
        <w:tc>
          <w:tcPr>
            <w:tcW w:w="2788" w:type="dxa"/>
            <w:gridSpan w:val="3"/>
            <w:tcBorders>
              <w:tl2br w:val="nil"/>
              <w:tr2bl w:val="nil"/>
            </w:tcBorders>
            <w:shd w:val="clear" w:color="000000" w:fill="FFFFFF"/>
            <w:vAlign w:val="center"/>
          </w:tcPr>
          <w:p w14:paraId="59025741">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项目实施是否符合相关管理规定，用以反映和考核相关管理制度的有效执行情况。</w:t>
            </w:r>
          </w:p>
        </w:tc>
        <w:tc>
          <w:tcPr>
            <w:tcW w:w="7341" w:type="dxa"/>
            <w:tcBorders>
              <w:tl2br w:val="nil"/>
              <w:tr2bl w:val="nil"/>
            </w:tcBorders>
            <w:shd w:val="clear" w:color="000000" w:fill="FFFFFF"/>
            <w:vAlign w:val="center"/>
          </w:tcPr>
          <w:p w14:paraId="2A83283E">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评价要点：</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①是否遵守相关法律法规和相关管理规定；</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②项目调整及支出调整手续是否完备；</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③项目合同书、验收报告、技术鉴定等资料是否齐全并及时归档；</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④项目实施的人员条件、场地设备、信息支撑等是否落实到位。</w:t>
            </w:r>
          </w:p>
        </w:tc>
        <w:tc>
          <w:tcPr>
            <w:tcW w:w="829" w:type="dxa"/>
            <w:tcBorders>
              <w:top w:val="single" w:color="auto" w:sz="4" w:space="0"/>
              <w:bottom w:val="single" w:color="auto" w:sz="4" w:space="0"/>
              <w:right w:val="single" w:color="auto" w:sz="4" w:space="0"/>
            </w:tcBorders>
            <w:shd w:val="clear" w:color="auto" w:fill="auto"/>
          </w:tcPr>
          <w:p w14:paraId="4B2B636C">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7E1A2E3D">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5</w:t>
            </w:r>
          </w:p>
        </w:tc>
      </w:tr>
      <w:tr w14:paraId="57C89BF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gridAfter w:val="2"/>
          <w:wAfter w:w="23" w:type="dxa"/>
          <w:trHeight w:val="1917" w:hRule="atLeast"/>
          <w:jc w:val="center"/>
        </w:trPr>
        <w:tc>
          <w:tcPr>
            <w:tcW w:w="764" w:type="dxa"/>
            <w:tcBorders>
              <w:tl2br w:val="nil"/>
              <w:tr2bl w:val="nil"/>
            </w:tcBorders>
            <w:shd w:val="clear" w:color="auto" w:fill="FFFFFF"/>
            <w:vAlign w:val="center"/>
          </w:tcPr>
          <w:p w14:paraId="24317327">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产出（30分）</w:t>
            </w:r>
          </w:p>
        </w:tc>
        <w:tc>
          <w:tcPr>
            <w:tcW w:w="1297" w:type="dxa"/>
            <w:gridSpan w:val="2"/>
            <w:tcBorders>
              <w:tl2br w:val="nil"/>
              <w:tr2bl w:val="nil"/>
            </w:tcBorders>
            <w:shd w:val="clear" w:color="auto" w:fill="FFFFFF"/>
            <w:vAlign w:val="center"/>
          </w:tcPr>
          <w:p w14:paraId="1C9940E6">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产出数量（1</w:t>
            </w:r>
            <w:r>
              <w:rPr>
                <w:rFonts w:ascii="宋体" w:hAnsi="宋体" w:eastAsia="宋体" w:cs="宋体"/>
                <w:color w:val="000000"/>
                <w:kern w:val="0"/>
                <w:sz w:val="22"/>
                <w:szCs w:val="22"/>
              </w:rPr>
              <w:t>5</w:t>
            </w:r>
            <w:r>
              <w:rPr>
                <w:rFonts w:hint="eastAsia" w:ascii="宋体" w:hAnsi="宋体" w:eastAsia="宋体" w:cs="宋体"/>
                <w:color w:val="000000"/>
                <w:kern w:val="0"/>
                <w:sz w:val="22"/>
                <w:szCs w:val="22"/>
              </w:rPr>
              <w:t>分）</w:t>
            </w:r>
          </w:p>
        </w:tc>
        <w:tc>
          <w:tcPr>
            <w:tcW w:w="1411" w:type="dxa"/>
            <w:tcBorders>
              <w:tl2br w:val="nil"/>
              <w:tr2bl w:val="nil"/>
            </w:tcBorders>
            <w:shd w:val="clear" w:color="auto" w:fill="FFFFFF"/>
            <w:vAlign w:val="center"/>
          </w:tcPr>
          <w:p w14:paraId="4E918EB1">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实际完成率</w:t>
            </w:r>
          </w:p>
        </w:tc>
        <w:tc>
          <w:tcPr>
            <w:tcW w:w="2788" w:type="dxa"/>
            <w:gridSpan w:val="3"/>
            <w:tcBorders>
              <w:tl2br w:val="nil"/>
              <w:tr2bl w:val="nil"/>
            </w:tcBorders>
            <w:shd w:val="clear" w:color="000000" w:fill="FFFFFF"/>
            <w:vAlign w:val="center"/>
          </w:tcPr>
          <w:p w14:paraId="021AA774">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项目实施的实际产出数与计划产出数的比率，用以反映和考核项目产出数量目标的实现程度。</w:t>
            </w:r>
          </w:p>
        </w:tc>
        <w:tc>
          <w:tcPr>
            <w:tcW w:w="7341" w:type="dxa"/>
            <w:tcBorders>
              <w:tl2br w:val="nil"/>
              <w:tr2bl w:val="nil"/>
            </w:tcBorders>
            <w:shd w:val="clear" w:color="000000" w:fill="FFFFFF"/>
            <w:vAlign w:val="center"/>
          </w:tcPr>
          <w:p w14:paraId="5B2DC514">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实际完成率=（实际产出数/计划产出数）×100%。</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实际产出数：一定时期（本年度或项目期）内项目实际产出的产品或提供的服务数量。</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计划产出数：项目绩效目标确定的在一定时期（本年度或项目期）内计划产出的产品或提供的服务数量。</w:t>
            </w:r>
          </w:p>
        </w:tc>
        <w:tc>
          <w:tcPr>
            <w:tcW w:w="829" w:type="dxa"/>
            <w:tcBorders>
              <w:top w:val="single" w:color="auto" w:sz="4" w:space="0"/>
              <w:bottom w:val="single" w:color="auto" w:sz="4" w:space="0"/>
              <w:right w:val="single" w:color="auto" w:sz="4" w:space="0"/>
            </w:tcBorders>
            <w:shd w:val="clear" w:color="auto" w:fill="auto"/>
          </w:tcPr>
          <w:p w14:paraId="09E03D2F">
            <w:pPr>
              <w:widowControl/>
              <w:jc w:val="left"/>
              <w:rPr>
                <w:rFonts w:ascii="宋体" w:hAnsi="宋体" w:eastAsia="宋体" w:cs="宋体"/>
                <w:color w:val="000000"/>
                <w:kern w:val="0"/>
                <w:sz w:val="22"/>
                <w:szCs w:val="22"/>
              </w:rPr>
            </w:pPr>
            <w:r>
              <w:rPr>
                <w:rFonts w:ascii="宋体" w:hAnsi="宋体" w:eastAsia="宋体" w:cs="宋体"/>
                <w:color w:val="000000"/>
                <w:kern w:val="0"/>
                <w:sz w:val="22"/>
                <w:szCs w:val="22"/>
              </w:rPr>
              <w:t>15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7169A00C">
            <w:pPr>
              <w:widowControl/>
              <w:jc w:val="left"/>
              <w:rPr>
                <w:rFonts w:ascii="宋体" w:hAnsi="宋体" w:eastAsia="宋体" w:cs="宋体"/>
                <w:color w:val="000000"/>
                <w:kern w:val="0"/>
                <w:sz w:val="22"/>
                <w:szCs w:val="22"/>
              </w:rPr>
            </w:pPr>
            <w:r>
              <w:rPr>
                <w:rFonts w:ascii="宋体" w:hAnsi="宋体" w:eastAsia="宋体" w:cs="宋体"/>
                <w:color w:val="000000"/>
                <w:kern w:val="0"/>
                <w:sz w:val="22"/>
                <w:szCs w:val="22"/>
              </w:rPr>
              <w:t>15</w:t>
            </w:r>
          </w:p>
        </w:tc>
      </w:tr>
      <w:tr w14:paraId="7F0841D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718" w:hRule="atLeast"/>
          <w:jc w:val="center"/>
        </w:trPr>
        <w:tc>
          <w:tcPr>
            <w:tcW w:w="764" w:type="dxa"/>
            <w:vMerge w:val="restart"/>
            <w:tcBorders>
              <w:tl2br w:val="nil"/>
              <w:tr2bl w:val="nil"/>
            </w:tcBorders>
            <w:shd w:val="clear" w:color="auto" w:fill="FFFFFF"/>
            <w:vAlign w:val="center"/>
          </w:tcPr>
          <w:p w14:paraId="6A261E42">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产出（30分）</w:t>
            </w:r>
          </w:p>
        </w:tc>
        <w:tc>
          <w:tcPr>
            <w:tcW w:w="1297" w:type="dxa"/>
            <w:gridSpan w:val="2"/>
            <w:tcBorders>
              <w:tl2br w:val="nil"/>
              <w:tr2bl w:val="nil"/>
            </w:tcBorders>
            <w:shd w:val="clear" w:color="auto" w:fill="FFFFFF"/>
            <w:vAlign w:val="center"/>
          </w:tcPr>
          <w:p w14:paraId="48142D4A">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产出质量（10分）</w:t>
            </w:r>
          </w:p>
        </w:tc>
        <w:tc>
          <w:tcPr>
            <w:tcW w:w="1411" w:type="dxa"/>
            <w:tcBorders>
              <w:tl2br w:val="nil"/>
              <w:tr2bl w:val="nil"/>
            </w:tcBorders>
            <w:shd w:val="clear" w:color="auto" w:fill="FFFFFF"/>
            <w:vAlign w:val="center"/>
          </w:tcPr>
          <w:p w14:paraId="2068553A">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质量达标率</w:t>
            </w:r>
          </w:p>
        </w:tc>
        <w:tc>
          <w:tcPr>
            <w:tcW w:w="2788" w:type="dxa"/>
            <w:gridSpan w:val="3"/>
            <w:tcBorders>
              <w:tl2br w:val="nil"/>
              <w:tr2bl w:val="nil"/>
            </w:tcBorders>
            <w:shd w:val="clear" w:color="000000" w:fill="FFFFFF"/>
            <w:vAlign w:val="center"/>
          </w:tcPr>
          <w:p w14:paraId="2FC01BAF">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项目完成的质量达标产出数与实际产出数的比率，用以反映和考核项目产出质量目标的实现程度。</w:t>
            </w:r>
          </w:p>
        </w:tc>
        <w:tc>
          <w:tcPr>
            <w:tcW w:w="7341" w:type="dxa"/>
            <w:tcBorders>
              <w:bottom w:val="single" w:color="auto" w:sz="4" w:space="0"/>
              <w:tl2br w:val="nil"/>
              <w:tr2bl w:val="nil"/>
            </w:tcBorders>
            <w:shd w:val="clear" w:color="000000" w:fill="FFFFFF"/>
            <w:vAlign w:val="center"/>
          </w:tcPr>
          <w:p w14:paraId="598903F7">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质量达标率=（质量达标产出数/实际产出数）×100%。</w:t>
            </w:r>
          </w:p>
          <w:p w14:paraId="0ED67C4B">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质量达标产出数：一定时期（本年度或项目期）内实际达到既定质量标准的产品或服务数量。既定质量标准是指项目实施单位设立绩效目标时依据计划标准、行业标准、历史标准或其他标准而设定的绩效指标值。</w:t>
            </w:r>
          </w:p>
        </w:tc>
        <w:tc>
          <w:tcPr>
            <w:tcW w:w="852" w:type="dxa"/>
            <w:gridSpan w:val="3"/>
            <w:tcBorders>
              <w:top w:val="single" w:color="auto" w:sz="4" w:space="0"/>
              <w:bottom w:val="single" w:color="auto" w:sz="4" w:space="0"/>
              <w:right w:val="single" w:color="auto" w:sz="4" w:space="0"/>
            </w:tcBorders>
            <w:shd w:val="clear" w:color="auto" w:fill="auto"/>
          </w:tcPr>
          <w:p w14:paraId="06C76EA2">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10</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0F22AF94">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10</w:t>
            </w:r>
          </w:p>
        </w:tc>
      </w:tr>
      <w:tr w14:paraId="526D8F7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506" w:hRule="atLeast"/>
          <w:jc w:val="center"/>
        </w:trPr>
        <w:tc>
          <w:tcPr>
            <w:tcW w:w="764" w:type="dxa"/>
            <w:vMerge w:val="continue"/>
            <w:tcBorders>
              <w:tl2br w:val="nil"/>
              <w:tr2bl w:val="nil"/>
            </w:tcBorders>
            <w:shd w:val="clear" w:color="auto" w:fill="FFFFFF"/>
            <w:vAlign w:val="center"/>
          </w:tcPr>
          <w:p w14:paraId="50980288">
            <w:pPr>
              <w:spacing w:line="0" w:lineRule="atLeast"/>
              <w:jc w:val="center"/>
              <w:rPr>
                <w:rFonts w:ascii="宋体" w:hAnsi="宋体" w:eastAsia="宋体" w:cs="宋体"/>
                <w:color w:val="000000"/>
                <w:kern w:val="0"/>
                <w:sz w:val="22"/>
                <w:szCs w:val="22"/>
              </w:rPr>
            </w:pPr>
          </w:p>
        </w:tc>
        <w:tc>
          <w:tcPr>
            <w:tcW w:w="1297" w:type="dxa"/>
            <w:gridSpan w:val="2"/>
            <w:tcBorders>
              <w:tl2br w:val="nil"/>
              <w:tr2bl w:val="nil"/>
            </w:tcBorders>
            <w:shd w:val="clear" w:color="auto" w:fill="FFFFFF"/>
            <w:vAlign w:val="center"/>
          </w:tcPr>
          <w:p w14:paraId="3D46ED4A">
            <w:pPr>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产出时效（5分）</w:t>
            </w:r>
          </w:p>
        </w:tc>
        <w:tc>
          <w:tcPr>
            <w:tcW w:w="1411" w:type="dxa"/>
            <w:tcBorders>
              <w:tl2br w:val="nil"/>
              <w:tr2bl w:val="nil"/>
            </w:tcBorders>
            <w:shd w:val="clear" w:color="auto" w:fill="FFFFFF"/>
            <w:vAlign w:val="center"/>
          </w:tcPr>
          <w:p w14:paraId="483975AC">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完成及时性</w:t>
            </w:r>
          </w:p>
        </w:tc>
        <w:tc>
          <w:tcPr>
            <w:tcW w:w="2788" w:type="dxa"/>
            <w:gridSpan w:val="3"/>
            <w:tcBorders>
              <w:tl2br w:val="nil"/>
              <w:tr2bl w:val="nil"/>
            </w:tcBorders>
            <w:shd w:val="clear" w:color="000000" w:fill="FFFFFF"/>
            <w:vAlign w:val="center"/>
          </w:tcPr>
          <w:p w14:paraId="59217632">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项目实际完成时间与计划完成时间的比较，用以反映和考核项目产出时效目标的实现程度。</w:t>
            </w:r>
          </w:p>
        </w:tc>
        <w:tc>
          <w:tcPr>
            <w:tcW w:w="7341" w:type="dxa"/>
            <w:tcBorders>
              <w:tl2br w:val="nil"/>
              <w:tr2bl w:val="nil"/>
            </w:tcBorders>
            <w:shd w:val="clear" w:color="000000" w:fill="FFFFFF"/>
            <w:vAlign w:val="center"/>
          </w:tcPr>
          <w:p w14:paraId="17F5FFDA">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实际完成时间：项目实施单位完成该项目实际所耗用的时间。</w:t>
            </w:r>
            <w:r>
              <w:rPr>
                <w:rFonts w:hint="eastAsia" w:ascii="宋体" w:hAnsi="宋体" w:eastAsia="宋体" w:cs="宋体"/>
                <w:color w:val="000000"/>
                <w:kern w:val="0"/>
                <w:sz w:val="22"/>
                <w:szCs w:val="22"/>
              </w:rPr>
              <w:br w:type="textWrapping"/>
            </w:r>
            <w:r>
              <w:rPr>
                <w:rFonts w:hint="eastAsia" w:ascii="宋体" w:hAnsi="宋体" w:eastAsia="宋体" w:cs="宋体"/>
                <w:color w:val="000000"/>
                <w:kern w:val="0"/>
                <w:sz w:val="22"/>
                <w:szCs w:val="22"/>
              </w:rPr>
              <w:t>计划完成时间：按照项目实施计划或相关规定完成该项目所需的时间。</w:t>
            </w:r>
          </w:p>
        </w:tc>
        <w:tc>
          <w:tcPr>
            <w:tcW w:w="852" w:type="dxa"/>
            <w:gridSpan w:val="3"/>
            <w:tcBorders>
              <w:top w:val="single" w:color="auto" w:sz="4" w:space="0"/>
              <w:bottom w:val="single" w:color="auto" w:sz="4" w:space="0"/>
              <w:right w:val="single" w:color="auto" w:sz="4" w:space="0"/>
            </w:tcBorders>
            <w:shd w:val="clear" w:color="auto" w:fill="auto"/>
          </w:tcPr>
          <w:p w14:paraId="3B8EBA93">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164134DC">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5</w:t>
            </w:r>
          </w:p>
        </w:tc>
      </w:tr>
      <w:tr w14:paraId="00D21E7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889" w:hRule="atLeast"/>
          <w:jc w:val="center"/>
        </w:trPr>
        <w:tc>
          <w:tcPr>
            <w:tcW w:w="764" w:type="dxa"/>
            <w:vMerge w:val="restart"/>
            <w:tcBorders>
              <w:right w:val="single" w:color="auto" w:sz="4" w:space="0"/>
              <w:tl2br w:val="nil"/>
              <w:tr2bl w:val="nil"/>
            </w:tcBorders>
            <w:shd w:val="clear" w:color="auto" w:fill="FFFFFF"/>
            <w:vAlign w:val="center"/>
          </w:tcPr>
          <w:p w14:paraId="0BC8E259">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效益（30分）　</w:t>
            </w:r>
          </w:p>
        </w:tc>
        <w:tc>
          <w:tcPr>
            <w:tcW w:w="1297" w:type="dxa"/>
            <w:gridSpan w:val="2"/>
            <w:vMerge w:val="restart"/>
            <w:tcBorders>
              <w:left w:val="single" w:color="auto" w:sz="4" w:space="0"/>
              <w:right w:val="single" w:color="auto" w:sz="4" w:space="0"/>
              <w:tl2br w:val="nil"/>
              <w:tr2bl w:val="nil"/>
            </w:tcBorders>
            <w:shd w:val="clear" w:color="auto" w:fill="FFFFFF"/>
            <w:vAlign w:val="center"/>
          </w:tcPr>
          <w:p w14:paraId="274D5156">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项目效益（30分）　</w:t>
            </w:r>
          </w:p>
        </w:tc>
        <w:tc>
          <w:tcPr>
            <w:tcW w:w="1411" w:type="dxa"/>
            <w:tcBorders>
              <w:left w:val="single" w:color="auto" w:sz="4" w:space="0"/>
              <w:tl2br w:val="nil"/>
              <w:tr2bl w:val="nil"/>
            </w:tcBorders>
            <w:shd w:val="clear" w:color="auto" w:fill="FFFFFF"/>
            <w:vAlign w:val="center"/>
          </w:tcPr>
          <w:p w14:paraId="53BC640B">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实施效益</w:t>
            </w:r>
          </w:p>
        </w:tc>
        <w:tc>
          <w:tcPr>
            <w:tcW w:w="2788" w:type="dxa"/>
            <w:gridSpan w:val="3"/>
            <w:tcBorders>
              <w:tl2br w:val="nil"/>
              <w:tr2bl w:val="nil"/>
            </w:tcBorders>
            <w:shd w:val="clear" w:color="auto" w:fill="FFFFFF"/>
            <w:vAlign w:val="center"/>
          </w:tcPr>
          <w:p w14:paraId="527C7A61">
            <w:pPr>
              <w:widowControl/>
              <w:spacing w:line="0" w:lineRule="atLeast"/>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项目实施所产生的效益。</w:t>
            </w:r>
          </w:p>
        </w:tc>
        <w:tc>
          <w:tcPr>
            <w:tcW w:w="7341" w:type="dxa"/>
            <w:tcBorders>
              <w:tl2br w:val="nil"/>
              <w:tr2bl w:val="nil"/>
            </w:tcBorders>
            <w:shd w:val="clear" w:color="auto" w:fill="FFFFFF"/>
            <w:vAlign w:val="center"/>
          </w:tcPr>
          <w:p w14:paraId="0D31B0AC">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项目实施所产生的社会效益、经济效益、生态效益、可持续影响等。可根据项目实际情况有选择地设置和细化。</w:t>
            </w:r>
          </w:p>
        </w:tc>
        <w:tc>
          <w:tcPr>
            <w:tcW w:w="852" w:type="dxa"/>
            <w:gridSpan w:val="3"/>
            <w:tcBorders>
              <w:top w:val="single" w:color="auto" w:sz="4" w:space="0"/>
              <w:bottom w:val="single" w:color="auto" w:sz="4" w:space="0"/>
              <w:right w:val="single" w:color="auto" w:sz="4" w:space="0"/>
            </w:tcBorders>
            <w:shd w:val="clear" w:color="auto" w:fill="auto"/>
          </w:tcPr>
          <w:p w14:paraId="69813820">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15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58728A11">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13</w:t>
            </w:r>
          </w:p>
        </w:tc>
      </w:tr>
      <w:tr w14:paraId="355BEF8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137" w:hRule="atLeast"/>
          <w:jc w:val="center"/>
        </w:trPr>
        <w:tc>
          <w:tcPr>
            <w:tcW w:w="764" w:type="dxa"/>
            <w:vMerge w:val="continue"/>
            <w:tcBorders>
              <w:right w:val="single" w:color="auto" w:sz="4" w:space="0"/>
              <w:tl2br w:val="nil"/>
              <w:tr2bl w:val="nil"/>
            </w:tcBorders>
            <w:shd w:val="clear" w:color="auto" w:fill="FFFFFF"/>
            <w:vAlign w:val="center"/>
          </w:tcPr>
          <w:p w14:paraId="4C2620FE">
            <w:pPr>
              <w:widowControl/>
              <w:spacing w:line="0" w:lineRule="atLeast"/>
              <w:jc w:val="center"/>
              <w:rPr>
                <w:rFonts w:ascii="宋体" w:hAnsi="宋体" w:eastAsia="宋体" w:cs="宋体"/>
                <w:color w:val="000000"/>
                <w:kern w:val="0"/>
                <w:sz w:val="22"/>
                <w:szCs w:val="22"/>
              </w:rPr>
            </w:pPr>
          </w:p>
        </w:tc>
        <w:tc>
          <w:tcPr>
            <w:tcW w:w="1297" w:type="dxa"/>
            <w:gridSpan w:val="2"/>
            <w:vMerge w:val="continue"/>
            <w:tcBorders>
              <w:left w:val="single" w:color="auto" w:sz="4" w:space="0"/>
              <w:right w:val="single" w:color="auto" w:sz="4" w:space="0"/>
              <w:tl2br w:val="nil"/>
              <w:tr2bl w:val="nil"/>
            </w:tcBorders>
            <w:shd w:val="clear" w:color="auto" w:fill="FFFFFF"/>
            <w:vAlign w:val="center"/>
          </w:tcPr>
          <w:p w14:paraId="0C619F3B">
            <w:pPr>
              <w:widowControl/>
              <w:spacing w:line="0" w:lineRule="atLeast"/>
              <w:jc w:val="center"/>
              <w:rPr>
                <w:rFonts w:ascii="宋体" w:hAnsi="宋体" w:eastAsia="宋体" w:cs="宋体"/>
                <w:color w:val="000000"/>
                <w:kern w:val="0"/>
                <w:sz w:val="22"/>
                <w:szCs w:val="22"/>
              </w:rPr>
            </w:pPr>
          </w:p>
        </w:tc>
        <w:tc>
          <w:tcPr>
            <w:tcW w:w="1411" w:type="dxa"/>
            <w:tcBorders>
              <w:left w:val="single" w:color="auto" w:sz="4" w:space="0"/>
              <w:right w:val="single" w:color="auto" w:sz="4" w:space="0"/>
              <w:tl2br w:val="nil"/>
              <w:tr2bl w:val="nil"/>
            </w:tcBorders>
            <w:shd w:val="clear" w:color="auto" w:fill="FFFFFF"/>
            <w:vAlign w:val="center"/>
          </w:tcPr>
          <w:p w14:paraId="0EEB1C49">
            <w:pPr>
              <w:widowControl/>
              <w:spacing w:line="0" w:lineRule="atLeast"/>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满意度</w:t>
            </w:r>
          </w:p>
        </w:tc>
        <w:tc>
          <w:tcPr>
            <w:tcW w:w="2788" w:type="dxa"/>
            <w:gridSpan w:val="3"/>
            <w:tcBorders>
              <w:left w:val="single" w:color="auto" w:sz="4" w:space="0"/>
              <w:right w:val="single" w:color="auto" w:sz="4" w:space="0"/>
              <w:tl2br w:val="nil"/>
              <w:tr2bl w:val="nil"/>
            </w:tcBorders>
            <w:shd w:val="clear" w:color="000000" w:fill="FFFFFF"/>
            <w:vAlign w:val="center"/>
          </w:tcPr>
          <w:p w14:paraId="22B3D09B">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社会公众或服务对象对项目实施效果的满意程度。</w:t>
            </w:r>
          </w:p>
        </w:tc>
        <w:tc>
          <w:tcPr>
            <w:tcW w:w="7341" w:type="dxa"/>
            <w:tcBorders>
              <w:left w:val="single" w:color="auto" w:sz="4" w:space="0"/>
              <w:right w:val="single" w:color="auto" w:sz="4" w:space="0"/>
              <w:tl2br w:val="nil"/>
              <w:tr2bl w:val="nil"/>
            </w:tcBorders>
            <w:shd w:val="clear" w:color="000000" w:fill="FFFFFF"/>
            <w:vAlign w:val="center"/>
          </w:tcPr>
          <w:p w14:paraId="26DDBABE">
            <w:pPr>
              <w:widowControl/>
              <w:spacing w:line="0" w:lineRule="atLeast"/>
              <w:rPr>
                <w:rFonts w:ascii="宋体" w:hAnsi="宋体" w:eastAsia="宋体" w:cs="宋体"/>
                <w:color w:val="000000"/>
                <w:kern w:val="0"/>
                <w:sz w:val="22"/>
                <w:szCs w:val="22"/>
              </w:rPr>
            </w:pPr>
            <w:r>
              <w:rPr>
                <w:rFonts w:hint="eastAsia" w:ascii="宋体" w:hAnsi="宋体" w:eastAsia="宋体" w:cs="宋体"/>
                <w:color w:val="000000"/>
                <w:kern w:val="0"/>
                <w:sz w:val="22"/>
                <w:szCs w:val="22"/>
              </w:rPr>
              <w:t>社会公众或服务对象是指因该项目实施而受到影响的部门（单位）、群体或个人。一般采取社会调查的方式。</w:t>
            </w:r>
          </w:p>
        </w:tc>
        <w:tc>
          <w:tcPr>
            <w:tcW w:w="852" w:type="dxa"/>
            <w:gridSpan w:val="3"/>
            <w:tcBorders>
              <w:top w:val="single" w:color="auto" w:sz="4" w:space="0"/>
              <w:left w:val="single" w:color="auto" w:sz="4" w:space="0"/>
              <w:bottom w:val="single" w:color="auto" w:sz="4" w:space="0"/>
              <w:right w:val="single" w:color="auto" w:sz="4" w:space="0"/>
            </w:tcBorders>
            <w:shd w:val="clear" w:color="auto" w:fill="auto"/>
          </w:tcPr>
          <w:p w14:paraId="5C2B22A1">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15</w:t>
            </w:r>
          </w:p>
        </w:tc>
        <w:tc>
          <w:tcPr>
            <w:tcW w:w="922" w:type="dxa"/>
            <w:gridSpan w:val="3"/>
            <w:tcBorders>
              <w:top w:val="single" w:color="auto" w:sz="4" w:space="0"/>
              <w:left w:val="single" w:color="auto" w:sz="4" w:space="0"/>
              <w:bottom w:val="single" w:color="auto" w:sz="4" w:space="0"/>
              <w:right w:val="single" w:color="auto" w:sz="4" w:space="0"/>
            </w:tcBorders>
            <w:shd w:val="clear" w:color="auto" w:fill="auto"/>
          </w:tcPr>
          <w:p w14:paraId="1F4B2142">
            <w:pPr>
              <w:widowControl/>
              <w:jc w:val="left"/>
              <w:rPr>
                <w:rFonts w:ascii="宋体" w:hAnsi="宋体" w:eastAsia="宋体" w:cs="宋体"/>
                <w:color w:val="000000"/>
                <w:kern w:val="0"/>
                <w:sz w:val="22"/>
                <w:szCs w:val="22"/>
              </w:rPr>
            </w:pPr>
            <w:r>
              <w:rPr>
                <w:rFonts w:hint="eastAsia" w:ascii="宋体" w:hAnsi="宋体" w:eastAsia="宋体" w:cs="宋体"/>
                <w:color w:val="000000"/>
                <w:kern w:val="0"/>
                <w:sz w:val="22"/>
                <w:szCs w:val="22"/>
              </w:rPr>
              <w:t>15</w:t>
            </w:r>
          </w:p>
        </w:tc>
      </w:tr>
      <w:tr w14:paraId="3344C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764" w:type="dxa"/>
          </w:tcPr>
          <w:p w14:paraId="4D7FC701"/>
        </w:tc>
        <w:tc>
          <w:tcPr>
            <w:tcW w:w="1290" w:type="dxa"/>
          </w:tcPr>
          <w:p w14:paraId="62392091">
            <w:r>
              <w:rPr>
                <w:rFonts w:hint="eastAsia"/>
                <w:sz w:val="24"/>
              </w:rPr>
              <w:t>合计总分</w:t>
            </w:r>
          </w:p>
        </w:tc>
        <w:tc>
          <w:tcPr>
            <w:tcW w:w="1425" w:type="dxa"/>
            <w:gridSpan w:val="3"/>
          </w:tcPr>
          <w:p w14:paraId="4143899E"/>
        </w:tc>
        <w:tc>
          <w:tcPr>
            <w:tcW w:w="2774" w:type="dxa"/>
          </w:tcPr>
          <w:p w14:paraId="120B4DC6"/>
        </w:tc>
        <w:tc>
          <w:tcPr>
            <w:tcW w:w="7348" w:type="dxa"/>
            <w:gridSpan w:val="2"/>
          </w:tcPr>
          <w:p w14:paraId="797C13C2"/>
        </w:tc>
        <w:tc>
          <w:tcPr>
            <w:tcW w:w="855" w:type="dxa"/>
            <w:gridSpan w:val="3"/>
          </w:tcPr>
          <w:p w14:paraId="5C53CF50">
            <w:r>
              <w:rPr>
                <w:rFonts w:hint="eastAsia"/>
              </w:rPr>
              <w:t>100</w:t>
            </w:r>
          </w:p>
        </w:tc>
        <w:tc>
          <w:tcPr>
            <w:tcW w:w="919" w:type="dxa"/>
            <w:gridSpan w:val="3"/>
          </w:tcPr>
          <w:p w14:paraId="1639CA16">
            <w:r>
              <w:rPr>
                <w:rFonts w:hint="eastAsia"/>
              </w:rPr>
              <w:t>98</w:t>
            </w:r>
          </w:p>
        </w:tc>
      </w:tr>
    </w:tbl>
    <w:p w14:paraId="72006FA4"/>
    <w:sectPr>
      <w:pgSz w:w="16838" w:h="11906" w:orient="landscape"/>
      <w:pgMar w:top="1531" w:right="1701" w:bottom="1531" w:left="1928" w:header="737" w:footer="851" w:gutter="0"/>
      <w:cols w:space="720" w:num="1"/>
      <w:docGrid w:type="lines" w:linePitch="408"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DBB27515-382C-4EF9-8A7F-A6F19A81439D}"/>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BB542937-7DF8-4A62-B2DE-DA4F30FF22CB}"/>
  </w:font>
  <w:font w:name="仿宋_GB2312">
    <w:altName w:val="仿宋"/>
    <w:panose1 w:val="02010609030101010101"/>
    <w:charset w:val="86"/>
    <w:family w:val="modern"/>
    <w:pitch w:val="default"/>
    <w:sig w:usb0="00000000" w:usb1="00000000" w:usb2="00000010" w:usb3="00000000" w:csb0="00040000" w:csb1="00000000"/>
    <w:embedRegular r:id="rId3" w:fontKey="{3328D273-84EB-4E99-8457-61A4E4BFF614}"/>
  </w:font>
  <w:font w:name="仿宋">
    <w:panose1 w:val="02010609060101010101"/>
    <w:charset w:val="86"/>
    <w:family w:val="modern"/>
    <w:pitch w:val="default"/>
    <w:sig w:usb0="800002BF" w:usb1="38CF7CFA" w:usb2="00000016" w:usb3="00000000" w:csb0="00040001" w:csb1="00000000"/>
    <w:embedRegular r:id="rId4" w:fontKey="{89B6C122-CEF2-4EF8-9178-E1B10F13776D}"/>
  </w:font>
  <w:font w:name="Arial">
    <w:panose1 w:val="020B0604020202020204"/>
    <w:charset w:val="00"/>
    <w:family w:val="swiss"/>
    <w:pitch w:val="default"/>
    <w:sig w:usb0="E0002EFF" w:usb1="C000785B" w:usb2="00000009" w:usb3="00000000" w:csb0="400001FF" w:csb1="FFFF0000"/>
    <w:embedRegular r:id="rId5" w:fontKey="{FD3CF8C7-9E1A-44D1-B410-AAE532007ED2}"/>
  </w:font>
  <w:font w:name="等线">
    <w:panose1 w:val="02010600030101010101"/>
    <w:charset w:val="86"/>
    <w:family w:val="auto"/>
    <w:pitch w:val="default"/>
    <w:sig w:usb0="A00002BF" w:usb1="38CF7CFA" w:usb2="00000016" w:usb3="00000000" w:csb0="0004000F" w:csb1="00000000"/>
  </w:font>
  <w:font w:name="仿宋w..">
    <w:altName w:val="宋体"/>
    <w:panose1 w:val="00000000000000000000"/>
    <w:charset w:val="86"/>
    <w:family w:val="roman"/>
    <w:pitch w:val="default"/>
    <w:sig w:usb0="00000000" w:usb1="00000000" w:usb2="00000010" w:usb3="00000000" w:csb0="00040000" w:csb1="00000000"/>
  </w:font>
  <w:font w:name="方正小标宋_GBK">
    <w:panose1 w:val="02000000000000000000"/>
    <w:charset w:val="86"/>
    <w:family w:val="script"/>
    <w:pitch w:val="default"/>
    <w:sig w:usb0="A00002BF" w:usb1="38CF7CFA" w:usb2="00082016" w:usb3="00000000" w:csb0="00040001" w:csb1="00000000"/>
    <w:embedRegular r:id="rId6" w:fontKey="{0784C747-4F62-4E06-85FA-C1E736529B43}"/>
  </w:font>
  <w:font w:name="华文中宋">
    <w:panose1 w:val="02010600040101010101"/>
    <w:charset w:val="86"/>
    <w:family w:val="auto"/>
    <w:pitch w:val="default"/>
    <w:sig w:usb0="00000287" w:usb1="080F0000" w:usb2="00000000" w:usb3="00000000" w:csb0="0004009F" w:csb1="DFD70000"/>
    <w:embedRegular r:id="rId7" w:fontKey="{61DE552D-CF75-4B93-B771-FF25740A0DA1}"/>
  </w:font>
  <w:font w:name="楷体">
    <w:panose1 w:val="02010609060101010101"/>
    <w:charset w:val="86"/>
    <w:family w:val="modern"/>
    <w:pitch w:val="default"/>
    <w:sig w:usb0="800002BF" w:usb1="38CF7CFA" w:usb2="00000016" w:usb3="00000000" w:csb0="00040001" w:csb1="00000000"/>
    <w:embedRegular r:id="rId8" w:fontKey="{CB232212-54B3-4DB2-A94A-43EF25A60855}"/>
  </w:font>
  <w:font w:name="方正楷体_GBK">
    <w:panose1 w:val="02000000000000000000"/>
    <w:charset w:val="86"/>
    <w:family w:val="script"/>
    <w:pitch w:val="default"/>
    <w:sig w:usb0="800002BF" w:usb1="38CF7CFA" w:usb2="00000016" w:usb3="00000000" w:csb0="00040000" w:csb1="00000000"/>
    <w:embedRegular r:id="rId9" w:fontKey="{77A8DF92-C93E-4092-9580-67E99F84AEAC}"/>
  </w:font>
  <w:font w:name="_x000B__x000C_">
    <w:altName w:val="Times New Roman"/>
    <w:panose1 w:val="00000000000000000000"/>
    <w:charset w:val="00"/>
    <w:family w:val="roman"/>
    <w:pitch w:val="default"/>
    <w:sig w:usb0="00000000" w:usb1="00000000" w:usb2="00000000" w:usb3="00000000" w:csb0="00040001" w:csb1="00000000"/>
    <w:embedRegular r:id="rId10" w:fontKey="{C53FF327-5EA9-44C4-A944-72696C50AD3E}"/>
  </w:font>
  <w:font w:name="方正仿宋_GBK">
    <w:panose1 w:val="02000000000000000000"/>
    <w:charset w:val="86"/>
    <w:family w:val="script"/>
    <w:pitch w:val="default"/>
    <w:sig w:usb0="A00002BF" w:usb1="38CF7CFA" w:usb2="00082016" w:usb3="00000000" w:csb0="00040001" w:csb1="00000000"/>
    <w:embedRegular r:id="rId11" w:fontKey="{FABED4AE-C01F-4144-97D3-C7528571A8F8}"/>
  </w:font>
  <w:font w:name="微软雅黑">
    <w:panose1 w:val="020B0503020204020204"/>
    <w:charset w:val="86"/>
    <w:family w:val="swiss"/>
    <w:pitch w:val="default"/>
    <w:sig w:usb0="80000287" w:usb1="2ACF3C50" w:usb2="00000016" w:usb3="00000000" w:csb0="0004001F" w:csb1="00000000"/>
    <w:embedRegular r:id="rId12" w:fontKey="{74925EFB-5822-48A0-9675-A734F68EEE43}"/>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A9164EF"/>
    <w:multiLevelType w:val="singleLevel"/>
    <w:tmpl w:val="8A9164EF"/>
    <w:lvl w:ilvl="0" w:tentative="0">
      <w:start w:val="2"/>
      <w:numFmt w:val="chineseCounting"/>
      <w:suff w:val="nothing"/>
      <w:lvlText w:val="（%1）"/>
      <w:lvlJc w:val="left"/>
      <w:pPr>
        <w:ind w:left="-300"/>
      </w:pPr>
      <w:rPr>
        <w:rFonts w:hint="eastAsia"/>
      </w:rPr>
    </w:lvl>
  </w:abstractNum>
  <w:abstractNum w:abstractNumId="1">
    <w:nsid w:val="AA2B978F"/>
    <w:multiLevelType w:val="singleLevel"/>
    <w:tmpl w:val="AA2B978F"/>
    <w:lvl w:ilvl="0" w:tentative="0">
      <w:start w:val="2"/>
      <w:numFmt w:val="chineseCounting"/>
      <w:suff w:val="nothing"/>
      <w:lvlText w:val="（%1）"/>
      <w:lvlJc w:val="left"/>
      <w:pPr>
        <w:ind w:left="-2"/>
      </w:pPr>
      <w:rPr>
        <w:rFonts w:hint="eastAsia"/>
      </w:rPr>
    </w:lvl>
  </w:abstractNum>
  <w:abstractNum w:abstractNumId="2">
    <w:nsid w:val="33147954"/>
    <w:multiLevelType w:val="singleLevel"/>
    <w:tmpl w:val="33147954"/>
    <w:lvl w:ilvl="0" w:tentative="0">
      <w:start w:val="1"/>
      <w:numFmt w:val="decimal"/>
      <w:suff w:val="nothing"/>
      <w:lvlText w:val="%1、"/>
      <w:lvlJc w:val="left"/>
      <w:pPr>
        <w:ind w:left="276"/>
      </w:pPr>
    </w:lvl>
  </w:abstractNum>
  <w:abstractNum w:abstractNumId="3">
    <w:nsid w:val="4B1708FB"/>
    <w:multiLevelType w:val="singleLevel"/>
    <w:tmpl w:val="4B1708FB"/>
    <w:lvl w:ilvl="0" w:tentative="0">
      <w:start w:val="5"/>
      <w:numFmt w:val="chineseCounting"/>
      <w:suff w:val="nothing"/>
      <w:lvlText w:val="%1、"/>
      <w:lvlJc w:val="left"/>
      <w:rPr>
        <w:rFonts w:hint="eastAsia"/>
      </w:rPr>
    </w:lvl>
  </w:abstractNum>
  <w:abstractNum w:abstractNumId="4">
    <w:nsid w:val="6E144CEB"/>
    <w:multiLevelType w:val="multilevel"/>
    <w:tmpl w:val="6E144CEB"/>
    <w:lvl w:ilvl="0" w:tentative="0">
      <w:start w:val="1"/>
      <w:numFmt w:val="japaneseCounting"/>
      <w:lvlText w:val="（%1）"/>
      <w:lvlJc w:val="left"/>
      <w:pPr>
        <w:ind w:left="1080" w:hanging="108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4"/>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50"/>
  <w:drawingGridVerticalSpacing w:val="204"/>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484F3A"/>
    <w:rsid w:val="000E50F5"/>
    <w:rsid w:val="001E47BF"/>
    <w:rsid w:val="00234AF8"/>
    <w:rsid w:val="002A033D"/>
    <w:rsid w:val="00326748"/>
    <w:rsid w:val="003A7566"/>
    <w:rsid w:val="00424B9D"/>
    <w:rsid w:val="00484F3A"/>
    <w:rsid w:val="0052359B"/>
    <w:rsid w:val="005467DA"/>
    <w:rsid w:val="006D517C"/>
    <w:rsid w:val="00834BBE"/>
    <w:rsid w:val="00840B65"/>
    <w:rsid w:val="008601B3"/>
    <w:rsid w:val="00AC3E59"/>
    <w:rsid w:val="00C12741"/>
    <w:rsid w:val="00C526FA"/>
    <w:rsid w:val="00CA4BF4"/>
    <w:rsid w:val="00D27660"/>
    <w:rsid w:val="00D44323"/>
    <w:rsid w:val="00DF30EC"/>
    <w:rsid w:val="00FA71C4"/>
    <w:rsid w:val="00FD7CBA"/>
    <w:rsid w:val="17997397"/>
    <w:rsid w:val="29603890"/>
    <w:rsid w:val="4DCB36B5"/>
    <w:rsid w:val="5FA738EB"/>
    <w:rsid w:val="603951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99"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_GB2312" w:cs="Times New Roman"/>
      <w:kern w:val="2"/>
      <w:sz w:val="30"/>
      <w:szCs w:val="24"/>
      <w:lang w:val="en-US" w:eastAsia="zh-CN" w:bidi="ar-SA"/>
    </w:rPr>
  </w:style>
  <w:style w:type="paragraph" w:styleId="4">
    <w:name w:val="heading 2"/>
    <w:basedOn w:val="1"/>
    <w:next w:val="1"/>
    <w:link w:val="12"/>
    <w:qFormat/>
    <w:uiPriority w:val="0"/>
    <w:pPr>
      <w:keepNext/>
      <w:keepLines/>
      <w:spacing w:before="260" w:after="260" w:line="413" w:lineRule="auto"/>
      <w:outlineLvl w:val="1"/>
    </w:pPr>
    <w:rPr>
      <w:rFonts w:ascii="Arial" w:hAnsi="Arial" w:eastAsia="黑体"/>
      <w:b/>
      <w:sz w:val="32"/>
    </w:rPr>
  </w:style>
  <w:style w:type="character" w:default="1" w:styleId="8">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3"/>
    <w:qFormat/>
    <w:uiPriority w:val="0"/>
    <w:pPr>
      <w:ind w:firstLine="420" w:firstLineChars="200"/>
    </w:pPr>
  </w:style>
  <w:style w:type="paragraph" w:styleId="3">
    <w:name w:val="Body Text Indent"/>
    <w:basedOn w:val="1"/>
    <w:qFormat/>
    <w:uiPriority w:val="0"/>
    <w:pPr>
      <w:spacing w:after="120"/>
      <w:ind w:left="420" w:leftChars="200"/>
    </w:pPr>
  </w:style>
  <w:style w:type="paragraph" w:styleId="5">
    <w:name w:val="footer"/>
    <w:basedOn w:val="1"/>
    <w:link w:val="11"/>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character" w:styleId="9">
    <w:name w:val="Strong"/>
    <w:basedOn w:val="8"/>
    <w:qFormat/>
    <w:uiPriority w:val="99"/>
    <w:rPr>
      <w:b/>
      <w:bCs/>
    </w:rPr>
  </w:style>
  <w:style w:type="character" w:customStyle="1" w:styleId="10">
    <w:name w:val="页眉 Char"/>
    <w:basedOn w:val="8"/>
    <w:link w:val="6"/>
    <w:qFormat/>
    <w:uiPriority w:val="99"/>
    <w:rPr>
      <w:sz w:val="18"/>
      <w:szCs w:val="18"/>
    </w:rPr>
  </w:style>
  <w:style w:type="character" w:customStyle="1" w:styleId="11">
    <w:name w:val="页脚 Char"/>
    <w:basedOn w:val="8"/>
    <w:link w:val="5"/>
    <w:qFormat/>
    <w:uiPriority w:val="99"/>
    <w:rPr>
      <w:sz w:val="18"/>
      <w:szCs w:val="18"/>
    </w:rPr>
  </w:style>
  <w:style w:type="character" w:customStyle="1" w:styleId="12">
    <w:name w:val="标题 2 Char"/>
    <w:basedOn w:val="8"/>
    <w:link w:val="4"/>
    <w:uiPriority w:val="0"/>
    <w:rPr>
      <w:rFonts w:ascii="Arial" w:hAnsi="Arial" w:eastAsia="黑体"/>
      <w:b/>
      <w:kern w:val="2"/>
      <w:sz w:val="32"/>
      <w:szCs w:val="24"/>
    </w:rPr>
  </w:style>
  <w:style w:type="paragraph" w:customStyle="1" w:styleId="13">
    <w:name w:val="Default"/>
    <w:uiPriority w:val="0"/>
    <w:pPr>
      <w:widowControl w:val="0"/>
      <w:autoSpaceDE w:val="0"/>
      <w:autoSpaceDN w:val="0"/>
      <w:adjustRightInd w:val="0"/>
    </w:pPr>
    <w:rPr>
      <w:rFonts w:ascii="仿宋w.." w:hAnsi="Times New Roman" w:eastAsia="仿宋w.." w:cs="仿宋w.."/>
      <w:color w:val="000000"/>
      <w:sz w:val="24"/>
      <w:szCs w:val="24"/>
      <w:lang w:val="en-US" w:eastAsia="zh-CN" w:bidi="ar-SA"/>
    </w:rPr>
  </w:style>
  <w:style w:type="paragraph" w:styleId="14">
    <w:name w:val="List Paragraph"/>
    <w:basedOn w:val="1"/>
    <w:uiPriority w:val="99"/>
    <w:pPr>
      <w:ind w:firstLine="420" w:firstLineChars="200"/>
    </w:p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22</Pages>
  <Words>11077</Words>
  <Characters>11456</Characters>
  <Lines>83</Lines>
  <Paragraphs>23</Paragraphs>
  <TotalTime>194</TotalTime>
  <ScaleCrop>false</ScaleCrop>
  <LinksUpToDate>false</LinksUpToDate>
  <CharactersWithSpaces>11494</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2020-04-07T09:49:00Z</dcterms:created>
  <dc:creator>1</dc:creator>
  <cp:lastModifiedBy>Qxb</cp:lastModifiedBy>
  <dcterms:modified xsi:type="dcterms:W3CDTF">2025-02-07T08:04:57Z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KSOTemplateDocerSaveRecord">
    <vt:lpwstr>eyJoZGlkIjoiNjhiMzgzMWJiNDVmMjc4YmZhYzYxZmZlMGEwZTI0MDIiLCJ1c2VySWQiOiIxMDczMzg0NjQwIn0=</vt:lpwstr>
  </property>
  <property fmtid="{D5CDD505-2E9C-101B-9397-08002B2CF9AE}" pid="4" name="ICV">
    <vt:lpwstr>53E7413B15D347AF91CB5D25A8F01860_12</vt:lpwstr>
  </property>
</Properties>
</file>