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109" w:rsidRDefault="00FD4109" w:rsidP="00FD4109">
      <w:pPr>
        <w:spacing w:line="540" w:lineRule="exact"/>
        <w:jc w:val="center"/>
        <w:rPr>
          <w:rFonts w:ascii="方正小标宋_GBK" w:eastAsia="方正小标宋_GBK" w:hAnsi="华文中宋" w:cs="宋体"/>
          <w:b/>
          <w:kern w:val="0"/>
          <w:sz w:val="48"/>
          <w:szCs w:val="48"/>
        </w:rPr>
      </w:pPr>
      <w:r w:rsidRPr="00FD4109">
        <w:rPr>
          <w:rFonts w:ascii="方正小标宋_GBK" w:eastAsia="方正小标宋_GBK" w:hAnsi="华文中宋" w:cs="宋体" w:hint="eastAsia"/>
          <w:b/>
          <w:kern w:val="0"/>
          <w:sz w:val="48"/>
          <w:szCs w:val="48"/>
        </w:rPr>
        <w:t>巴州农业农村局</w:t>
      </w:r>
      <w:r w:rsidRPr="008C56F8">
        <w:rPr>
          <w:rFonts w:ascii="方正小标宋_GBK" w:eastAsia="方正小标宋_GBK" w:hAnsi="华文中宋" w:cs="宋体" w:hint="eastAsia"/>
          <w:b/>
          <w:kern w:val="0"/>
          <w:sz w:val="48"/>
          <w:szCs w:val="48"/>
        </w:rPr>
        <w:t>项目支出</w:t>
      </w:r>
      <w:r w:rsidRPr="008C56F8">
        <w:rPr>
          <w:rFonts w:ascii="方正小标宋_GBK" w:eastAsia="方正小标宋_GBK" w:hAnsi="华文中宋" w:cs="宋体"/>
          <w:b/>
          <w:kern w:val="0"/>
          <w:sz w:val="48"/>
          <w:szCs w:val="48"/>
        </w:rPr>
        <w:t>绩效</w:t>
      </w:r>
      <w:r w:rsidRPr="008C56F8">
        <w:rPr>
          <w:rFonts w:ascii="方正小标宋_GBK" w:eastAsia="方正小标宋_GBK" w:hAnsi="华文中宋" w:cs="宋体" w:hint="eastAsia"/>
          <w:b/>
          <w:kern w:val="0"/>
          <w:sz w:val="48"/>
          <w:szCs w:val="48"/>
        </w:rPr>
        <w:t>评价报告</w:t>
      </w:r>
    </w:p>
    <w:p w:rsidR="00FD4109" w:rsidRDefault="00FD4109" w:rsidP="00FD4109">
      <w:pPr>
        <w:spacing w:line="540" w:lineRule="exact"/>
        <w:jc w:val="center"/>
        <w:rPr>
          <w:rFonts w:ascii="华文中宋" w:eastAsia="华文中宋" w:hAnsi="华文中宋" w:cs="宋体"/>
          <w:b/>
          <w:kern w:val="0"/>
          <w:sz w:val="52"/>
          <w:szCs w:val="52"/>
        </w:rPr>
      </w:pPr>
    </w:p>
    <w:p w:rsidR="00FD4109" w:rsidRPr="00FD4109" w:rsidRDefault="00FD4109" w:rsidP="00FD4109">
      <w:pPr>
        <w:spacing w:line="540" w:lineRule="exact"/>
        <w:jc w:val="center"/>
        <w:rPr>
          <w:rFonts w:ascii="华文中宋" w:eastAsia="华文中宋" w:hAnsi="华文中宋" w:cs="宋体"/>
          <w:b/>
          <w:kern w:val="0"/>
          <w:sz w:val="52"/>
          <w:szCs w:val="52"/>
        </w:rPr>
      </w:pPr>
    </w:p>
    <w:p w:rsidR="00FD4109" w:rsidRDefault="00FD4109" w:rsidP="00FD4109">
      <w:pPr>
        <w:spacing w:line="540" w:lineRule="exact"/>
        <w:jc w:val="center"/>
        <w:rPr>
          <w:rFonts w:ascii="华文中宋" w:eastAsia="华文中宋" w:hAnsi="华文中宋" w:cs="宋体"/>
          <w:b/>
          <w:kern w:val="0"/>
          <w:sz w:val="52"/>
          <w:szCs w:val="52"/>
        </w:rPr>
      </w:pPr>
    </w:p>
    <w:p w:rsidR="00FD4109" w:rsidRDefault="00FD4109" w:rsidP="00FD4109">
      <w:pPr>
        <w:spacing w:line="540" w:lineRule="exact"/>
        <w:jc w:val="center"/>
        <w:rPr>
          <w:rFonts w:hAnsi="宋体" w:cs="宋体"/>
          <w:kern w:val="0"/>
          <w:sz w:val="36"/>
          <w:szCs w:val="36"/>
        </w:rPr>
      </w:pPr>
      <w:r>
        <w:rPr>
          <w:rFonts w:hAnsi="宋体" w:cs="宋体" w:hint="eastAsia"/>
          <w:kern w:val="0"/>
          <w:sz w:val="36"/>
          <w:szCs w:val="36"/>
        </w:rPr>
        <w:t>（</w:t>
      </w:r>
      <w:r>
        <w:rPr>
          <w:rFonts w:hAnsi="宋体" w:cs="宋体" w:hint="eastAsia"/>
          <w:kern w:val="0"/>
          <w:sz w:val="36"/>
          <w:szCs w:val="36"/>
        </w:rPr>
        <w:t>2019</w:t>
      </w:r>
      <w:r>
        <w:rPr>
          <w:rFonts w:hAnsi="宋体" w:cs="宋体" w:hint="eastAsia"/>
          <w:kern w:val="0"/>
          <w:sz w:val="36"/>
          <w:szCs w:val="36"/>
        </w:rPr>
        <w:t>年度）</w:t>
      </w:r>
    </w:p>
    <w:p w:rsidR="00893844" w:rsidRPr="00C25722" w:rsidRDefault="00893844" w:rsidP="00893844">
      <w:pPr>
        <w:spacing w:line="480" w:lineRule="auto"/>
        <w:jc w:val="center"/>
        <w:rPr>
          <w:rFonts w:eastAsia="黑体"/>
          <w:b/>
          <w:kern w:val="0"/>
          <w:sz w:val="50"/>
          <w:szCs w:val="50"/>
          <w:lang w:bidi="en-US"/>
        </w:rPr>
      </w:pPr>
    </w:p>
    <w:p w:rsidR="00893844" w:rsidRPr="00C25722" w:rsidRDefault="00893844" w:rsidP="00893844">
      <w:pPr>
        <w:spacing w:line="480" w:lineRule="auto"/>
        <w:jc w:val="center"/>
        <w:rPr>
          <w:rFonts w:eastAsia="黑体"/>
          <w:b/>
          <w:kern w:val="0"/>
          <w:sz w:val="50"/>
          <w:szCs w:val="50"/>
          <w:lang w:bidi="en-US"/>
        </w:rPr>
      </w:pPr>
    </w:p>
    <w:p w:rsidR="00893844" w:rsidRPr="00C25722" w:rsidRDefault="00893844" w:rsidP="00893844">
      <w:pPr>
        <w:spacing w:line="480" w:lineRule="auto"/>
        <w:jc w:val="center"/>
        <w:rPr>
          <w:rFonts w:eastAsia="黑体"/>
          <w:b/>
          <w:kern w:val="0"/>
          <w:sz w:val="50"/>
          <w:szCs w:val="50"/>
          <w:lang w:bidi="en-US"/>
        </w:rPr>
      </w:pPr>
    </w:p>
    <w:p w:rsidR="00893844" w:rsidRPr="00C25722" w:rsidRDefault="00893844" w:rsidP="00893844">
      <w:pPr>
        <w:spacing w:line="480" w:lineRule="auto"/>
        <w:jc w:val="center"/>
        <w:rPr>
          <w:rFonts w:eastAsia="黑体"/>
          <w:b/>
          <w:kern w:val="0"/>
          <w:sz w:val="50"/>
          <w:szCs w:val="50"/>
          <w:lang w:bidi="en-US"/>
        </w:rPr>
      </w:pPr>
    </w:p>
    <w:p w:rsidR="00893844" w:rsidRPr="00C25722" w:rsidRDefault="00893844" w:rsidP="00893844">
      <w:pPr>
        <w:spacing w:line="480" w:lineRule="auto"/>
        <w:jc w:val="center"/>
        <w:rPr>
          <w:rFonts w:eastAsia="黑体"/>
          <w:b/>
          <w:kern w:val="0"/>
          <w:sz w:val="50"/>
          <w:szCs w:val="50"/>
          <w:lang w:bidi="en-US"/>
        </w:rPr>
      </w:pPr>
    </w:p>
    <w:p w:rsidR="00893844" w:rsidRPr="00C25722" w:rsidRDefault="00893844" w:rsidP="00893844">
      <w:pPr>
        <w:spacing w:line="480" w:lineRule="auto"/>
        <w:jc w:val="center"/>
        <w:rPr>
          <w:rFonts w:eastAsia="黑体"/>
          <w:b/>
          <w:kern w:val="0"/>
          <w:sz w:val="50"/>
          <w:szCs w:val="50"/>
          <w:lang w:bidi="en-US"/>
        </w:rPr>
      </w:pPr>
    </w:p>
    <w:p w:rsidR="00893844" w:rsidRPr="004550E0" w:rsidRDefault="00893844" w:rsidP="00893844">
      <w:pPr>
        <w:spacing w:line="480" w:lineRule="auto"/>
        <w:jc w:val="center"/>
        <w:rPr>
          <w:rFonts w:ascii="仿宋_GB2312"/>
          <w:kern w:val="0"/>
          <w:szCs w:val="30"/>
          <w:lang w:bidi="en-US"/>
        </w:rPr>
      </w:pPr>
    </w:p>
    <w:p w:rsidR="00893844" w:rsidRPr="004550E0" w:rsidRDefault="00893844" w:rsidP="00893844">
      <w:pPr>
        <w:spacing w:line="480" w:lineRule="auto"/>
        <w:ind w:firstLineChars="441" w:firstLine="1411"/>
        <w:jc w:val="left"/>
        <w:rPr>
          <w:rFonts w:ascii="仿宋_GB2312"/>
          <w:kern w:val="0"/>
          <w:sz w:val="32"/>
          <w:szCs w:val="32"/>
          <w:lang w:bidi="en-US"/>
        </w:rPr>
      </w:pPr>
      <w:r>
        <w:rPr>
          <w:rFonts w:ascii="仿宋_GB2312" w:hint="eastAsia"/>
          <w:kern w:val="0"/>
          <w:sz w:val="32"/>
          <w:szCs w:val="32"/>
          <w:lang w:bidi="en-US"/>
        </w:rPr>
        <w:t>项目名称：农业生产</w:t>
      </w:r>
      <w:r>
        <w:rPr>
          <w:rFonts w:ascii="仿宋_GB2312"/>
          <w:kern w:val="0"/>
          <w:sz w:val="32"/>
          <w:szCs w:val="32"/>
          <w:lang w:bidi="en-US"/>
        </w:rPr>
        <w:t>社会化服务项目</w:t>
      </w:r>
      <w:r>
        <w:rPr>
          <w:rFonts w:ascii="仿宋_GB2312"/>
          <w:kern w:val="0"/>
          <w:sz w:val="32"/>
          <w:szCs w:val="32"/>
          <w:lang w:bidi="en-US"/>
        </w:rPr>
        <w:t>“</w:t>
      </w:r>
      <w:r>
        <w:rPr>
          <w:rFonts w:ascii="仿宋_GB2312" w:hint="eastAsia"/>
          <w:kern w:val="0"/>
          <w:sz w:val="32"/>
          <w:szCs w:val="32"/>
          <w:lang w:bidi="en-US"/>
        </w:rPr>
        <w:t>两区</w:t>
      </w:r>
      <w:r>
        <w:rPr>
          <w:rFonts w:ascii="仿宋_GB2312"/>
          <w:kern w:val="0"/>
          <w:sz w:val="32"/>
          <w:szCs w:val="32"/>
          <w:lang w:bidi="en-US"/>
        </w:rPr>
        <w:t>划定</w:t>
      </w:r>
      <w:r>
        <w:rPr>
          <w:rFonts w:ascii="仿宋_GB2312"/>
          <w:kern w:val="0"/>
          <w:sz w:val="32"/>
          <w:szCs w:val="32"/>
          <w:lang w:bidi="en-US"/>
        </w:rPr>
        <w:t>”</w:t>
      </w:r>
    </w:p>
    <w:p w:rsidR="00E403EF" w:rsidRDefault="00E403EF" w:rsidP="00E403EF">
      <w:pPr>
        <w:spacing w:line="480" w:lineRule="auto"/>
        <w:ind w:firstLineChars="441" w:firstLine="1411"/>
        <w:jc w:val="left"/>
        <w:rPr>
          <w:rFonts w:ascii="仿宋_GB2312"/>
          <w:kern w:val="0"/>
          <w:sz w:val="32"/>
          <w:szCs w:val="32"/>
          <w:lang w:bidi="en-US"/>
        </w:rPr>
      </w:pPr>
      <w:r>
        <w:rPr>
          <w:rFonts w:ascii="仿宋_GB2312" w:hint="eastAsia"/>
          <w:kern w:val="0"/>
          <w:sz w:val="32"/>
          <w:szCs w:val="32"/>
          <w:lang w:bidi="en-US"/>
        </w:rPr>
        <w:t>实施单位</w:t>
      </w:r>
      <w:r w:rsidRPr="00157278">
        <w:rPr>
          <w:rFonts w:hAnsi="宋体" w:cs="宋体" w:hint="eastAsia"/>
          <w:kern w:val="0"/>
          <w:sz w:val="36"/>
          <w:szCs w:val="36"/>
        </w:rPr>
        <w:t>（公章）</w:t>
      </w:r>
      <w:r>
        <w:rPr>
          <w:rFonts w:ascii="仿宋_GB2312" w:hint="eastAsia"/>
          <w:kern w:val="0"/>
          <w:sz w:val="32"/>
          <w:szCs w:val="32"/>
          <w:lang w:bidi="en-US"/>
        </w:rPr>
        <w:t>：巴州农业农村局</w:t>
      </w:r>
    </w:p>
    <w:p w:rsidR="00E403EF" w:rsidRPr="00157278" w:rsidRDefault="00E403EF" w:rsidP="00E403EF">
      <w:pPr>
        <w:spacing w:line="480" w:lineRule="auto"/>
        <w:ind w:firstLineChars="441" w:firstLine="1411"/>
        <w:jc w:val="left"/>
        <w:rPr>
          <w:rFonts w:ascii="仿宋_GB2312"/>
          <w:kern w:val="0"/>
          <w:sz w:val="32"/>
          <w:szCs w:val="32"/>
          <w:lang w:bidi="en-US"/>
        </w:rPr>
      </w:pPr>
      <w:r>
        <w:rPr>
          <w:rFonts w:ascii="仿宋_GB2312" w:hint="eastAsia"/>
          <w:kern w:val="0"/>
          <w:sz w:val="32"/>
          <w:szCs w:val="32"/>
          <w:lang w:bidi="en-US"/>
        </w:rPr>
        <w:t>主管部门</w:t>
      </w:r>
      <w:r w:rsidRPr="00157278">
        <w:rPr>
          <w:rFonts w:hAnsi="宋体" w:cs="宋体" w:hint="eastAsia"/>
          <w:kern w:val="0"/>
          <w:sz w:val="36"/>
          <w:szCs w:val="36"/>
        </w:rPr>
        <w:t>（公章）：</w:t>
      </w:r>
      <w:r>
        <w:rPr>
          <w:rFonts w:ascii="仿宋_GB2312" w:hint="eastAsia"/>
          <w:kern w:val="0"/>
          <w:sz w:val="32"/>
          <w:szCs w:val="32"/>
          <w:lang w:bidi="en-US"/>
        </w:rPr>
        <w:t>巴州农业农村局</w:t>
      </w:r>
    </w:p>
    <w:p w:rsidR="00E403EF" w:rsidRDefault="00E403EF" w:rsidP="00E403EF">
      <w:pPr>
        <w:spacing w:line="480" w:lineRule="auto"/>
        <w:rPr>
          <w:rFonts w:hAnsi="宋体" w:cs="宋体"/>
          <w:kern w:val="0"/>
          <w:sz w:val="36"/>
          <w:szCs w:val="36"/>
        </w:rPr>
      </w:pPr>
      <w:r>
        <w:rPr>
          <w:rFonts w:hAnsi="宋体" w:cs="宋体" w:hint="eastAsia"/>
          <w:kern w:val="0"/>
          <w:sz w:val="36"/>
          <w:szCs w:val="36"/>
        </w:rPr>
        <w:t xml:space="preserve">        </w:t>
      </w:r>
      <w:r w:rsidRPr="00157278">
        <w:rPr>
          <w:rFonts w:hAnsi="宋体" w:cs="宋体" w:hint="eastAsia"/>
          <w:kern w:val="0"/>
          <w:sz w:val="36"/>
          <w:szCs w:val="36"/>
        </w:rPr>
        <w:t>项目负责人（签章）：</w:t>
      </w:r>
      <w:r>
        <w:rPr>
          <w:rFonts w:hAnsi="宋体" w:cs="宋体" w:hint="eastAsia"/>
          <w:kern w:val="0"/>
          <w:sz w:val="36"/>
          <w:szCs w:val="36"/>
        </w:rPr>
        <w:t>王</w:t>
      </w:r>
      <w:r>
        <w:rPr>
          <w:rFonts w:hAnsi="宋体" w:cs="宋体"/>
          <w:kern w:val="0"/>
          <w:sz w:val="36"/>
          <w:szCs w:val="36"/>
        </w:rPr>
        <w:t>东林</w:t>
      </w:r>
    </w:p>
    <w:p w:rsidR="00E403EF" w:rsidRPr="009D1BA4" w:rsidRDefault="00E403EF" w:rsidP="00E403EF">
      <w:pPr>
        <w:spacing w:line="480" w:lineRule="auto"/>
        <w:ind w:firstLineChars="400" w:firstLine="1440"/>
        <w:rPr>
          <w:rFonts w:ascii="黑体" w:eastAsia="黑体"/>
          <w:b/>
          <w:kern w:val="0"/>
          <w:sz w:val="32"/>
          <w:szCs w:val="32"/>
          <w:lang w:bidi="en-US"/>
        </w:rPr>
      </w:pPr>
      <w:r>
        <w:rPr>
          <w:rFonts w:hAnsi="宋体" w:cs="宋体" w:hint="eastAsia"/>
          <w:kern w:val="0"/>
          <w:sz w:val="36"/>
          <w:szCs w:val="36"/>
        </w:rPr>
        <w:t>填报时间：</w:t>
      </w:r>
      <w:r>
        <w:rPr>
          <w:rFonts w:ascii="仿宋_GB2312" w:hint="eastAsia"/>
          <w:kern w:val="0"/>
          <w:sz w:val="32"/>
          <w:szCs w:val="32"/>
          <w:lang w:bidi="en-US"/>
        </w:rPr>
        <w:t>2020年05月</w:t>
      </w:r>
    </w:p>
    <w:p w:rsidR="00893844" w:rsidRPr="004550E0" w:rsidRDefault="00893844" w:rsidP="00893844">
      <w:pPr>
        <w:spacing w:line="480" w:lineRule="auto"/>
        <w:rPr>
          <w:rFonts w:ascii="黑体" w:eastAsia="黑体"/>
          <w:b/>
          <w:kern w:val="0"/>
          <w:sz w:val="32"/>
          <w:szCs w:val="32"/>
          <w:lang w:bidi="en-US"/>
        </w:rPr>
      </w:pPr>
    </w:p>
    <w:p w:rsidR="00893844" w:rsidRPr="004550E0" w:rsidRDefault="00893844" w:rsidP="00893844">
      <w:pPr>
        <w:spacing w:line="480" w:lineRule="auto"/>
        <w:rPr>
          <w:rFonts w:ascii="黑体" w:eastAsia="黑体"/>
          <w:b/>
          <w:kern w:val="0"/>
          <w:sz w:val="32"/>
          <w:szCs w:val="32"/>
          <w:lang w:bidi="en-US"/>
        </w:rPr>
      </w:pPr>
    </w:p>
    <w:p w:rsidR="00893844" w:rsidRDefault="00893844">
      <w:pPr>
        <w:rPr>
          <w:rFonts w:ascii="黑体" w:eastAsia="黑体" w:hAnsi="黑体"/>
        </w:rPr>
      </w:pPr>
      <w:r>
        <w:rPr>
          <w:rFonts w:ascii="仿宋_GB2312"/>
          <w:kern w:val="0"/>
          <w:sz w:val="32"/>
          <w:szCs w:val="32"/>
          <w:lang w:bidi="en-US"/>
        </w:rPr>
        <w:br w:type="page"/>
      </w:r>
    </w:p>
    <w:p w:rsidR="00A50951" w:rsidRDefault="00A96135" w:rsidP="00A96135">
      <w:pPr>
        <w:jc w:val="center"/>
        <w:rPr>
          <w:rFonts w:ascii="Arial" w:eastAsia="宋体" w:hAnsi="Arial" w:cs="Arial"/>
          <w:b/>
          <w:bCs/>
          <w:sz w:val="36"/>
          <w:szCs w:val="36"/>
        </w:rPr>
      </w:pPr>
      <w:r w:rsidRPr="00A96135">
        <w:rPr>
          <w:rFonts w:ascii="宋体" w:eastAsia="宋体" w:hAnsi="宋体" w:cs="Arial" w:hint="eastAsia"/>
          <w:b/>
          <w:bCs/>
          <w:sz w:val="36"/>
          <w:szCs w:val="36"/>
        </w:rPr>
        <w:lastRenderedPageBreak/>
        <w:t>农业生产</w:t>
      </w:r>
      <w:r w:rsidRPr="00A96135">
        <w:rPr>
          <w:rFonts w:ascii="宋体" w:eastAsia="宋体" w:hAnsi="宋体" w:cs="Arial"/>
          <w:b/>
          <w:bCs/>
          <w:sz w:val="36"/>
          <w:szCs w:val="36"/>
        </w:rPr>
        <w:t>社会化服务项目“</w:t>
      </w:r>
      <w:r w:rsidRPr="00A96135">
        <w:rPr>
          <w:rFonts w:ascii="宋体" w:eastAsia="宋体" w:hAnsi="宋体" w:cs="Arial" w:hint="eastAsia"/>
          <w:b/>
          <w:bCs/>
          <w:sz w:val="36"/>
          <w:szCs w:val="36"/>
        </w:rPr>
        <w:t>两区</w:t>
      </w:r>
      <w:r w:rsidRPr="00A96135">
        <w:rPr>
          <w:rFonts w:ascii="宋体" w:eastAsia="宋体" w:hAnsi="宋体" w:cs="Arial"/>
          <w:b/>
          <w:bCs/>
          <w:sz w:val="36"/>
          <w:szCs w:val="36"/>
        </w:rPr>
        <w:t>划定”</w:t>
      </w:r>
      <w:r w:rsidR="005D4970">
        <w:rPr>
          <w:rFonts w:ascii="宋体" w:eastAsia="宋体" w:hAnsi="宋体" w:cs="Arial" w:hint="eastAsia"/>
          <w:b/>
          <w:bCs/>
          <w:sz w:val="36"/>
          <w:szCs w:val="36"/>
        </w:rPr>
        <w:t>项目支出</w:t>
      </w:r>
      <w:r w:rsidR="005D4970">
        <w:rPr>
          <w:rFonts w:ascii="宋体" w:eastAsia="宋体" w:hAnsi="宋体" w:cs="Arial"/>
          <w:b/>
          <w:bCs/>
          <w:sz w:val="36"/>
          <w:szCs w:val="36"/>
        </w:rPr>
        <w:t>绩效</w:t>
      </w:r>
      <w:r w:rsidR="005D4970">
        <w:rPr>
          <w:rFonts w:ascii="宋体" w:eastAsia="宋体" w:hAnsi="宋体" w:cs="Arial" w:hint="eastAsia"/>
          <w:b/>
          <w:bCs/>
          <w:sz w:val="36"/>
          <w:szCs w:val="36"/>
        </w:rPr>
        <w:t>评价报告</w:t>
      </w:r>
    </w:p>
    <w:p w:rsidR="00A50951" w:rsidRDefault="00A50951">
      <w:pPr>
        <w:jc w:val="center"/>
        <w:rPr>
          <w:rFonts w:ascii="仿宋_GB2312"/>
        </w:rPr>
      </w:pPr>
    </w:p>
    <w:p w:rsidR="00A50951" w:rsidRPr="00B92BE8" w:rsidRDefault="005D4970" w:rsidP="00B92BE8">
      <w:pPr>
        <w:pStyle w:val="a5"/>
        <w:numPr>
          <w:ilvl w:val="0"/>
          <w:numId w:val="4"/>
        </w:numPr>
        <w:spacing w:line="600" w:lineRule="exact"/>
        <w:ind w:firstLineChars="0"/>
        <w:rPr>
          <w:rFonts w:ascii="黑体" w:eastAsia="黑体" w:hAnsi="黑体"/>
        </w:rPr>
      </w:pPr>
      <w:r w:rsidRPr="00B92BE8">
        <w:rPr>
          <w:rFonts w:ascii="黑体" w:eastAsia="黑体" w:hAnsi="黑体" w:hint="eastAsia"/>
        </w:rPr>
        <w:t>基本情况</w:t>
      </w:r>
    </w:p>
    <w:p w:rsidR="00B92BE8" w:rsidRDefault="00B92BE8" w:rsidP="00B92BE8">
      <w:pPr>
        <w:pStyle w:val="-0"/>
        <w:numPr>
          <w:ilvl w:val="0"/>
          <w:numId w:val="5"/>
        </w:numPr>
        <w:ind w:leftChars="0"/>
        <w:rPr>
          <w:rFonts w:eastAsia="仿宋_GB2312"/>
          <w:b w:val="0"/>
          <w:bCs/>
          <w:kern w:val="0"/>
          <w:sz w:val="30"/>
          <w:szCs w:val="28"/>
        </w:rPr>
      </w:pPr>
      <w:bookmarkStart w:id="0" w:name="_Toc40438139"/>
      <w:r>
        <w:rPr>
          <w:rFonts w:eastAsia="仿宋_GB2312" w:hint="eastAsia"/>
          <w:b w:val="0"/>
          <w:bCs/>
          <w:kern w:val="0"/>
          <w:sz w:val="30"/>
          <w:szCs w:val="28"/>
        </w:rPr>
        <w:t>项目概况：</w:t>
      </w:r>
      <w:bookmarkEnd w:id="0"/>
    </w:p>
    <w:p w:rsidR="00B92BE8" w:rsidRPr="00B92BE8" w:rsidRDefault="00B92BE8" w:rsidP="00B92BE8">
      <w:pPr>
        <w:pStyle w:val="-0"/>
        <w:ind w:leftChars="0" w:left="600" w:firstLineChars="50" w:firstLine="151"/>
        <w:rPr>
          <w:rFonts w:eastAsia="仿宋_GB2312"/>
          <w:b w:val="0"/>
          <w:bCs/>
          <w:kern w:val="0"/>
          <w:sz w:val="30"/>
          <w:szCs w:val="28"/>
        </w:rPr>
      </w:pPr>
      <w:r w:rsidRPr="00B92BE8">
        <w:rPr>
          <w:rFonts w:eastAsia="仿宋_GB2312" w:hint="eastAsia"/>
          <w:kern w:val="0"/>
          <w:sz w:val="30"/>
          <w:szCs w:val="28"/>
        </w:rPr>
        <w:t>1</w:t>
      </w:r>
      <w:r w:rsidRPr="00B92BE8">
        <w:rPr>
          <w:rFonts w:eastAsia="仿宋_GB2312" w:hint="eastAsia"/>
          <w:kern w:val="0"/>
          <w:sz w:val="30"/>
          <w:szCs w:val="28"/>
        </w:rPr>
        <w:t>、</w:t>
      </w:r>
      <w:r w:rsidRPr="00B92BE8">
        <w:rPr>
          <w:rFonts w:eastAsia="仿宋_GB2312"/>
          <w:kern w:val="0"/>
          <w:sz w:val="30"/>
          <w:szCs w:val="28"/>
        </w:rPr>
        <w:t>项目背景</w:t>
      </w:r>
      <w:r>
        <w:rPr>
          <w:rFonts w:eastAsia="仿宋_GB2312" w:hint="eastAsia"/>
          <w:kern w:val="0"/>
          <w:sz w:val="30"/>
          <w:szCs w:val="28"/>
        </w:rPr>
        <w:t>、</w:t>
      </w:r>
      <w:r>
        <w:rPr>
          <w:rFonts w:eastAsia="仿宋_GB2312"/>
          <w:kern w:val="0"/>
          <w:sz w:val="30"/>
          <w:szCs w:val="28"/>
        </w:rPr>
        <w:t>主要内容及实施情况</w:t>
      </w:r>
    </w:p>
    <w:p w:rsidR="00A50951" w:rsidRDefault="005D4970" w:rsidP="00B92BE8">
      <w:pPr>
        <w:pStyle w:val="-"/>
        <w:ind w:firstLineChars="250" w:firstLine="750"/>
      </w:pPr>
      <w:r>
        <w:rPr>
          <w:rFonts w:hint="eastAsia"/>
        </w:rPr>
        <w:t>为贯彻落实自治区人民政府《关于建立粮食生产功能区和重要农产品生产保护区的实施意见》（新政发〔</w:t>
      </w:r>
      <w:r>
        <w:rPr>
          <w:rFonts w:hint="eastAsia"/>
        </w:rPr>
        <w:t>2018</w:t>
      </w:r>
      <w:r>
        <w:rPr>
          <w:rFonts w:hint="eastAsia"/>
        </w:rPr>
        <w:t>〕</w:t>
      </w:r>
      <w:r>
        <w:rPr>
          <w:rFonts w:hint="eastAsia"/>
        </w:rPr>
        <w:t>28</w:t>
      </w:r>
      <w:r>
        <w:rPr>
          <w:rFonts w:hint="eastAsia"/>
        </w:rPr>
        <w:t>号）精神，统筹推进我州粮食生产功能区和重要农产品生产保护区（以下简称“两区”）划定与建设工作，我州制定了《巴音郭楞蒙古自治州粮食生产功能区和重要农产品生产保护区划定与建设工作方案》，成立了巴州“两区”划建工作领导小组。根据自治区的要求，用</w:t>
      </w:r>
      <w:r>
        <w:rPr>
          <w:rFonts w:hint="eastAsia"/>
        </w:rPr>
        <w:t>3</w:t>
      </w:r>
      <w:r>
        <w:rPr>
          <w:rFonts w:hint="eastAsia"/>
        </w:rPr>
        <w:t>年时间完成</w:t>
      </w:r>
      <w:r>
        <w:rPr>
          <w:rFonts w:hint="eastAsia"/>
        </w:rPr>
        <w:t>480</w:t>
      </w:r>
      <w:r>
        <w:rPr>
          <w:rFonts w:hint="eastAsia"/>
        </w:rPr>
        <w:t>万亩“两区”地块的划定任务，划定粮食生产功能区</w:t>
      </w:r>
      <w:r>
        <w:rPr>
          <w:rFonts w:hint="eastAsia"/>
        </w:rPr>
        <w:t>145</w:t>
      </w:r>
      <w:r>
        <w:rPr>
          <w:rFonts w:hint="eastAsia"/>
        </w:rPr>
        <w:t>万亩，划定重要农产品生产保护区</w:t>
      </w:r>
      <w:r>
        <w:rPr>
          <w:rFonts w:hint="eastAsia"/>
        </w:rPr>
        <w:t>335</w:t>
      </w:r>
      <w:r>
        <w:rPr>
          <w:rFonts w:hint="eastAsia"/>
        </w:rPr>
        <w:t>万亩，做到全部建档立卡、上图入库，实现信息化和精准化管理；力争用</w:t>
      </w:r>
      <w:r>
        <w:rPr>
          <w:rFonts w:hint="eastAsia"/>
        </w:rPr>
        <w:t>5</w:t>
      </w:r>
      <w:r>
        <w:rPr>
          <w:rFonts w:hint="eastAsia"/>
        </w:rPr>
        <w:t>年时间基本完成“两区”建设任务，形成布局合理、数量充足、设施完善、产能提升、管护到位、生产现代化的粮食生产功能区和重要农产品生产保护区，为粮食安全和棉花等重要农产品生产水平的提升奠定坚实的基础。为完成此项任务，自治区财政厅下达我州</w:t>
      </w:r>
      <w:r>
        <w:rPr>
          <w:rFonts w:hint="eastAsia"/>
        </w:rPr>
        <w:t>2019</w:t>
      </w:r>
      <w:r w:rsidR="00B92BE8">
        <w:rPr>
          <w:rFonts w:hint="eastAsia"/>
        </w:rPr>
        <w:t>年农业生产社会化服务项目“两区划定”工作补助经费项目。</w:t>
      </w:r>
    </w:p>
    <w:p w:rsidR="00B92BE8" w:rsidRPr="00B92BE8" w:rsidRDefault="00B92BE8" w:rsidP="00B92BE8">
      <w:pPr>
        <w:pStyle w:val="-"/>
        <w:ind w:firstLineChars="200" w:firstLine="600"/>
      </w:pPr>
      <w:r>
        <w:rPr>
          <w:rFonts w:hint="eastAsia"/>
        </w:rPr>
        <w:t>资金</w:t>
      </w:r>
      <w:r>
        <w:t>的投入和使用：</w:t>
      </w:r>
      <w:r>
        <w:rPr>
          <w:rFonts w:hint="eastAsia"/>
        </w:rPr>
        <w:t>项目资金</w:t>
      </w:r>
      <w:r>
        <w:rPr>
          <w:rFonts w:hint="eastAsia"/>
        </w:rPr>
        <w:t>15</w:t>
      </w:r>
      <w:r>
        <w:rPr>
          <w:rFonts w:hint="eastAsia"/>
        </w:rPr>
        <w:t>万元，主要用于我局开展全州粮食生产功能区和重要农产品生产保护区划定与建设工作的服务、培训等方面，目前此项目基本实施完成。</w:t>
      </w:r>
    </w:p>
    <w:p w:rsidR="00A50951" w:rsidRDefault="005D4970">
      <w:pPr>
        <w:pStyle w:val="-"/>
        <w:ind w:firstLine="560"/>
        <w:rPr>
          <w:rFonts w:ascii="仿宋_GB2312"/>
        </w:rPr>
      </w:pPr>
      <w:r>
        <w:rPr>
          <w:rFonts w:ascii="仿宋_GB2312" w:hint="eastAsia"/>
        </w:rPr>
        <w:t>（二）项目绩效目标</w:t>
      </w:r>
    </w:p>
    <w:p w:rsidR="008D4A9D" w:rsidRDefault="005D4970" w:rsidP="004F4C4F">
      <w:pPr>
        <w:pStyle w:val="-"/>
        <w:ind w:firstLine="560"/>
      </w:pPr>
      <w:r>
        <w:rPr>
          <w:rFonts w:hint="eastAsia"/>
        </w:rPr>
        <w:lastRenderedPageBreak/>
        <w:t>总体目标：力争用</w:t>
      </w:r>
      <w:r>
        <w:rPr>
          <w:rFonts w:hint="eastAsia"/>
        </w:rPr>
        <w:t>3</w:t>
      </w:r>
      <w:r>
        <w:rPr>
          <w:rFonts w:hint="eastAsia"/>
        </w:rPr>
        <w:t>年时间完成</w:t>
      </w:r>
      <w:r>
        <w:rPr>
          <w:rFonts w:hint="eastAsia"/>
        </w:rPr>
        <w:t>480</w:t>
      </w:r>
      <w:r>
        <w:rPr>
          <w:rFonts w:hint="eastAsia"/>
        </w:rPr>
        <w:t>万亩“两区”地块的划定任务，划定粮食生产功能区</w:t>
      </w:r>
      <w:r>
        <w:rPr>
          <w:rFonts w:hint="eastAsia"/>
        </w:rPr>
        <w:t>145</w:t>
      </w:r>
      <w:r>
        <w:rPr>
          <w:rFonts w:hint="eastAsia"/>
        </w:rPr>
        <w:t>万亩，划定重要农产品生产保护区</w:t>
      </w:r>
      <w:r>
        <w:rPr>
          <w:rFonts w:hint="eastAsia"/>
        </w:rPr>
        <w:t>335</w:t>
      </w:r>
      <w:r>
        <w:rPr>
          <w:rFonts w:hint="eastAsia"/>
        </w:rPr>
        <w:t>万亩，做到全部建档立卡、上图入库，实现信息化和精准化管理；力争用</w:t>
      </w:r>
      <w:r>
        <w:rPr>
          <w:rFonts w:hint="eastAsia"/>
        </w:rPr>
        <w:t>5</w:t>
      </w:r>
      <w:r>
        <w:rPr>
          <w:rFonts w:hint="eastAsia"/>
        </w:rPr>
        <w:t>年时间基本完成“两区”建设任务，形成布局合理、数量充足、设施完善、产能提升、管护到位、生产现代化的粮食生产功能区和重要农产品生产保护区，为粮食安全和棉花等重要农产品生产水平的提升奠定坚实的基础。</w:t>
      </w:r>
    </w:p>
    <w:p w:rsidR="004F4C4F" w:rsidRDefault="008D4A9D" w:rsidP="004F4C4F">
      <w:pPr>
        <w:pStyle w:val="-"/>
        <w:ind w:firstLine="560"/>
      </w:pPr>
      <w:r>
        <w:rPr>
          <w:rFonts w:hint="eastAsia"/>
        </w:rPr>
        <w:t>阶段性</w:t>
      </w:r>
      <w:r w:rsidR="005D4970">
        <w:rPr>
          <w:rFonts w:hint="eastAsia"/>
        </w:rPr>
        <w:t>目标：</w:t>
      </w:r>
      <w:r>
        <w:rPr>
          <w:rFonts w:hint="eastAsia"/>
        </w:rPr>
        <w:t>2019</w:t>
      </w:r>
      <w:r>
        <w:rPr>
          <w:rFonts w:hint="eastAsia"/>
        </w:rPr>
        <w:t>年</w:t>
      </w:r>
      <w:r w:rsidR="005D4970">
        <w:rPr>
          <w:rFonts w:hint="eastAsia"/>
        </w:rPr>
        <w:t>安排相关科室干部在各县市开展指导服务，参加和开展相关培训，督促八县一市完成划定粮食生产功能区</w:t>
      </w:r>
      <w:r w:rsidR="005D4970">
        <w:rPr>
          <w:rFonts w:hint="eastAsia"/>
        </w:rPr>
        <w:t>145</w:t>
      </w:r>
      <w:r w:rsidR="005D4970">
        <w:rPr>
          <w:rFonts w:hint="eastAsia"/>
        </w:rPr>
        <w:t>万亩，划定重要农产品生产保护区</w:t>
      </w:r>
      <w:r w:rsidR="005D4970">
        <w:rPr>
          <w:rFonts w:hint="eastAsia"/>
        </w:rPr>
        <w:t>335</w:t>
      </w:r>
      <w:r w:rsidR="005D4970">
        <w:rPr>
          <w:rFonts w:hint="eastAsia"/>
        </w:rPr>
        <w:t>万亩，做到全部建档立卡、上图入库。</w:t>
      </w:r>
    </w:p>
    <w:p w:rsidR="00A50951" w:rsidRDefault="005D4970">
      <w:pPr>
        <w:spacing w:line="600" w:lineRule="exact"/>
        <w:ind w:firstLineChars="200" w:firstLine="600"/>
        <w:rPr>
          <w:rFonts w:ascii="黑体" w:eastAsia="黑体" w:hAnsi="黑体"/>
        </w:rPr>
      </w:pPr>
      <w:r>
        <w:rPr>
          <w:rFonts w:ascii="黑体" w:eastAsia="黑体" w:hAnsi="黑体" w:hint="eastAsia"/>
        </w:rPr>
        <w:t>二、绩效评价工作开展情况</w:t>
      </w:r>
    </w:p>
    <w:p w:rsidR="00A50951" w:rsidRDefault="005D4970">
      <w:pPr>
        <w:spacing w:line="600" w:lineRule="exact"/>
        <w:ind w:firstLineChars="200" w:firstLine="600"/>
        <w:rPr>
          <w:rFonts w:ascii="仿宋_GB2312"/>
        </w:rPr>
      </w:pPr>
      <w:r>
        <w:rPr>
          <w:rFonts w:ascii="仿宋_GB2312" w:hint="eastAsia"/>
        </w:rPr>
        <w:t>（一）绩效评价目的</w:t>
      </w:r>
    </w:p>
    <w:p w:rsidR="00A50951" w:rsidRDefault="005D4970">
      <w:pPr>
        <w:pStyle w:val="-"/>
        <w:ind w:firstLine="560"/>
      </w:pPr>
      <w:r>
        <w:rPr>
          <w:rFonts w:hint="eastAsia"/>
        </w:rPr>
        <w:t>为全面实施预算绩效管理，建立科学、合理的项目支出绩效评价管理体系，提高财政资源配置效率和使用效益，根据《中华人民共和国预算法》和《中共中央国务院关于全面实施预算绩效管理的意见》等有关规定，开展项目支出绩效评价。专项预算项目支出绩效，作为</w:t>
      </w:r>
      <w:r>
        <w:rPr>
          <w:rFonts w:hint="eastAsia"/>
        </w:rPr>
        <w:t>2019</w:t>
      </w:r>
      <w:r>
        <w:rPr>
          <w:rFonts w:hint="eastAsia"/>
        </w:rPr>
        <w:t>年农业生产社会化服务项目“两区划定”工作补助经费项目实施单位，对预算批复的项目绩效目标完成情况进行自我评价。</w:t>
      </w:r>
    </w:p>
    <w:p w:rsidR="00700E02" w:rsidRPr="00700E02" w:rsidRDefault="00700E02" w:rsidP="00700E02">
      <w:pPr>
        <w:pStyle w:val="-"/>
        <w:ind w:firstLine="560"/>
      </w:pPr>
      <w:r>
        <w:rPr>
          <w:rFonts w:ascii="仿宋_GB2312" w:hint="eastAsia"/>
        </w:rPr>
        <w:t>对象和范围：</w:t>
      </w:r>
      <w:r w:rsidRPr="00700E02">
        <w:rPr>
          <w:rFonts w:hint="eastAsia"/>
        </w:rPr>
        <w:t>农业生产</w:t>
      </w:r>
      <w:r w:rsidRPr="00700E02">
        <w:t>社会化服务项目</w:t>
      </w:r>
      <w:r w:rsidRPr="00700E02">
        <w:t>“</w:t>
      </w:r>
      <w:r w:rsidRPr="00700E02">
        <w:rPr>
          <w:rFonts w:hint="eastAsia"/>
        </w:rPr>
        <w:t>两区</w:t>
      </w:r>
      <w:r w:rsidRPr="00700E02">
        <w:t>划定</w:t>
      </w:r>
      <w:r w:rsidRPr="00700E02">
        <w:t>”</w:t>
      </w:r>
    </w:p>
    <w:p w:rsidR="00A50951" w:rsidRDefault="005D4970" w:rsidP="00700E02">
      <w:pPr>
        <w:pStyle w:val="-"/>
        <w:ind w:firstLine="560"/>
        <w:rPr>
          <w:rFonts w:ascii="仿宋_GB2312"/>
        </w:rPr>
      </w:pPr>
      <w:r>
        <w:rPr>
          <w:rFonts w:ascii="仿宋_GB2312" w:hint="eastAsia"/>
        </w:rPr>
        <w:t>绩效评价原则、评价指标体系、评价方法、评价标准等</w:t>
      </w:r>
    </w:p>
    <w:p w:rsidR="00700E02" w:rsidRDefault="00700E02">
      <w:pPr>
        <w:pStyle w:val="-"/>
        <w:ind w:firstLine="560"/>
      </w:pPr>
      <w:r>
        <w:rPr>
          <w:rFonts w:ascii="仿宋_GB2312" w:hint="eastAsia"/>
        </w:rPr>
        <w:t>绩效评价原则：</w:t>
      </w:r>
      <w:r w:rsidR="005D4970">
        <w:rPr>
          <w:rFonts w:ascii="仿宋_GB2312" w:hint="eastAsia"/>
        </w:rPr>
        <w:t xml:space="preserve"> </w:t>
      </w:r>
      <w:r w:rsidR="005D4970">
        <w:rPr>
          <w:rFonts w:hint="eastAsia"/>
        </w:rPr>
        <w:t>绩效评价应当遵循科学公正、统筹兼顾、激励约束、公开透明的原则。</w:t>
      </w:r>
    </w:p>
    <w:p w:rsidR="00700E02" w:rsidRDefault="005D4970">
      <w:pPr>
        <w:pStyle w:val="-"/>
        <w:ind w:firstLine="560"/>
      </w:pPr>
      <w:r>
        <w:rPr>
          <w:rFonts w:hint="eastAsia"/>
        </w:rPr>
        <w:t>评价指标体系</w:t>
      </w:r>
      <w:r w:rsidR="00700E02">
        <w:rPr>
          <w:rFonts w:hint="eastAsia"/>
        </w:rPr>
        <w:t>：</w:t>
      </w:r>
      <w:r>
        <w:rPr>
          <w:rFonts w:hint="eastAsia"/>
        </w:rPr>
        <w:t>分产出指标、效益指标和满意度指标</w:t>
      </w:r>
      <w:r w:rsidR="00700E02">
        <w:rPr>
          <w:rFonts w:hint="eastAsia"/>
        </w:rPr>
        <w:t>（具体见项目支出绩效自评表）。</w:t>
      </w:r>
    </w:p>
    <w:p w:rsidR="00700E02" w:rsidRDefault="00700E02" w:rsidP="00700E02">
      <w:pPr>
        <w:pStyle w:val="-"/>
        <w:ind w:firstLineChars="200" w:firstLine="600"/>
        <w:rPr>
          <w:bCs/>
        </w:rPr>
      </w:pPr>
      <w:r>
        <w:rPr>
          <w:rFonts w:hint="eastAsia"/>
          <w:bCs/>
        </w:rPr>
        <w:t>评价</w:t>
      </w:r>
      <w:r>
        <w:rPr>
          <w:bCs/>
        </w:rPr>
        <w:t>方法：</w:t>
      </w:r>
      <w:bookmarkStart w:id="1" w:name="_GoBack"/>
      <w:bookmarkEnd w:id="1"/>
      <w:r>
        <w:rPr>
          <w:bCs/>
        </w:rPr>
        <w:t>公众评判法。</w:t>
      </w:r>
    </w:p>
    <w:p w:rsidR="00700E02" w:rsidRDefault="00700E02">
      <w:pPr>
        <w:pStyle w:val="-"/>
        <w:ind w:firstLine="560"/>
      </w:pPr>
    </w:p>
    <w:p w:rsidR="00A50951" w:rsidRDefault="005D4970">
      <w:pPr>
        <w:pStyle w:val="-"/>
        <w:ind w:firstLine="560"/>
        <w:rPr>
          <w:rFonts w:ascii="仿宋_GB2312"/>
        </w:rPr>
      </w:pPr>
      <w:r>
        <w:rPr>
          <w:rFonts w:hint="eastAsia"/>
        </w:rPr>
        <w:t>采取计划标准进行评价，即预先制定目标、计划、预算、定额等作为评价标准。单位自评采用定量与定性评价相结合的比较法，总分由各项指标得分汇总形成。</w:t>
      </w:r>
    </w:p>
    <w:p w:rsidR="00A50951" w:rsidRDefault="005D4970">
      <w:pPr>
        <w:numPr>
          <w:ilvl w:val="0"/>
          <w:numId w:val="1"/>
        </w:numPr>
        <w:spacing w:line="600" w:lineRule="exact"/>
        <w:ind w:firstLineChars="200" w:firstLine="600"/>
        <w:rPr>
          <w:rFonts w:ascii="仿宋_GB2312"/>
        </w:rPr>
      </w:pPr>
      <w:r>
        <w:rPr>
          <w:rFonts w:ascii="仿宋_GB2312" w:hint="eastAsia"/>
        </w:rPr>
        <w:t>绩效评价工作过程。</w:t>
      </w:r>
    </w:p>
    <w:p w:rsidR="00A50951" w:rsidRDefault="005D4970">
      <w:pPr>
        <w:spacing w:line="600" w:lineRule="exact"/>
        <w:ind w:leftChars="200" w:left="600"/>
      </w:pPr>
      <w:r>
        <w:rPr>
          <w:rFonts w:hint="eastAsia"/>
        </w:rPr>
        <w:t>在项目实施过程中定期开展项目支出绩效目标申报，开展项目</w:t>
      </w:r>
    </w:p>
    <w:p w:rsidR="00A50951" w:rsidRDefault="005D4970">
      <w:pPr>
        <w:spacing w:line="600" w:lineRule="exact"/>
        <w:rPr>
          <w:rFonts w:ascii="仿宋_GB2312"/>
        </w:rPr>
      </w:pPr>
      <w:r>
        <w:rPr>
          <w:rFonts w:hint="eastAsia"/>
        </w:rPr>
        <w:t>支出绩效自评，撰写绩效评价报告，并上报。</w:t>
      </w:r>
    </w:p>
    <w:p w:rsidR="00A50951" w:rsidRDefault="005D4970">
      <w:pPr>
        <w:numPr>
          <w:ilvl w:val="0"/>
          <w:numId w:val="2"/>
        </w:numPr>
        <w:spacing w:line="600" w:lineRule="exact"/>
        <w:ind w:firstLineChars="200" w:firstLine="600"/>
        <w:rPr>
          <w:rFonts w:ascii="仿宋_GB2312"/>
        </w:rPr>
      </w:pPr>
      <w:r>
        <w:rPr>
          <w:rFonts w:ascii="黑体" w:eastAsia="黑体" w:hAnsi="黑体" w:hint="eastAsia"/>
        </w:rPr>
        <w:t>综合评价情况及评价结论</w:t>
      </w:r>
    </w:p>
    <w:p w:rsidR="00A50951" w:rsidRDefault="005D4970">
      <w:pPr>
        <w:spacing w:line="600" w:lineRule="exact"/>
        <w:ind w:firstLineChars="200" w:firstLine="600"/>
        <w:rPr>
          <w:rFonts w:ascii="仿宋_GB2312"/>
        </w:rPr>
      </w:pPr>
      <w:r>
        <w:rPr>
          <w:rFonts w:hint="eastAsia"/>
        </w:rPr>
        <w:t>2019</w:t>
      </w:r>
      <w:r>
        <w:rPr>
          <w:rFonts w:hint="eastAsia"/>
        </w:rPr>
        <w:t>年，指导服务各县市开展“两区划定”工作，目前全州八县一市已完成划定粮食生产功能区</w:t>
      </w:r>
      <w:r>
        <w:rPr>
          <w:rFonts w:hint="eastAsia"/>
        </w:rPr>
        <w:t>144.4</w:t>
      </w:r>
      <w:r>
        <w:rPr>
          <w:rFonts w:hint="eastAsia"/>
        </w:rPr>
        <w:t>万亩，完成目标划定任务</w:t>
      </w:r>
      <w:r>
        <w:rPr>
          <w:rFonts w:hint="eastAsia"/>
        </w:rPr>
        <w:t>145</w:t>
      </w:r>
      <w:r>
        <w:rPr>
          <w:rFonts w:hint="eastAsia"/>
        </w:rPr>
        <w:t>万亩的</w:t>
      </w:r>
      <w:r>
        <w:rPr>
          <w:rFonts w:hint="eastAsia"/>
        </w:rPr>
        <w:t>99.59%</w:t>
      </w:r>
      <w:r>
        <w:rPr>
          <w:rFonts w:hint="eastAsia"/>
        </w:rPr>
        <w:t>；完成划定重要农产品生产保护区</w:t>
      </w:r>
      <w:r>
        <w:rPr>
          <w:rFonts w:hint="eastAsia"/>
        </w:rPr>
        <w:t>289</w:t>
      </w:r>
      <w:r>
        <w:rPr>
          <w:rFonts w:hint="eastAsia"/>
        </w:rPr>
        <w:t>万亩，完成目标划定任务</w:t>
      </w:r>
      <w:r>
        <w:rPr>
          <w:rFonts w:hint="eastAsia"/>
        </w:rPr>
        <w:t>335</w:t>
      </w:r>
      <w:r>
        <w:rPr>
          <w:rFonts w:hint="eastAsia"/>
        </w:rPr>
        <w:t>万亩的</w:t>
      </w:r>
      <w:r>
        <w:rPr>
          <w:rFonts w:hint="eastAsia"/>
        </w:rPr>
        <w:t>86.27%</w:t>
      </w:r>
      <w:r>
        <w:rPr>
          <w:rFonts w:hint="eastAsia"/>
        </w:rPr>
        <w:t>。已完成任务的部分基本做到了全部建档立卡、上图入库。</w:t>
      </w:r>
    </w:p>
    <w:p w:rsidR="00A50951" w:rsidRDefault="005D4970">
      <w:pPr>
        <w:spacing w:line="600" w:lineRule="exact"/>
        <w:ind w:firstLineChars="200" w:firstLine="600"/>
        <w:rPr>
          <w:rFonts w:ascii="黑体" w:eastAsia="黑体" w:hAnsi="黑体"/>
        </w:rPr>
      </w:pPr>
      <w:r>
        <w:rPr>
          <w:rFonts w:ascii="黑体" w:eastAsia="黑体" w:hAnsi="黑体" w:hint="eastAsia"/>
        </w:rPr>
        <w:t>四、绩效评价指标分析</w:t>
      </w:r>
    </w:p>
    <w:p w:rsidR="00A50951" w:rsidRDefault="005D4970">
      <w:pPr>
        <w:spacing w:line="600" w:lineRule="exact"/>
        <w:ind w:firstLineChars="200" w:firstLine="600"/>
        <w:outlineLvl w:val="0"/>
        <w:rPr>
          <w:rFonts w:ascii="仿宋_GB2312"/>
        </w:rPr>
      </w:pPr>
      <w:r>
        <w:rPr>
          <w:rFonts w:ascii="仿宋_GB2312" w:hint="eastAsia"/>
        </w:rPr>
        <w:t>（一）项目决策情况</w:t>
      </w:r>
    </w:p>
    <w:p w:rsidR="00A50951" w:rsidRDefault="005D4970">
      <w:pPr>
        <w:pStyle w:val="-"/>
        <w:ind w:firstLine="560"/>
        <w:rPr>
          <w:rFonts w:ascii="仿宋_GB2312"/>
        </w:rPr>
      </w:pPr>
      <w:r>
        <w:rPr>
          <w:rFonts w:hint="eastAsia"/>
        </w:rPr>
        <w:t>为贯彻落实自治区人民政府《关于建立粮食生产功能区和重要农产品生产保护区的实施意见》（新政发〔</w:t>
      </w:r>
      <w:r>
        <w:rPr>
          <w:rFonts w:hint="eastAsia"/>
        </w:rPr>
        <w:t>2018</w:t>
      </w:r>
      <w:r>
        <w:rPr>
          <w:rFonts w:hint="eastAsia"/>
        </w:rPr>
        <w:t>〕</w:t>
      </w:r>
      <w:r>
        <w:rPr>
          <w:rFonts w:hint="eastAsia"/>
        </w:rPr>
        <w:t>28</w:t>
      </w:r>
      <w:r>
        <w:rPr>
          <w:rFonts w:hint="eastAsia"/>
        </w:rPr>
        <w:t>号）精神，统筹推进我州粮食生产功能区和重要农产品生产保护区（以下简称“两区”）划定与建设工作，制定了《巴音郭楞蒙古自治州粮食生产功能区和重要农产品生产保护区划定与建设工作方案》，成立了巴州“两区”划建工作领导小组。领导小组组长由自治州冯雪海副州长担任，成员单位由州发改委、财政局、科技局、国土局、环保局、住建局、审计局、统计局、中国人民银行、银监会、保监会、农业局、水利局、林业局、畜牧兽医局、粮食局组成，领导小组下设办</w:t>
      </w:r>
      <w:r>
        <w:rPr>
          <w:rFonts w:hint="eastAsia"/>
        </w:rPr>
        <w:lastRenderedPageBreak/>
        <w:t>公室，办公室设在巴州农业局。办公室分设综合协调组、技术服务组、专家指导组，工作人员由农业局协商成员单位抽调。将“两区”划定工作纳入粮食生产责任制考核和地方政府绩效考评，强化对各县（市）“两区”划建和管护工作的监督检查、评价考核，评价考核结果与“两区”扶持政策相挂钩，并建立绩效考核和责任追究制度。</w:t>
      </w:r>
    </w:p>
    <w:p w:rsidR="00A50951" w:rsidRDefault="005D4970">
      <w:pPr>
        <w:numPr>
          <w:ilvl w:val="0"/>
          <w:numId w:val="3"/>
        </w:numPr>
        <w:spacing w:line="600" w:lineRule="exact"/>
        <w:ind w:firstLineChars="200" w:firstLine="600"/>
        <w:outlineLvl w:val="0"/>
      </w:pPr>
      <w:r>
        <w:rPr>
          <w:rFonts w:ascii="仿宋_GB2312" w:hint="eastAsia"/>
        </w:rPr>
        <w:t>项目过程情况</w:t>
      </w:r>
    </w:p>
    <w:p w:rsidR="00A50951" w:rsidRDefault="005D4970">
      <w:pPr>
        <w:spacing w:line="600" w:lineRule="exact"/>
        <w:ind w:firstLineChars="200" w:firstLine="600"/>
        <w:outlineLvl w:val="0"/>
        <w:rPr>
          <w:rFonts w:ascii="仿宋_GB2312"/>
        </w:rPr>
      </w:pPr>
      <w:r>
        <w:rPr>
          <w:rFonts w:hint="eastAsia"/>
        </w:rPr>
        <w:t>一是明确部门分工。“两区”划定具体工作由农业部门牵头，农业、国土部门会同有关部门确定州级“两区”划定任务，制定相关划定、验收、评价考核操作规程和管理办法，做好上图入库工作。发改部门会同有关部门做好统筹协调，适时组织第三方评估。财政部门会同有关部门加强财政补贴资金的统筹和整合，优化使用方向。人民银行、银监会要创新和完善“两区”建设金融支持政策。二是编制规划方案。编写制定县级“两区”规划或实施方案。规划或实施方案应包括县域粮棉油糖生产基本情况、“两区”划定目标任务、主要建设项目、相关政策支持、主要工作措施、宣传发动要求、组织管理机制、绩效考核办法等内容，经县“两区”划定工作领导小组审定后，逐级上报自治州人民政府和农业局、发改委、国土局等。三是落实主体责任。各级人民政府对“两区”划定、建设和管护工作负总责，要成立由政府负责同志牵头、各有关部门参加的协调机制，并建立健全各级“两区”划建工作协调机制，明确职责分工、主体责任和议事协调方式，逐级签订责任书，层层落实责任；要根据当地实际情况，细化制定具体实施办法、管理细则，出台相关配</w:t>
      </w:r>
      <w:r>
        <w:rPr>
          <w:rFonts w:hint="eastAsia"/>
        </w:rPr>
        <w:lastRenderedPageBreak/>
        <w:t>套政策，抓好工作落实。四是加强监督考核。将“两区”划定工作纳入粮食生产责任制考核和地方政府绩效考评，强化对各县（市）“两区”划建和管护工作的监督检查、评价考核，评价考核结果与“两区”扶持政策相挂钩，并建立绩效考核和责任追究制度。五是积极组织培训。各县（市）积极组织有关单位部门参加培训，确保基层干部、技术人员全面领会政策文件精神，熟悉业务操作流程，明确划定方法，掌握操作要领，提高技术水平，确保“两区”划建工作有理、有序、有效推进。六是大力宣传引导。充分利用各种新闻媒体，开展多层次、多形式、持续性的宣传，营造有利于“两区”划定的工作环境和舆论氛围，宣传划定工作中的好经验、好典型，促进有关部门齐抓共管、齐心协力，共同做好工作。</w:t>
      </w:r>
    </w:p>
    <w:p w:rsidR="00A50951" w:rsidRDefault="005D4970">
      <w:pPr>
        <w:numPr>
          <w:ilvl w:val="0"/>
          <w:numId w:val="3"/>
        </w:numPr>
        <w:spacing w:line="600" w:lineRule="exact"/>
        <w:ind w:firstLineChars="200" w:firstLine="600"/>
        <w:outlineLvl w:val="0"/>
        <w:rPr>
          <w:rFonts w:ascii="仿宋_GB2312"/>
        </w:rPr>
      </w:pPr>
      <w:r>
        <w:rPr>
          <w:rFonts w:ascii="仿宋_GB2312" w:hint="eastAsia"/>
        </w:rPr>
        <w:t>项目产出情况</w:t>
      </w:r>
    </w:p>
    <w:p w:rsidR="00A50951" w:rsidRDefault="005D4970">
      <w:pPr>
        <w:pStyle w:val="-"/>
        <w:ind w:firstLine="560"/>
      </w:pPr>
      <w:r>
        <w:rPr>
          <w:rFonts w:hint="eastAsia"/>
        </w:rPr>
        <w:t>一是统筹谋划划定工作。各县（市）要紧密结合当地实际，统筹资源禀赋、发展潜力、产销平衡等情况，衔接土地利用、农业发展、城乡（郊）建设、交通建设等规划，结合永久基本农田划定和农村土地承包经营权确权登记颁证工作，站在全局的高度，认真谋划框定“两区”划定区域，制定工作方案、明确工作目标，统筹规划“两区”划建工作。二是自上而下分解任务。根据农业部等三部委下达自治区“两区”划定总规模和各地州、县（市）现有永久基本农田保护面积以及自治区粮食和重要农产品实际种植面积等因素，自治州将划定任务分解落实到各县（市）。各县（市）人民政府要按照划定标准和任务，综合考虑当地实际情况，将本地“两区”面积细化分解到乡（镇）、村（组）。三是稳步推进划定工作。根据“</w:t>
      </w:r>
      <w:r>
        <w:rPr>
          <w:rFonts w:hint="eastAsia"/>
        </w:rPr>
        <w:t>3</w:t>
      </w:r>
      <w:r>
        <w:rPr>
          <w:rFonts w:hint="eastAsia"/>
        </w:rPr>
        <w:t>年规划、</w:t>
      </w:r>
      <w:r>
        <w:rPr>
          <w:rFonts w:hint="eastAsia"/>
        </w:rPr>
        <w:t>5</w:t>
      </w:r>
      <w:r>
        <w:rPr>
          <w:rFonts w:hint="eastAsia"/>
        </w:rPr>
        <w:t>年完成”的总体要求，按照“科学统筹、分步实施、稳步推</w:t>
      </w:r>
      <w:r>
        <w:rPr>
          <w:rFonts w:hint="eastAsia"/>
        </w:rPr>
        <w:lastRenderedPageBreak/>
        <w:t>进”的原则，采取</w:t>
      </w:r>
      <w:r>
        <w:rPr>
          <w:rFonts w:hint="eastAsia"/>
        </w:rPr>
        <w:t xml:space="preserve"> </w:t>
      </w:r>
      <w:r>
        <w:rPr>
          <w:rFonts w:hint="eastAsia"/>
        </w:rPr>
        <w:t>“小麦优先全面划定，玉米、棉花、甜菜稳步全面划定”的方式，</w:t>
      </w:r>
      <w:r>
        <w:rPr>
          <w:rFonts w:hint="eastAsia"/>
        </w:rPr>
        <w:t>2019</w:t>
      </w:r>
      <w:r>
        <w:rPr>
          <w:rFonts w:hint="eastAsia"/>
        </w:rPr>
        <w:t>年在</w:t>
      </w:r>
      <w:r>
        <w:rPr>
          <w:rFonts w:hint="eastAsia"/>
        </w:rPr>
        <w:t>6</w:t>
      </w:r>
      <w:r>
        <w:rPr>
          <w:rFonts w:hint="eastAsia"/>
        </w:rPr>
        <w:t>个小麦生产县全面划定小麦生产功能区</w:t>
      </w:r>
      <w:r>
        <w:rPr>
          <w:rFonts w:hint="eastAsia"/>
        </w:rPr>
        <w:t>85</w:t>
      </w:r>
      <w:r>
        <w:rPr>
          <w:rFonts w:hint="eastAsia"/>
        </w:rPr>
        <w:t>万亩；在</w:t>
      </w:r>
      <w:r>
        <w:rPr>
          <w:rFonts w:hint="eastAsia"/>
        </w:rPr>
        <w:t>7</w:t>
      </w:r>
      <w:r>
        <w:rPr>
          <w:rFonts w:hint="eastAsia"/>
        </w:rPr>
        <w:t>个玉米生产县（市）、</w:t>
      </w:r>
      <w:r>
        <w:rPr>
          <w:rFonts w:hint="eastAsia"/>
        </w:rPr>
        <w:t>7</w:t>
      </w:r>
      <w:r>
        <w:rPr>
          <w:rFonts w:hint="eastAsia"/>
        </w:rPr>
        <w:t>个棉花生产县（市）、</w:t>
      </w:r>
      <w:r>
        <w:rPr>
          <w:rFonts w:hint="eastAsia"/>
        </w:rPr>
        <w:t>4</w:t>
      </w:r>
      <w:r>
        <w:rPr>
          <w:rFonts w:hint="eastAsia"/>
        </w:rPr>
        <w:t>个甜菜生产县全面划定玉米生产功能区</w:t>
      </w:r>
      <w:r>
        <w:rPr>
          <w:rFonts w:hint="eastAsia"/>
        </w:rPr>
        <w:t>65</w:t>
      </w:r>
      <w:r>
        <w:rPr>
          <w:rFonts w:hint="eastAsia"/>
        </w:rPr>
        <w:t>万亩、棉花生产保护区</w:t>
      </w:r>
      <w:r>
        <w:rPr>
          <w:rFonts w:hint="eastAsia"/>
        </w:rPr>
        <w:t>320</w:t>
      </w:r>
      <w:r>
        <w:rPr>
          <w:rFonts w:hint="eastAsia"/>
        </w:rPr>
        <w:t>万亩、甜菜生产保护区</w:t>
      </w:r>
      <w:r>
        <w:rPr>
          <w:rFonts w:hint="eastAsia"/>
        </w:rPr>
        <w:t>15</w:t>
      </w:r>
      <w:r>
        <w:rPr>
          <w:rFonts w:hint="eastAsia"/>
        </w:rPr>
        <w:t>万亩，完成“两区”划定工作。四是摸清划定区域情况。以县（市）为基础推进“两区”划定工作，采取内业、外业相结合的方式，在摸清区域地块情况的基础上，有效推动开展划定工作。首先，搜集永久基本农田划定、第二次全国土地调查有关图件、影像等数据资料，并确定“两区”划定的初步区域范围，开展图上作业。其次，实地调查核对划入“两区”地块情况，搜集划入地块基本信息等，最后完善“两区”划定图斑，形成准确的图斑和数据。五是全面形成划定结果。按照有关要求，做好“两区”划定数据的测绘搜集，开展上图入库、建档立册，并逐级汇总地块图斑及信息，形成上下衔接、规范统一的信息系统。每季度将“两区”划定地块图斑和数据汇总报送上级农业部门。在加强数据安全保障，保证“两区”信息安全的前提下，实现信息互通、资源共享。五是进度安排：</w:t>
      </w:r>
    </w:p>
    <w:p w:rsidR="00A50951" w:rsidRDefault="005D4970">
      <w:pPr>
        <w:pStyle w:val="-"/>
        <w:ind w:firstLine="560"/>
      </w:pPr>
      <w:r>
        <w:rPr>
          <w:rFonts w:hint="eastAsia"/>
        </w:rPr>
        <w:t>1</w:t>
      </w:r>
      <w:r>
        <w:rPr>
          <w:rFonts w:hint="eastAsia"/>
        </w:rPr>
        <w:t>、启动准备阶段（</w:t>
      </w:r>
      <w:r>
        <w:rPr>
          <w:rFonts w:hint="eastAsia"/>
        </w:rPr>
        <w:t>2018</w:t>
      </w:r>
      <w:r>
        <w:rPr>
          <w:rFonts w:hint="eastAsia"/>
        </w:rPr>
        <w:t>年</w:t>
      </w:r>
      <w:r>
        <w:rPr>
          <w:rFonts w:hint="eastAsia"/>
        </w:rPr>
        <w:t>10</w:t>
      </w:r>
      <w:r>
        <w:rPr>
          <w:rFonts w:hint="eastAsia"/>
        </w:rPr>
        <w:t>月—</w:t>
      </w:r>
      <w:r>
        <w:rPr>
          <w:rFonts w:hint="eastAsia"/>
        </w:rPr>
        <w:t>2018</w:t>
      </w:r>
      <w:r>
        <w:rPr>
          <w:rFonts w:hint="eastAsia"/>
        </w:rPr>
        <w:t>年</w:t>
      </w:r>
      <w:r>
        <w:rPr>
          <w:rFonts w:hint="eastAsia"/>
        </w:rPr>
        <w:t>12</w:t>
      </w:r>
      <w:r>
        <w:rPr>
          <w:rFonts w:hint="eastAsia"/>
        </w:rPr>
        <w:t>月底）。启动自治州“两区”划定工作，组织学习培训，做好前期准备工作。</w:t>
      </w:r>
    </w:p>
    <w:p w:rsidR="00A50951" w:rsidRDefault="005D4970">
      <w:pPr>
        <w:pStyle w:val="-"/>
        <w:ind w:firstLine="560"/>
      </w:pPr>
      <w:r>
        <w:rPr>
          <w:rFonts w:hint="eastAsia"/>
        </w:rPr>
        <w:t>2</w:t>
      </w:r>
      <w:r>
        <w:rPr>
          <w:rFonts w:hint="eastAsia"/>
        </w:rPr>
        <w:t>、谋划部署阶段（</w:t>
      </w:r>
      <w:r>
        <w:rPr>
          <w:rFonts w:hint="eastAsia"/>
        </w:rPr>
        <w:t>2019</w:t>
      </w:r>
      <w:r>
        <w:rPr>
          <w:rFonts w:hint="eastAsia"/>
        </w:rPr>
        <w:t>年</w:t>
      </w:r>
      <w:r>
        <w:rPr>
          <w:rFonts w:hint="eastAsia"/>
        </w:rPr>
        <w:t>1</w:t>
      </w:r>
      <w:r>
        <w:rPr>
          <w:rFonts w:hint="eastAsia"/>
        </w:rPr>
        <w:t>月—</w:t>
      </w:r>
      <w:r>
        <w:rPr>
          <w:rFonts w:hint="eastAsia"/>
        </w:rPr>
        <w:t>2019</w:t>
      </w:r>
      <w:r>
        <w:rPr>
          <w:rFonts w:hint="eastAsia"/>
        </w:rPr>
        <w:t>年</w:t>
      </w:r>
      <w:r>
        <w:rPr>
          <w:rFonts w:hint="eastAsia"/>
        </w:rPr>
        <w:t>2</w:t>
      </w:r>
      <w:r>
        <w:rPr>
          <w:rFonts w:hint="eastAsia"/>
        </w:rPr>
        <w:t>月）。根据实际，细化制定具体实施办法，切实将任务细化分解落实到乡（镇）、村（组），确保“两区”任务层层压实，并适时开展宣传发动，组织技术队伍，开展技术培训等工作。</w:t>
      </w:r>
    </w:p>
    <w:p w:rsidR="00A50951" w:rsidRDefault="005D4970">
      <w:pPr>
        <w:pStyle w:val="-"/>
        <w:ind w:firstLine="560"/>
      </w:pPr>
      <w:r>
        <w:rPr>
          <w:rFonts w:hint="eastAsia"/>
        </w:rPr>
        <w:t>3</w:t>
      </w:r>
      <w:r>
        <w:rPr>
          <w:rFonts w:hint="eastAsia"/>
        </w:rPr>
        <w:t>、重点推进阶段（</w:t>
      </w:r>
      <w:r>
        <w:rPr>
          <w:rFonts w:hint="eastAsia"/>
        </w:rPr>
        <w:t>2019</w:t>
      </w:r>
      <w:r>
        <w:rPr>
          <w:rFonts w:hint="eastAsia"/>
        </w:rPr>
        <w:t>年</w:t>
      </w:r>
      <w:r>
        <w:rPr>
          <w:rFonts w:hint="eastAsia"/>
        </w:rPr>
        <w:t>3</w:t>
      </w:r>
      <w:r>
        <w:rPr>
          <w:rFonts w:hint="eastAsia"/>
        </w:rPr>
        <w:t>月—</w:t>
      </w:r>
      <w:r>
        <w:rPr>
          <w:rFonts w:hint="eastAsia"/>
        </w:rPr>
        <w:t>2019</w:t>
      </w:r>
      <w:r>
        <w:rPr>
          <w:rFonts w:hint="eastAsia"/>
        </w:rPr>
        <w:t>年</w:t>
      </w:r>
      <w:r>
        <w:rPr>
          <w:rFonts w:hint="eastAsia"/>
        </w:rPr>
        <w:t>4</w:t>
      </w:r>
      <w:r>
        <w:rPr>
          <w:rFonts w:hint="eastAsia"/>
        </w:rPr>
        <w:t>月）。重点在我州</w:t>
      </w:r>
      <w:r>
        <w:rPr>
          <w:rFonts w:hint="eastAsia"/>
        </w:rPr>
        <w:t>9</w:t>
      </w:r>
      <w:r>
        <w:rPr>
          <w:rFonts w:hint="eastAsia"/>
        </w:rPr>
        <w:t>个小麦生产县（市）全面开展划定工作。划定工作由县（市）组织实施，开展统一招标，确定技术依托单位。一要依次进行图上作业</w:t>
      </w:r>
      <w:r>
        <w:rPr>
          <w:rFonts w:hint="eastAsia"/>
        </w:rPr>
        <w:lastRenderedPageBreak/>
        <w:t>和实地调查核对，完成粮食生产功能区划定的底图制作、统一编码、实地勘查、面积量算、分布图编制等，标明“四至”及拐点坐标，形成准确图斑和数据；二要进行划定图件的审核公示并设立标志牌；三要整理功能区划定的基础材料、图件、表册和文本成果，经质量检查合格后，通过软、硬件系统设备，建立粮食生产功能区电子地图和数据库，建档立卡，登记造册。</w:t>
      </w:r>
    </w:p>
    <w:p w:rsidR="00A50951" w:rsidRDefault="005D4970">
      <w:pPr>
        <w:pStyle w:val="-"/>
        <w:ind w:firstLine="560"/>
      </w:pPr>
      <w:r>
        <w:rPr>
          <w:rFonts w:hint="eastAsia"/>
        </w:rPr>
        <w:t>4</w:t>
      </w:r>
      <w:r>
        <w:rPr>
          <w:rFonts w:hint="eastAsia"/>
        </w:rPr>
        <w:t>、阶段总结阶段（</w:t>
      </w:r>
      <w:r>
        <w:rPr>
          <w:rFonts w:hint="eastAsia"/>
        </w:rPr>
        <w:t>2019</w:t>
      </w:r>
      <w:r>
        <w:rPr>
          <w:rFonts w:hint="eastAsia"/>
        </w:rPr>
        <w:t>年</w:t>
      </w:r>
      <w:r>
        <w:rPr>
          <w:rFonts w:hint="eastAsia"/>
        </w:rPr>
        <w:t>5</w:t>
      </w:r>
      <w:r>
        <w:rPr>
          <w:rFonts w:hint="eastAsia"/>
        </w:rPr>
        <w:t>月）。完成“两区”划定中的小麦任务，开展阶段性总结，为玉米、棉花、甜菜划定任务的完成积累经验、提供样板。</w:t>
      </w:r>
    </w:p>
    <w:p w:rsidR="00A50951" w:rsidRDefault="005D4970">
      <w:pPr>
        <w:pStyle w:val="-"/>
        <w:ind w:firstLine="560"/>
      </w:pPr>
      <w:r>
        <w:rPr>
          <w:rFonts w:hint="eastAsia"/>
        </w:rPr>
        <w:t>5</w:t>
      </w:r>
      <w:r>
        <w:rPr>
          <w:rFonts w:hint="eastAsia"/>
        </w:rPr>
        <w:t>、全面完成阶段（</w:t>
      </w:r>
      <w:r>
        <w:rPr>
          <w:rFonts w:hint="eastAsia"/>
        </w:rPr>
        <w:t>2019</w:t>
      </w:r>
      <w:r>
        <w:rPr>
          <w:rFonts w:hint="eastAsia"/>
        </w:rPr>
        <w:t>年</w:t>
      </w:r>
      <w:r>
        <w:rPr>
          <w:rFonts w:hint="eastAsia"/>
        </w:rPr>
        <w:t>6</w:t>
      </w:r>
      <w:r>
        <w:rPr>
          <w:rFonts w:hint="eastAsia"/>
        </w:rPr>
        <w:t>月—</w:t>
      </w:r>
      <w:r>
        <w:rPr>
          <w:rFonts w:hint="eastAsia"/>
        </w:rPr>
        <w:t>2019</w:t>
      </w:r>
      <w:r>
        <w:rPr>
          <w:rFonts w:hint="eastAsia"/>
        </w:rPr>
        <w:t>年</w:t>
      </w:r>
      <w:r>
        <w:rPr>
          <w:rFonts w:hint="eastAsia"/>
        </w:rPr>
        <w:t>9</w:t>
      </w:r>
      <w:r>
        <w:rPr>
          <w:rFonts w:hint="eastAsia"/>
        </w:rPr>
        <w:t>月）。全部完成“两区”划定中的玉米</w:t>
      </w:r>
      <w:r>
        <w:rPr>
          <w:rFonts w:hint="eastAsia"/>
        </w:rPr>
        <w:t>65</w:t>
      </w:r>
      <w:r>
        <w:rPr>
          <w:rFonts w:hint="eastAsia"/>
        </w:rPr>
        <w:t>万亩、棉花</w:t>
      </w:r>
      <w:r>
        <w:rPr>
          <w:rFonts w:hint="eastAsia"/>
        </w:rPr>
        <w:t>320</w:t>
      </w:r>
      <w:r>
        <w:rPr>
          <w:rFonts w:hint="eastAsia"/>
        </w:rPr>
        <w:t>万亩、甜菜</w:t>
      </w:r>
      <w:r>
        <w:rPr>
          <w:rFonts w:hint="eastAsia"/>
        </w:rPr>
        <w:t>15</w:t>
      </w:r>
      <w:r>
        <w:rPr>
          <w:rFonts w:hint="eastAsia"/>
        </w:rPr>
        <w:t>万亩。</w:t>
      </w:r>
    </w:p>
    <w:p w:rsidR="00A50951" w:rsidRDefault="005D4970">
      <w:pPr>
        <w:pStyle w:val="-"/>
        <w:ind w:firstLine="560"/>
        <w:rPr>
          <w:rFonts w:ascii="仿宋_GB2312"/>
        </w:rPr>
      </w:pPr>
      <w:r>
        <w:rPr>
          <w:rFonts w:hint="eastAsia"/>
        </w:rPr>
        <w:t>6</w:t>
      </w:r>
      <w:r>
        <w:rPr>
          <w:rFonts w:hint="eastAsia"/>
        </w:rPr>
        <w:t>、检查验收阶段（</w:t>
      </w:r>
      <w:r>
        <w:rPr>
          <w:rFonts w:hint="eastAsia"/>
        </w:rPr>
        <w:t>2019</w:t>
      </w:r>
      <w:r>
        <w:rPr>
          <w:rFonts w:hint="eastAsia"/>
        </w:rPr>
        <w:t>年</w:t>
      </w:r>
      <w:r>
        <w:rPr>
          <w:rFonts w:hint="eastAsia"/>
        </w:rPr>
        <w:t>10</w:t>
      </w:r>
      <w:r>
        <w:rPr>
          <w:rFonts w:hint="eastAsia"/>
        </w:rPr>
        <w:t>月—</w:t>
      </w:r>
      <w:r>
        <w:rPr>
          <w:rFonts w:hint="eastAsia"/>
        </w:rPr>
        <w:t>2019</w:t>
      </w:r>
      <w:r>
        <w:rPr>
          <w:rFonts w:hint="eastAsia"/>
        </w:rPr>
        <w:t>年</w:t>
      </w:r>
      <w:r>
        <w:rPr>
          <w:rFonts w:hint="eastAsia"/>
        </w:rPr>
        <w:t>12</w:t>
      </w:r>
      <w:r>
        <w:rPr>
          <w:rFonts w:hint="eastAsia"/>
        </w:rPr>
        <w:t>月）。采取审核、检测和实地抽查相结合的方式对划定成果检查验收。在技术依托单位对划定成果自检自验基础上，各县（市）划定成果，自治州抽查核实各县（市）划定成果。经检查验收合格后，由各级农业管理部门备案，会同同级档案管理部门建立档案管理制度，并进行整理归档、统计和逐级汇交工作，形成自治州“两区”布局电子地图和数据库。</w:t>
      </w:r>
    </w:p>
    <w:p w:rsidR="00A50951" w:rsidRDefault="005D4970">
      <w:pPr>
        <w:spacing w:line="600" w:lineRule="exact"/>
        <w:ind w:firstLineChars="200" w:firstLine="600"/>
        <w:outlineLvl w:val="0"/>
        <w:rPr>
          <w:rFonts w:ascii="仿宋_GB2312"/>
        </w:rPr>
      </w:pPr>
      <w:r>
        <w:rPr>
          <w:rFonts w:ascii="仿宋_GB2312" w:hint="eastAsia"/>
        </w:rPr>
        <w:t>（四）项目效益情况</w:t>
      </w:r>
    </w:p>
    <w:p w:rsidR="00A50951" w:rsidRDefault="005D4970">
      <w:pPr>
        <w:pStyle w:val="-"/>
        <w:ind w:firstLine="560"/>
        <w:rPr>
          <w:rFonts w:ascii="仿宋_GB2312"/>
        </w:rPr>
      </w:pPr>
      <w:r>
        <w:rPr>
          <w:rFonts w:hint="eastAsia"/>
        </w:rPr>
        <w:t>经济效益：已完成“两区”划定任务</w:t>
      </w:r>
      <w:r>
        <w:rPr>
          <w:rFonts w:hint="eastAsia"/>
        </w:rPr>
        <w:t>433.4</w:t>
      </w:r>
      <w:r>
        <w:rPr>
          <w:rFonts w:hint="eastAsia"/>
        </w:rPr>
        <w:t>万亩，完成目标任务</w:t>
      </w:r>
      <w:r>
        <w:rPr>
          <w:rFonts w:hint="eastAsia"/>
        </w:rPr>
        <w:t>480</w:t>
      </w:r>
      <w:r>
        <w:rPr>
          <w:rFonts w:hint="eastAsia"/>
        </w:rPr>
        <w:t>万亩的</w:t>
      </w:r>
      <w:r>
        <w:rPr>
          <w:rFonts w:hint="eastAsia"/>
        </w:rPr>
        <w:t>90.29%</w:t>
      </w:r>
      <w:r>
        <w:rPr>
          <w:rFonts w:hint="eastAsia"/>
        </w:rPr>
        <w:t>，效果显著，已稳定在</w:t>
      </w:r>
      <w:r>
        <w:rPr>
          <w:rFonts w:hint="eastAsia"/>
        </w:rPr>
        <w:t>90%</w:t>
      </w:r>
      <w:r>
        <w:rPr>
          <w:rFonts w:hint="eastAsia"/>
        </w:rPr>
        <w:t>以上。社会效益：按照国家粮食战略的基本要求，贯彻落实农业供给侧改革的重要举措，确保了全州粮食安全，保证了粮食州域内平衡，略有节余。生态效益：落实藏粮于地，藏粮于技战略，促进农业结构调整，效果显著，稳定在</w:t>
      </w:r>
      <w:r>
        <w:rPr>
          <w:rFonts w:hint="eastAsia"/>
        </w:rPr>
        <w:t>90%</w:t>
      </w:r>
      <w:r>
        <w:rPr>
          <w:rFonts w:hint="eastAsia"/>
        </w:rPr>
        <w:t>以上。可持续影响：确保粮食安全、保障重要农产品有效供给，深入推进农业供给侧结构性改革，有效带动稳定在</w:t>
      </w:r>
      <w:r>
        <w:rPr>
          <w:rFonts w:hint="eastAsia"/>
        </w:rPr>
        <w:t>90%</w:t>
      </w:r>
      <w:r>
        <w:rPr>
          <w:rFonts w:hint="eastAsia"/>
        </w:rPr>
        <w:t>以</w:t>
      </w:r>
      <w:r>
        <w:rPr>
          <w:rFonts w:hint="eastAsia"/>
        </w:rPr>
        <w:lastRenderedPageBreak/>
        <w:t>上。</w:t>
      </w:r>
    </w:p>
    <w:p w:rsidR="00A50951" w:rsidRDefault="005D4970">
      <w:pPr>
        <w:spacing w:line="600" w:lineRule="exact"/>
        <w:ind w:leftChars="200" w:left="600"/>
        <w:rPr>
          <w:rFonts w:ascii="黑体" w:eastAsia="黑体" w:hAnsi="黑体"/>
        </w:rPr>
      </w:pPr>
      <w:r>
        <w:rPr>
          <w:rFonts w:ascii="黑体" w:eastAsia="黑体" w:hAnsi="黑体" w:hint="eastAsia"/>
        </w:rPr>
        <w:t>五、主要经验及做法、存在的问题及原因分析</w:t>
      </w:r>
    </w:p>
    <w:p w:rsidR="00A50951" w:rsidRDefault="005D4970">
      <w:pPr>
        <w:pStyle w:val="-"/>
        <w:ind w:firstLine="560"/>
      </w:pPr>
      <w:r>
        <w:rPr>
          <w:rFonts w:hint="eastAsia"/>
        </w:rPr>
        <w:t>组织各县市按照工作方案中的进度安排抓紧时间开展工作，按期完成工作任务。充分利用土地确权和永久农田划定的成果开展工作。</w:t>
      </w:r>
    </w:p>
    <w:p w:rsidR="00A50951" w:rsidRDefault="005D4970">
      <w:pPr>
        <w:pStyle w:val="-"/>
        <w:ind w:firstLine="560"/>
        <w:rPr>
          <w:rFonts w:ascii="黑体" w:eastAsia="黑体" w:hAnsi="黑体"/>
        </w:rPr>
      </w:pPr>
      <w:r>
        <w:rPr>
          <w:rFonts w:hint="eastAsia"/>
        </w:rPr>
        <w:t>存在的问题：一是各级领导干部对两区划定工作认识不到位，导致划定任务不能按目标任务完成；二是未征求地州县市意见，自治区就下达了任务指标，导致下达任务量不切合实际，任务量过大，这是导致未完成任务的根本原因；三是部分县市因缺水退耕减地面积及果园地面积较大等原因，导致划定面积不足。</w:t>
      </w:r>
    </w:p>
    <w:p w:rsidR="00A50951" w:rsidRDefault="005D4970">
      <w:pPr>
        <w:spacing w:line="600" w:lineRule="exact"/>
        <w:ind w:leftChars="200" w:left="600"/>
        <w:rPr>
          <w:rFonts w:ascii="黑体" w:eastAsia="黑体" w:hAnsi="黑体"/>
        </w:rPr>
      </w:pPr>
      <w:r>
        <w:rPr>
          <w:rFonts w:ascii="黑体" w:eastAsia="黑体" w:hAnsi="黑体" w:hint="eastAsia"/>
        </w:rPr>
        <w:t>六、有关建议</w:t>
      </w:r>
    </w:p>
    <w:p w:rsidR="00A50951" w:rsidRDefault="005D4970">
      <w:pPr>
        <w:spacing w:line="600" w:lineRule="exact"/>
        <w:rPr>
          <w:rFonts w:ascii="黑体" w:eastAsia="黑体" w:hAnsi="黑体"/>
        </w:rPr>
      </w:pPr>
      <w:r>
        <w:rPr>
          <w:rFonts w:ascii="黑体" w:eastAsia="黑体" w:hAnsi="黑体" w:hint="eastAsia"/>
        </w:rPr>
        <w:t xml:space="preserve">    </w:t>
      </w:r>
      <w:r>
        <w:rPr>
          <w:rFonts w:hint="eastAsia"/>
        </w:rPr>
        <w:t>一是进一步加强项目的监管，督促未完成的县市尽量按自治区下达的任务指标完成划定任务。如果因缺少耕地无法完成划定任务，只有申请自治区调减任务指标。二是建议加大培训的覆盖面，让参与此项工作的领导及业务干部通过培训提高此项工作的重要性，形成合力全力支持此项工作，确保两区划定工作按期完成并形成成果。</w:t>
      </w:r>
    </w:p>
    <w:p w:rsidR="00A50951" w:rsidRDefault="005D4970">
      <w:pPr>
        <w:spacing w:line="600" w:lineRule="exact"/>
        <w:ind w:leftChars="200" w:left="600"/>
        <w:rPr>
          <w:rFonts w:ascii="黑体" w:eastAsia="黑体" w:hAnsi="黑体"/>
        </w:rPr>
      </w:pPr>
      <w:r>
        <w:rPr>
          <w:rFonts w:ascii="黑体" w:eastAsia="黑体" w:hAnsi="黑体" w:hint="eastAsia"/>
        </w:rPr>
        <w:t>七、其他需要说明的问题</w:t>
      </w:r>
    </w:p>
    <w:p w:rsidR="00A50951" w:rsidRDefault="005D4970">
      <w:pPr>
        <w:pStyle w:val="-"/>
        <w:ind w:firstLine="560"/>
      </w:pPr>
      <w:r>
        <w:rPr>
          <w:rFonts w:hint="eastAsia"/>
        </w:rPr>
        <w:t>“两区划定”工作完成后，各县市要充分发挥粮食生产功能区和重要农产品生产保护区的功能，为粮食安全和棉花等重要农产品生产水平的提升奠定坚实的基础。</w:t>
      </w:r>
    </w:p>
    <w:p w:rsidR="00A50951" w:rsidRDefault="00A50951">
      <w:pPr>
        <w:spacing w:line="600" w:lineRule="exact"/>
        <w:ind w:leftChars="200" w:left="600"/>
        <w:rPr>
          <w:rFonts w:ascii="黑体" w:eastAsia="黑体" w:hAnsi="黑体"/>
        </w:rPr>
      </w:pPr>
    </w:p>
    <w:p w:rsidR="00A50951" w:rsidRDefault="00A50951">
      <w:pPr>
        <w:spacing w:line="600" w:lineRule="exact"/>
        <w:rPr>
          <w:rFonts w:ascii="黑体" w:eastAsia="黑体" w:hAnsi="黑体"/>
        </w:rPr>
        <w:sectPr w:rsidR="00A50951">
          <w:footerReference w:type="default" r:id="rId9"/>
          <w:pgSz w:w="11906" w:h="16838"/>
          <w:pgMar w:top="1928" w:right="1531" w:bottom="1701" w:left="1531" w:header="737" w:footer="851" w:gutter="0"/>
          <w:cols w:space="720"/>
          <w:docGrid w:type="lines" w:linePitch="408"/>
        </w:sectPr>
      </w:pPr>
    </w:p>
    <w:p w:rsidR="00A50951" w:rsidRDefault="005D4970">
      <w:pPr>
        <w:pStyle w:val="2"/>
        <w:spacing w:before="0" w:after="0" w:line="240" w:lineRule="auto"/>
        <w:jc w:val="center"/>
        <w:rPr>
          <w:rFonts w:ascii="宋体" w:eastAsia="宋体" w:hAnsi="宋体" w:cs="宋体"/>
          <w:bCs/>
          <w:color w:val="000000"/>
          <w:sz w:val="36"/>
          <w:szCs w:val="28"/>
        </w:rPr>
      </w:pPr>
      <w:r>
        <w:rPr>
          <w:rFonts w:ascii="宋体" w:eastAsia="宋体" w:hAnsi="宋体" w:cs="宋体" w:hint="eastAsia"/>
          <w:bCs/>
          <w:color w:val="000000"/>
          <w:sz w:val="36"/>
          <w:szCs w:val="28"/>
        </w:rPr>
        <w:lastRenderedPageBreak/>
        <w:t>项目支出绩效评价指标体系框架</w:t>
      </w:r>
    </w:p>
    <w:p w:rsidR="00A50951" w:rsidRDefault="00A50951">
      <w:pPr>
        <w:pStyle w:val="2"/>
        <w:spacing w:before="0" w:after="0" w:line="240" w:lineRule="auto"/>
        <w:jc w:val="center"/>
        <w:rPr>
          <w:bCs/>
          <w:color w:val="000000"/>
        </w:rPr>
      </w:pPr>
    </w:p>
    <w:tbl>
      <w:tblPr>
        <w:tblW w:w="15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tblPr>
      <w:tblGrid>
        <w:gridCol w:w="763"/>
        <w:gridCol w:w="1297"/>
        <w:gridCol w:w="1411"/>
        <w:gridCol w:w="2789"/>
        <w:gridCol w:w="7341"/>
        <w:gridCol w:w="829"/>
        <w:gridCol w:w="12"/>
        <w:gridCol w:w="11"/>
        <w:gridCol w:w="899"/>
        <w:gridCol w:w="12"/>
        <w:gridCol w:w="11"/>
      </w:tblGrid>
      <w:tr w:rsidR="00A50951">
        <w:trPr>
          <w:gridAfter w:val="1"/>
          <w:wAfter w:w="11" w:type="dxa"/>
          <w:trHeight w:val="692"/>
          <w:tblHeader/>
          <w:jc w:val="center"/>
        </w:trPr>
        <w:tc>
          <w:tcPr>
            <w:tcW w:w="763" w:type="dxa"/>
            <w:tcBorders>
              <w:tl2br w:val="nil"/>
              <w:tr2bl w:val="nil"/>
            </w:tcBorders>
            <w:shd w:val="clear" w:color="auto" w:fill="FFFFFF"/>
            <w:vAlign w:val="center"/>
          </w:tcPr>
          <w:p w:rsidR="00A50951" w:rsidRDefault="005D4970">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一级指标</w:t>
            </w:r>
          </w:p>
        </w:tc>
        <w:tc>
          <w:tcPr>
            <w:tcW w:w="1297" w:type="dxa"/>
            <w:tcBorders>
              <w:tl2br w:val="nil"/>
              <w:tr2bl w:val="nil"/>
            </w:tcBorders>
            <w:shd w:val="clear" w:color="auto" w:fill="FFFFFF"/>
            <w:vAlign w:val="center"/>
          </w:tcPr>
          <w:p w:rsidR="00A50951" w:rsidRDefault="005D4970">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二级指标</w:t>
            </w:r>
          </w:p>
        </w:tc>
        <w:tc>
          <w:tcPr>
            <w:tcW w:w="1411" w:type="dxa"/>
            <w:tcBorders>
              <w:tl2br w:val="nil"/>
              <w:tr2bl w:val="nil"/>
            </w:tcBorders>
            <w:shd w:val="clear" w:color="auto" w:fill="FFFFFF"/>
            <w:vAlign w:val="center"/>
          </w:tcPr>
          <w:p w:rsidR="00A50951" w:rsidRDefault="005D4970">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三级指标</w:t>
            </w:r>
          </w:p>
        </w:tc>
        <w:tc>
          <w:tcPr>
            <w:tcW w:w="2789" w:type="dxa"/>
            <w:tcBorders>
              <w:tl2br w:val="nil"/>
              <w:tr2bl w:val="nil"/>
            </w:tcBorders>
            <w:shd w:val="clear" w:color="auto" w:fill="FFFFFF"/>
            <w:vAlign w:val="center"/>
          </w:tcPr>
          <w:p w:rsidR="00A50951" w:rsidRDefault="005D4970">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指标解释</w:t>
            </w:r>
          </w:p>
        </w:tc>
        <w:tc>
          <w:tcPr>
            <w:tcW w:w="7341" w:type="dxa"/>
            <w:tcBorders>
              <w:tl2br w:val="nil"/>
              <w:tr2bl w:val="nil"/>
            </w:tcBorders>
            <w:shd w:val="clear" w:color="auto" w:fill="FFFFFF"/>
            <w:vAlign w:val="center"/>
          </w:tcPr>
          <w:p w:rsidR="00A50951" w:rsidRDefault="005D4970">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指标说明</w:t>
            </w:r>
          </w:p>
        </w:tc>
        <w:tc>
          <w:tcPr>
            <w:tcW w:w="841" w:type="dxa"/>
            <w:gridSpan w:val="2"/>
            <w:tcBorders>
              <w:top w:val="single" w:sz="4" w:space="0" w:color="auto"/>
              <w:bottom w:val="single" w:sz="4" w:space="0" w:color="auto"/>
              <w:right w:val="single" w:sz="4" w:space="0" w:color="auto"/>
            </w:tcBorders>
            <w:shd w:val="clear" w:color="auto" w:fill="auto"/>
          </w:tcPr>
          <w:p w:rsidR="00A50951" w:rsidRDefault="005D4970">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分值</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A50951" w:rsidRDefault="005D4970">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评价</w:t>
            </w:r>
          </w:p>
          <w:p w:rsidR="00A50951" w:rsidRDefault="005D4970">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结果</w:t>
            </w:r>
          </w:p>
        </w:tc>
      </w:tr>
      <w:tr w:rsidR="00A50951">
        <w:trPr>
          <w:gridAfter w:val="1"/>
          <w:wAfter w:w="11" w:type="dxa"/>
          <w:trHeight w:val="2318"/>
          <w:jc w:val="center"/>
        </w:trPr>
        <w:tc>
          <w:tcPr>
            <w:tcW w:w="763" w:type="dxa"/>
            <w:vMerge w:val="restart"/>
            <w:tcBorders>
              <w:tl2br w:val="nil"/>
              <w:tr2bl w:val="nil"/>
            </w:tcBorders>
            <w:shd w:val="clear" w:color="auto" w:fill="FFFFFF"/>
            <w:vAlign w:val="center"/>
          </w:tcPr>
          <w:p w:rsidR="00A50951" w:rsidRDefault="005D497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决策(20分)　</w:t>
            </w:r>
          </w:p>
          <w:p w:rsidR="00A50951" w:rsidRDefault="005D497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A50951" w:rsidRDefault="005D4970">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97" w:type="dxa"/>
            <w:vMerge w:val="restart"/>
            <w:tcBorders>
              <w:tl2br w:val="nil"/>
              <w:tr2bl w:val="nil"/>
            </w:tcBorders>
            <w:shd w:val="clear" w:color="auto" w:fill="FFFFFF"/>
            <w:vAlign w:val="center"/>
          </w:tcPr>
          <w:p w:rsidR="00A50951" w:rsidRDefault="005D497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项目立项（5）　</w:t>
            </w:r>
          </w:p>
        </w:tc>
        <w:tc>
          <w:tcPr>
            <w:tcW w:w="1411" w:type="dxa"/>
            <w:tcBorders>
              <w:tl2br w:val="nil"/>
              <w:tr2bl w:val="nil"/>
            </w:tcBorders>
            <w:shd w:val="clear" w:color="auto" w:fill="FFFFFF"/>
            <w:vAlign w:val="center"/>
          </w:tcPr>
          <w:p w:rsidR="00A50951" w:rsidRDefault="005D497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立项依据</w:t>
            </w:r>
          </w:p>
          <w:p w:rsidR="00A50951" w:rsidRDefault="005D497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充分性</w:t>
            </w:r>
          </w:p>
        </w:tc>
        <w:tc>
          <w:tcPr>
            <w:tcW w:w="2789" w:type="dxa"/>
            <w:tcBorders>
              <w:tl2br w:val="nil"/>
              <w:tr2bl w:val="nil"/>
            </w:tcBorders>
            <w:shd w:val="clear" w:color="auto" w:fill="FFFFFF"/>
            <w:vAlign w:val="center"/>
          </w:tcPr>
          <w:p w:rsidR="00A50951" w:rsidRDefault="005D4970">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项目立项是否符合法律法规、相关政策、发展规划以及部门职责，用以反映和考核项目立项依据情况。</w:t>
            </w:r>
          </w:p>
        </w:tc>
        <w:tc>
          <w:tcPr>
            <w:tcW w:w="7341" w:type="dxa"/>
            <w:tcBorders>
              <w:bottom w:val="single" w:sz="4" w:space="0" w:color="auto"/>
              <w:tl2br w:val="nil"/>
              <w:tr2bl w:val="nil"/>
            </w:tcBorders>
            <w:shd w:val="clear" w:color="auto" w:fill="FFFFFF"/>
            <w:vAlign w:val="center"/>
          </w:tcPr>
          <w:p w:rsidR="00A50951" w:rsidRDefault="005D4970">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①项目立项是否符合国家法律法规、国民经济发展规划和相关政策；</w:t>
            </w:r>
            <w:r>
              <w:rPr>
                <w:rFonts w:ascii="宋体" w:eastAsia="宋体" w:hAnsi="宋体" w:cs="宋体" w:hint="eastAsia"/>
                <w:color w:val="000000"/>
                <w:kern w:val="0"/>
                <w:sz w:val="22"/>
                <w:szCs w:val="22"/>
              </w:rPr>
              <w:br/>
              <w:t>②项目立项是否符合行业发展规划和政策要求；</w:t>
            </w:r>
            <w:r>
              <w:rPr>
                <w:rFonts w:ascii="宋体" w:eastAsia="宋体" w:hAnsi="宋体" w:cs="宋体" w:hint="eastAsia"/>
                <w:color w:val="000000"/>
                <w:kern w:val="0"/>
                <w:sz w:val="22"/>
                <w:szCs w:val="22"/>
              </w:rPr>
              <w:br/>
              <w:t>③项目立项是否与部门职责范围相符，属于部门履职所需；</w:t>
            </w:r>
            <w:r>
              <w:rPr>
                <w:rFonts w:ascii="宋体" w:eastAsia="宋体" w:hAnsi="宋体" w:cs="宋体" w:hint="eastAsia"/>
                <w:color w:val="000000"/>
                <w:kern w:val="0"/>
                <w:sz w:val="22"/>
                <w:szCs w:val="22"/>
              </w:rPr>
              <w:br/>
              <w:t>④项目是否属于公共财政支持范围，是否符合中央、地方事权支出责任划分原则；</w:t>
            </w:r>
            <w:r>
              <w:rPr>
                <w:rFonts w:ascii="宋体" w:eastAsia="宋体" w:hAnsi="宋体" w:cs="宋体" w:hint="eastAsia"/>
                <w:color w:val="000000"/>
                <w:kern w:val="0"/>
                <w:sz w:val="22"/>
                <w:szCs w:val="22"/>
              </w:rPr>
              <w:br/>
              <w:t>⑤项目是否与相关部门同类项目或部门内部相关项目重复。</w:t>
            </w:r>
          </w:p>
        </w:tc>
        <w:tc>
          <w:tcPr>
            <w:tcW w:w="841" w:type="dxa"/>
            <w:gridSpan w:val="2"/>
            <w:tcBorders>
              <w:top w:val="single" w:sz="4" w:space="0" w:color="auto"/>
              <w:bottom w:val="single" w:sz="4" w:space="0" w:color="auto"/>
              <w:right w:val="single" w:sz="4" w:space="0" w:color="auto"/>
            </w:tcBorders>
            <w:shd w:val="clear" w:color="auto" w:fill="auto"/>
          </w:tcPr>
          <w:p w:rsidR="00A50951" w:rsidRDefault="005D4970">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A50951" w:rsidRDefault="0033581B">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A50951">
        <w:trPr>
          <w:gridAfter w:val="1"/>
          <w:wAfter w:w="11" w:type="dxa"/>
          <w:trHeight w:val="1640"/>
          <w:jc w:val="center"/>
        </w:trPr>
        <w:tc>
          <w:tcPr>
            <w:tcW w:w="763" w:type="dxa"/>
            <w:vMerge/>
            <w:tcBorders>
              <w:tl2br w:val="nil"/>
              <w:tr2bl w:val="nil"/>
            </w:tcBorders>
            <w:shd w:val="clear" w:color="auto" w:fill="FFFFFF"/>
            <w:vAlign w:val="center"/>
          </w:tcPr>
          <w:p w:rsidR="00A50951" w:rsidRDefault="00A50951">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A50951" w:rsidRDefault="00A50951">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A50951" w:rsidRDefault="005D497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立项程序</w:t>
            </w:r>
          </w:p>
          <w:p w:rsidR="00A50951" w:rsidRDefault="005D497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规范性</w:t>
            </w:r>
          </w:p>
        </w:tc>
        <w:tc>
          <w:tcPr>
            <w:tcW w:w="2789" w:type="dxa"/>
            <w:tcBorders>
              <w:tl2br w:val="nil"/>
              <w:tr2bl w:val="nil"/>
            </w:tcBorders>
            <w:shd w:val="clear" w:color="auto" w:fill="FFFFFF"/>
            <w:vAlign w:val="center"/>
          </w:tcPr>
          <w:p w:rsidR="00A50951" w:rsidRDefault="005D4970">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项目申请、设立过程是否符合相关要求，用以反映和考核项目立项的规范情况。</w:t>
            </w:r>
          </w:p>
        </w:tc>
        <w:tc>
          <w:tcPr>
            <w:tcW w:w="7341" w:type="dxa"/>
            <w:tcBorders>
              <w:tl2br w:val="nil"/>
              <w:tr2bl w:val="nil"/>
            </w:tcBorders>
            <w:shd w:val="clear" w:color="auto" w:fill="FFFFFF"/>
            <w:vAlign w:val="center"/>
          </w:tcPr>
          <w:p w:rsidR="00A50951" w:rsidRDefault="005D4970">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①项目是否按照规定的程序申请设立；</w:t>
            </w:r>
            <w:r>
              <w:rPr>
                <w:rFonts w:ascii="宋体" w:eastAsia="宋体" w:hAnsi="宋体" w:cs="宋体" w:hint="eastAsia"/>
                <w:color w:val="000000"/>
                <w:kern w:val="0"/>
                <w:sz w:val="22"/>
                <w:szCs w:val="22"/>
              </w:rPr>
              <w:br/>
              <w:t>②审批文件、材料是否符合相关要求；</w:t>
            </w:r>
            <w:r>
              <w:rPr>
                <w:rFonts w:ascii="宋体" w:eastAsia="宋体" w:hAnsi="宋体" w:cs="宋体" w:hint="eastAsia"/>
                <w:color w:val="000000"/>
                <w:kern w:val="0"/>
                <w:sz w:val="22"/>
                <w:szCs w:val="22"/>
              </w:rPr>
              <w:br/>
              <w:t>③事前是否已经过必要的可行性研究、专家论证、风险评估、绩效评估、集体决策。</w:t>
            </w:r>
          </w:p>
        </w:tc>
        <w:tc>
          <w:tcPr>
            <w:tcW w:w="841" w:type="dxa"/>
            <w:gridSpan w:val="2"/>
            <w:tcBorders>
              <w:top w:val="single" w:sz="4" w:space="0" w:color="auto"/>
              <w:bottom w:val="single" w:sz="4" w:space="0" w:color="auto"/>
              <w:right w:val="single" w:sz="4" w:space="0" w:color="auto"/>
            </w:tcBorders>
            <w:shd w:val="clear" w:color="auto" w:fill="auto"/>
          </w:tcPr>
          <w:p w:rsidR="00A50951" w:rsidRDefault="00A50951">
            <w:pPr>
              <w:widowControl/>
              <w:jc w:val="left"/>
              <w:rPr>
                <w:rFonts w:ascii="宋体" w:eastAsia="宋体" w:hAnsi="宋体" w:cs="宋体"/>
                <w:color w:val="000000"/>
                <w:kern w:val="0"/>
                <w:sz w:val="22"/>
                <w:szCs w:val="22"/>
              </w:rPr>
            </w:pPr>
          </w:p>
          <w:p w:rsidR="00A50951" w:rsidRDefault="005D4970">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A50951" w:rsidRDefault="00A50951">
            <w:pPr>
              <w:widowControl/>
              <w:jc w:val="left"/>
              <w:rPr>
                <w:rFonts w:ascii="宋体" w:eastAsia="宋体" w:hAnsi="宋体" w:cs="宋体"/>
                <w:color w:val="000000"/>
                <w:kern w:val="0"/>
                <w:sz w:val="22"/>
                <w:szCs w:val="22"/>
              </w:rPr>
            </w:pPr>
          </w:p>
          <w:p w:rsidR="00A50951" w:rsidRDefault="0033581B">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A50951">
        <w:trPr>
          <w:gridAfter w:val="1"/>
          <w:wAfter w:w="11" w:type="dxa"/>
          <w:trHeight w:val="1919"/>
          <w:jc w:val="center"/>
        </w:trPr>
        <w:tc>
          <w:tcPr>
            <w:tcW w:w="763" w:type="dxa"/>
            <w:vMerge/>
            <w:tcBorders>
              <w:tl2br w:val="nil"/>
              <w:tr2bl w:val="nil"/>
            </w:tcBorders>
            <w:shd w:val="clear" w:color="auto" w:fill="FFFFFF"/>
            <w:vAlign w:val="center"/>
          </w:tcPr>
          <w:p w:rsidR="00A50951" w:rsidRDefault="00A50951">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A50951" w:rsidRDefault="005D497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绩效目标（10）　</w:t>
            </w:r>
          </w:p>
        </w:tc>
        <w:tc>
          <w:tcPr>
            <w:tcW w:w="1411" w:type="dxa"/>
            <w:tcBorders>
              <w:tl2br w:val="nil"/>
              <w:tr2bl w:val="nil"/>
            </w:tcBorders>
            <w:shd w:val="clear" w:color="auto" w:fill="FFFFFF"/>
            <w:vAlign w:val="center"/>
          </w:tcPr>
          <w:p w:rsidR="00A50951" w:rsidRDefault="005D497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p w:rsidR="00A50951" w:rsidRDefault="005D497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000000" w:fill="FFFFFF"/>
            <w:vAlign w:val="center"/>
          </w:tcPr>
          <w:p w:rsidR="00A50951" w:rsidRDefault="005D4970">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rsidR="00A50951" w:rsidRDefault="005D4970">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（如未设定预算绩效目标，也可考核其他工作任务目标）</w:t>
            </w:r>
            <w:r>
              <w:rPr>
                <w:rFonts w:ascii="宋体" w:eastAsia="宋体" w:hAnsi="宋体" w:cs="宋体" w:hint="eastAsia"/>
                <w:color w:val="000000"/>
                <w:kern w:val="0"/>
                <w:sz w:val="22"/>
                <w:szCs w:val="22"/>
              </w:rPr>
              <w:br/>
              <w:t>①项目是否有绩效目标；</w:t>
            </w:r>
            <w:r>
              <w:rPr>
                <w:rFonts w:ascii="宋体" w:eastAsia="宋体" w:hAnsi="宋体" w:cs="宋体" w:hint="eastAsia"/>
                <w:color w:val="000000"/>
                <w:kern w:val="0"/>
                <w:sz w:val="22"/>
                <w:szCs w:val="22"/>
              </w:rPr>
              <w:br/>
              <w:t>②项目绩效目标与实际工作内容是否具有相关性；</w:t>
            </w:r>
            <w:r>
              <w:rPr>
                <w:rFonts w:ascii="宋体" w:eastAsia="宋体" w:hAnsi="宋体" w:cs="宋体" w:hint="eastAsia"/>
                <w:color w:val="000000"/>
                <w:kern w:val="0"/>
                <w:sz w:val="22"/>
                <w:szCs w:val="22"/>
              </w:rPr>
              <w:br/>
              <w:t>③项目预期产出效益和效果是否符合正常的业绩水平；</w:t>
            </w:r>
          </w:p>
          <w:p w:rsidR="00A50951" w:rsidRDefault="005D4970">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④是否与预算确定的项目投资额或资金量相匹配。</w:t>
            </w:r>
          </w:p>
        </w:tc>
        <w:tc>
          <w:tcPr>
            <w:tcW w:w="841" w:type="dxa"/>
            <w:gridSpan w:val="2"/>
            <w:tcBorders>
              <w:top w:val="single" w:sz="4" w:space="0" w:color="auto"/>
              <w:bottom w:val="single" w:sz="4" w:space="0" w:color="auto"/>
              <w:right w:val="single" w:sz="4" w:space="0" w:color="auto"/>
            </w:tcBorders>
            <w:shd w:val="clear" w:color="auto" w:fill="auto"/>
          </w:tcPr>
          <w:p w:rsidR="00A50951" w:rsidRDefault="005D4970">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A50951" w:rsidRDefault="0033581B">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A50951">
        <w:trPr>
          <w:gridAfter w:val="1"/>
          <w:wAfter w:w="11" w:type="dxa"/>
          <w:trHeight w:val="1464"/>
          <w:jc w:val="center"/>
        </w:trPr>
        <w:tc>
          <w:tcPr>
            <w:tcW w:w="763" w:type="dxa"/>
            <w:vMerge w:val="restart"/>
            <w:tcBorders>
              <w:tl2br w:val="nil"/>
              <w:tr2bl w:val="nil"/>
            </w:tcBorders>
            <w:shd w:val="clear" w:color="auto" w:fill="FFFFFF"/>
            <w:vAlign w:val="center"/>
          </w:tcPr>
          <w:p w:rsidR="00A50951" w:rsidRDefault="005D497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决策（20分）　</w:t>
            </w:r>
          </w:p>
        </w:tc>
        <w:tc>
          <w:tcPr>
            <w:tcW w:w="1297" w:type="dxa"/>
            <w:tcBorders>
              <w:tl2br w:val="nil"/>
              <w:tr2bl w:val="nil"/>
            </w:tcBorders>
            <w:shd w:val="clear" w:color="auto" w:fill="FFFFFF"/>
            <w:vAlign w:val="center"/>
          </w:tcPr>
          <w:p w:rsidR="00A50951" w:rsidRDefault="005D497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tc>
        <w:tc>
          <w:tcPr>
            <w:tcW w:w="1411" w:type="dxa"/>
            <w:tcBorders>
              <w:tl2br w:val="nil"/>
              <w:tr2bl w:val="nil"/>
            </w:tcBorders>
            <w:shd w:val="clear" w:color="auto" w:fill="FFFFFF"/>
            <w:vAlign w:val="center"/>
          </w:tcPr>
          <w:p w:rsidR="00A50951" w:rsidRDefault="005D497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绩效指标</w:t>
            </w:r>
          </w:p>
          <w:p w:rsidR="00A50951" w:rsidRDefault="005D497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明确性</w:t>
            </w:r>
          </w:p>
        </w:tc>
        <w:tc>
          <w:tcPr>
            <w:tcW w:w="2789" w:type="dxa"/>
            <w:tcBorders>
              <w:tl2br w:val="nil"/>
              <w:tr2bl w:val="nil"/>
            </w:tcBorders>
            <w:shd w:val="clear" w:color="000000" w:fill="FFFFFF"/>
            <w:vAlign w:val="center"/>
          </w:tcPr>
          <w:p w:rsidR="00A50951" w:rsidRDefault="005D4970">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rsidR="00A50951" w:rsidRDefault="005D4970">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①是否将项目绩效目标细化分解为具体的绩效指标；</w:t>
            </w:r>
            <w:r>
              <w:rPr>
                <w:rFonts w:ascii="宋体" w:eastAsia="宋体" w:hAnsi="宋体" w:cs="宋体" w:hint="eastAsia"/>
                <w:color w:val="000000"/>
                <w:kern w:val="0"/>
                <w:sz w:val="22"/>
                <w:szCs w:val="22"/>
              </w:rPr>
              <w:br/>
              <w:t>②是否通过清晰、可衡量的指标值予以体现；</w:t>
            </w:r>
            <w:r>
              <w:rPr>
                <w:rFonts w:ascii="宋体" w:eastAsia="宋体" w:hAnsi="宋体" w:cs="宋体" w:hint="eastAsia"/>
                <w:color w:val="000000"/>
                <w:kern w:val="0"/>
                <w:sz w:val="22"/>
                <w:szCs w:val="22"/>
              </w:rPr>
              <w:br/>
              <w:t>③是否与项目目标任务数或计划数相对应。</w:t>
            </w:r>
            <w:r>
              <w:rPr>
                <w:rFonts w:ascii="宋体" w:eastAsia="宋体" w:hAnsi="宋体" w:cs="宋体" w:hint="eastAsia"/>
                <w:color w:val="000000"/>
                <w:kern w:val="0"/>
                <w:sz w:val="22"/>
                <w:szCs w:val="22"/>
              </w:rPr>
              <w:br/>
            </w:r>
          </w:p>
        </w:tc>
        <w:tc>
          <w:tcPr>
            <w:tcW w:w="841" w:type="dxa"/>
            <w:gridSpan w:val="2"/>
            <w:tcBorders>
              <w:top w:val="single" w:sz="4" w:space="0" w:color="auto"/>
              <w:bottom w:val="single" w:sz="4" w:space="0" w:color="auto"/>
              <w:right w:val="single" w:sz="4" w:space="0" w:color="auto"/>
            </w:tcBorders>
            <w:shd w:val="clear" w:color="auto" w:fill="auto"/>
          </w:tcPr>
          <w:p w:rsidR="00A50951" w:rsidRDefault="005D4970">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A50951" w:rsidRDefault="0033581B">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A50951">
        <w:trPr>
          <w:gridAfter w:val="1"/>
          <w:wAfter w:w="11" w:type="dxa"/>
          <w:trHeight w:val="1942"/>
          <w:jc w:val="center"/>
        </w:trPr>
        <w:tc>
          <w:tcPr>
            <w:tcW w:w="763" w:type="dxa"/>
            <w:vMerge/>
            <w:tcBorders>
              <w:tl2br w:val="nil"/>
              <w:tr2bl w:val="nil"/>
            </w:tcBorders>
            <w:shd w:val="clear" w:color="auto" w:fill="FFFFFF"/>
            <w:vAlign w:val="center"/>
          </w:tcPr>
          <w:p w:rsidR="00A50951" w:rsidRDefault="00A50951">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A50951" w:rsidRDefault="005D497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资金投入（5）</w:t>
            </w:r>
          </w:p>
          <w:p w:rsidR="00A50951" w:rsidRDefault="005D4970">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A50951" w:rsidRDefault="005D497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预算编制</w:t>
            </w:r>
          </w:p>
          <w:p w:rsidR="00A50951" w:rsidRDefault="005D497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科学性</w:t>
            </w:r>
          </w:p>
        </w:tc>
        <w:tc>
          <w:tcPr>
            <w:tcW w:w="2789" w:type="dxa"/>
            <w:tcBorders>
              <w:tl2br w:val="nil"/>
              <w:tr2bl w:val="nil"/>
            </w:tcBorders>
            <w:shd w:val="clear" w:color="auto" w:fill="FFFFFF"/>
            <w:vAlign w:val="center"/>
          </w:tcPr>
          <w:p w:rsidR="00A50951" w:rsidRDefault="005D4970">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rsidR="00A50951" w:rsidRDefault="005D4970">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①预算编制是否经过科学论证；</w:t>
            </w:r>
            <w:r>
              <w:rPr>
                <w:rFonts w:ascii="宋体" w:eastAsia="宋体" w:hAnsi="宋体" w:cs="宋体" w:hint="eastAsia"/>
                <w:color w:val="000000"/>
                <w:kern w:val="0"/>
                <w:sz w:val="22"/>
                <w:szCs w:val="22"/>
              </w:rPr>
              <w:br/>
              <w:t>②预算内容与项目内容是否匹配；</w:t>
            </w:r>
            <w:r>
              <w:rPr>
                <w:rFonts w:ascii="宋体" w:eastAsia="宋体" w:hAnsi="宋体" w:cs="宋体" w:hint="eastAsia"/>
                <w:color w:val="000000"/>
                <w:kern w:val="0"/>
                <w:sz w:val="22"/>
                <w:szCs w:val="22"/>
              </w:rPr>
              <w:br/>
              <w:t>③预算额度测算依据是否充分，是否按照标准编制；</w:t>
            </w:r>
            <w:r>
              <w:rPr>
                <w:rFonts w:ascii="宋体" w:eastAsia="宋体" w:hAnsi="宋体" w:cs="宋体" w:hint="eastAsia"/>
                <w:color w:val="000000"/>
                <w:kern w:val="0"/>
                <w:sz w:val="22"/>
                <w:szCs w:val="22"/>
              </w:rPr>
              <w:br/>
              <w:t>④预算确定的项目投资额或资金量是否与工作任务相匹配。</w:t>
            </w:r>
          </w:p>
        </w:tc>
        <w:tc>
          <w:tcPr>
            <w:tcW w:w="841" w:type="dxa"/>
            <w:gridSpan w:val="2"/>
            <w:tcBorders>
              <w:top w:val="single" w:sz="4" w:space="0" w:color="auto"/>
              <w:bottom w:val="single" w:sz="4" w:space="0" w:color="auto"/>
              <w:right w:val="single" w:sz="4" w:space="0" w:color="auto"/>
            </w:tcBorders>
            <w:shd w:val="clear" w:color="auto" w:fill="auto"/>
          </w:tcPr>
          <w:p w:rsidR="00A50951" w:rsidRDefault="005D4970">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A50951" w:rsidRDefault="0033581B">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A50951">
        <w:trPr>
          <w:gridAfter w:val="1"/>
          <w:wAfter w:w="11" w:type="dxa"/>
          <w:trHeight w:val="1706"/>
          <w:jc w:val="center"/>
        </w:trPr>
        <w:tc>
          <w:tcPr>
            <w:tcW w:w="763" w:type="dxa"/>
            <w:vMerge/>
            <w:tcBorders>
              <w:tl2br w:val="nil"/>
              <w:tr2bl w:val="nil"/>
            </w:tcBorders>
            <w:shd w:val="clear" w:color="auto" w:fill="FFFFFF"/>
            <w:vAlign w:val="center"/>
          </w:tcPr>
          <w:p w:rsidR="00A50951" w:rsidRDefault="00A50951">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A50951" w:rsidRDefault="00A50951">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A50951" w:rsidRDefault="005D497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资金分配</w:t>
            </w:r>
          </w:p>
          <w:p w:rsidR="00A50951" w:rsidRDefault="005D497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auto" w:fill="FFFFFF"/>
            <w:vAlign w:val="center"/>
          </w:tcPr>
          <w:p w:rsidR="00A50951" w:rsidRDefault="005D4970">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sz="4" w:space="0" w:color="auto"/>
              <w:tl2br w:val="nil"/>
              <w:tr2bl w:val="nil"/>
            </w:tcBorders>
            <w:shd w:val="clear" w:color="auto" w:fill="FFFFFF"/>
            <w:vAlign w:val="center"/>
          </w:tcPr>
          <w:p w:rsidR="00A50951" w:rsidRDefault="005D4970">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①预算资金分配依据是否充分；</w:t>
            </w:r>
            <w:r>
              <w:rPr>
                <w:rFonts w:ascii="宋体" w:eastAsia="宋体" w:hAnsi="宋体" w:cs="宋体" w:hint="eastAsia"/>
                <w:color w:val="000000"/>
                <w:kern w:val="0"/>
                <w:sz w:val="22"/>
                <w:szCs w:val="22"/>
              </w:rPr>
              <w:br/>
              <w:t>②资金分配额度是否合理，与项目单位或地方实际是否相适应。</w:t>
            </w:r>
          </w:p>
        </w:tc>
        <w:tc>
          <w:tcPr>
            <w:tcW w:w="841" w:type="dxa"/>
            <w:gridSpan w:val="2"/>
            <w:tcBorders>
              <w:top w:val="single" w:sz="4" w:space="0" w:color="auto"/>
              <w:bottom w:val="single" w:sz="4" w:space="0" w:color="auto"/>
              <w:right w:val="single" w:sz="4" w:space="0" w:color="auto"/>
            </w:tcBorders>
            <w:shd w:val="clear" w:color="auto" w:fill="auto"/>
          </w:tcPr>
          <w:p w:rsidR="00A50951" w:rsidRDefault="005D4970">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A50951" w:rsidRDefault="0033581B">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A50951">
        <w:trPr>
          <w:gridAfter w:val="1"/>
          <w:wAfter w:w="11" w:type="dxa"/>
          <w:trHeight w:val="1415"/>
          <w:jc w:val="center"/>
        </w:trPr>
        <w:tc>
          <w:tcPr>
            <w:tcW w:w="763" w:type="dxa"/>
            <w:vMerge w:val="restart"/>
            <w:tcBorders>
              <w:tl2br w:val="nil"/>
              <w:tr2bl w:val="nil"/>
            </w:tcBorders>
            <w:shd w:val="clear" w:color="auto" w:fill="FFFFFF"/>
            <w:vAlign w:val="center"/>
          </w:tcPr>
          <w:p w:rsidR="00A50951" w:rsidRDefault="005D4970">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过程（20分）</w:t>
            </w:r>
          </w:p>
        </w:tc>
        <w:tc>
          <w:tcPr>
            <w:tcW w:w="1297" w:type="dxa"/>
            <w:vMerge w:val="restart"/>
            <w:tcBorders>
              <w:tl2br w:val="nil"/>
              <w:tr2bl w:val="nil"/>
            </w:tcBorders>
            <w:shd w:val="clear" w:color="auto" w:fill="FFFFFF"/>
            <w:vAlign w:val="center"/>
          </w:tcPr>
          <w:p w:rsidR="00A50951" w:rsidRDefault="005D497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资金管理（10）</w:t>
            </w:r>
          </w:p>
        </w:tc>
        <w:tc>
          <w:tcPr>
            <w:tcW w:w="1411" w:type="dxa"/>
            <w:tcBorders>
              <w:tl2br w:val="nil"/>
              <w:tr2bl w:val="nil"/>
            </w:tcBorders>
            <w:shd w:val="clear" w:color="auto" w:fill="FFFFFF"/>
            <w:vAlign w:val="center"/>
          </w:tcPr>
          <w:p w:rsidR="00A50951" w:rsidRDefault="005D497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w:t>
            </w:r>
          </w:p>
        </w:tc>
        <w:tc>
          <w:tcPr>
            <w:tcW w:w="2789" w:type="dxa"/>
            <w:tcBorders>
              <w:tl2br w:val="nil"/>
              <w:tr2bl w:val="nil"/>
            </w:tcBorders>
            <w:shd w:val="clear" w:color="000000" w:fill="FFFFFF"/>
            <w:vAlign w:val="center"/>
          </w:tcPr>
          <w:p w:rsidR="00A50951" w:rsidRDefault="005D4970">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rsidR="00A50951" w:rsidRDefault="005D4970">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资金到位率=（实际到位资金/预算资金）×100%。</w:t>
            </w:r>
          </w:p>
          <w:p w:rsidR="00A50951" w:rsidRDefault="005D4970">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实际到位资金：一定时期（本年度或项目期）内落实到具体项目的资金。</w:t>
            </w:r>
          </w:p>
          <w:p w:rsidR="00A50951" w:rsidRDefault="005D4970">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预算资金：一定时期（本年度或项目期）内预算安排到具体项目的资金。</w:t>
            </w:r>
          </w:p>
        </w:tc>
        <w:tc>
          <w:tcPr>
            <w:tcW w:w="841" w:type="dxa"/>
            <w:gridSpan w:val="2"/>
            <w:tcBorders>
              <w:top w:val="single" w:sz="4" w:space="0" w:color="auto"/>
              <w:bottom w:val="single" w:sz="4" w:space="0" w:color="auto"/>
              <w:right w:val="single" w:sz="4" w:space="0" w:color="auto"/>
            </w:tcBorders>
            <w:shd w:val="clear" w:color="auto" w:fill="auto"/>
          </w:tcPr>
          <w:p w:rsidR="00A50951" w:rsidRDefault="005D4970">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A50951" w:rsidRDefault="0033581B">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r>
      <w:tr w:rsidR="00A50951">
        <w:trPr>
          <w:gridAfter w:val="1"/>
          <w:wAfter w:w="11" w:type="dxa"/>
          <w:trHeight w:val="1320"/>
          <w:jc w:val="center"/>
        </w:trPr>
        <w:tc>
          <w:tcPr>
            <w:tcW w:w="763" w:type="dxa"/>
            <w:vMerge/>
            <w:tcBorders>
              <w:tl2br w:val="nil"/>
              <w:tr2bl w:val="nil"/>
            </w:tcBorders>
            <w:shd w:val="clear" w:color="auto" w:fill="FFFFFF"/>
            <w:vAlign w:val="center"/>
          </w:tcPr>
          <w:p w:rsidR="00A50951" w:rsidRDefault="00A50951">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A50951" w:rsidRDefault="00A50951">
            <w:pPr>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A50951" w:rsidRDefault="005D497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w:t>
            </w:r>
          </w:p>
        </w:tc>
        <w:tc>
          <w:tcPr>
            <w:tcW w:w="2789" w:type="dxa"/>
            <w:tcBorders>
              <w:tl2br w:val="nil"/>
              <w:tr2bl w:val="nil"/>
            </w:tcBorders>
            <w:shd w:val="clear" w:color="auto" w:fill="FFFFFF"/>
            <w:vAlign w:val="center"/>
          </w:tcPr>
          <w:p w:rsidR="00A50951" w:rsidRDefault="005D4970">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项目预算资金是否按照计划执行，用以反映或考核项目预算执行情况。</w:t>
            </w:r>
          </w:p>
        </w:tc>
        <w:tc>
          <w:tcPr>
            <w:tcW w:w="7341" w:type="dxa"/>
            <w:tcBorders>
              <w:tl2br w:val="nil"/>
              <w:tr2bl w:val="nil"/>
            </w:tcBorders>
            <w:shd w:val="clear" w:color="auto" w:fill="FFFFFF"/>
            <w:vAlign w:val="center"/>
          </w:tcPr>
          <w:p w:rsidR="00A50951" w:rsidRDefault="005D4970">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预算执行率=（实际支出资金/实际到位资金）×100%。</w:t>
            </w:r>
            <w:r>
              <w:rPr>
                <w:rFonts w:ascii="宋体" w:eastAsia="宋体" w:hAnsi="宋体" w:cs="宋体" w:hint="eastAsia"/>
                <w:color w:val="000000"/>
                <w:kern w:val="0"/>
                <w:sz w:val="22"/>
                <w:szCs w:val="22"/>
              </w:rPr>
              <w:br/>
              <w:t>实际支出资金：一定时期（本年度或项目期）内项目实际拨付的资金。</w:t>
            </w:r>
          </w:p>
        </w:tc>
        <w:tc>
          <w:tcPr>
            <w:tcW w:w="841" w:type="dxa"/>
            <w:gridSpan w:val="2"/>
            <w:tcBorders>
              <w:top w:val="single" w:sz="4" w:space="0" w:color="auto"/>
              <w:bottom w:val="single" w:sz="4" w:space="0" w:color="auto"/>
              <w:right w:val="single" w:sz="4" w:space="0" w:color="auto"/>
            </w:tcBorders>
            <w:shd w:val="clear" w:color="auto" w:fill="auto"/>
          </w:tcPr>
          <w:p w:rsidR="00A50951" w:rsidRDefault="005D4970">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A50951" w:rsidRDefault="0033581B">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A50951">
        <w:trPr>
          <w:gridAfter w:val="2"/>
          <w:wAfter w:w="23" w:type="dxa"/>
          <w:trHeight w:val="2076"/>
          <w:jc w:val="center"/>
        </w:trPr>
        <w:tc>
          <w:tcPr>
            <w:tcW w:w="763" w:type="dxa"/>
            <w:vMerge w:val="restart"/>
            <w:tcBorders>
              <w:tl2br w:val="nil"/>
              <w:tr2bl w:val="nil"/>
            </w:tcBorders>
            <w:shd w:val="clear" w:color="auto" w:fill="FFFFFF"/>
            <w:vAlign w:val="center"/>
          </w:tcPr>
          <w:p w:rsidR="00A50951" w:rsidRDefault="005D497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　</w:t>
            </w:r>
          </w:p>
          <w:p w:rsidR="00A50951" w:rsidRDefault="005D4970">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过程（20分）　</w:t>
            </w:r>
          </w:p>
        </w:tc>
        <w:tc>
          <w:tcPr>
            <w:tcW w:w="1297" w:type="dxa"/>
            <w:tcBorders>
              <w:tl2br w:val="nil"/>
              <w:tr2bl w:val="nil"/>
            </w:tcBorders>
            <w:shd w:val="clear" w:color="auto" w:fill="FFFFFF"/>
            <w:vAlign w:val="center"/>
          </w:tcPr>
          <w:p w:rsidR="00A50951" w:rsidRDefault="005D497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w:t>
            </w:r>
          </w:p>
        </w:tc>
        <w:tc>
          <w:tcPr>
            <w:tcW w:w="1411" w:type="dxa"/>
            <w:tcBorders>
              <w:tl2br w:val="nil"/>
              <w:tr2bl w:val="nil"/>
            </w:tcBorders>
            <w:shd w:val="clear" w:color="auto" w:fill="FFFFFF"/>
            <w:vAlign w:val="center"/>
          </w:tcPr>
          <w:p w:rsidR="00A50951" w:rsidRDefault="005D497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资金使用</w:t>
            </w:r>
          </w:p>
          <w:p w:rsidR="00A50951" w:rsidRDefault="005D497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合规性</w:t>
            </w:r>
          </w:p>
        </w:tc>
        <w:tc>
          <w:tcPr>
            <w:tcW w:w="2789" w:type="dxa"/>
            <w:tcBorders>
              <w:tl2br w:val="nil"/>
              <w:tr2bl w:val="nil"/>
            </w:tcBorders>
            <w:shd w:val="clear" w:color="000000" w:fill="FFFFFF"/>
            <w:vAlign w:val="center"/>
          </w:tcPr>
          <w:p w:rsidR="00A50951" w:rsidRDefault="005D4970">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项目资金使用是否符合相关的财务管理制度规定，用以反映和考核项目资金的规范运行情况。</w:t>
            </w:r>
          </w:p>
        </w:tc>
        <w:tc>
          <w:tcPr>
            <w:tcW w:w="7341" w:type="dxa"/>
            <w:tcBorders>
              <w:bottom w:val="single" w:sz="4" w:space="0" w:color="auto"/>
              <w:tl2br w:val="nil"/>
              <w:tr2bl w:val="nil"/>
            </w:tcBorders>
            <w:shd w:val="clear" w:color="000000" w:fill="FFFFFF"/>
            <w:vAlign w:val="center"/>
          </w:tcPr>
          <w:p w:rsidR="00A50951" w:rsidRDefault="005D4970">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①是否符合国家财经法规和财务管理制度以及有关专项资金管理办法的规定；</w:t>
            </w:r>
            <w:r>
              <w:rPr>
                <w:rFonts w:ascii="宋体" w:eastAsia="宋体" w:hAnsi="宋体" w:cs="宋体" w:hint="eastAsia"/>
                <w:color w:val="000000"/>
                <w:kern w:val="0"/>
                <w:sz w:val="22"/>
                <w:szCs w:val="22"/>
              </w:rPr>
              <w:br/>
              <w:t>②资金的拨付是否有完整的审批程序和手续；</w:t>
            </w:r>
            <w:r>
              <w:rPr>
                <w:rFonts w:ascii="宋体" w:eastAsia="宋体" w:hAnsi="宋体" w:cs="宋体" w:hint="eastAsia"/>
                <w:color w:val="000000"/>
                <w:kern w:val="0"/>
                <w:sz w:val="22"/>
                <w:szCs w:val="22"/>
              </w:rPr>
              <w:br/>
              <w:t>③是否符合项目预算批复或合同规定的用途；</w:t>
            </w:r>
            <w:r>
              <w:rPr>
                <w:rFonts w:ascii="宋体" w:eastAsia="宋体" w:hAnsi="宋体" w:cs="宋体" w:hint="eastAsia"/>
                <w:color w:val="000000"/>
                <w:kern w:val="0"/>
                <w:sz w:val="22"/>
                <w:szCs w:val="22"/>
              </w:rPr>
              <w:br/>
              <w:t>④是否存在截留、挤占、挪用、虚列支出等情况。</w:t>
            </w:r>
          </w:p>
        </w:tc>
        <w:tc>
          <w:tcPr>
            <w:tcW w:w="829" w:type="dxa"/>
            <w:tcBorders>
              <w:top w:val="single" w:sz="4" w:space="0" w:color="auto"/>
              <w:bottom w:val="single" w:sz="4" w:space="0" w:color="auto"/>
              <w:right w:val="single" w:sz="4" w:space="0" w:color="auto"/>
            </w:tcBorders>
            <w:shd w:val="clear" w:color="auto" w:fill="auto"/>
          </w:tcPr>
          <w:p w:rsidR="00A50951" w:rsidRDefault="005D4970">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A50951" w:rsidRDefault="0033581B">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A50951">
        <w:trPr>
          <w:gridAfter w:val="2"/>
          <w:wAfter w:w="23" w:type="dxa"/>
          <w:trHeight w:val="1797"/>
          <w:jc w:val="center"/>
        </w:trPr>
        <w:tc>
          <w:tcPr>
            <w:tcW w:w="763" w:type="dxa"/>
            <w:vMerge/>
            <w:tcBorders>
              <w:tl2br w:val="nil"/>
              <w:tr2bl w:val="nil"/>
            </w:tcBorders>
            <w:shd w:val="clear" w:color="auto" w:fill="FFFFFF"/>
            <w:vAlign w:val="center"/>
          </w:tcPr>
          <w:p w:rsidR="00A50951" w:rsidRDefault="00A50951">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A50951" w:rsidRDefault="005D497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组织实施（10）</w:t>
            </w:r>
          </w:p>
          <w:p w:rsidR="00A50951" w:rsidRDefault="005D4970">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A50951" w:rsidRDefault="005D497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管理制度</w:t>
            </w:r>
          </w:p>
          <w:p w:rsidR="00A50951" w:rsidRDefault="005D497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健全性</w:t>
            </w:r>
          </w:p>
        </w:tc>
        <w:tc>
          <w:tcPr>
            <w:tcW w:w="2789" w:type="dxa"/>
            <w:tcBorders>
              <w:tl2br w:val="nil"/>
              <w:tr2bl w:val="nil"/>
            </w:tcBorders>
            <w:shd w:val="clear" w:color="000000" w:fill="FFFFFF"/>
            <w:vAlign w:val="center"/>
          </w:tcPr>
          <w:p w:rsidR="00A50951" w:rsidRDefault="005D4970">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rsidR="00A50951" w:rsidRDefault="005D4970">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①是否已制定或具有相应的财务和业务管理制度；</w:t>
            </w:r>
            <w:r>
              <w:rPr>
                <w:rFonts w:ascii="宋体" w:eastAsia="宋体" w:hAnsi="宋体" w:cs="宋体" w:hint="eastAsia"/>
                <w:color w:val="000000"/>
                <w:kern w:val="0"/>
                <w:sz w:val="22"/>
                <w:szCs w:val="22"/>
              </w:rPr>
              <w:br/>
              <w:t>②财务和业务管理制度是否合法、合规、完整。</w:t>
            </w:r>
          </w:p>
        </w:tc>
        <w:tc>
          <w:tcPr>
            <w:tcW w:w="829" w:type="dxa"/>
            <w:tcBorders>
              <w:top w:val="single" w:sz="4" w:space="0" w:color="auto"/>
              <w:bottom w:val="single" w:sz="4" w:space="0" w:color="auto"/>
              <w:right w:val="single" w:sz="4" w:space="0" w:color="auto"/>
            </w:tcBorders>
            <w:shd w:val="clear" w:color="auto" w:fill="auto"/>
          </w:tcPr>
          <w:p w:rsidR="00A50951" w:rsidRDefault="005D4970">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A50951" w:rsidRDefault="0033581B">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A50951">
        <w:trPr>
          <w:gridAfter w:val="2"/>
          <w:wAfter w:w="23" w:type="dxa"/>
          <w:trHeight w:val="1769"/>
          <w:jc w:val="center"/>
        </w:trPr>
        <w:tc>
          <w:tcPr>
            <w:tcW w:w="763" w:type="dxa"/>
            <w:vMerge/>
            <w:tcBorders>
              <w:tl2br w:val="nil"/>
              <w:tr2bl w:val="nil"/>
            </w:tcBorders>
            <w:shd w:val="clear" w:color="auto" w:fill="FFFFFF"/>
            <w:vAlign w:val="center"/>
          </w:tcPr>
          <w:p w:rsidR="00A50951" w:rsidRDefault="00A50951">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A50951" w:rsidRDefault="00A50951">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A50951" w:rsidRDefault="005D497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制度执行</w:t>
            </w:r>
          </w:p>
          <w:p w:rsidR="00A50951" w:rsidRDefault="005D497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有效性</w:t>
            </w:r>
          </w:p>
        </w:tc>
        <w:tc>
          <w:tcPr>
            <w:tcW w:w="2789" w:type="dxa"/>
            <w:tcBorders>
              <w:tl2br w:val="nil"/>
              <w:tr2bl w:val="nil"/>
            </w:tcBorders>
            <w:shd w:val="clear" w:color="000000" w:fill="FFFFFF"/>
            <w:vAlign w:val="center"/>
          </w:tcPr>
          <w:p w:rsidR="00A50951" w:rsidRDefault="005D4970">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rsidR="00A50951" w:rsidRDefault="005D4970">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①是否遵守相关法律法规和相关管理规定；</w:t>
            </w:r>
            <w:r>
              <w:rPr>
                <w:rFonts w:ascii="宋体" w:eastAsia="宋体" w:hAnsi="宋体" w:cs="宋体" w:hint="eastAsia"/>
                <w:color w:val="000000"/>
                <w:kern w:val="0"/>
                <w:sz w:val="22"/>
                <w:szCs w:val="22"/>
              </w:rPr>
              <w:br/>
              <w:t>②项目调整及支出调整手续是否完备；</w:t>
            </w:r>
            <w:r>
              <w:rPr>
                <w:rFonts w:ascii="宋体" w:eastAsia="宋体" w:hAnsi="宋体" w:cs="宋体" w:hint="eastAsia"/>
                <w:color w:val="000000"/>
                <w:kern w:val="0"/>
                <w:sz w:val="22"/>
                <w:szCs w:val="22"/>
              </w:rPr>
              <w:br/>
              <w:t>③项目合同书、验收报告、技术鉴定等资料是否齐全并及时归档；</w:t>
            </w:r>
            <w:r>
              <w:rPr>
                <w:rFonts w:ascii="宋体" w:eastAsia="宋体" w:hAnsi="宋体" w:cs="宋体" w:hint="eastAsia"/>
                <w:color w:val="000000"/>
                <w:kern w:val="0"/>
                <w:sz w:val="22"/>
                <w:szCs w:val="22"/>
              </w:rPr>
              <w:br/>
              <w:t>④项目实施的人员条件、场地设备、信息支撑等是否落实到位。</w:t>
            </w:r>
          </w:p>
        </w:tc>
        <w:tc>
          <w:tcPr>
            <w:tcW w:w="829" w:type="dxa"/>
            <w:tcBorders>
              <w:top w:val="single" w:sz="4" w:space="0" w:color="auto"/>
              <w:bottom w:val="single" w:sz="4" w:space="0" w:color="auto"/>
              <w:right w:val="single" w:sz="4" w:space="0" w:color="auto"/>
            </w:tcBorders>
            <w:shd w:val="clear" w:color="auto" w:fill="auto"/>
          </w:tcPr>
          <w:p w:rsidR="00A50951" w:rsidRDefault="005D4970">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A50951" w:rsidRDefault="0033581B">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A50951">
        <w:trPr>
          <w:gridAfter w:val="2"/>
          <w:wAfter w:w="23" w:type="dxa"/>
          <w:trHeight w:val="1917"/>
          <w:jc w:val="center"/>
        </w:trPr>
        <w:tc>
          <w:tcPr>
            <w:tcW w:w="763" w:type="dxa"/>
            <w:tcBorders>
              <w:tl2br w:val="nil"/>
              <w:tr2bl w:val="nil"/>
            </w:tcBorders>
            <w:shd w:val="clear" w:color="auto" w:fill="FFFFFF"/>
            <w:vAlign w:val="center"/>
          </w:tcPr>
          <w:p w:rsidR="00A50951" w:rsidRDefault="005D497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产出（30分）</w:t>
            </w:r>
          </w:p>
        </w:tc>
        <w:tc>
          <w:tcPr>
            <w:tcW w:w="1297" w:type="dxa"/>
            <w:tcBorders>
              <w:tl2br w:val="nil"/>
              <w:tr2bl w:val="nil"/>
            </w:tcBorders>
            <w:shd w:val="clear" w:color="auto" w:fill="FFFFFF"/>
            <w:vAlign w:val="center"/>
          </w:tcPr>
          <w:p w:rsidR="00A50951" w:rsidRDefault="005D497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产出数量（10分）</w:t>
            </w:r>
          </w:p>
        </w:tc>
        <w:tc>
          <w:tcPr>
            <w:tcW w:w="1411" w:type="dxa"/>
            <w:tcBorders>
              <w:tl2br w:val="nil"/>
              <w:tr2bl w:val="nil"/>
            </w:tcBorders>
            <w:shd w:val="clear" w:color="auto" w:fill="FFFFFF"/>
            <w:vAlign w:val="center"/>
          </w:tcPr>
          <w:p w:rsidR="00A50951" w:rsidRDefault="005D497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w:t>
            </w:r>
          </w:p>
        </w:tc>
        <w:tc>
          <w:tcPr>
            <w:tcW w:w="2789" w:type="dxa"/>
            <w:tcBorders>
              <w:tl2br w:val="nil"/>
              <w:tr2bl w:val="nil"/>
            </w:tcBorders>
            <w:shd w:val="clear" w:color="000000" w:fill="FFFFFF"/>
            <w:vAlign w:val="center"/>
          </w:tcPr>
          <w:p w:rsidR="00A50951" w:rsidRDefault="005D4970">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rsidR="00A50951" w:rsidRDefault="005D4970">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实际完成率=（实际产出数/计划产出数）×100%。</w:t>
            </w:r>
            <w:r>
              <w:rPr>
                <w:rFonts w:ascii="宋体" w:eastAsia="宋体" w:hAnsi="宋体" w:cs="宋体" w:hint="eastAsia"/>
                <w:color w:val="000000"/>
                <w:kern w:val="0"/>
                <w:sz w:val="22"/>
                <w:szCs w:val="22"/>
              </w:rPr>
              <w:br/>
              <w:t>实际产出数：一定时期（本年度或项目期）内项目实际产出的产品或提供的服务数量。</w:t>
            </w:r>
            <w:r>
              <w:rPr>
                <w:rFonts w:ascii="宋体" w:eastAsia="宋体" w:hAnsi="宋体" w:cs="宋体" w:hint="eastAsia"/>
                <w:color w:val="000000"/>
                <w:kern w:val="0"/>
                <w:sz w:val="22"/>
                <w:szCs w:val="22"/>
              </w:rPr>
              <w:br/>
              <w:t>计划产出数：项目绩效目标确定的在一定时期（本年度或项目期）内计划产出的产品或提供的服务数量。</w:t>
            </w:r>
          </w:p>
        </w:tc>
        <w:tc>
          <w:tcPr>
            <w:tcW w:w="829" w:type="dxa"/>
            <w:tcBorders>
              <w:top w:val="single" w:sz="4" w:space="0" w:color="auto"/>
              <w:bottom w:val="single" w:sz="4" w:space="0" w:color="auto"/>
              <w:right w:val="single" w:sz="4" w:space="0" w:color="auto"/>
            </w:tcBorders>
            <w:shd w:val="clear" w:color="auto" w:fill="auto"/>
          </w:tcPr>
          <w:p w:rsidR="00A50951" w:rsidRDefault="005D4970">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A50951" w:rsidRDefault="0033581B">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A50951" w:rsidTr="0033581B">
        <w:trPr>
          <w:trHeight w:val="1558"/>
          <w:jc w:val="center"/>
        </w:trPr>
        <w:tc>
          <w:tcPr>
            <w:tcW w:w="763" w:type="dxa"/>
            <w:vMerge w:val="restart"/>
            <w:tcBorders>
              <w:tl2br w:val="nil"/>
              <w:tr2bl w:val="nil"/>
            </w:tcBorders>
            <w:shd w:val="clear" w:color="auto" w:fill="FFFFFF"/>
            <w:vAlign w:val="center"/>
          </w:tcPr>
          <w:p w:rsidR="00A50951" w:rsidRDefault="005D497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产出（30分）</w:t>
            </w:r>
          </w:p>
        </w:tc>
        <w:tc>
          <w:tcPr>
            <w:tcW w:w="1297" w:type="dxa"/>
            <w:tcBorders>
              <w:tl2br w:val="nil"/>
              <w:tr2bl w:val="nil"/>
            </w:tcBorders>
            <w:shd w:val="clear" w:color="auto" w:fill="FFFFFF"/>
            <w:vAlign w:val="center"/>
          </w:tcPr>
          <w:p w:rsidR="00A50951" w:rsidRDefault="005D497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产出质量（10分）</w:t>
            </w:r>
          </w:p>
        </w:tc>
        <w:tc>
          <w:tcPr>
            <w:tcW w:w="1411" w:type="dxa"/>
            <w:tcBorders>
              <w:tl2br w:val="nil"/>
              <w:tr2bl w:val="nil"/>
            </w:tcBorders>
            <w:shd w:val="clear" w:color="auto" w:fill="FFFFFF"/>
            <w:vAlign w:val="center"/>
          </w:tcPr>
          <w:p w:rsidR="00A50951" w:rsidRDefault="005D497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w:t>
            </w:r>
          </w:p>
        </w:tc>
        <w:tc>
          <w:tcPr>
            <w:tcW w:w="2789" w:type="dxa"/>
            <w:tcBorders>
              <w:tl2br w:val="nil"/>
              <w:tr2bl w:val="nil"/>
            </w:tcBorders>
            <w:shd w:val="clear" w:color="000000" w:fill="FFFFFF"/>
            <w:vAlign w:val="center"/>
          </w:tcPr>
          <w:p w:rsidR="00A50951" w:rsidRDefault="005D4970">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项目完成的质量达标产出数与实际产出数的比率，用以反映和考核项目产出质量目标的实现程度。</w:t>
            </w:r>
          </w:p>
        </w:tc>
        <w:tc>
          <w:tcPr>
            <w:tcW w:w="7341" w:type="dxa"/>
            <w:tcBorders>
              <w:bottom w:val="single" w:sz="4" w:space="0" w:color="auto"/>
              <w:tl2br w:val="nil"/>
              <w:tr2bl w:val="nil"/>
            </w:tcBorders>
            <w:shd w:val="clear" w:color="000000" w:fill="FFFFFF"/>
            <w:vAlign w:val="center"/>
          </w:tcPr>
          <w:p w:rsidR="00A50951" w:rsidRDefault="005D4970">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质量达标率=（质量达标产出数/实际产出数）×100%。</w:t>
            </w:r>
          </w:p>
          <w:p w:rsidR="00A50951" w:rsidRDefault="005D4970">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sz="4" w:space="0" w:color="auto"/>
              <w:bottom w:val="single" w:sz="4" w:space="0" w:color="auto"/>
              <w:right w:val="single" w:sz="4" w:space="0" w:color="auto"/>
            </w:tcBorders>
            <w:shd w:val="clear" w:color="auto" w:fill="auto"/>
          </w:tcPr>
          <w:p w:rsidR="00A50951" w:rsidRDefault="005D4970">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A50951" w:rsidRDefault="0033581B">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A50951" w:rsidTr="0033581B">
        <w:trPr>
          <w:trHeight w:val="1242"/>
          <w:jc w:val="center"/>
        </w:trPr>
        <w:tc>
          <w:tcPr>
            <w:tcW w:w="763" w:type="dxa"/>
            <w:vMerge/>
            <w:tcBorders>
              <w:tl2br w:val="nil"/>
              <w:tr2bl w:val="nil"/>
            </w:tcBorders>
            <w:shd w:val="clear" w:color="auto" w:fill="FFFFFF"/>
            <w:vAlign w:val="center"/>
          </w:tcPr>
          <w:p w:rsidR="00A50951" w:rsidRDefault="00A50951">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A50951" w:rsidRDefault="005D4970">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产出时效（5分）</w:t>
            </w:r>
          </w:p>
        </w:tc>
        <w:tc>
          <w:tcPr>
            <w:tcW w:w="1411" w:type="dxa"/>
            <w:tcBorders>
              <w:tl2br w:val="nil"/>
              <w:tr2bl w:val="nil"/>
            </w:tcBorders>
            <w:shd w:val="clear" w:color="auto" w:fill="FFFFFF"/>
            <w:vAlign w:val="center"/>
          </w:tcPr>
          <w:p w:rsidR="00A50951" w:rsidRDefault="005D497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完成及时性</w:t>
            </w:r>
          </w:p>
        </w:tc>
        <w:tc>
          <w:tcPr>
            <w:tcW w:w="2789" w:type="dxa"/>
            <w:tcBorders>
              <w:tl2br w:val="nil"/>
              <w:tr2bl w:val="nil"/>
            </w:tcBorders>
            <w:shd w:val="clear" w:color="000000" w:fill="FFFFFF"/>
            <w:vAlign w:val="center"/>
          </w:tcPr>
          <w:p w:rsidR="00A50951" w:rsidRDefault="005D4970">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rsidR="00A50951" w:rsidRDefault="005D4970">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实际完成时间：项目实施单位完成该项目实际所耗用的时间。</w:t>
            </w:r>
            <w:r>
              <w:rPr>
                <w:rFonts w:ascii="宋体" w:eastAsia="宋体" w:hAnsi="宋体" w:cs="宋体" w:hint="eastAsia"/>
                <w:color w:val="000000"/>
                <w:kern w:val="0"/>
                <w:sz w:val="22"/>
                <w:szCs w:val="22"/>
              </w:rPr>
              <w:br/>
              <w:t>计划完成时间：按照项目实施计划或相关规定完成该项目所需的时间。</w:t>
            </w:r>
          </w:p>
        </w:tc>
        <w:tc>
          <w:tcPr>
            <w:tcW w:w="852" w:type="dxa"/>
            <w:gridSpan w:val="3"/>
            <w:tcBorders>
              <w:top w:val="single" w:sz="4" w:space="0" w:color="auto"/>
              <w:bottom w:val="single" w:sz="4" w:space="0" w:color="auto"/>
              <w:right w:val="single" w:sz="4" w:space="0" w:color="auto"/>
            </w:tcBorders>
            <w:shd w:val="clear" w:color="auto" w:fill="auto"/>
          </w:tcPr>
          <w:p w:rsidR="00A50951" w:rsidRDefault="005D4970">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A50951" w:rsidRDefault="0033581B">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A50951" w:rsidTr="0033581B">
        <w:trPr>
          <w:trHeight w:val="1703"/>
          <w:jc w:val="center"/>
        </w:trPr>
        <w:tc>
          <w:tcPr>
            <w:tcW w:w="763" w:type="dxa"/>
            <w:vMerge/>
            <w:tcBorders>
              <w:tl2br w:val="nil"/>
              <w:tr2bl w:val="nil"/>
            </w:tcBorders>
            <w:shd w:val="clear" w:color="auto" w:fill="FFFFFF"/>
            <w:vAlign w:val="center"/>
          </w:tcPr>
          <w:p w:rsidR="00A50951" w:rsidRDefault="00A50951">
            <w:pPr>
              <w:widowControl/>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A50951" w:rsidRDefault="005D497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产出成本（5分）</w:t>
            </w:r>
          </w:p>
        </w:tc>
        <w:tc>
          <w:tcPr>
            <w:tcW w:w="1411" w:type="dxa"/>
            <w:tcBorders>
              <w:tl2br w:val="nil"/>
              <w:tr2bl w:val="nil"/>
            </w:tcBorders>
            <w:shd w:val="clear" w:color="auto" w:fill="FFFFFF"/>
            <w:vAlign w:val="center"/>
          </w:tcPr>
          <w:p w:rsidR="00A50951" w:rsidRDefault="005D497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成本节约率</w:t>
            </w:r>
          </w:p>
        </w:tc>
        <w:tc>
          <w:tcPr>
            <w:tcW w:w="2789" w:type="dxa"/>
            <w:tcBorders>
              <w:tl2br w:val="nil"/>
              <w:tr2bl w:val="nil"/>
            </w:tcBorders>
            <w:shd w:val="clear" w:color="000000" w:fill="FFFFFF"/>
            <w:vAlign w:val="center"/>
          </w:tcPr>
          <w:p w:rsidR="00A50951" w:rsidRDefault="005D4970">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rsidR="00A50951" w:rsidRDefault="005D4970">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br/>
              <w:t>成本节约率=[（计划成本-实际成本）/计划成本]×100%。</w:t>
            </w:r>
            <w:r>
              <w:rPr>
                <w:rFonts w:ascii="宋体" w:eastAsia="宋体" w:hAnsi="宋体" w:cs="宋体" w:hint="eastAsia"/>
                <w:color w:val="000000"/>
                <w:kern w:val="0"/>
                <w:sz w:val="22"/>
                <w:szCs w:val="22"/>
              </w:rPr>
              <w:br/>
              <w:t>实际成本：项目实施单位如期、保质、保量完成既定工作目标实际所耗费的支出。</w:t>
            </w:r>
            <w:r>
              <w:rPr>
                <w:rFonts w:ascii="宋体" w:eastAsia="宋体" w:hAnsi="宋体" w:cs="宋体" w:hint="eastAsia"/>
                <w:color w:val="000000"/>
                <w:kern w:val="0"/>
                <w:sz w:val="22"/>
                <w:szCs w:val="22"/>
              </w:rPr>
              <w:br/>
              <w:t>计划成本：项目实施单位为完成工作目标计划安排的支出，一般以项目预算为参考。</w:t>
            </w:r>
          </w:p>
        </w:tc>
        <w:tc>
          <w:tcPr>
            <w:tcW w:w="852" w:type="dxa"/>
            <w:gridSpan w:val="3"/>
            <w:tcBorders>
              <w:top w:val="single" w:sz="4" w:space="0" w:color="auto"/>
              <w:bottom w:val="single" w:sz="4" w:space="0" w:color="auto"/>
              <w:right w:val="single" w:sz="4" w:space="0" w:color="auto"/>
            </w:tcBorders>
            <w:shd w:val="clear" w:color="auto" w:fill="auto"/>
          </w:tcPr>
          <w:p w:rsidR="00A50951" w:rsidRDefault="005D4970">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A50951" w:rsidRDefault="0033581B">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A50951">
        <w:trPr>
          <w:trHeight w:val="889"/>
          <w:jc w:val="center"/>
        </w:trPr>
        <w:tc>
          <w:tcPr>
            <w:tcW w:w="763" w:type="dxa"/>
            <w:vMerge w:val="restart"/>
            <w:tcBorders>
              <w:tl2br w:val="nil"/>
              <w:tr2bl w:val="nil"/>
            </w:tcBorders>
            <w:shd w:val="clear" w:color="auto" w:fill="FFFFFF"/>
            <w:vAlign w:val="center"/>
          </w:tcPr>
          <w:p w:rsidR="00A50951" w:rsidRDefault="005D497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效益（30分）　</w:t>
            </w:r>
          </w:p>
        </w:tc>
        <w:tc>
          <w:tcPr>
            <w:tcW w:w="1297" w:type="dxa"/>
            <w:vMerge w:val="restart"/>
            <w:tcBorders>
              <w:tl2br w:val="nil"/>
              <w:tr2bl w:val="nil"/>
            </w:tcBorders>
            <w:shd w:val="clear" w:color="auto" w:fill="FFFFFF"/>
            <w:vAlign w:val="center"/>
          </w:tcPr>
          <w:p w:rsidR="00A50951" w:rsidRDefault="005D497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项目效益（30分）　</w:t>
            </w:r>
          </w:p>
        </w:tc>
        <w:tc>
          <w:tcPr>
            <w:tcW w:w="1411" w:type="dxa"/>
            <w:tcBorders>
              <w:tl2br w:val="nil"/>
              <w:tr2bl w:val="nil"/>
            </w:tcBorders>
            <w:shd w:val="clear" w:color="auto" w:fill="FFFFFF"/>
            <w:vAlign w:val="center"/>
          </w:tcPr>
          <w:p w:rsidR="00A50951" w:rsidRDefault="005D497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实施效益</w:t>
            </w:r>
          </w:p>
        </w:tc>
        <w:tc>
          <w:tcPr>
            <w:tcW w:w="2789" w:type="dxa"/>
            <w:tcBorders>
              <w:tl2br w:val="nil"/>
              <w:tr2bl w:val="nil"/>
            </w:tcBorders>
            <w:shd w:val="clear" w:color="auto" w:fill="FFFFFF"/>
            <w:vAlign w:val="center"/>
          </w:tcPr>
          <w:p w:rsidR="00A50951" w:rsidRDefault="005D4970">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项目实施所产生的效益。</w:t>
            </w:r>
          </w:p>
        </w:tc>
        <w:tc>
          <w:tcPr>
            <w:tcW w:w="7341" w:type="dxa"/>
            <w:tcBorders>
              <w:tl2br w:val="nil"/>
              <w:tr2bl w:val="nil"/>
            </w:tcBorders>
            <w:shd w:val="clear" w:color="auto" w:fill="FFFFFF"/>
            <w:vAlign w:val="center"/>
          </w:tcPr>
          <w:p w:rsidR="00A50951" w:rsidRDefault="005D4970">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sz="4" w:space="0" w:color="auto"/>
              <w:bottom w:val="single" w:sz="4" w:space="0" w:color="auto"/>
              <w:right w:val="single" w:sz="4" w:space="0" w:color="auto"/>
            </w:tcBorders>
            <w:shd w:val="clear" w:color="auto" w:fill="auto"/>
          </w:tcPr>
          <w:p w:rsidR="00A50951" w:rsidRDefault="005D4970">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A50951" w:rsidRDefault="0033581B">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20</w:t>
            </w:r>
          </w:p>
        </w:tc>
      </w:tr>
      <w:tr w:rsidR="00A50951" w:rsidTr="0033581B">
        <w:trPr>
          <w:trHeight w:val="824"/>
          <w:jc w:val="center"/>
        </w:trPr>
        <w:tc>
          <w:tcPr>
            <w:tcW w:w="763" w:type="dxa"/>
            <w:vMerge/>
            <w:tcBorders>
              <w:tl2br w:val="nil"/>
              <w:tr2bl w:val="nil"/>
            </w:tcBorders>
            <w:shd w:val="clear" w:color="auto" w:fill="FFFFFF"/>
            <w:vAlign w:val="center"/>
          </w:tcPr>
          <w:p w:rsidR="00A50951" w:rsidRDefault="00A50951">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A50951" w:rsidRDefault="00A50951">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A50951" w:rsidRDefault="005D497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满意度</w:t>
            </w:r>
          </w:p>
        </w:tc>
        <w:tc>
          <w:tcPr>
            <w:tcW w:w="2789" w:type="dxa"/>
            <w:tcBorders>
              <w:tl2br w:val="nil"/>
              <w:tr2bl w:val="nil"/>
            </w:tcBorders>
            <w:shd w:val="clear" w:color="000000" w:fill="FFFFFF"/>
            <w:vAlign w:val="center"/>
          </w:tcPr>
          <w:p w:rsidR="00A50951" w:rsidRDefault="005D4970">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社会公众或服务对象对项目实施效果的满意程度。</w:t>
            </w:r>
          </w:p>
        </w:tc>
        <w:tc>
          <w:tcPr>
            <w:tcW w:w="7341" w:type="dxa"/>
            <w:tcBorders>
              <w:tl2br w:val="nil"/>
              <w:tr2bl w:val="nil"/>
            </w:tcBorders>
            <w:shd w:val="clear" w:color="000000" w:fill="FFFFFF"/>
            <w:vAlign w:val="center"/>
          </w:tcPr>
          <w:p w:rsidR="00A50951" w:rsidRDefault="005D4970">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社会公众或服务对象是指因该项目实施而受到影响的部门（单位）、群体或个人。一般采取社会调查的方式。</w:t>
            </w:r>
          </w:p>
        </w:tc>
        <w:tc>
          <w:tcPr>
            <w:tcW w:w="852" w:type="dxa"/>
            <w:gridSpan w:val="3"/>
            <w:tcBorders>
              <w:top w:val="single" w:sz="4" w:space="0" w:color="auto"/>
              <w:bottom w:val="single" w:sz="4" w:space="0" w:color="auto"/>
              <w:right w:val="single" w:sz="4" w:space="0" w:color="auto"/>
            </w:tcBorders>
            <w:shd w:val="clear" w:color="auto" w:fill="auto"/>
          </w:tcPr>
          <w:p w:rsidR="00A50951" w:rsidRDefault="005D4970">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A50951" w:rsidRDefault="0033581B">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33581B" w:rsidTr="009E3919">
        <w:trPr>
          <w:trHeight w:val="824"/>
          <w:jc w:val="center"/>
        </w:trPr>
        <w:tc>
          <w:tcPr>
            <w:tcW w:w="13601" w:type="dxa"/>
            <w:gridSpan w:val="5"/>
            <w:tcBorders>
              <w:tl2br w:val="nil"/>
              <w:tr2bl w:val="nil"/>
            </w:tcBorders>
            <w:shd w:val="clear" w:color="auto" w:fill="FFFFFF"/>
            <w:vAlign w:val="center"/>
          </w:tcPr>
          <w:p w:rsidR="0033581B" w:rsidRDefault="0033581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总分</w:t>
            </w:r>
          </w:p>
        </w:tc>
        <w:tc>
          <w:tcPr>
            <w:tcW w:w="852" w:type="dxa"/>
            <w:gridSpan w:val="3"/>
            <w:tcBorders>
              <w:top w:val="single" w:sz="4" w:space="0" w:color="auto"/>
              <w:bottom w:val="single" w:sz="4" w:space="0" w:color="auto"/>
              <w:right w:val="single" w:sz="4" w:space="0" w:color="auto"/>
            </w:tcBorders>
            <w:shd w:val="clear" w:color="auto" w:fill="auto"/>
          </w:tcPr>
          <w:p w:rsidR="0033581B" w:rsidRDefault="0033581B">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33581B" w:rsidRDefault="0033581B">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100</w:t>
            </w:r>
          </w:p>
        </w:tc>
      </w:tr>
    </w:tbl>
    <w:p w:rsidR="00A50951" w:rsidRDefault="00A50951">
      <w:pPr>
        <w:spacing w:line="600" w:lineRule="exact"/>
        <w:rPr>
          <w:rFonts w:ascii="仿宋_GB2312"/>
          <w:bCs/>
          <w:sz w:val="32"/>
          <w:szCs w:val="32"/>
        </w:rPr>
        <w:sectPr w:rsidR="00A50951">
          <w:pgSz w:w="16838" w:h="11906" w:orient="landscape"/>
          <w:pgMar w:top="1531" w:right="1928" w:bottom="1531" w:left="1701" w:header="737" w:footer="851" w:gutter="0"/>
          <w:cols w:space="720"/>
          <w:docGrid w:type="lines" w:linePitch="408"/>
        </w:sectPr>
      </w:pPr>
    </w:p>
    <w:p w:rsidR="00A50951" w:rsidRDefault="00A50951"/>
    <w:sectPr w:rsidR="00A50951" w:rsidSect="00A16E4A">
      <w:pgSz w:w="11906" w:h="16838"/>
      <w:pgMar w:top="1928" w:right="1531" w:bottom="1701" w:left="1531" w:header="737" w:footer="851" w:gutter="0"/>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6D60" w:rsidRDefault="00216D60">
      <w:r>
        <w:separator/>
      </w:r>
    </w:p>
  </w:endnote>
  <w:endnote w:type="continuationSeparator" w:id="1">
    <w:p w:rsidR="00216D60" w:rsidRDefault="00216D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951" w:rsidRDefault="00A16E4A">
    <w:pPr>
      <w:pStyle w:val="a3"/>
      <w:jc w:val="center"/>
    </w:pPr>
    <w:r>
      <w:fldChar w:fldCharType="begin"/>
    </w:r>
    <w:r w:rsidR="005D4970">
      <w:instrText xml:space="preserve"> PAGE   \* MERGEFORMAT </w:instrText>
    </w:r>
    <w:r>
      <w:fldChar w:fldCharType="separate"/>
    </w:r>
    <w:r w:rsidR="00FD4109" w:rsidRPr="00FD4109">
      <w:rPr>
        <w:noProof/>
        <w:lang w:val="zh-CN"/>
      </w:rPr>
      <w:t>1</w:t>
    </w:r>
    <w:r>
      <w:fldChar w:fldCharType="end"/>
    </w:r>
  </w:p>
  <w:p w:rsidR="00A50951" w:rsidRDefault="00A50951">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6D60" w:rsidRDefault="00216D60">
      <w:r>
        <w:separator/>
      </w:r>
    </w:p>
  </w:footnote>
  <w:footnote w:type="continuationSeparator" w:id="1">
    <w:p w:rsidR="00216D60" w:rsidRDefault="00216D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4687F9"/>
    <w:multiLevelType w:val="singleLevel"/>
    <w:tmpl w:val="A34687F9"/>
    <w:lvl w:ilvl="0">
      <w:start w:val="2"/>
      <w:numFmt w:val="chineseCounting"/>
      <w:suff w:val="nothing"/>
      <w:lvlText w:val="（%1）"/>
      <w:lvlJc w:val="left"/>
      <w:rPr>
        <w:rFonts w:hint="eastAsia"/>
      </w:rPr>
    </w:lvl>
  </w:abstractNum>
  <w:abstractNum w:abstractNumId="1">
    <w:nsid w:val="C34E7695"/>
    <w:multiLevelType w:val="singleLevel"/>
    <w:tmpl w:val="C34E7695"/>
    <w:lvl w:ilvl="0">
      <w:start w:val="2"/>
      <w:numFmt w:val="chineseCounting"/>
      <w:suff w:val="nothing"/>
      <w:lvlText w:val="（%1）"/>
      <w:lvlJc w:val="left"/>
      <w:rPr>
        <w:rFonts w:hint="eastAsia"/>
      </w:rPr>
    </w:lvl>
  </w:abstractNum>
  <w:abstractNum w:abstractNumId="2">
    <w:nsid w:val="C5121838"/>
    <w:multiLevelType w:val="singleLevel"/>
    <w:tmpl w:val="C5121838"/>
    <w:lvl w:ilvl="0">
      <w:start w:val="3"/>
      <w:numFmt w:val="chineseCounting"/>
      <w:suff w:val="nothing"/>
      <w:lvlText w:val="%1、"/>
      <w:lvlJc w:val="left"/>
      <w:rPr>
        <w:rFonts w:hint="eastAsia"/>
      </w:rPr>
    </w:lvl>
  </w:abstractNum>
  <w:abstractNum w:abstractNumId="3">
    <w:nsid w:val="18621B24"/>
    <w:multiLevelType w:val="hybridMultilevel"/>
    <w:tmpl w:val="692EA21E"/>
    <w:lvl w:ilvl="0" w:tplc="E55453D4">
      <w:start w:val="1"/>
      <w:numFmt w:val="japaneseCounting"/>
      <w:lvlText w:val="（%1）"/>
      <w:lvlJc w:val="left"/>
      <w:pPr>
        <w:ind w:left="1680" w:hanging="108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4">
    <w:nsid w:val="24C005D0"/>
    <w:multiLevelType w:val="hybridMultilevel"/>
    <w:tmpl w:val="8E4A2238"/>
    <w:lvl w:ilvl="0" w:tplc="AA0659D4">
      <w:start w:val="1"/>
      <w:numFmt w:val="japaneseCounting"/>
      <w:lvlText w:val="%1、"/>
      <w:lvlJc w:val="left"/>
      <w:pPr>
        <w:ind w:left="1320" w:hanging="72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C10B5"/>
    <w:rsid w:val="00033C4C"/>
    <w:rsid w:val="0018238C"/>
    <w:rsid w:val="00216D60"/>
    <w:rsid w:val="00251A9F"/>
    <w:rsid w:val="002D3112"/>
    <w:rsid w:val="0030797F"/>
    <w:rsid w:val="0033581B"/>
    <w:rsid w:val="00383AC4"/>
    <w:rsid w:val="0038773C"/>
    <w:rsid w:val="0040542E"/>
    <w:rsid w:val="004F4C4F"/>
    <w:rsid w:val="005858F5"/>
    <w:rsid w:val="005D4970"/>
    <w:rsid w:val="00700E02"/>
    <w:rsid w:val="00761289"/>
    <w:rsid w:val="0078441B"/>
    <w:rsid w:val="00793C77"/>
    <w:rsid w:val="00831C24"/>
    <w:rsid w:val="00893844"/>
    <w:rsid w:val="008D4A9D"/>
    <w:rsid w:val="00A16E4A"/>
    <w:rsid w:val="00A50951"/>
    <w:rsid w:val="00A96135"/>
    <w:rsid w:val="00B92BE8"/>
    <w:rsid w:val="00C460D9"/>
    <w:rsid w:val="00C470BD"/>
    <w:rsid w:val="00CC10B5"/>
    <w:rsid w:val="00D043E9"/>
    <w:rsid w:val="00E403EF"/>
    <w:rsid w:val="00EA03A9"/>
    <w:rsid w:val="00ED61D9"/>
    <w:rsid w:val="00FA49EB"/>
    <w:rsid w:val="00FB45E1"/>
    <w:rsid w:val="00FD4109"/>
    <w:rsid w:val="00FF11B1"/>
    <w:rsid w:val="0CCC3D45"/>
    <w:rsid w:val="48BD7E6D"/>
    <w:rsid w:val="4B3B551B"/>
    <w:rsid w:val="53893610"/>
    <w:rsid w:val="73E51B2D"/>
    <w:rsid w:val="7CDC6BE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E4A"/>
    <w:pPr>
      <w:widowControl w:val="0"/>
      <w:jc w:val="both"/>
    </w:pPr>
    <w:rPr>
      <w:rFonts w:ascii="Times New Roman" w:eastAsia="仿宋_GB2312" w:hAnsi="Times New Roman"/>
      <w:kern w:val="2"/>
      <w:sz w:val="30"/>
      <w:szCs w:val="24"/>
    </w:rPr>
  </w:style>
  <w:style w:type="paragraph" w:styleId="2">
    <w:name w:val="heading 2"/>
    <w:basedOn w:val="a"/>
    <w:next w:val="a"/>
    <w:link w:val="2Char"/>
    <w:qFormat/>
    <w:rsid w:val="00A16E4A"/>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A16E4A"/>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A16E4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A16E4A"/>
    <w:rPr>
      <w:sz w:val="18"/>
      <w:szCs w:val="18"/>
    </w:rPr>
  </w:style>
  <w:style w:type="character" w:customStyle="1" w:styleId="Char">
    <w:name w:val="页脚 Char"/>
    <w:basedOn w:val="a0"/>
    <w:link w:val="a3"/>
    <w:uiPriority w:val="99"/>
    <w:qFormat/>
    <w:rsid w:val="00A16E4A"/>
    <w:rPr>
      <w:sz w:val="18"/>
      <w:szCs w:val="18"/>
    </w:rPr>
  </w:style>
  <w:style w:type="character" w:customStyle="1" w:styleId="2Char">
    <w:name w:val="标题 2 Char"/>
    <w:basedOn w:val="a0"/>
    <w:link w:val="2"/>
    <w:qFormat/>
    <w:rsid w:val="00A16E4A"/>
    <w:rPr>
      <w:rFonts w:ascii="Arial" w:eastAsia="黑体" w:hAnsi="Arial" w:cs="Times New Roman"/>
      <w:b/>
      <w:sz w:val="32"/>
      <w:szCs w:val="24"/>
    </w:rPr>
  </w:style>
  <w:style w:type="paragraph" w:customStyle="1" w:styleId="-">
    <w:name w:val="闻政-正文段落文字"/>
    <w:basedOn w:val="a"/>
    <w:qFormat/>
    <w:rsid w:val="00A16E4A"/>
    <w:pPr>
      <w:spacing w:line="500" w:lineRule="exact"/>
      <w:ind w:firstLine="200"/>
    </w:pPr>
    <w:rPr>
      <w:kern w:val="0"/>
      <w:szCs w:val="28"/>
    </w:rPr>
  </w:style>
  <w:style w:type="paragraph" w:styleId="a5">
    <w:name w:val="List Paragraph"/>
    <w:basedOn w:val="a"/>
    <w:uiPriority w:val="99"/>
    <w:rsid w:val="00B92BE8"/>
    <w:pPr>
      <w:ind w:firstLineChars="200" w:firstLine="420"/>
    </w:pPr>
  </w:style>
  <w:style w:type="paragraph" w:customStyle="1" w:styleId="-0">
    <w:name w:val="闻政-正文二级标题"/>
    <w:basedOn w:val="2"/>
    <w:next w:val="-"/>
    <w:qFormat/>
    <w:rsid w:val="00B92BE8"/>
    <w:pPr>
      <w:spacing w:before="120" w:after="60" w:line="500" w:lineRule="exact"/>
      <w:ind w:leftChars="200" w:left="200"/>
    </w:pPr>
    <w:rPr>
      <w:rFonts w:ascii="Times New Roman" w:hAnsi="Times New Roman"/>
      <w:sz w:val="2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66D8E9B4-FEFA-445C-BB10-1EECCCF1EB9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15</Pages>
  <Words>1152</Words>
  <Characters>6572</Characters>
  <Application>Microsoft Office Word</Application>
  <DocSecurity>0</DocSecurity>
  <Lines>54</Lines>
  <Paragraphs>15</Paragraphs>
  <ScaleCrop>false</ScaleCrop>
  <Company/>
  <LinksUpToDate>false</LinksUpToDate>
  <CharactersWithSpaces>7709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CurUserName</dc:creator>
  <cp:lastModifiedBy>贾钰宏</cp:lastModifiedBy>
  <cp:revision>18</cp:revision>
  <cp:lastPrinted>2020-05-18T04:22:00Z</cp:lastPrinted>
  <dcterms:created xsi:type="dcterms:W3CDTF">2020-04-15T03:47:00Z</dcterms:created>
  <dcterms:modified xsi:type="dcterms:W3CDTF">2020-06-05T09:20:00Z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