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097353">
      <w:pPr>
        <w:spacing w:line="540" w:lineRule="exact"/>
        <w:jc w:val="left"/>
        <w:rPr>
          <w:rFonts w:ascii="仿宋" w:hAnsi="仿宋" w:eastAsia="仿宋"/>
          <w:kern w:val="0"/>
          <w:sz w:val="32"/>
          <w:szCs w:val="32"/>
        </w:rPr>
      </w:pPr>
      <w:r>
        <w:rPr>
          <w:rFonts w:hint="eastAsia" w:ascii="仿宋" w:hAnsi="仿宋" w:eastAsia="仿宋" w:cs="仿宋"/>
          <w:kern w:val="0"/>
          <w:sz w:val="32"/>
          <w:szCs w:val="32"/>
        </w:rPr>
        <w:t>附件</w:t>
      </w:r>
      <w:r>
        <w:rPr>
          <w:rFonts w:ascii="仿宋" w:hAnsi="仿宋" w:eastAsia="仿宋" w:cs="仿宋"/>
          <w:kern w:val="0"/>
          <w:sz w:val="32"/>
          <w:szCs w:val="32"/>
        </w:rPr>
        <w:t>2</w:t>
      </w:r>
      <w:r>
        <w:rPr>
          <w:rFonts w:hint="eastAsia" w:ascii="仿宋" w:hAnsi="仿宋" w:eastAsia="仿宋" w:cs="仿宋"/>
          <w:kern w:val="0"/>
          <w:sz w:val="32"/>
          <w:szCs w:val="32"/>
        </w:rPr>
        <w:t>：</w:t>
      </w:r>
    </w:p>
    <w:p w14:paraId="4FCEB6BB">
      <w:pPr>
        <w:spacing w:line="540" w:lineRule="exact"/>
        <w:jc w:val="center"/>
        <w:rPr>
          <w:rFonts w:ascii="华文中宋" w:hAnsi="华文中宋" w:eastAsia="华文中宋"/>
          <w:b/>
          <w:bCs/>
          <w:kern w:val="0"/>
          <w:sz w:val="52"/>
          <w:szCs w:val="52"/>
        </w:rPr>
      </w:pPr>
    </w:p>
    <w:p w14:paraId="699086EE">
      <w:pPr>
        <w:spacing w:line="540" w:lineRule="exact"/>
        <w:jc w:val="center"/>
        <w:rPr>
          <w:rFonts w:ascii="华文中宋" w:hAnsi="华文中宋" w:eastAsia="华文中宋"/>
          <w:b/>
          <w:bCs/>
          <w:kern w:val="0"/>
          <w:sz w:val="52"/>
          <w:szCs w:val="52"/>
        </w:rPr>
      </w:pPr>
    </w:p>
    <w:p w14:paraId="7FCC8039">
      <w:pPr>
        <w:spacing w:line="540" w:lineRule="exact"/>
        <w:jc w:val="center"/>
        <w:rPr>
          <w:rFonts w:ascii="华文中宋" w:hAnsi="华文中宋" w:eastAsia="华文中宋"/>
          <w:b/>
          <w:bCs/>
          <w:kern w:val="0"/>
          <w:sz w:val="52"/>
          <w:szCs w:val="52"/>
        </w:rPr>
      </w:pPr>
    </w:p>
    <w:p w14:paraId="439417E1">
      <w:pPr>
        <w:spacing w:line="540" w:lineRule="exact"/>
        <w:jc w:val="center"/>
        <w:rPr>
          <w:rFonts w:ascii="华文中宋" w:hAnsi="华文中宋" w:eastAsia="华文中宋"/>
          <w:b/>
          <w:bCs/>
          <w:kern w:val="0"/>
          <w:sz w:val="52"/>
          <w:szCs w:val="52"/>
        </w:rPr>
      </w:pPr>
    </w:p>
    <w:p w14:paraId="386458B4">
      <w:pPr>
        <w:spacing w:line="540" w:lineRule="exact"/>
        <w:jc w:val="center"/>
        <w:rPr>
          <w:rFonts w:ascii="华文中宋" w:hAnsi="华文中宋" w:eastAsia="华文中宋"/>
          <w:b/>
          <w:bCs/>
          <w:kern w:val="0"/>
          <w:sz w:val="52"/>
          <w:szCs w:val="52"/>
        </w:rPr>
      </w:pPr>
    </w:p>
    <w:p w14:paraId="7AFF6FB4">
      <w:pPr>
        <w:spacing w:line="540" w:lineRule="exact"/>
        <w:jc w:val="center"/>
        <w:rPr>
          <w:rFonts w:ascii="华文中宋" w:hAnsi="华文中宋" w:eastAsia="华文中宋"/>
          <w:b/>
          <w:bCs/>
          <w:kern w:val="0"/>
          <w:sz w:val="52"/>
          <w:szCs w:val="52"/>
        </w:rPr>
      </w:pPr>
    </w:p>
    <w:p w14:paraId="63E80495">
      <w:pPr>
        <w:spacing w:line="540" w:lineRule="exact"/>
        <w:jc w:val="center"/>
        <w:rPr>
          <w:rFonts w:ascii="方正大标宋简体" w:hAnsi="华文中宋" w:eastAsia="方正大标宋简体"/>
          <w:b/>
          <w:bCs/>
          <w:kern w:val="0"/>
          <w:sz w:val="48"/>
          <w:szCs w:val="48"/>
        </w:rPr>
      </w:pPr>
      <w:r>
        <w:rPr>
          <w:rFonts w:hint="eastAsia" w:ascii="方正大标宋简体" w:hAnsi="华文中宋" w:eastAsia="方正大标宋简体" w:cs="方正大标宋简体"/>
          <w:b/>
          <w:bCs/>
          <w:kern w:val="0"/>
          <w:sz w:val="48"/>
          <w:szCs w:val="48"/>
          <w:u w:val="single"/>
        </w:rPr>
        <w:t>巴州党校</w:t>
      </w:r>
      <w:r>
        <w:rPr>
          <w:rFonts w:hint="eastAsia" w:ascii="方正大标宋简体" w:hAnsi="华文中宋" w:eastAsia="方正大标宋简体" w:cs="方正大标宋简体"/>
          <w:b/>
          <w:bCs/>
          <w:kern w:val="0"/>
          <w:sz w:val="48"/>
          <w:szCs w:val="48"/>
        </w:rPr>
        <w:t>财政项目支出绩效自评报告</w:t>
      </w:r>
    </w:p>
    <w:p w14:paraId="0CB95923">
      <w:pPr>
        <w:spacing w:line="540" w:lineRule="exact"/>
        <w:jc w:val="center"/>
        <w:rPr>
          <w:rFonts w:ascii="华文中宋" w:hAnsi="华文中宋" w:eastAsia="华文中宋"/>
          <w:b/>
          <w:bCs/>
          <w:kern w:val="0"/>
          <w:sz w:val="52"/>
          <w:szCs w:val="52"/>
        </w:rPr>
      </w:pPr>
    </w:p>
    <w:p w14:paraId="6276C9F3">
      <w:pPr>
        <w:spacing w:line="540" w:lineRule="exact"/>
        <w:jc w:val="center"/>
        <w:rPr>
          <w:rFonts w:hAnsi="宋体" w:eastAsia="仿宋_GB2312"/>
          <w:kern w:val="0"/>
          <w:sz w:val="36"/>
          <w:szCs w:val="36"/>
        </w:rPr>
      </w:pPr>
      <w:r>
        <w:rPr>
          <w:rFonts w:hint="eastAsia" w:hAnsi="宋体" w:eastAsia="仿宋_GB2312" w:cs="仿宋_GB2312"/>
          <w:kern w:val="0"/>
          <w:sz w:val="36"/>
          <w:szCs w:val="36"/>
        </w:rPr>
        <w:t>（</w:t>
      </w:r>
      <w:r>
        <w:rPr>
          <w:rFonts w:hAnsi="宋体" w:eastAsia="仿宋_GB2312"/>
          <w:kern w:val="0"/>
          <w:sz w:val="36"/>
          <w:szCs w:val="36"/>
        </w:rPr>
        <w:t>2019</w:t>
      </w:r>
      <w:r>
        <w:rPr>
          <w:rFonts w:hint="eastAsia" w:hAnsi="宋体" w:eastAsia="仿宋_GB2312" w:cs="仿宋_GB2312"/>
          <w:kern w:val="0"/>
          <w:sz w:val="36"/>
          <w:szCs w:val="36"/>
        </w:rPr>
        <w:t>年度）</w:t>
      </w:r>
    </w:p>
    <w:p w14:paraId="132DF9C5">
      <w:pPr>
        <w:spacing w:line="540" w:lineRule="exact"/>
        <w:jc w:val="center"/>
        <w:rPr>
          <w:rFonts w:hAnsi="宋体" w:eastAsia="仿宋_GB2312"/>
          <w:kern w:val="0"/>
          <w:sz w:val="30"/>
          <w:szCs w:val="30"/>
        </w:rPr>
      </w:pPr>
    </w:p>
    <w:p w14:paraId="4481BD32">
      <w:pPr>
        <w:spacing w:line="540" w:lineRule="exact"/>
        <w:jc w:val="center"/>
        <w:rPr>
          <w:rFonts w:hAnsi="宋体" w:eastAsia="仿宋_GB2312"/>
          <w:kern w:val="0"/>
          <w:sz w:val="30"/>
          <w:szCs w:val="30"/>
        </w:rPr>
      </w:pPr>
    </w:p>
    <w:p w14:paraId="799C57CE">
      <w:pPr>
        <w:spacing w:line="540" w:lineRule="exact"/>
        <w:jc w:val="center"/>
        <w:rPr>
          <w:rFonts w:hAnsi="宋体" w:eastAsia="仿宋_GB2312"/>
          <w:kern w:val="0"/>
          <w:sz w:val="30"/>
          <w:szCs w:val="30"/>
        </w:rPr>
      </w:pPr>
    </w:p>
    <w:p w14:paraId="15879D75">
      <w:pPr>
        <w:spacing w:line="540" w:lineRule="exact"/>
        <w:jc w:val="center"/>
        <w:rPr>
          <w:rFonts w:hAnsi="宋体" w:eastAsia="仿宋_GB2312"/>
          <w:kern w:val="0"/>
          <w:sz w:val="30"/>
          <w:szCs w:val="30"/>
        </w:rPr>
      </w:pPr>
    </w:p>
    <w:p w14:paraId="45582D3D">
      <w:pPr>
        <w:spacing w:line="540" w:lineRule="exact"/>
        <w:jc w:val="center"/>
        <w:rPr>
          <w:rFonts w:hAnsi="宋体" w:eastAsia="仿宋_GB2312"/>
          <w:kern w:val="0"/>
          <w:sz w:val="30"/>
          <w:szCs w:val="30"/>
        </w:rPr>
      </w:pPr>
    </w:p>
    <w:p w14:paraId="1B473641">
      <w:pPr>
        <w:spacing w:line="700" w:lineRule="exact"/>
        <w:jc w:val="left"/>
        <w:rPr>
          <w:rFonts w:hAnsi="宋体" w:eastAsia="仿宋_GB2312"/>
          <w:kern w:val="0"/>
          <w:sz w:val="36"/>
          <w:szCs w:val="36"/>
        </w:rPr>
      </w:pPr>
      <w:r>
        <w:rPr>
          <w:rFonts w:hint="eastAsia" w:hAnsi="宋体" w:eastAsia="仿宋_GB2312" w:cs="仿宋_GB2312"/>
          <w:kern w:val="0"/>
          <w:sz w:val="36"/>
          <w:szCs w:val="36"/>
        </w:rPr>
        <w:t>项目名称：巴州党委党校、巴州行政学院教学楼项目</w:t>
      </w:r>
    </w:p>
    <w:p w14:paraId="4C3F82D7">
      <w:pPr>
        <w:spacing w:line="700" w:lineRule="exact"/>
        <w:jc w:val="left"/>
        <w:rPr>
          <w:rFonts w:hAnsi="宋体" w:eastAsia="仿宋_GB2312"/>
          <w:kern w:val="0"/>
          <w:sz w:val="36"/>
          <w:szCs w:val="36"/>
        </w:rPr>
      </w:pPr>
      <w:r>
        <w:rPr>
          <w:rFonts w:hint="eastAsia" w:hAnsi="宋体" w:eastAsia="仿宋_GB2312" w:cs="仿宋_GB2312"/>
          <w:kern w:val="0"/>
          <w:sz w:val="36"/>
          <w:szCs w:val="36"/>
        </w:rPr>
        <w:t>实施单位（公章）：中共巴音郭楞蒙古自治州委员会党校</w:t>
      </w:r>
    </w:p>
    <w:p w14:paraId="1EF20F20">
      <w:pPr>
        <w:spacing w:line="700" w:lineRule="exact"/>
        <w:ind w:firstLine="849" w:firstLineChars="236"/>
        <w:jc w:val="left"/>
        <w:rPr>
          <w:rFonts w:hAnsi="宋体" w:eastAsia="仿宋_GB2312"/>
          <w:kern w:val="0"/>
          <w:sz w:val="36"/>
          <w:szCs w:val="36"/>
        </w:rPr>
      </w:pPr>
      <w:r>
        <w:rPr>
          <w:rFonts w:hint="eastAsia" w:hAnsi="宋体" w:eastAsia="仿宋_GB2312" w:cs="仿宋_GB2312"/>
          <w:kern w:val="0"/>
          <w:sz w:val="36"/>
          <w:szCs w:val="36"/>
        </w:rPr>
        <w:t>主管部门（公章）：巴州党委党校</w:t>
      </w:r>
    </w:p>
    <w:p w14:paraId="6A3577F5">
      <w:pPr>
        <w:spacing w:line="700" w:lineRule="exact"/>
        <w:ind w:firstLine="849" w:firstLineChars="236"/>
        <w:jc w:val="left"/>
        <w:rPr>
          <w:rFonts w:hAnsi="宋体" w:eastAsia="仿宋_GB2312"/>
          <w:kern w:val="0"/>
          <w:sz w:val="36"/>
          <w:szCs w:val="36"/>
        </w:rPr>
      </w:pPr>
      <w:r>
        <w:rPr>
          <w:rFonts w:hint="eastAsia" w:hAnsi="宋体" w:eastAsia="仿宋_GB2312" w:cs="仿宋_GB2312"/>
          <w:kern w:val="0"/>
          <w:sz w:val="36"/>
          <w:szCs w:val="36"/>
        </w:rPr>
        <w:t>项目负责人（签章）：谢春生</w:t>
      </w:r>
    </w:p>
    <w:p w14:paraId="257E0EF7">
      <w:pPr>
        <w:spacing w:line="700" w:lineRule="exact"/>
        <w:ind w:firstLine="849" w:firstLineChars="236"/>
        <w:jc w:val="left"/>
        <w:rPr>
          <w:rFonts w:hAnsi="宋体" w:eastAsia="仿宋_GB2312"/>
          <w:kern w:val="0"/>
          <w:sz w:val="36"/>
          <w:szCs w:val="36"/>
        </w:rPr>
      </w:pPr>
      <w:r>
        <w:rPr>
          <w:rFonts w:hint="eastAsia" w:hAnsi="宋体" w:eastAsia="仿宋_GB2312" w:cs="仿宋_GB2312"/>
          <w:kern w:val="0"/>
          <w:sz w:val="36"/>
          <w:szCs w:val="36"/>
        </w:rPr>
        <w:t>填报时间：</w:t>
      </w:r>
      <w:r>
        <w:rPr>
          <w:rFonts w:hAnsi="宋体" w:eastAsia="仿宋_GB2312"/>
          <w:kern w:val="0"/>
          <w:sz w:val="36"/>
          <w:szCs w:val="36"/>
        </w:rPr>
        <w:t>2020</w:t>
      </w:r>
      <w:r>
        <w:rPr>
          <w:rFonts w:hint="eastAsia" w:hAnsi="宋体" w:eastAsia="仿宋_GB2312" w:cs="仿宋_GB2312"/>
          <w:kern w:val="0"/>
          <w:sz w:val="36"/>
          <w:szCs w:val="36"/>
        </w:rPr>
        <w:t>年</w:t>
      </w:r>
      <w:r>
        <w:rPr>
          <w:rFonts w:hAnsi="宋体" w:eastAsia="仿宋_GB2312"/>
          <w:kern w:val="0"/>
          <w:sz w:val="36"/>
          <w:szCs w:val="36"/>
        </w:rPr>
        <w:t>4</w:t>
      </w:r>
      <w:r>
        <w:rPr>
          <w:rFonts w:hint="eastAsia" w:hAnsi="宋体" w:eastAsia="仿宋_GB2312" w:cs="仿宋_GB2312"/>
          <w:kern w:val="0"/>
          <w:sz w:val="36"/>
          <w:szCs w:val="36"/>
        </w:rPr>
        <w:t>月</w:t>
      </w:r>
      <w:r>
        <w:rPr>
          <w:rFonts w:hAnsi="宋体" w:eastAsia="仿宋_GB2312"/>
          <w:kern w:val="0"/>
          <w:sz w:val="36"/>
          <w:szCs w:val="36"/>
        </w:rPr>
        <w:t>20</w:t>
      </w:r>
      <w:r>
        <w:rPr>
          <w:rFonts w:hint="eastAsia" w:hAnsi="宋体" w:eastAsia="仿宋_GB2312" w:cs="仿宋_GB2312"/>
          <w:kern w:val="0"/>
          <w:sz w:val="36"/>
          <w:szCs w:val="36"/>
        </w:rPr>
        <w:t>日</w:t>
      </w:r>
    </w:p>
    <w:p w14:paraId="2282E469">
      <w:pPr>
        <w:spacing w:line="700" w:lineRule="exact"/>
        <w:ind w:firstLine="849" w:firstLineChars="236"/>
        <w:jc w:val="left"/>
        <w:rPr>
          <w:rFonts w:hAnsi="宋体" w:eastAsia="仿宋_GB2312"/>
          <w:kern w:val="0"/>
          <w:sz w:val="36"/>
          <w:szCs w:val="36"/>
        </w:rPr>
      </w:pPr>
    </w:p>
    <w:p w14:paraId="057B85BA">
      <w:pPr>
        <w:spacing w:line="540" w:lineRule="exact"/>
        <w:jc w:val="center"/>
        <w:rPr>
          <w:rFonts w:hAnsi="宋体" w:eastAsia="仿宋_GB2312"/>
          <w:kern w:val="0"/>
          <w:sz w:val="30"/>
          <w:szCs w:val="30"/>
        </w:rPr>
      </w:pPr>
    </w:p>
    <w:p w14:paraId="6EAD828E">
      <w:pPr>
        <w:spacing w:line="540" w:lineRule="exact"/>
        <w:jc w:val="center"/>
        <w:rPr>
          <w:rFonts w:hAnsi="宋体" w:eastAsia="仿宋_GB2312"/>
          <w:kern w:val="0"/>
          <w:sz w:val="30"/>
          <w:szCs w:val="30"/>
        </w:rPr>
      </w:pPr>
    </w:p>
    <w:p w14:paraId="1AF984B3">
      <w:pPr>
        <w:spacing w:line="540" w:lineRule="exact"/>
        <w:rPr>
          <w:rStyle w:val="19"/>
          <w:rFonts w:ascii="黑体" w:hAnsi="黑体" w:eastAsia="黑体"/>
          <w:b w:val="0"/>
          <w:bCs w:val="0"/>
          <w:spacing w:val="-4"/>
          <w:sz w:val="32"/>
          <w:szCs w:val="32"/>
        </w:rPr>
      </w:pPr>
    </w:p>
    <w:p w14:paraId="1AF35B29">
      <w:pPr>
        <w:spacing w:line="540" w:lineRule="exact"/>
        <w:ind w:firstLine="640"/>
        <w:rPr>
          <w:rStyle w:val="19"/>
          <w:rFonts w:ascii="黑体" w:hAnsi="黑体" w:eastAsia="黑体"/>
          <w:b w:val="0"/>
          <w:bCs w:val="0"/>
          <w:spacing w:val="-4"/>
          <w:sz w:val="32"/>
          <w:szCs w:val="32"/>
        </w:rPr>
      </w:pPr>
      <w:r>
        <w:rPr>
          <w:rStyle w:val="19"/>
          <w:rFonts w:hint="eastAsia" w:ascii="黑体" w:hAnsi="黑体" w:eastAsia="黑体" w:cs="黑体"/>
          <w:b w:val="0"/>
          <w:bCs w:val="0"/>
          <w:spacing w:val="-4"/>
          <w:sz w:val="32"/>
          <w:szCs w:val="32"/>
        </w:rPr>
        <w:t>一、基本情况</w:t>
      </w:r>
    </w:p>
    <w:p w14:paraId="608A50E4">
      <w:pPr>
        <w:spacing w:line="540" w:lineRule="exact"/>
        <w:ind w:firstLine="567"/>
        <w:rPr>
          <w:rStyle w:val="19"/>
          <w:rFonts w:ascii="黑体" w:hAnsi="黑体" w:eastAsia="黑体"/>
          <w:b w:val="0"/>
          <w:bCs w:val="0"/>
          <w:spacing w:val="-4"/>
          <w:sz w:val="32"/>
          <w:szCs w:val="32"/>
        </w:rPr>
      </w:pPr>
      <w:r>
        <w:rPr>
          <w:rStyle w:val="19"/>
          <w:rFonts w:hint="eastAsia" w:ascii="黑体" w:hAnsi="黑体" w:eastAsia="黑体" w:cs="黑体"/>
          <w:b w:val="0"/>
          <w:bCs w:val="0"/>
          <w:spacing w:val="-4"/>
          <w:sz w:val="32"/>
          <w:szCs w:val="32"/>
        </w:rPr>
        <w:t>（一）项目概况</w:t>
      </w:r>
    </w:p>
    <w:p w14:paraId="59C94C1B">
      <w:pPr>
        <w:spacing w:line="580" w:lineRule="exact"/>
        <w:ind w:firstLine="567"/>
        <w:rPr>
          <w:rStyle w:val="19"/>
          <w:rFonts w:ascii="仿宋_GB2312" w:hAnsi="楷体" w:eastAsia="仿宋_GB2312"/>
          <w:b w:val="0"/>
          <w:bCs w:val="0"/>
          <w:spacing w:val="-4"/>
          <w:sz w:val="32"/>
          <w:szCs w:val="32"/>
        </w:rPr>
      </w:pPr>
      <w:r>
        <w:rPr>
          <w:rStyle w:val="19"/>
          <w:rFonts w:hint="eastAsia" w:ascii="仿宋_GB2312" w:hAnsi="楷体" w:eastAsia="仿宋_GB2312" w:cs="仿宋_GB2312"/>
          <w:b w:val="0"/>
          <w:bCs w:val="0"/>
          <w:spacing w:val="-4"/>
          <w:sz w:val="32"/>
          <w:szCs w:val="32"/>
        </w:rPr>
        <w:t>中共巴音郭楞蒙古自治州委员会党校是自治州党委的直属的重要部门。通过有计划培训、教育，提高党员干部用马克思主义立场、观点、方法观察和处理问题的能力；提高学员的政治理论素养和党性修养，是全州党员干部党性锻炼的熔炉、理论创新的阵地、社科研究的机构。现有在职教职工</w:t>
      </w:r>
      <w:r>
        <w:rPr>
          <w:rStyle w:val="19"/>
          <w:rFonts w:ascii="仿宋_GB2312" w:hAnsi="楷体" w:eastAsia="仿宋_GB2312" w:cs="仿宋_GB2312"/>
          <w:b w:val="0"/>
          <w:bCs w:val="0"/>
          <w:spacing w:val="-4"/>
          <w:sz w:val="32"/>
          <w:szCs w:val="32"/>
        </w:rPr>
        <w:t>68</w:t>
      </w:r>
      <w:r>
        <w:rPr>
          <w:rStyle w:val="19"/>
          <w:rFonts w:hint="eastAsia" w:ascii="仿宋_GB2312" w:hAnsi="楷体" w:eastAsia="仿宋_GB2312" w:cs="仿宋_GB2312"/>
          <w:b w:val="0"/>
          <w:bCs w:val="0"/>
          <w:spacing w:val="-4"/>
          <w:sz w:val="32"/>
          <w:szCs w:val="32"/>
        </w:rPr>
        <w:t>人，由汉、蒙古、维吾尔、回</w:t>
      </w:r>
      <w:r>
        <w:rPr>
          <w:rStyle w:val="19"/>
          <w:rFonts w:ascii="仿宋_GB2312" w:hAnsi="楷体" w:eastAsia="仿宋_GB2312" w:cs="仿宋_GB2312"/>
          <w:b w:val="0"/>
          <w:bCs w:val="0"/>
          <w:spacing w:val="-4"/>
          <w:sz w:val="32"/>
          <w:szCs w:val="32"/>
        </w:rPr>
        <w:t>4</w:t>
      </w:r>
      <w:r>
        <w:rPr>
          <w:rStyle w:val="19"/>
          <w:rFonts w:hint="eastAsia" w:ascii="仿宋_GB2312" w:hAnsi="楷体" w:eastAsia="仿宋_GB2312" w:cs="仿宋_GB2312"/>
          <w:b w:val="0"/>
          <w:bCs w:val="0"/>
          <w:spacing w:val="-4"/>
          <w:sz w:val="32"/>
          <w:szCs w:val="32"/>
        </w:rPr>
        <w:t>个民族组成。有学员公寓楼、学员食堂楼、综合楼各一栋。在建教学综合楼一栋。党校紧紧围绕州党委、政府的中心工作和广大学员的实际需要，深入贯彻习近平新时代中国特色社会主义思想，努力提高教学科研和管理服务水平，为推进巴州社会稳定和长治久安提供坚强的思想政治保证、人才保证和智力支持。</w:t>
      </w:r>
    </w:p>
    <w:p w14:paraId="451514F5">
      <w:pPr>
        <w:spacing w:line="580" w:lineRule="exact"/>
        <w:ind w:firstLine="624" w:firstLineChars="200"/>
        <w:rPr>
          <w:rStyle w:val="19"/>
          <w:rFonts w:ascii="仿宋_GB2312" w:hAnsi="楷体" w:eastAsia="仿宋_GB2312"/>
          <w:b w:val="0"/>
          <w:bCs w:val="0"/>
          <w:spacing w:val="-4"/>
          <w:sz w:val="32"/>
          <w:szCs w:val="32"/>
        </w:rPr>
      </w:pPr>
      <w:r>
        <w:rPr>
          <w:rStyle w:val="19"/>
          <w:rFonts w:hint="eastAsia" w:ascii="仿宋_GB2312" w:hAnsi="楷体" w:eastAsia="仿宋_GB2312" w:cs="仿宋_GB2312"/>
          <w:b w:val="0"/>
          <w:bCs w:val="0"/>
          <w:spacing w:val="-4"/>
          <w:sz w:val="32"/>
          <w:szCs w:val="32"/>
        </w:rPr>
        <w:t>巴州党委党校教学楼项目是经巴州发改委先后于</w:t>
      </w:r>
      <w:r>
        <w:rPr>
          <w:rStyle w:val="19"/>
          <w:rFonts w:ascii="仿宋_GB2312" w:hAnsi="楷体" w:eastAsia="仿宋_GB2312" w:cs="仿宋_GB2312"/>
          <w:b w:val="0"/>
          <w:bCs w:val="0"/>
          <w:spacing w:val="-4"/>
          <w:sz w:val="32"/>
          <w:szCs w:val="32"/>
        </w:rPr>
        <w:t>2013</w:t>
      </w:r>
      <w:r>
        <w:rPr>
          <w:rStyle w:val="19"/>
          <w:rFonts w:hint="eastAsia" w:ascii="仿宋_GB2312" w:hAnsi="楷体" w:eastAsia="仿宋_GB2312" w:cs="仿宋_GB2312"/>
          <w:b w:val="0"/>
          <w:bCs w:val="0"/>
          <w:spacing w:val="-4"/>
          <w:sz w:val="32"/>
          <w:szCs w:val="32"/>
        </w:rPr>
        <w:t>年</w:t>
      </w:r>
      <w:r>
        <w:rPr>
          <w:rStyle w:val="19"/>
          <w:rFonts w:ascii="仿宋_GB2312" w:hAnsi="楷体" w:eastAsia="仿宋_GB2312" w:cs="仿宋_GB2312"/>
          <w:b w:val="0"/>
          <w:bCs w:val="0"/>
          <w:spacing w:val="-4"/>
          <w:sz w:val="32"/>
          <w:szCs w:val="32"/>
        </w:rPr>
        <w:t>12</w:t>
      </w:r>
      <w:r>
        <w:rPr>
          <w:rStyle w:val="19"/>
          <w:rFonts w:hint="eastAsia" w:ascii="仿宋_GB2312" w:hAnsi="楷体" w:eastAsia="仿宋_GB2312" w:cs="仿宋_GB2312"/>
          <w:b w:val="0"/>
          <w:bCs w:val="0"/>
          <w:spacing w:val="-4"/>
          <w:sz w:val="32"/>
          <w:szCs w:val="32"/>
        </w:rPr>
        <w:t>月和</w:t>
      </w:r>
      <w:r>
        <w:rPr>
          <w:rStyle w:val="19"/>
          <w:rFonts w:ascii="仿宋_GB2312" w:hAnsi="楷体" w:eastAsia="仿宋_GB2312" w:cs="仿宋_GB2312"/>
          <w:b w:val="0"/>
          <w:bCs w:val="0"/>
          <w:spacing w:val="-4"/>
          <w:sz w:val="32"/>
          <w:szCs w:val="32"/>
        </w:rPr>
        <w:t>2015</w:t>
      </w:r>
      <w:r>
        <w:rPr>
          <w:rStyle w:val="19"/>
          <w:rFonts w:hint="eastAsia" w:ascii="仿宋_GB2312" w:hAnsi="楷体" w:eastAsia="仿宋_GB2312" w:cs="仿宋_GB2312"/>
          <w:b w:val="0"/>
          <w:bCs w:val="0"/>
          <w:spacing w:val="-4"/>
          <w:sz w:val="32"/>
          <w:szCs w:val="32"/>
        </w:rPr>
        <w:t>年</w:t>
      </w:r>
      <w:r>
        <w:rPr>
          <w:rStyle w:val="19"/>
          <w:rFonts w:ascii="仿宋_GB2312" w:hAnsi="楷体" w:eastAsia="仿宋_GB2312" w:cs="仿宋_GB2312"/>
          <w:b w:val="0"/>
          <w:bCs w:val="0"/>
          <w:spacing w:val="-4"/>
          <w:sz w:val="32"/>
          <w:szCs w:val="32"/>
        </w:rPr>
        <w:t>12</w:t>
      </w:r>
      <w:r>
        <w:rPr>
          <w:rStyle w:val="19"/>
          <w:rFonts w:hint="eastAsia" w:ascii="仿宋_GB2312" w:hAnsi="楷体" w:eastAsia="仿宋_GB2312" w:cs="仿宋_GB2312"/>
          <w:b w:val="0"/>
          <w:bCs w:val="0"/>
          <w:spacing w:val="-4"/>
          <w:sz w:val="32"/>
          <w:szCs w:val="32"/>
        </w:rPr>
        <w:t>月两次批复，同意巴州党校在原址重建新的教学楼（巴发改投资〔</w:t>
      </w:r>
      <w:r>
        <w:rPr>
          <w:rStyle w:val="19"/>
          <w:rFonts w:ascii="仿宋_GB2312" w:hAnsi="楷体" w:eastAsia="仿宋_GB2312" w:cs="仿宋_GB2312"/>
          <w:b w:val="0"/>
          <w:bCs w:val="0"/>
          <w:spacing w:val="-4"/>
          <w:sz w:val="32"/>
          <w:szCs w:val="32"/>
        </w:rPr>
        <w:t>2013</w:t>
      </w:r>
      <w:r>
        <w:rPr>
          <w:rStyle w:val="19"/>
          <w:rFonts w:hint="eastAsia" w:ascii="仿宋_GB2312" w:hAnsi="楷体" w:eastAsia="仿宋_GB2312" w:cs="仿宋_GB2312"/>
          <w:b w:val="0"/>
          <w:bCs w:val="0"/>
          <w:spacing w:val="-4"/>
          <w:sz w:val="32"/>
          <w:szCs w:val="32"/>
        </w:rPr>
        <w:t>〕</w:t>
      </w:r>
      <w:r>
        <w:rPr>
          <w:rStyle w:val="19"/>
          <w:rFonts w:ascii="仿宋_GB2312" w:hAnsi="楷体" w:eastAsia="仿宋_GB2312" w:cs="仿宋_GB2312"/>
          <w:b w:val="0"/>
          <w:bCs w:val="0"/>
          <w:spacing w:val="-4"/>
          <w:sz w:val="32"/>
          <w:szCs w:val="32"/>
        </w:rPr>
        <w:t>768</w:t>
      </w:r>
      <w:r>
        <w:rPr>
          <w:rStyle w:val="19"/>
          <w:rFonts w:hint="eastAsia" w:ascii="仿宋_GB2312" w:hAnsi="楷体" w:eastAsia="仿宋_GB2312" w:cs="仿宋_GB2312"/>
          <w:b w:val="0"/>
          <w:bCs w:val="0"/>
          <w:spacing w:val="-4"/>
          <w:sz w:val="32"/>
          <w:szCs w:val="32"/>
        </w:rPr>
        <w:t>号）和巴发改投资〔</w:t>
      </w:r>
      <w:r>
        <w:rPr>
          <w:rStyle w:val="19"/>
          <w:rFonts w:ascii="仿宋_GB2312" w:hAnsi="楷体" w:eastAsia="仿宋_GB2312" w:cs="仿宋_GB2312"/>
          <w:b w:val="0"/>
          <w:bCs w:val="0"/>
          <w:spacing w:val="-4"/>
          <w:sz w:val="32"/>
          <w:szCs w:val="32"/>
        </w:rPr>
        <w:t>2015</w:t>
      </w:r>
      <w:r>
        <w:rPr>
          <w:rStyle w:val="19"/>
          <w:rFonts w:hint="eastAsia" w:ascii="仿宋_GB2312" w:hAnsi="楷体" w:eastAsia="仿宋_GB2312" w:cs="仿宋_GB2312"/>
          <w:b w:val="0"/>
          <w:bCs w:val="0"/>
          <w:spacing w:val="-4"/>
          <w:sz w:val="32"/>
          <w:szCs w:val="32"/>
        </w:rPr>
        <w:t>〕</w:t>
      </w:r>
      <w:r>
        <w:rPr>
          <w:rStyle w:val="19"/>
          <w:rFonts w:ascii="仿宋_GB2312" w:hAnsi="楷体" w:eastAsia="仿宋_GB2312" w:cs="仿宋_GB2312"/>
          <w:b w:val="0"/>
          <w:bCs w:val="0"/>
          <w:spacing w:val="-4"/>
          <w:sz w:val="32"/>
          <w:szCs w:val="32"/>
        </w:rPr>
        <w:t>668</w:t>
      </w:r>
      <w:r>
        <w:rPr>
          <w:rStyle w:val="19"/>
          <w:rFonts w:hint="eastAsia" w:ascii="仿宋_GB2312" w:hAnsi="楷体" w:eastAsia="仿宋_GB2312" w:cs="仿宋_GB2312"/>
          <w:b w:val="0"/>
          <w:bCs w:val="0"/>
          <w:spacing w:val="-4"/>
          <w:sz w:val="32"/>
          <w:szCs w:val="32"/>
        </w:rPr>
        <w:t>号）。巴州党委党校、巴州行政学院教学楼工程项目由巴州建筑勘察规划设计院设计，建设规模地上</w:t>
      </w:r>
      <w:r>
        <w:rPr>
          <w:rStyle w:val="19"/>
          <w:rFonts w:ascii="仿宋_GB2312" w:hAnsi="楷体" w:eastAsia="仿宋_GB2312" w:cs="仿宋_GB2312"/>
          <w:b w:val="0"/>
          <w:bCs w:val="0"/>
          <w:spacing w:val="-4"/>
          <w:sz w:val="32"/>
          <w:szCs w:val="32"/>
        </w:rPr>
        <w:t>10</w:t>
      </w:r>
      <w:r>
        <w:rPr>
          <w:rStyle w:val="19"/>
          <w:rFonts w:hint="eastAsia" w:ascii="仿宋_GB2312" w:hAnsi="楷体" w:eastAsia="仿宋_GB2312" w:cs="仿宋_GB2312"/>
          <w:b w:val="0"/>
          <w:bCs w:val="0"/>
          <w:spacing w:val="-4"/>
          <w:sz w:val="32"/>
          <w:szCs w:val="32"/>
        </w:rPr>
        <w:t>层，地下</w:t>
      </w:r>
      <w:r>
        <w:rPr>
          <w:rStyle w:val="19"/>
          <w:rFonts w:ascii="仿宋_GB2312" w:hAnsi="楷体" w:eastAsia="仿宋_GB2312" w:cs="仿宋_GB2312"/>
          <w:b w:val="0"/>
          <w:bCs w:val="0"/>
          <w:spacing w:val="-4"/>
          <w:sz w:val="32"/>
          <w:szCs w:val="32"/>
        </w:rPr>
        <w:t>1</w:t>
      </w:r>
      <w:r>
        <w:rPr>
          <w:rStyle w:val="19"/>
          <w:rFonts w:hint="eastAsia" w:ascii="仿宋_GB2312" w:hAnsi="楷体" w:eastAsia="仿宋_GB2312" w:cs="仿宋_GB2312"/>
          <w:b w:val="0"/>
          <w:bCs w:val="0"/>
          <w:spacing w:val="-4"/>
          <w:sz w:val="32"/>
          <w:szCs w:val="32"/>
        </w:rPr>
        <w:t>层，局部</w:t>
      </w:r>
      <w:r>
        <w:rPr>
          <w:rStyle w:val="19"/>
          <w:rFonts w:ascii="仿宋_GB2312" w:hAnsi="楷体" w:eastAsia="仿宋_GB2312" w:cs="仿宋_GB2312"/>
          <w:b w:val="0"/>
          <w:bCs w:val="0"/>
          <w:spacing w:val="-4"/>
          <w:sz w:val="32"/>
          <w:szCs w:val="32"/>
        </w:rPr>
        <w:t>1</w:t>
      </w:r>
      <w:r>
        <w:rPr>
          <w:rStyle w:val="19"/>
          <w:rFonts w:hint="eastAsia" w:ascii="仿宋_GB2312" w:hAnsi="楷体" w:eastAsia="仿宋_GB2312" w:cs="仿宋_GB2312"/>
          <w:b w:val="0"/>
          <w:bCs w:val="0"/>
          <w:spacing w:val="-4"/>
          <w:sz w:val="32"/>
          <w:szCs w:val="32"/>
        </w:rPr>
        <w:t>层，总建筑面积</w:t>
      </w:r>
      <w:r>
        <w:rPr>
          <w:rStyle w:val="19"/>
          <w:rFonts w:ascii="仿宋_GB2312" w:hAnsi="楷体" w:eastAsia="仿宋_GB2312" w:cs="仿宋_GB2312"/>
          <w:b w:val="0"/>
          <w:bCs w:val="0"/>
          <w:spacing w:val="-4"/>
          <w:sz w:val="32"/>
          <w:szCs w:val="32"/>
        </w:rPr>
        <w:t>12734.91</w:t>
      </w:r>
      <w:r>
        <w:rPr>
          <w:rStyle w:val="19"/>
          <w:rFonts w:hint="eastAsia" w:ascii="仿宋_GB2312" w:hAnsi="楷体" w:eastAsia="仿宋_GB2312" w:cs="仿宋_GB2312"/>
          <w:b w:val="0"/>
          <w:bCs w:val="0"/>
          <w:spacing w:val="-4"/>
          <w:sz w:val="32"/>
          <w:szCs w:val="32"/>
        </w:rPr>
        <w:t>平方米。项目计划投资</w:t>
      </w:r>
      <w:r>
        <w:rPr>
          <w:rStyle w:val="19"/>
          <w:rFonts w:ascii="仿宋_GB2312" w:hAnsi="楷体" w:eastAsia="仿宋_GB2312" w:cs="仿宋_GB2312"/>
          <w:b w:val="0"/>
          <w:bCs w:val="0"/>
          <w:spacing w:val="-4"/>
          <w:sz w:val="32"/>
          <w:szCs w:val="32"/>
        </w:rPr>
        <w:t>2800</w:t>
      </w:r>
      <w:r>
        <w:rPr>
          <w:rStyle w:val="19"/>
          <w:rFonts w:hint="eastAsia" w:ascii="仿宋_GB2312" w:hAnsi="楷体" w:eastAsia="仿宋_GB2312" w:cs="仿宋_GB2312"/>
          <w:b w:val="0"/>
          <w:bCs w:val="0"/>
          <w:spacing w:val="-4"/>
          <w:sz w:val="32"/>
          <w:szCs w:val="32"/>
        </w:rPr>
        <w:t>万元。在州党委、州政府的关心重视下，在州党委组织部、州发改委、州住建局、州财政局、州机关事务管理局及设计、施工、监理等部门及单位的参与合作下，</w:t>
      </w:r>
      <w:r>
        <w:rPr>
          <w:rStyle w:val="19"/>
          <w:rFonts w:ascii="仿宋_GB2312" w:hAnsi="楷体" w:eastAsia="仿宋_GB2312" w:cs="仿宋_GB2312"/>
          <w:b w:val="0"/>
          <w:bCs w:val="0"/>
          <w:spacing w:val="-4"/>
          <w:sz w:val="32"/>
          <w:szCs w:val="32"/>
        </w:rPr>
        <w:t>2013</w:t>
      </w:r>
      <w:r>
        <w:rPr>
          <w:rStyle w:val="19"/>
          <w:rFonts w:hint="eastAsia" w:ascii="仿宋_GB2312" w:hAnsi="楷体" w:eastAsia="仿宋_GB2312" w:cs="仿宋_GB2312"/>
          <w:b w:val="0"/>
          <w:bCs w:val="0"/>
          <w:spacing w:val="-4"/>
          <w:sz w:val="32"/>
          <w:szCs w:val="32"/>
        </w:rPr>
        <w:t>年立项，委托州机关事务管理局代建。巴州党委党校（巴州行政学院）教学楼工程项目，</w:t>
      </w:r>
      <w:r>
        <w:rPr>
          <w:rStyle w:val="19"/>
          <w:rFonts w:ascii="仿宋_GB2312" w:hAnsi="楷体" w:eastAsia="仿宋_GB2312" w:cs="仿宋_GB2312"/>
          <w:b w:val="0"/>
          <w:bCs w:val="0"/>
          <w:spacing w:val="-4"/>
          <w:sz w:val="32"/>
          <w:szCs w:val="32"/>
        </w:rPr>
        <w:t>2016</w:t>
      </w:r>
      <w:r>
        <w:rPr>
          <w:rStyle w:val="19"/>
          <w:rFonts w:hint="eastAsia" w:ascii="仿宋_GB2312" w:hAnsi="楷体" w:eastAsia="仿宋_GB2312" w:cs="仿宋_GB2312"/>
          <w:b w:val="0"/>
          <w:bCs w:val="0"/>
          <w:spacing w:val="-4"/>
          <w:sz w:val="32"/>
          <w:szCs w:val="32"/>
        </w:rPr>
        <w:t>年</w:t>
      </w:r>
      <w:r>
        <w:rPr>
          <w:rStyle w:val="19"/>
          <w:rFonts w:ascii="仿宋_GB2312" w:hAnsi="楷体" w:eastAsia="仿宋_GB2312" w:cs="仿宋_GB2312"/>
          <w:b w:val="0"/>
          <w:bCs w:val="0"/>
          <w:spacing w:val="-4"/>
          <w:sz w:val="32"/>
          <w:szCs w:val="32"/>
        </w:rPr>
        <w:t>3</w:t>
      </w:r>
      <w:r>
        <w:rPr>
          <w:rStyle w:val="19"/>
          <w:rFonts w:hint="eastAsia" w:ascii="仿宋_GB2312" w:hAnsi="楷体" w:eastAsia="仿宋_GB2312" w:cs="仿宋_GB2312"/>
          <w:b w:val="0"/>
          <w:bCs w:val="0"/>
          <w:spacing w:val="-4"/>
          <w:sz w:val="32"/>
          <w:szCs w:val="32"/>
        </w:rPr>
        <w:t>月正式开工，</w:t>
      </w:r>
      <w:r>
        <w:rPr>
          <w:rStyle w:val="19"/>
          <w:rFonts w:ascii="仿宋_GB2312" w:hAnsi="楷体" w:eastAsia="仿宋_GB2312" w:cs="仿宋_GB2312"/>
          <w:b w:val="0"/>
          <w:bCs w:val="0"/>
          <w:spacing w:val="-4"/>
          <w:sz w:val="32"/>
          <w:szCs w:val="32"/>
        </w:rPr>
        <w:t>10</w:t>
      </w:r>
      <w:r>
        <w:rPr>
          <w:rStyle w:val="19"/>
          <w:rFonts w:hint="eastAsia" w:ascii="仿宋_GB2312" w:hAnsi="楷体" w:eastAsia="仿宋_GB2312" w:cs="仿宋_GB2312"/>
          <w:b w:val="0"/>
          <w:bCs w:val="0"/>
          <w:spacing w:val="-4"/>
          <w:sz w:val="32"/>
          <w:szCs w:val="32"/>
        </w:rPr>
        <w:t>月主体完工。。</w:t>
      </w:r>
      <w:r>
        <w:rPr>
          <w:rStyle w:val="19"/>
          <w:rFonts w:ascii="仿宋_GB2312" w:hAnsi="楷体" w:eastAsia="仿宋_GB2312" w:cs="仿宋_GB2312"/>
          <w:b w:val="0"/>
          <w:bCs w:val="0"/>
          <w:spacing w:val="-4"/>
          <w:sz w:val="32"/>
          <w:szCs w:val="32"/>
        </w:rPr>
        <w:t>2017</w:t>
      </w:r>
      <w:r>
        <w:rPr>
          <w:rStyle w:val="19"/>
          <w:rFonts w:hint="eastAsia" w:ascii="仿宋_GB2312" w:hAnsi="楷体" w:eastAsia="仿宋_GB2312" w:cs="仿宋_GB2312"/>
          <w:b w:val="0"/>
          <w:bCs w:val="0"/>
          <w:spacing w:val="-4"/>
          <w:sz w:val="32"/>
          <w:szCs w:val="32"/>
        </w:rPr>
        <w:t>年完成消防、电梯、高低压等分项工程招标。因施工许可证未办理、工程代建负责人变化、供暖和外墙设计变更、审图途径变化等诸多原因，</w:t>
      </w:r>
      <w:r>
        <w:rPr>
          <w:rStyle w:val="19"/>
          <w:rFonts w:ascii="仿宋_GB2312" w:hAnsi="楷体" w:eastAsia="仿宋_GB2312" w:cs="仿宋_GB2312"/>
          <w:b w:val="0"/>
          <w:bCs w:val="0"/>
          <w:spacing w:val="-4"/>
          <w:sz w:val="32"/>
          <w:szCs w:val="32"/>
        </w:rPr>
        <w:t>2017</w:t>
      </w:r>
      <w:r>
        <w:rPr>
          <w:rStyle w:val="19"/>
          <w:rFonts w:hint="eastAsia" w:ascii="仿宋_GB2312" w:hAnsi="楷体" w:eastAsia="仿宋_GB2312" w:cs="仿宋_GB2312"/>
          <w:b w:val="0"/>
          <w:bCs w:val="0"/>
          <w:spacing w:val="-4"/>
          <w:sz w:val="32"/>
          <w:szCs w:val="32"/>
        </w:rPr>
        <w:t>年至</w:t>
      </w:r>
      <w:r>
        <w:rPr>
          <w:rStyle w:val="19"/>
          <w:rFonts w:ascii="仿宋_GB2312" w:hAnsi="楷体" w:eastAsia="仿宋_GB2312" w:cs="仿宋_GB2312"/>
          <w:b w:val="0"/>
          <w:bCs w:val="0"/>
          <w:spacing w:val="-4"/>
          <w:sz w:val="32"/>
          <w:szCs w:val="32"/>
        </w:rPr>
        <w:t>2018</w:t>
      </w:r>
      <w:r>
        <w:rPr>
          <w:rStyle w:val="19"/>
          <w:rFonts w:hint="eastAsia" w:ascii="仿宋_GB2312" w:hAnsi="楷体" w:eastAsia="仿宋_GB2312" w:cs="仿宋_GB2312"/>
          <w:b w:val="0"/>
          <w:bCs w:val="0"/>
          <w:spacing w:val="-4"/>
          <w:sz w:val="32"/>
          <w:szCs w:val="32"/>
        </w:rPr>
        <w:t>年工程基本处于停工状态。</w:t>
      </w:r>
      <w:r>
        <w:rPr>
          <w:rStyle w:val="19"/>
          <w:rFonts w:ascii="仿宋_GB2312" w:hAnsi="楷体" w:eastAsia="仿宋_GB2312" w:cs="仿宋_GB2312"/>
          <w:b w:val="0"/>
          <w:bCs w:val="0"/>
          <w:spacing w:val="-4"/>
          <w:sz w:val="32"/>
          <w:szCs w:val="32"/>
        </w:rPr>
        <w:t>2018</w:t>
      </w:r>
      <w:r>
        <w:rPr>
          <w:rStyle w:val="19"/>
          <w:rFonts w:hint="eastAsia" w:ascii="仿宋_GB2312" w:hAnsi="楷体" w:eastAsia="仿宋_GB2312" w:cs="仿宋_GB2312"/>
          <w:b w:val="0"/>
          <w:bCs w:val="0"/>
          <w:spacing w:val="-4"/>
          <w:sz w:val="32"/>
          <w:szCs w:val="32"/>
        </w:rPr>
        <w:t>年</w:t>
      </w:r>
      <w:r>
        <w:rPr>
          <w:rStyle w:val="19"/>
          <w:rFonts w:ascii="仿宋_GB2312" w:hAnsi="楷体" w:eastAsia="仿宋_GB2312" w:cs="仿宋_GB2312"/>
          <w:b w:val="0"/>
          <w:bCs w:val="0"/>
          <w:spacing w:val="-4"/>
          <w:sz w:val="32"/>
          <w:szCs w:val="32"/>
        </w:rPr>
        <w:t>4</w:t>
      </w:r>
      <w:r>
        <w:rPr>
          <w:rStyle w:val="19"/>
          <w:rFonts w:hint="eastAsia" w:ascii="仿宋_GB2312" w:hAnsi="楷体" w:eastAsia="仿宋_GB2312" w:cs="仿宋_GB2312"/>
          <w:b w:val="0"/>
          <w:bCs w:val="0"/>
          <w:spacing w:val="-4"/>
          <w:sz w:val="32"/>
          <w:szCs w:val="32"/>
        </w:rPr>
        <w:t>月，根据州党委财经工作领导小组的决定，负责代建的州机关事务管理局将项目移交党校建设。</w:t>
      </w:r>
    </w:p>
    <w:p w14:paraId="5EA4D099">
      <w:pPr>
        <w:spacing w:line="580" w:lineRule="exact"/>
        <w:ind w:firstLine="624" w:firstLineChars="200"/>
        <w:rPr>
          <w:rFonts w:ascii="仿宋_GB2312" w:eastAsia="仿宋_GB2312"/>
          <w:spacing w:val="-4"/>
          <w:sz w:val="32"/>
          <w:szCs w:val="32"/>
        </w:rPr>
      </w:pPr>
      <w:r>
        <w:rPr>
          <w:rFonts w:hint="eastAsia" w:ascii="仿宋_GB2312" w:eastAsia="仿宋_GB2312" w:cs="仿宋_GB2312"/>
          <w:spacing w:val="-4"/>
          <w:sz w:val="32"/>
          <w:szCs w:val="32"/>
        </w:rPr>
        <w:t>巴州党校巴州行政学院教学楼项目全年基本建设项目目标明确、目标完成并基本达到预期效果，项目管理保障相关管理制度健全并落实到位，项目资料齐全并及时归档，人员配备合理、支撑条件保障好</w:t>
      </w:r>
      <w:r>
        <w:rPr>
          <w:rFonts w:ascii="仿宋_GB2312" w:eastAsia="仿宋_GB2312" w:cs="仿宋_GB2312"/>
          <w:spacing w:val="-4"/>
          <w:sz w:val="32"/>
          <w:szCs w:val="32"/>
        </w:rPr>
        <w:t>.</w:t>
      </w:r>
      <w:r>
        <w:rPr>
          <w:rFonts w:hint="eastAsia" w:ascii="仿宋_GB2312" w:eastAsia="仿宋_GB2312" w:cs="仿宋_GB2312"/>
          <w:spacing w:val="-4"/>
          <w:sz w:val="32"/>
          <w:szCs w:val="32"/>
        </w:rPr>
        <w:t>项目资金全年拨付</w:t>
      </w:r>
      <w:r>
        <w:rPr>
          <w:rFonts w:ascii="仿宋_GB2312" w:eastAsia="仿宋_GB2312" w:cs="仿宋_GB2312"/>
          <w:spacing w:val="-4"/>
          <w:sz w:val="32"/>
          <w:szCs w:val="32"/>
        </w:rPr>
        <w:t>14559965.49</w:t>
      </w:r>
      <w:r>
        <w:rPr>
          <w:rFonts w:hint="eastAsia" w:ascii="仿宋_GB2312" w:eastAsia="仿宋_GB2312" w:cs="仿宋_GB2312"/>
          <w:spacing w:val="-4"/>
          <w:sz w:val="32"/>
          <w:szCs w:val="32"/>
        </w:rPr>
        <w:t>元</w:t>
      </w:r>
      <w:r>
        <w:rPr>
          <w:rStyle w:val="19"/>
          <w:rFonts w:hint="eastAsia" w:ascii="仿宋_GB2312" w:hAnsi="仿宋" w:eastAsia="仿宋_GB2312" w:cs="仿宋_GB2312"/>
          <w:b w:val="0"/>
          <w:bCs w:val="0"/>
          <w:spacing w:val="-4"/>
          <w:sz w:val="32"/>
          <w:szCs w:val="32"/>
        </w:rPr>
        <w:t>。</w:t>
      </w:r>
      <w:r>
        <w:rPr>
          <w:rFonts w:hint="eastAsia" w:ascii="仿宋_GB2312" w:eastAsia="仿宋_GB2312" w:cs="仿宋_GB2312"/>
          <w:spacing w:val="-4"/>
          <w:sz w:val="32"/>
          <w:szCs w:val="32"/>
        </w:rPr>
        <w:t>资金支出</w:t>
      </w:r>
      <w:r>
        <w:rPr>
          <w:rFonts w:ascii="仿宋_GB2312" w:eastAsia="仿宋_GB2312" w:cs="仿宋_GB2312"/>
          <w:spacing w:val="-4"/>
          <w:sz w:val="32"/>
          <w:szCs w:val="32"/>
        </w:rPr>
        <w:t>14559965.49</w:t>
      </w:r>
      <w:r>
        <w:rPr>
          <w:rFonts w:hint="eastAsia" w:ascii="仿宋_GB2312" w:eastAsia="仿宋_GB2312" w:cs="仿宋_GB2312"/>
          <w:spacing w:val="-4"/>
          <w:sz w:val="32"/>
          <w:szCs w:val="32"/>
        </w:rPr>
        <w:t>元，资金执行率</w:t>
      </w:r>
      <w:r>
        <w:rPr>
          <w:rFonts w:ascii="仿宋_GB2312" w:eastAsia="仿宋_GB2312" w:cs="仿宋_GB2312"/>
          <w:spacing w:val="-4"/>
          <w:sz w:val="32"/>
          <w:szCs w:val="32"/>
        </w:rPr>
        <w:t>100%</w:t>
      </w:r>
      <w:r>
        <w:rPr>
          <w:rFonts w:hint="eastAsia" w:ascii="仿宋_GB2312" w:eastAsia="仿宋_GB2312" w:cs="仿宋_GB2312"/>
          <w:spacing w:val="-4"/>
          <w:sz w:val="32"/>
          <w:szCs w:val="32"/>
        </w:rPr>
        <w:t>，项目资金基本及时到位，使用按进度和合同约定进行，执行比较到位，资金使用符合国家财经法规和财务管理制度以及有关建设工程资金管理办法，会计核算资料完整且入账及时，完整，项目的组织管理基本有效；项目的产出基本达到目标，程序合理；项目效果良好，项目的绩效基本实现。我校按</w:t>
      </w:r>
      <w:r>
        <w:rPr>
          <w:rFonts w:ascii="仿宋_GB2312" w:eastAsia="仿宋_GB2312" w:cs="仿宋_GB2312"/>
          <w:spacing w:val="-4"/>
          <w:sz w:val="32"/>
          <w:szCs w:val="32"/>
        </w:rPr>
        <w:t>2019</w:t>
      </w:r>
      <w:r>
        <w:rPr>
          <w:rFonts w:hint="eastAsia" w:ascii="仿宋_GB2312" w:eastAsia="仿宋_GB2312" w:cs="仿宋_GB2312"/>
          <w:spacing w:val="-4"/>
          <w:sz w:val="32"/>
          <w:szCs w:val="32"/>
        </w:rPr>
        <w:t>年度财政预算绩效指标自评，自评</w:t>
      </w:r>
      <w:r>
        <w:rPr>
          <w:rFonts w:ascii="仿宋_GB2312" w:eastAsia="仿宋_GB2312" w:cs="仿宋_GB2312"/>
          <w:spacing w:val="-4"/>
          <w:sz w:val="32"/>
          <w:szCs w:val="32"/>
        </w:rPr>
        <w:t>95</w:t>
      </w:r>
      <w:r>
        <w:rPr>
          <w:rFonts w:hint="eastAsia" w:ascii="仿宋_GB2312" w:eastAsia="仿宋_GB2312" w:cs="仿宋_GB2312"/>
          <w:spacing w:val="-4"/>
          <w:sz w:val="32"/>
          <w:szCs w:val="32"/>
        </w:rPr>
        <w:t>分。</w:t>
      </w:r>
    </w:p>
    <w:p w14:paraId="3CC306F3">
      <w:pPr>
        <w:spacing w:line="580" w:lineRule="exact"/>
        <w:ind w:firstLine="567" w:firstLineChars="181"/>
        <w:rPr>
          <w:rStyle w:val="19"/>
          <w:rFonts w:ascii="楷体" w:hAnsi="楷体" w:eastAsia="楷体"/>
          <w:spacing w:val="-4"/>
          <w:sz w:val="32"/>
          <w:szCs w:val="32"/>
        </w:rPr>
      </w:pPr>
      <w:r>
        <w:rPr>
          <w:rStyle w:val="19"/>
          <w:rFonts w:hint="eastAsia" w:ascii="楷体" w:hAnsi="楷体" w:eastAsia="楷体" w:cs="楷体"/>
          <w:spacing w:val="-4"/>
          <w:sz w:val="32"/>
          <w:szCs w:val="32"/>
        </w:rPr>
        <w:t>（二）项目绩效目标。</w:t>
      </w:r>
    </w:p>
    <w:p w14:paraId="4B740148">
      <w:pPr>
        <w:spacing w:line="580" w:lineRule="exact"/>
        <w:ind w:firstLine="564" w:firstLineChars="181"/>
        <w:rPr>
          <w:rStyle w:val="19"/>
          <w:rFonts w:ascii="仿宋_GB2312" w:hAnsi="楷体" w:eastAsia="仿宋_GB2312"/>
          <w:b w:val="0"/>
          <w:bCs w:val="0"/>
          <w:spacing w:val="-4"/>
          <w:sz w:val="32"/>
          <w:szCs w:val="32"/>
        </w:rPr>
      </w:pPr>
      <w:r>
        <w:rPr>
          <w:rStyle w:val="19"/>
          <w:rFonts w:hint="eastAsia" w:ascii="仿宋_GB2312" w:hAnsi="仿宋" w:eastAsia="仿宋_GB2312" w:cs="仿宋_GB2312"/>
          <w:b w:val="0"/>
          <w:bCs w:val="0"/>
          <w:spacing w:val="-4"/>
          <w:sz w:val="32"/>
          <w:szCs w:val="32"/>
        </w:rPr>
        <w:t>总体目标：工程</w:t>
      </w:r>
      <w:r>
        <w:rPr>
          <w:rStyle w:val="19"/>
          <w:rFonts w:hint="eastAsia" w:ascii="仿宋_GB2312" w:hAnsi="楷体" w:eastAsia="仿宋_GB2312" w:cs="仿宋_GB2312"/>
          <w:b w:val="0"/>
          <w:bCs w:val="0"/>
          <w:spacing w:val="-4"/>
          <w:sz w:val="32"/>
          <w:szCs w:val="32"/>
        </w:rPr>
        <w:t>移交巴州党校负责建设，工程款由巴州党校申报审核支付。</w:t>
      </w:r>
      <w:r>
        <w:rPr>
          <w:rStyle w:val="19"/>
          <w:rFonts w:ascii="仿宋_GB2312" w:hAnsi="楷体" w:eastAsia="仿宋_GB2312" w:cs="仿宋_GB2312"/>
          <w:b w:val="0"/>
          <w:bCs w:val="0"/>
          <w:spacing w:val="-4"/>
          <w:sz w:val="32"/>
          <w:szCs w:val="32"/>
        </w:rPr>
        <w:t>2019</w:t>
      </w:r>
      <w:r>
        <w:rPr>
          <w:rStyle w:val="19"/>
          <w:rFonts w:hint="eastAsia" w:ascii="仿宋_GB2312" w:hAnsi="楷体" w:eastAsia="仿宋_GB2312" w:cs="仿宋_GB2312"/>
          <w:b w:val="0"/>
          <w:bCs w:val="0"/>
          <w:spacing w:val="-4"/>
          <w:sz w:val="32"/>
          <w:szCs w:val="32"/>
        </w:rPr>
        <w:t>年</w:t>
      </w:r>
      <w:r>
        <w:rPr>
          <w:rStyle w:val="19"/>
          <w:rFonts w:ascii="仿宋_GB2312" w:hAnsi="楷体" w:eastAsia="仿宋_GB2312" w:cs="仿宋_GB2312"/>
          <w:b w:val="0"/>
          <w:bCs w:val="0"/>
          <w:spacing w:val="-4"/>
          <w:sz w:val="32"/>
          <w:szCs w:val="32"/>
        </w:rPr>
        <w:t>4</w:t>
      </w:r>
      <w:r>
        <w:rPr>
          <w:rStyle w:val="19"/>
          <w:rFonts w:hint="eastAsia" w:ascii="仿宋_GB2312" w:hAnsi="楷体" w:eastAsia="仿宋_GB2312" w:cs="仿宋_GB2312"/>
          <w:b w:val="0"/>
          <w:bCs w:val="0"/>
          <w:spacing w:val="-4"/>
          <w:sz w:val="32"/>
          <w:szCs w:val="32"/>
        </w:rPr>
        <w:t>月</w:t>
      </w:r>
      <w:r>
        <w:rPr>
          <w:rStyle w:val="19"/>
          <w:rFonts w:ascii="仿宋_GB2312" w:hAnsi="楷体" w:eastAsia="仿宋_GB2312" w:cs="仿宋_GB2312"/>
          <w:b w:val="0"/>
          <w:bCs w:val="0"/>
          <w:spacing w:val="-4"/>
          <w:sz w:val="32"/>
          <w:szCs w:val="32"/>
        </w:rPr>
        <w:t>3</w:t>
      </w:r>
      <w:r>
        <w:rPr>
          <w:rStyle w:val="19"/>
          <w:rFonts w:hint="eastAsia" w:ascii="仿宋_GB2312" w:hAnsi="楷体" w:eastAsia="仿宋_GB2312" w:cs="仿宋_GB2312"/>
          <w:b w:val="0"/>
          <w:bCs w:val="0"/>
          <w:spacing w:val="-4"/>
          <w:sz w:val="32"/>
          <w:szCs w:val="32"/>
        </w:rPr>
        <w:t>日，项目施工许可证终于办理完毕，复工建设。州党委领导明确要求，项目要在</w:t>
      </w:r>
      <w:r>
        <w:rPr>
          <w:rStyle w:val="19"/>
          <w:rFonts w:ascii="仿宋_GB2312" w:hAnsi="楷体" w:eastAsia="仿宋_GB2312" w:cs="仿宋_GB2312"/>
          <w:b w:val="0"/>
          <w:bCs w:val="0"/>
          <w:spacing w:val="-4"/>
          <w:sz w:val="32"/>
          <w:szCs w:val="32"/>
        </w:rPr>
        <w:t>2019</w:t>
      </w:r>
      <w:r>
        <w:rPr>
          <w:rStyle w:val="19"/>
          <w:rFonts w:hint="eastAsia" w:ascii="仿宋_GB2312" w:hAnsi="楷体" w:eastAsia="仿宋_GB2312" w:cs="仿宋_GB2312"/>
          <w:b w:val="0"/>
          <w:bCs w:val="0"/>
          <w:spacing w:val="-4"/>
          <w:sz w:val="32"/>
          <w:szCs w:val="32"/>
        </w:rPr>
        <w:t>年“十一”前竣工和投入使用。</w:t>
      </w:r>
    </w:p>
    <w:p w14:paraId="45DEE874">
      <w:pPr>
        <w:spacing w:line="580" w:lineRule="exact"/>
        <w:ind w:firstLine="564" w:firstLineChars="181"/>
        <w:rPr>
          <w:rStyle w:val="19"/>
          <w:rFonts w:ascii="仿宋_GB2312" w:hAnsi="宋体" w:eastAsia="仿宋_GB2312"/>
          <w:b w:val="0"/>
          <w:bCs w:val="0"/>
          <w:spacing w:val="-4"/>
          <w:sz w:val="32"/>
          <w:szCs w:val="32"/>
        </w:rPr>
      </w:pPr>
      <w:r>
        <w:rPr>
          <w:rStyle w:val="19"/>
          <w:rFonts w:hint="eastAsia" w:ascii="仿宋_GB2312" w:hAnsi="楷体" w:eastAsia="仿宋_GB2312" w:cs="仿宋_GB2312"/>
          <w:b w:val="0"/>
          <w:bCs w:val="0"/>
          <w:spacing w:val="-4"/>
          <w:sz w:val="32"/>
          <w:szCs w:val="32"/>
        </w:rPr>
        <w:t>阶段性目标：消防、电梯、高低压、中央空调按合同约定施工建设，其中高低压及电梯设备</w:t>
      </w:r>
      <w:r>
        <w:rPr>
          <w:rStyle w:val="19"/>
          <w:rFonts w:ascii="仿宋_GB2312" w:hAnsi="楷体" w:eastAsia="仿宋_GB2312" w:cs="仿宋_GB2312"/>
          <w:b w:val="0"/>
          <w:bCs w:val="0"/>
          <w:spacing w:val="-4"/>
          <w:sz w:val="32"/>
          <w:szCs w:val="32"/>
        </w:rPr>
        <w:t>5</w:t>
      </w:r>
      <w:r>
        <w:rPr>
          <w:rStyle w:val="19"/>
          <w:rFonts w:hint="eastAsia" w:ascii="仿宋_GB2312" w:hAnsi="楷体" w:eastAsia="仿宋_GB2312" w:cs="仿宋_GB2312"/>
          <w:b w:val="0"/>
          <w:bCs w:val="0"/>
          <w:spacing w:val="-4"/>
          <w:sz w:val="32"/>
          <w:szCs w:val="32"/>
        </w:rPr>
        <w:t>月中旬到场，</w:t>
      </w:r>
      <w:r>
        <w:rPr>
          <w:rStyle w:val="19"/>
          <w:rFonts w:ascii="仿宋_GB2312" w:hAnsi="楷体" w:eastAsia="仿宋_GB2312" w:cs="仿宋_GB2312"/>
          <w:b w:val="0"/>
          <w:bCs w:val="0"/>
          <w:spacing w:val="-4"/>
          <w:sz w:val="32"/>
          <w:szCs w:val="32"/>
        </w:rPr>
        <w:t>9</w:t>
      </w:r>
      <w:r>
        <w:rPr>
          <w:rStyle w:val="19"/>
          <w:rFonts w:hint="eastAsia" w:ascii="仿宋_GB2312" w:hAnsi="楷体" w:eastAsia="仿宋_GB2312" w:cs="仿宋_GB2312"/>
          <w:b w:val="0"/>
          <w:bCs w:val="0"/>
          <w:spacing w:val="-4"/>
          <w:sz w:val="32"/>
          <w:szCs w:val="32"/>
        </w:rPr>
        <w:t>月安装完毕，</w:t>
      </w:r>
      <w:r>
        <w:rPr>
          <w:rStyle w:val="19"/>
          <w:rFonts w:ascii="仿宋_GB2312" w:hAnsi="楷体" w:eastAsia="仿宋_GB2312" w:cs="仿宋_GB2312"/>
          <w:b w:val="0"/>
          <w:bCs w:val="0"/>
          <w:spacing w:val="-4"/>
          <w:sz w:val="32"/>
          <w:szCs w:val="32"/>
        </w:rPr>
        <w:t>10</w:t>
      </w:r>
      <w:r>
        <w:rPr>
          <w:rStyle w:val="19"/>
          <w:rFonts w:hint="eastAsia" w:ascii="仿宋_GB2312" w:hAnsi="楷体" w:eastAsia="仿宋_GB2312" w:cs="仿宋_GB2312"/>
          <w:b w:val="0"/>
          <w:bCs w:val="0"/>
          <w:spacing w:val="-4"/>
          <w:sz w:val="32"/>
          <w:szCs w:val="32"/>
        </w:rPr>
        <w:t>投入使用，室内消防设备主管道及通风设备</w:t>
      </w:r>
      <w:r>
        <w:rPr>
          <w:rStyle w:val="19"/>
          <w:rFonts w:ascii="仿宋_GB2312" w:hAnsi="楷体" w:eastAsia="仿宋_GB2312" w:cs="仿宋_GB2312"/>
          <w:b w:val="0"/>
          <w:bCs w:val="0"/>
          <w:spacing w:val="-4"/>
          <w:sz w:val="32"/>
          <w:szCs w:val="32"/>
        </w:rPr>
        <w:t>5</w:t>
      </w:r>
      <w:r>
        <w:rPr>
          <w:rStyle w:val="19"/>
          <w:rFonts w:hint="eastAsia" w:ascii="仿宋_GB2312" w:hAnsi="楷体" w:eastAsia="仿宋_GB2312" w:cs="仿宋_GB2312"/>
          <w:b w:val="0"/>
          <w:bCs w:val="0"/>
          <w:spacing w:val="-4"/>
          <w:sz w:val="32"/>
          <w:szCs w:val="32"/>
        </w:rPr>
        <w:t>月到货，</w:t>
      </w:r>
      <w:r>
        <w:rPr>
          <w:rStyle w:val="19"/>
          <w:rFonts w:ascii="仿宋_GB2312" w:hAnsi="楷体" w:eastAsia="仿宋_GB2312" w:cs="仿宋_GB2312"/>
          <w:b w:val="0"/>
          <w:bCs w:val="0"/>
          <w:spacing w:val="-4"/>
          <w:sz w:val="32"/>
          <w:szCs w:val="32"/>
        </w:rPr>
        <w:t>8</w:t>
      </w:r>
      <w:r>
        <w:rPr>
          <w:rStyle w:val="19"/>
          <w:rFonts w:hint="eastAsia" w:ascii="仿宋_GB2312" w:hAnsi="楷体" w:eastAsia="仿宋_GB2312" w:cs="仿宋_GB2312"/>
          <w:b w:val="0"/>
          <w:bCs w:val="0"/>
          <w:spacing w:val="-4"/>
          <w:sz w:val="32"/>
          <w:szCs w:val="32"/>
        </w:rPr>
        <w:t>月安装完毕，喷淋及消防控制室在吊顶及室内装修完成后</w:t>
      </w:r>
      <w:r>
        <w:rPr>
          <w:rStyle w:val="19"/>
          <w:rFonts w:ascii="仿宋_GB2312" w:hAnsi="楷体" w:eastAsia="仿宋_GB2312" w:cs="仿宋_GB2312"/>
          <w:b w:val="0"/>
          <w:bCs w:val="0"/>
          <w:spacing w:val="-4"/>
          <w:sz w:val="32"/>
          <w:szCs w:val="32"/>
        </w:rPr>
        <w:t>1</w:t>
      </w:r>
      <w:r>
        <w:rPr>
          <w:rStyle w:val="19"/>
          <w:rFonts w:hint="eastAsia" w:ascii="仿宋_GB2312" w:hAnsi="楷体" w:eastAsia="仿宋_GB2312" w:cs="仿宋_GB2312"/>
          <w:b w:val="0"/>
          <w:bCs w:val="0"/>
          <w:spacing w:val="-4"/>
          <w:sz w:val="32"/>
          <w:szCs w:val="32"/>
        </w:rPr>
        <w:t>个月内安装完毕。中央空调设备</w:t>
      </w:r>
      <w:r>
        <w:rPr>
          <w:rStyle w:val="19"/>
          <w:rFonts w:ascii="仿宋_GB2312" w:hAnsi="楷体" w:eastAsia="仿宋_GB2312" w:cs="仿宋_GB2312"/>
          <w:b w:val="0"/>
          <w:bCs w:val="0"/>
          <w:spacing w:val="-4"/>
          <w:sz w:val="32"/>
          <w:szCs w:val="32"/>
        </w:rPr>
        <w:t>5</w:t>
      </w:r>
      <w:r>
        <w:rPr>
          <w:rStyle w:val="19"/>
          <w:rFonts w:hint="eastAsia" w:ascii="仿宋_GB2312" w:hAnsi="楷体" w:eastAsia="仿宋_GB2312" w:cs="仿宋_GB2312"/>
          <w:b w:val="0"/>
          <w:bCs w:val="0"/>
          <w:spacing w:val="-4"/>
          <w:sz w:val="32"/>
          <w:szCs w:val="32"/>
        </w:rPr>
        <w:t>月到场，主机及室内机及冷凝管和排水管</w:t>
      </w:r>
      <w:r>
        <w:rPr>
          <w:rStyle w:val="19"/>
          <w:rFonts w:ascii="仿宋_GB2312" w:hAnsi="楷体" w:eastAsia="仿宋_GB2312" w:cs="仿宋_GB2312"/>
          <w:b w:val="0"/>
          <w:bCs w:val="0"/>
          <w:spacing w:val="-4"/>
          <w:sz w:val="32"/>
          <w:szCs w:val="32"/>
        </w:rPr>
        <w:t>9</w:t>
      </w:r>
      <w:r>
        <w:rPr>
          <w:rStyle w:val="19"/>
          <w:rFonts w:hint="eastAsia" w:ascii="仿宋_GB2312" w:hAnsi="楷体" w:eastAsia="仿宋_GB2312" w:cs="仿宋_GB2312"/>
          <w:b w:val="0"/>
          <w:bCs w:val="0"/>
          <w:spacing w:val="-4"/>
          <w:sz w:val="32"/>
          <w:szCs w:val="32"/>
        </w:rPr>
        <w:t>月底安装完毕，室内二次装修审图</w:t>
      </w:r>
      <w:r>
        <w:rPr>
          <w:rStyle w:val="19"/>
          <w:rFonts w:ascii="仿宋_GB2312" w:hAnsi="楷体" w:eastAsia="仿宋_GB2312" w:cs="仿宋_GB2312"/>
          <w:b w:val="0"/>
          <w:bCs w:val="0"/>
          <w:spacing w:val="-4"/>
          <w:sz w:val="32"/>
          <w:szCs w:val="32"/>
        </w:rPr>
        <w:t>5</w:t>
      </w:r>
      <w:r>
        <w:rPr>
          <w:rStyle w:val="19"/>
          <w:rFonts w:hint="eastAsia" w:ascii="仿宋_GB2312" w:hAnsi="楷体" w:eastAsia="仿宋_GB2312" w:cs="仿宋_GB2312"/>
          <w:b w:val="0"/>
          <w:bCs w:val="0"/>
          <w:spacing w:val="-4"/>
          <w:sz w:val="32"/>
          <w:szCs w:val="32"/>
        </w:rPr>
        <w:t>月</w:t>
      </w:r>
      <w:r>
        <w:rPr>
          <w:rStyle w:val="19"/>
          <w:rFonts w:ascii="仿宋_GB2312" w:hAnsi="楷体" w:eastAsia="仿宋_GB2312" w:cs="仿宋_GB2312"/>
          <w:b w:val="0"/>
          <w:bCs w:val="0"/>
          <w:spacing w:val="-4"/>
          <w:sz w:val="32"/>
          <w:szCs w:val="32"/>
        </w:rPr>
        <w:t>15</w:t>
      </w:r>
      <w:r>
        <w:rPr>
          <w:rStyle w:val="19"/>
          <w:rFonts w:hint="eastAsia" w:ascii="仿宋_GB2312" w:hAnsi="楷体" w:eastAsia="仿宋_GB2312" w:cs="仿宋_GB2312"/>
          <w:b w:val="0"/>
          <w:bCs w:val="0"/>
          <w:spacing w:val="-4"/>
          <w:sz w:val="32"/>
          <w:szCs w:val="32"/>
        </w:rPr>
        <w:t>日前完成，智能化设计</w:t>
      </w:r>
      <w:r>
        <w:rPr>
          <w:rStyle w:val="19"/>
          <w:rFonts w:ascii="仿宋_GB2312" w:hAnsi="楷体" w:eastAsia="仿宋_GB2312" w:cs="仿宋_GB2312"/>
          <w:b w:val="0"/>
          <w:bCs w:val="0"/>
          <w:spacing w:val="-4"/>
          <w:sz w:val="32"/>
          <w:szCs w:val="32"/>
        </w:rPr>
        <w:t>5</w:t>
      </w:r>
      <w:r>
        <w:rPr>
          <w:rStyle w:val="19"/>
          <w:rFonts w:hint="eastAsia" w:ascii="仿宋_GB2312" w:hAnsi="楷体" w:eastAsia="仿宋_GB2312" w:cs="仿宋_GB2312"/>
          <w:b w:val="0"/>
          <w:bCs w:val="0"/>
          <w:spacing w:val="-4"/>
          <w:sz w:val="32"/>
          <w:szCs w:val="32"/>
        </w:rPr>
        <w:t>月底完成招标，家具窗帘等设施</w:t>
      </w:r>
      <w:r>
        <w:rPr>
          <w:rStyle w:val="19"/>
          <w:rFonts w:ascii="仿宋_GB2312" w:hAnsi="楷体" w:eastAsia="仿宋_GB2312" w:cs="仿宋_GB2312"/>
          <w:b w:val="0"/>
          <w:bCs w:val="0"/>
          <w:spacing w:val="-4"/>
          <w:sz w:val="32"/>
          <w:szCs w:val="32"/>
        </w:rPr>
        <w:t>6</w:t>
      </w:r>
      <w:r>
        <w:rPr>
          <w:rStyle w:val="19"/>
          <w:rFonts w:hint="eastAsia" w:ascii="仿宋_GB2312" w:hAnsi="楷体" w:eastAsia="仿宋_GB2312" w:cs="仿宋_GB2312"/>
          <w:b w:val="0"/>
          <w:bCs w:val="0"/>
          <w:spacing w:val="-4"/>
          <w:sz w:val="32"/>
          <w:szCs w:val="32"/>
        </w:rPr>
        <w:t>月前完成招标，外网中自来水、电、排污、室外消防、地面硬化及外墙保温装饰等工程</w:t>
      </w:r>
      <w:r>
        <w:rPr>
          <w:rStyle w:val="19"/>
          <w:rFonts w:ascii="仿宋_GB2312" w:hAnsi="楷体" w:eastAsia="仿宋_GB2312" w:cs="仿宋_GB2312"/>
          <w:b w:val="0"/>
          <w:bCs w:val="0"/>
          <w:spacing w:val="-4"/>
          <w:sz w:val="32"/>
          <w:szCs w:val="32"/>
        </w:rPr>
        <w:t>6</w:t>
      </w:r>
      <w:r>
        <w:rPr>
          <w:rStyle w:val="19"/>
          <w:rFonts w:hint="eastAsia" w:ascii="仿宋_GB2312" w:hAnsi="楷体" w:eastAsia="仿宋_GB2312" w:cs="仿宋_GB2312"/>
          <w:b w:val="0"/>
          <w:bCs w:val="0"/>
          <w:spacing w:val="-4"/>
          <w:sz w:val="32"/>
          <w:szCs w:val="32"/>
        </w:rPr>
        <w:t>月前完成预算及设计，以上工程均并按招标程序</w:t>
      </w:r>
      <w:r>
        <w:rPr>
          <w:rStyle w:val="19"/>
          <w:rFonts w:ascii="仿宋_GB2312" w:hAnsi="楷体" w:eastAsia="仿宋_GB2312" w:cs="仿宋_GB2312"/>
          <w:b w:val="0"/>
          <w:bCs w:val="0"/>
          <w:spacing w:val="-4"/>
          <w:sz w:val="32"/>
          <w:szCs w:val="32"/>
        </w:rPr>
        <w:t>6</w:t>
      </w:r>
      <w:r>
        <w:rPr>
          <w:rStyle w:val="19"/>
          <w:rFonts w:hint="eastAsia" w:ascii="仿宋_GB2312" w:hAnsi="楷体" w:eastAsia="仿宋_GB2312" w:cs="仿宋_GB2312"/>
          <w:b w:val="0"/>
          <w:bCs w:val="0"/>
          <w:spacing w:val="-4"/>
          <w:sz w:val="32"/>
          <w:szCs w:val="32"/>
        </w:rPr>
        <w:t>月底确定施工企业及大宗材料供货商，并</w:t>
      </w:r>
      <w:r>
        <w:rPr>
          <w:rStyle w:val="19"/>
          <w:rFonts w:hint="eastAsia" w:ascii="仿宋_GB2312" w:hAnsi="楷体" w:eastAsia="仿宋_GB2312" w:cs="仿宋_GB2312"/>
          <w:b w:val="0"/>
          <w:bCs w:val="0"/>
          <w:spacing w:val="-4"/>
          <w:sz w:val="32"/>
          <w:szCs w:val="32"/>
          <w:lang w:eastAsia="zh-CN"/>
        </w:rPr>
        <w:t>签订合同</w:t>
      </w:r>
      <w:bookmarkStart w:id="2" w:name="_GoBack"/>
      <w:bookmarkEnd w:id="2"/>
      <w:r>
        <w:rPr>
          <w:rStyle w:val="19"/>
          <w:rFonts w:hint="eastAsia" w:ascii="仿宋_GB2312" w:hAnsi="楷体" w:eastAsia="仿宋_GB2312" w:cs="仿宋_GB2312"/>
          <w:b w:val="0"/>
          <w:bCs w:val="0"/>
          <w:spacing w:val="-4"/>
          <w:sz w:val="32"/>
          <w:szCs w:val="32"/>
        </w:rPr>
        <w:t>，按合同确定工程进度支付工程款并督促按期完工，</w:t>
      </w:r>
      <w:r>
        <w:rPr>
          <w:rStyle w:val="19"/>
          <w:rFonts w:hint="eastAsia" w:ascii="仿宋_GB2312" w:hAnsi="宋体" w:eastAsia="仿宋_GB2312" w:cs="仿宋_GB2312"/>
          <w:b w:val="0"/>
          <w:bCs w:val="0"/>
          <w:spacing w:val="-4"/>
          <w:sz w:val="32"/>
          <w:szCs w:val="32"/>
        </w:rPr>
        <w:t>促进党校教学楼年底前投入使用。</w:t>
      </w:r>
    </w:p>
    <w:p w14:paraId="697BF4CA">
      <w:pPr>
        <w:spacing w:line="580" w:lineRule="exact"/>
        <w:ind w:firstLine="640" w:firstLineChars="200"/>
        <w:rPr>
          <w:rFonts w:ascii="方正小标宋_GBK" w:hAnsi="黑体" w:eastAsia="方正小标宋_GBK"/>
          <w:sz w:val="32"/>
          <w:szCs w:val="32"/>
        </w:rPr>
      </w:pPr>
      <w:r>
        <w:rPr>
          <w:rFonts w:hint="eastAsia" w:ascii="方正小标宋_GBK" w:hAnsi="黑体" w:eastAsia="方正小标宋_GBK" w:cs="方正小标宋_GBK"/>
          <w:sz w:val="32"/>
          <w:szCs w:val="32"/>
        </w:rPr>
        <w:t>二、绩效评价工作开展情况</w:t>
      </w:r>
    </w:p>
    <w:p w14:paraId="58424F22">
      <w:pPr>
        <w:pStyle w:val="15"/>
        <w:widowControl/>
        <w:spacing w:before="0" w:beforeAutospacing="0" w:after="0" w:afterAutospacing="0" w:line="580" w:lineRule="exact"/>
        <w:ind w:firstLine="643" w:firstLineChars="200"/>
        <w:rPr>
          <w:rFonts w:ascii="仿宋_GB2312"/>
          <w:b/>
          <w:bCs/>
          <w:sz w:val="32"/>
          <w:szCs w:val="32"/>
        </w:rPr>
      </w:pPr>
      <w:r>
        <w:rPr>
          <w:rFonts w:hint="eastAsia" w:ascii="仿宋_GB2312" w:cs="仿宋_GB2312"/>
          <w:b/>
          <w:bCs/>
          <w:sz w:val="32"/>
          <w:szCs w:val="32"/>
        </w:rPr>
        <w:t>（一）</w:t>
      </w:r>
      <w:bookmarkStart w:id="0" w:name="OLE_LINK1"/>
      <w:bookmarkStart w:id="1" w:name="OLE_LINK2"/>
      <w:r>
        <w:rPr>
          <w:rFonts w:hint="eastAsia" w:ascii="仿宋_GB2312" w:cs="仿宋_GB2312"/>
          <w:b/>
          <w:bCs/>
          <w:sz w:val="32"/>
          <w:szCs w:val="32"/>
        </w:rPr>
        <w:t>绩效评价目的、对象和范围</w:t>
      </w:r>
      <w:bookmarkEnd w:id="0"/>
      <w:bookmarkEnd w:id="1"/>
      <w:r>
        <w:rPr>
          <w:rFonts w:hint="eastAsia" w:ascii="仿宋_GB2312" w:cs="仿宋_GB2312"/>
          <w:b/>
          <w:bCs/>
          <w:sz w:val="32"/>
          <w:szCs w:val="32"/>
        </w:rPr>
        <w:t>。</w:t>
      </w:r>
    </w:p>
    <w:p w14:paraId="52F533C9">
      <w:pPr>
        <w:pStyle w:val="15"/>
        <w:widowControl/>
        <w:spacing w:before="0" w:beforeAutospacing="0" w:after="0" w:afterAutospacing="0" w:line="580" w:lineRule="exact"/>
        <w:ind w:firstLine="640" w:firstLineChars="200"/>
        <w:rPr>
          <w:rFonts w:ascii="仿宋_GB2312"/>
          <w:sz w:val="32"/>
          <w:szCs w:val="32"/>
        </w:rPr>
      </w:pPr>
      <w:r>
        <w:rPr>
          <w:rFonts w:hint="eastAsia" w:ascii="仿宋_GB2312" w:cs="仿宋_GB2312"/>
          <w:sz w:val="32"/>
          <w:szCs w:val="32"/>
        </w:rPr>
        <w:t>绩效评价旨在通过评价改善预算部门的财政支出管理，优化资源配置及提高公共服务水平。本次绩效评价遵循《中共中央</w:t>
      </w:r>
      <w:r>
        <w:rPr>
          <w:rFonts w:ascii="仿宋_GB2312" w:cs="仿宋_GB2312"/>
          <w:sz w:val="32"/>
          <w:szCs w:val="32"/>
        </w:rPr>
        <w:t xml:space="preserve"> </w:t>
      </w:r>
      <w:r>
        <w:rPr>
          <w:rFonts w:hint="eastAsia" w:ascii="仿宋_GB2312" w:cs="仿宋_GB2312"/>
          <w:sz w:val="32"/>
          <w:szCs w:val="32"/>
        </w:rPr>
        <w:t>国务院关于全面实施预算绩效管理的意见》（中发〔</w:t>
      </w:r>
      <w:r>
        <w:rPr>
          <w:rFonts w:ascii="仿宋_GB2312" w:cs="仿宋_GB2312"/>
          <w:sz w:val="32"/>
          <w:szCs w:val="32"/>
        </w:rPr>
        <w:t>2018</w:t>
      </w:r>
      <w:r>
        <w:rPr>
          <w:rFonts w:hint="eastAsia" w:ascii="仿宋_GB2312" w:cs="仿宋_GB2312"/>
          <w:sz w:val="32"/>
          <w:szCs w:val="32"/>
        </w:rPr>
        <w:t>〕</w:t>
      </w:r>
      <w:r>
        <w:rPr>
          <w:rFonts w:ascii="仿宋_GB2312" w:cs="仿宋_GB2312"/>
          <w:sz w:val="32"/>
          <w:szCs w:val="32"/>
        </w:rPr>
        <w:t>34</w:t>
      </w:r>
      <w:r>
        <w:rPr>
          <w:rFonts w:hint="eastAsia" w:ascii="仿宋_GB2312" w:cs="仿宋_GB2312"/>
          <w:sz w:val="32"/>
          <w:szCs w:val="32"/>
        </w:rPr>
        <w:t>号文）、《自治区党委自治区人民政府关于全面实施预算绩效管理的实施意见》（新党发〔</w:t>
      </w:r>
      <w:r>
        <w:rPr>
          <w:rFonts w:ascii="仿宋_GB2312" w:cs="仿宋_GB2312"/>
          <w:sz w:val="32"/>
          <w:szCs w:val="32"/>
        </w:rPr>
        <w:t>2018</w:t>
      </w:r>
      <w:r>
        <w:rPr>
          <w:rFonts w:hint="eastAsia" w:ascii="仿宋_GB2312" w:cs="仿宋_GB2312"/>
          <w:sz w:val="32"/>
          <w:szCs w:val="32"/>
        </w:rPr>
        <w:t>〕</w:t>
      </w:r>
      <w:r>
        <w:rPr>
          <w:rFonts w:ascii="仿宋_GB2312" w:cs="仿宋_GB2312"/>
          <w:sz w:val="32"/>
          <w:szCs w:val="32"/>
        </w:rPr>
        <w:t>30</w:t>
      </w:r>
      <w:r>
        <w:rPr>
          <w:rFonts w:hint="eastAsia" w:ascii="仿宋_GB2312" w:cs="仿宋_GB2312"/>
          <w:sz w:val="32"/>
          <w:szCs w:val="32"/>
        </w:rPr>
        <w:t>号文）、《关于做好</w:t>
      </w:r>
      <w:r>
        <w:rPr>
          <w:rFonts w:ascii="仿宋_GB2312" w:cs="仿宋_GB2312"/>
          <w:sz w:val="32"/>
          <w:szCs w:val="32"/>
        </w:rPr>
        <w:t>2019</w:t>
      </w:r>
      <w:r>
        <w:rPr>
          <w:rFonts w:hint="eastAsia" w:ascii="仿宋_GB2312" w:cs="仿宋_GB2312"/>
          <w:sz w:val="32"/>
          <w:szCs w:val="32"/>
        </w:rPr>
        <w:t>年自治区预算绩效管理工作》（新财预〔</w:t>
      </w:r>
      <w:r>
        <w:rPr>
          <w:rFonts w:ascii="仿宋_GB2312" w:cs="仿宋_GB2312"/>
          <w:sz w:val="32"/>
          <w:szCs w:val="32"/>
        </w:rPr>
        <w:t>2019</w:t>
      </w:r>
      <w:r>
        <w:rPr>
          <w:rFonts w:hint="eastAsia" w:ascii="仿宋_GB2312" w:cs="仿宋_GB2312"/>
          <w:sz w:val="32"/>
          <w:szCs w:val="32"/>
        </w:rPr>
        <w:t>〕</w:t>
      </w:r>
      <w:r>
        <w:rPr>
          <w:rFonts w:ascii="仿宋_GB2312" w:cs="仿宋_GB2312"/>
          <w:sz w:val="32"/>
          <w:szCs w:val="32"/>
        </w:rPr>
        <w:t>20</w:t>
      </w:r>
      <w:r>
        <w:rPr>
          <w:rFonts w:hint="eastAsia" w:ascii="仿宋_GB2312" w:cs="仿宋_GB2312"/>
          <w:sz w:val="32"/>
          <w:szCs w:val="32"/>
        </w:rPr>
        <w:t>号）、《自治区全面实施预算绩效管理的工作方案》（新财预〔</w:t>
      </w:r>
      <w:r>
        <w:rPr>
          <w:rFonts w:ascii="仿宋_GB2312" w:cs="仿宋_GB2312"/>
          <w:sz w:val="32"/>
          <w:szCs w:val="32"/>
        </w:rPr>
        <w:t>2018</w:t>
      </w:r>
      <w:r>
        <w:rPr>
          <w:rFonts w:hint="eastAsia" w:ascii="仿宋_GB2312" w:cs="仿宋_GB2312"/>
          <w:sz w:val="32"/>
          <w:szCs w:val="32"/>
        </w:rPr>
        <w:t>〕</w:t>
      </w:r>
      <w:r>
        <w:rPr>
          <w:rFonts w:ascii="仿宋_GB2312" w:cs="仿宋_GB2312"/>
          <w:sz w:val="32"/>
          <w:szCs w:val="32"/>
        </w:rPr>
        <w:t>158</w:t>
      </w:r>
      <w:r>
        <w:rPr>
          <w:rFonts w:hint="eastAsia" w:ascii="仿宋_GB2312" w:cs="仿宋_GB2312"/>
          <w:sz w:val="32"/>
          <w:szCs w:val="32"/>
        </w:rPr>
        <w:t>号）、《自治区财政支出事前绩效评估管理暂行办法》（新财预〔</w:t>
      </w:r>
      <w:r>
        <w:rPr>
          <w:rFonts w:ascii="仿宋_GB2312" w:cs="仿宋_GB2312"/>
          <w:sz w:val="32"/>
          <w:szCs w:val="32"/>
        </w:rPr>
        <w:t>2019</w:t>
      </w:r>
      <w:r>
        <w:rPr>
          <w:rFonts w:hint="eastAsia" w:ascii="仿宋_GB2312" w:cs="仿宋_GB2312"/>
          <w:sz w:val="32"/>
          <w:szCs w:val="32"/>
        </w:rPr>
        <w:t>〕</w:t>
      </w:r>
      <w:r>
        <w:rPr>
          <w:rFonts w:ascii="仿宋_GB2312" w:cs="仿宋_GB2312"/>
          <w:sz w:val="32"/>
          <w:szCs w:val="32"/>
        </w:rPr>
        <w:t>36</w:t>
      </w:r>
      <w:r>
        <w:rPr>
          <w:rFonts w:hint="eastAsia" w:ascii="仿宋_GB2312" w:cs="仿宋_GB2312"/>
          <w:sz w:val="32"/>
          <w:szCs w:val="32"/>
        </w:rPr>
        <w:t>号）文件要求，采用科学、规范的方法，依据既定的评价技术体系，为加强财政预算资金管理，客观公正地核查巴州党委党校、巴州行政学院教学楼项目，及时总结经验，分析存在问题及原因，切实采取有效措施进一步改进和加强财政专项资金管理，推动财政资金聚力增效，提高公共服务供给质量，增强政府公信力和执行力。</w:t>
      </w:r>
    </w:p>
    <w:p w14:paraId="13A076AC">
      <w:pPr>
        <w:pStyle w:val="15"/>
        <w:widowControl/>
        <w:spacing w:before="0" w:beforeAutospacing="0" w:after="0" w:afterAutospacing="0" w:line="580" w:lineRule="exact"/>
        <w:ind w:firstLine="640" w:firstLineChars="200"/>
        <w:rPr>
          <w:rFonts w:ascii="仿宋_GB2312"/>
          <w:sz w:val="32"/>
          <w:szCs w:val="32"/>
        </w:rPr>
      </w:pPr>
      <w:r>
        <w:rPr>
          <w:rFonts w:hint="eastAsia" w:ascii="仿宋_GB2312" w:cs="仿宋_GB2312"/>
          <w:sz w:val="32"/>
          <w:szCs w:val="32"/>
        </w:rPr>
        <w:t>绩效评价的对象：巴州党委党校、巴州行政学院教学楼项目</w:t>
      </w:r>
    </w:p>
    <w:p w14:paraId="600E6D25">
      <w:pPr>
        <w:pStyle w:val="15"/>
        <w:widowControl/>
        <w:spacing w:before="0" w:beforeAutospacing="0" w:after="0" w:afterAutospacing="0" w:line="580" w:lineRule="exact"/>
        <w:ind w:firstLine="640" w:firstLineChars="200"/>
        <w:rPr>
          <w:rFonts w:ascii="仿宋_GB2312"/>
          <w:sz w:val="32"/>
          <w:szCs w:val="32"/>
        </w:rPr>
      </w:pPr>
      <w:r>
        <w:rPr>
          <w:rFonts w:hint="eastAsia" w:ascii="仿宋_GB2312" w:cs="仿宋_GB2312"/>
          <w:sz w:val="32"/>
          <w:szCs w:val="32"/>
        </w:rPr>
        <w:t>绩效评价的范围：建设巴州党委党校、巴州行政学院教学楼项目</w:t>
      </w:r>
    </w:p>
    <w:p w14:paraId="5746CCDA">
      <w:pPr>
        <w:pStyle w:val="15"/>
        <w:widowControl/>
        <w:numPr>
          <w:ilvl w:val="0"/>
          <w:numId w:val="1"/>
        </w:numPr>
        <w:spacing w:beforeAutospacing="0" w:after="0" w:afterAutospacing="0" w:line="580" w:lineRule="exact"/>
        <w:ind w:firstLine="643" w:firstLineChars="200"/>
        <w:rPr>
          <w:rFonts w:ascii="仿宋_GB2312"/>
          <w:b/>
          <w:bCs/>
          <w:sz w:val="32"/>
          <w:szCs w:val="32"/>
        </w:rPr>
      </w:pPr>
      <w:r>
        <w:rPr>
          <w:rFonts w:hint="eastAsia" w:ascii="仿宋_GB2312" w:cs="仿宋_GB2312"/>
          <w:b/>
          <w:bCs/>
          <w:sz w:val="32"/>
          <w:szCs w:val="32"/>
        </w:rPr>
        <w:t>绩效评价原则、评价指标体系（附表说明）、评价方法、评价标准等。</w:t>
      </w:r>
    </w:p>
    <w:p w14:paraId="3BB6ED78">
      <w:pPr>
        <w:pStyle w:val="15"/>
        <w:widowControl/>
        <w:spacing w:beforeAutospacing="0" w:after="0" w:afterAutospacing="0" w:line="580" w:lineRule="exact"/>
        <w:ind w:firstLine="640" w:firstLineChars="200"/>
        <w:rPr>
          <w:rFonts w:ascii="仿宋_GB2312"/>
          <w:sz w:val="32"/>
          <w:szCs w:val="32"/>
        </w:rPr>
      </w:pPr>
      <w:r>
        <w:rPr>
          <w:rFonts w:ascii="仿宋_GB2312" w:cs="仿宋_GB2312"/>
          <w:sz w:val="32"/>
          <w:szCs w:val="32"/>
        </w:rPr>
        <w:t>1</w:t>
      </w:r>
      <w:r>
        <w:rPr>
          <w:rFonts w:hint="eastAsia" w:ascii="仿宋_GB2312" w:cs="仿宋_GB2312"/>
          <w:sz w:val="32"/>
          <w:szCs w:val="32"/>
        </w:rPr>
        <w:t>、绩效评价原则：</w:t>
      </w:r>
    </w:p>
    <w:p w14:paraId="7B66DF92">
      <w:pPr>
        <w:pStyle w:val="15"/>
        <w:widowControl/>
        <w:spacing w:beforeAutospacing="0" w:after="0" w:afterAutospacing="0" w:line="580" w:lineRule="exact"/>
        <w:ind w:firstLine="640" w:firstLineChars="200"/>
        <w:rPr>
          <w:rFonts w:ascii="仿宋_GB2312"/>
          <w:sz w:val="32"/>
          <w:szCs w:val="32"/>
        </w:rPr>
      </w:pPr>
      <w:r>
        <w:rPr>
          <w:rFonts w:hint="eastAsia" w:ascii="仿宋_GB2312" w:cs="仿宋_GB2312"/>
          <w:sz w:val="32"/>
          <w:szCs w:val="32"/>
        </w:rPr>
        <w:t>（</w:t>
      </w:r>
      <w:r>
        <w:rPr>
          <w:rFonts w:ascii="仿宋_GB2312" w:cs="仿宋_GB2312"/>
          <w:sz w:val="32"/>
          <w:szCs w:val="32"/>
        </w:rPr>
        <w:t>1</w:t>
      </w:r>
      <w:r>
        <w:rPr>
          <w:rFonts w:hint="eastAsia" w:ascii="仿宋_GB2312" w:cs="仿宋_GB2312"/>
          <w:sz w:val="32"/>
          <w:szCs w:val="32"/>
        </w:rPr>
        <w:t>）科学公正。绩效评价应当运用科学合理的方法，按照规范的程序，对项目绩效进行客观、公正的反映。</w:t>
      </w:r>
    </w:p>
    <w:p w14:paraId="4A7FC235">
      <w:pPr>
        <w:pStyle w:val="15"/>
        <w:widowControl/>
        <w:spacing w:beforeAutospacing="0" w:after="0" w:afterAutospacing="0" w:line="580" w:lineRule="exact"/>
        <w:ind w:firstLine="640" w:firstLineChars="200"/>
        <w:rPr>
          <w:rFonts w:ascii="仿宋_GB2312"/>
          <w:sz w:val="32"/>
          <w:szCs w:val="32"/>
        </w:rPr>
      </w:pPr>
      <w:r>
        <w:rPr>
          <w:rFonts w:hint="eastAsia" w:ascii="仿宋_GB2312" w:cs="仿宋_GB2312"/>
          <w:sz w:val="32"/>
          <w:szCs w:val="32"/>
        </w:rPr>
        <w:t>（</w:t>
      </w:r>
      <w:r>
        <w:rPr>
          <w:rFonts w:ascii="仿宋_GB2312" w:cs="仿宋_GB2312"/>
          <w:sz w:val="32"/>
          <w:szCs w:val="32"/>
        </w:rPr>
        <w:t>2</w:t>
      </w:r>
      <w:r>
        <w:rPr>
          <w:rFonts w:hint="eastAsia" w:ascii="仿宋_GB2312" w:cs="仿宋_GB2312"/>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p>
    <w:p w14:paraId="04B0B6FB">
      <w:pPr>
        <w:pStyle w:val="15"/>
        <w:widowControl/>
        <w:spacing w:beforeAutospacing="0" w:after="0" w:afterAutospacing="0" w:line="580" w:lineRule="exact"/>
        <w:ind w:firstLine="640" w:firstLineChars="200"/>
        <w:rPr>
          <w:rFonts w:ascii="仿宋_GB2312"/>
          <w:sz w:val="32"/>
          <w:szCs w:val="32"/>
        </w:rPr>
      </w:pPr>
      <w:r>
        <w:rPr>
          <w:rFonts w:hint="eastAsia" w:ascii="仿宋_GB2312" w:cs="仿宋_GB2312"/>
          <w:sz w:val="32"/>
          <w:szCs w:val="32"/>
        </w:rPr>
        <w:t>（</w:t>
      </w:r>
      <w:r>
        <w:rPr>
          <w:rFonts w:ascii="仿宋_GB2312" w:cs="仿宋_GB2312"/>
          <w:sz w:val="32"/>
          <w:szCs w:val="32"/>
        </w:rPr>
        <w:t>3</w:t>
      </w:r>
      <w:r>
        <w:rPr>
          <w:rFonts w:hint="eastAsia" w:ascii="仿宋_GB2312" w:cs="仿宋_GB2312"/>
          <w:sz w:val="32"/>
          <w:szCs w:val="32"/>
        </w:rPr>
        <w:t>）激励约束。绩效评价结果应与预算安排、政策调整、改进管理实质性挂钩，体现奖优罚劣和激励相容导向，有效要安排、低效要压减、无效要问责。</w:t>
      </w:r>
    </w:p>
    <w:p w14:paraId="04E90919">
      <w:pPr>
        <w:pStyle w:val="15"/>
        <w:widowControl/>
        <w:spacing w:beforeAutospacing="0" w:after="0" w:afterAutospacing="0" w:line="580" w:lineRule="exact"/>
        <w:ind w:firstLine="640" w:firstLineChars="200"/>
        <w:rPr>
          <w:rFonts w:ascii="仿宋_GB2312"/>
          <w:sz w:val="32"/>
          <w:szCs w:val="32"/>
        </w:rPr>
      </w:pPr>
      <w:r>
        <w:rPr>
          <w:rFonts w:hint="eastAsia" w:ascii="仿宋_GB2312" w:cs="仿宋_GB2312"/>
          <w:sz w:val="32"/>
          <w:szCs w:val="32"/>
        </w:rPr>
        <w:t>（</w:t>
      </w:r>
      <w:r>
        <w:rPr>
          <w:rFonts w:ascii="仿宋_GB2312" w:cs="仿宋_GB2312"/>
          <w:sz w:val="32"/>
          <w:szCs w:val="32"/>
        </w:rPr>
        <w:t>4</w:t>
      </w:r>
      <w:r>
        <w:rPr>
          <w:rFonts w:hint="eastAsia" w:ascii="仿宋_GB2312" w:cs="仿宋_GB2312"/>
          <w:sz w:val="32"/>
          <w:szCs w:val="32"/>
        </w:rPr>
        <w:t>）公开透明。绩效评价结果应依法依规公开，并自觉接受社会监督。</w:t>
      </w:r>
    </w:p>
    <w:p w14:paraId="41A0F530">
      <w:pPr>
        <w:pStyle w:val="15"/>
        <w:widowControl/>
        <w:spacing w:beforeAutospacing="0" w:after="0" w:afterAutospacing="0" w:line="580" w:lineRule="exact"/>
        <w:ind w:firstLine="640" w:firstLineChars="200"/>
        <w:rPr>
          <w:rFonts w:ascii="仿宋_GB2312"/>
          <w:sz w:val="32"/>
          <w:szCs w:val="32"/>
        </w:rPr>
      </w:pPr>
      <w:r>
        <w:rPr>
          <w:rFonts w:ascii="仿宋_GB2312" w:cs="仿宋_GB2312"/>
          <w:sz w:val="32"/>
          <w:szCs w:val="32"/>
        </w:rPr>
        <w:t>2</w:t>
      </w:r>
      <w:r>
        <w:rPr>
          <w:rFonts w:hint="eastAsia" w:ascii="仿宋_GB2312" w:cs="仿宋_GB2312"/>
          <w:sz w:val="32"/>
          <w:szCs w:val="32"/>
        </w:rPr>
        <w:t>、项支出绩效评价指标体系框架：</w:t>
      </w:r>
    </w:p>
    <w:p w14:paraId="157A1BB8">
      <w:pPr>
        <w:pStyle w:val="15"/>
        <w:widowControl/>
        <w:spacing w:beforeAutospacing="0" w:after="0" w:afterAutospacing="0" w:line="580" w:lineRule="exact"/>
        <w:ind w:firstLine="640" w:firstLineChars="200"/>
        <w:rPr>
          <w:rFonts w:ascii="仿宋_GB2312"/>
          <w:sz w:val="32"/>
          <w:szCs w:val="32"/>
        </w:rPr>
      </w:pPr>
      <w:r>
        <w:rPr>
          <w:rFonts w:hint="eastAsia" w:ascii="仿宋_GB2312" w:cs="仿宋_GB2312"/>
          <w:sz w:val="32"/>
          <w:szCs w:val="32"/>
        </w:rPr>
        <w:t>巴州党委党校、巴州行政学院教学楼项目绩效评价指标体系的设计参照财政部《项目支出绩效评价指标体系框架》决策和过程在此框架的基础上结合项目的特点适当进行完善，产出和效益根据项目特点进行了细化。</w:t>
      </w:r>
    </w:p>
    <w:p w14:paraId="1A7070F4">
      <w:pPr>
        <w:pStyle w:val="15"/>
        <w:widowControl/>
        <w:spacing w:beforeAutospacing="0" w:after="0" w:afterAutospacing="0" w:line="580" w:lineRule="exact"/>
        <w:ind w:firstLine="640" w:firstLineChars="200"/>
        <w:rPr>
          <w:rFonts w:ascii="仿宋_GB2312"/>
          <w:sz w:val="32"/>
          <w:szCs w:val="32"/>
        </w:rPr>
      </w:pPr>
      <w:r>
        <w:rPr>
          <w:rFonts w:hint="eastAsia" w:ascii="仿宋_GB2312" w:cs="仿宋_GB2312"/>
          <w:sz w:val="32"/>
          <w:szCs w:val="32"/>
        </w:rPr>
        <w:t>采用层次分析法，建立评价指标库。绩效评价将指标分为决策、过程、产出和效益四个层次，最终形成一个由多个相互联系的指标组成的多层次指标体系；采用集体决策法，确定评价指标。评价指标体系建立后，绩效评价小组对指标库中的指标进行分析、权衡、补充、选择，最后确定评价指标。在些基础上最终形成巴州党委党校、巴州行政学院教学楼项目绩效评价指标体系</w:t>
      </w:r>
    </w:p>
    <w:p w14:paraId="2335EA4D">
      <w:pPr>
        <w:pStyle w:val="15"/>
        <w:widowControl/>
        <w:spacing w:beforeAutospacing="0" w:after="0" w:afterAutospacing="0" w:line="580" w:lineRule="exact"/>
        <w:ind w:firstLine="640" w:firstLineChars="200"/>
        <w:rPr>
          <w:rFonts w:ascii="仿宋_GB2312"/>
          <w:sz w:val="32"/>
          <w:szCs w:val="32"/>
        </w:rPr>
      </w:pPr>
      <w:r>
        <w:rPr>
          <w:rFonts w:hint="eastAsia" w:ascii="仿宋_GB2312" w:cs="仿宋_GB2312"/>
          <w:sz w:val="32"/>
          <w:szCs w:val="32"/>
        </w:rPr>
        <w:t>绩效评价的方法与指标体系围绕巴州党校教学楼项目的任务、性质、功能和责任，从工作效率、服务质量、社会责任、经济管理和财务政策，市民与社会反响等角度建设该项目进行评价指标体系。</w:t>
      </w:r>
    </w:p>
    <w:p w14:paraId="12971102">
      <w:pPr>
        <w:pStyle w:val="15"/>
        <w:widowControl/>
        <w:spacing w:beforeAutospacing="0" w:after="0" w:afterAutospacing="0" w:line="580" w:lineRule="exact"/>
        <w:ind w:firstLine="640" w:firstLineChars="200"/>
        <w:rPr>
          <w:rFonts w:ascii="仿宋_GB2312"/>
          <w:sz w:val="32"/>
          <w:szCs w:val="32"/>
        </w:rPr>
      </w:pPr>
      <w:r>
        <w:rPr>
          <w:rFonts w:ascii="仿宋_GB2312" w:cs="仿宋_GB2312"/>
          <w:sz w:val="32"/>
          <w:szCs w:val="32"/>
        </w:rPr>
        <w:t>3</w:t>
      </w:r>
      <w:r>
        <w:rPr>
          <w:rFonts w:hint="eastAsia" w:ascii="仿宋_GB2312" w:cs="仿宋_GB2312"/>
          <w:sz w:val="32"/>
          <w:szCs w:val="32"/>
        </w:rPr>
        <w:t>、评价方法：财政和部门评价的方法主要包括成本效益分析法、比较法、因素分析法、最低成本法、公众评判法、标杆管理法等。有时只需采用其中的一种，而有时则要采用两种或三种相结合。这些方法各具特色，互相补充，但彼此并不能替代。结合本次绩效评估项目的具体情况，为确保本次绩效评估工作的真实可靠，我单位采用了成本效益分析法进行评价。</w:t>
      </w:r>
    </w:p>
    <w:p w14:paraId="04BEEFAE">
      <w:pPr>
        <w:pStyle w:val="15"/>
        <w:widowControl/>
        <w:spacing w:beforeAutospacing="0" w:after="0" w:afterAutospacing="0" w:line="580" w:lineRule="exact"/>
        <w:ind w:firstLine="640" w:firstLineChars="200"/>
        <w:rPr>
          <w:rFonts w:ascii="仿宋_GB2312"/>
          <w:sz w:val="32"/>
          <w:szCs w:val="32"/>
        </w:rPr>
      </w:pPr>
      <w:r>
        <w:rPr>
          <w:rFonts w:hint="eastAsia" w:ascii="仿宋_GB2312" w:cs="仿宋_GB2312"/>
          <w:sz w:val="32"/>
          <w:szCs w:val="32"/>
        </w:rPr>
        <w:t>成本效益分析法。是指将投入与产出、效益进行关联性分析的方法。针对财政支出确定的目标，在目标效益额相同的情况下，对支出项目中发生的各种正常开支、额外开支和特殊费用等进行比较，以最小成本取得最大效益为优。我单位针对该项目将决策、过程、产出及效益进行关联性分析，项目实施过程中以最小的成本产生了最大的经济和社会效益，项目的实施促进党校事业发展。</w:t>
      </w:r>
    </w:p>
    <w:p w14:paraId="072DC18C">
      <w:pPr>
        <w:pStyle w:val="15"/>
        <w:widowControl/>
        <w:spacing w:beforeAutospacing="0" w:after="0" w:afterAutospacing="0" w:line="580" w:lineRule="exact"/>
        <w:ind w:firstLine="640" w:firstLineChars="200"/>
        <w:rPr>
          <w:rFonts w:ascii="仿宋_GB2312"/>
          <w:sz w:val="32"/>
          <w:szCs w:val="32"/>
        </w:rPr>
      </w:pPr>
      <w:r>
        <w:rPr>
          <w:rFonts w:ascii="仿宋_GB2312" w:cs="仿宋_GB2312"/>
          <w:sz w:val="32"/>
          <w:szCs w:val="32"/>
        </w:rPr>
        <w:t>4</w:t>
      </w:r>
      <w:r>
        <w:rPr>
          <w:rFonts w:hint="eastAsia" w:ascii="仿宋_GB2312" w:cs="仿宋_GB2312"/>
          <w:sz w:val="32"/>
          <w:szCs w:val="32"/>
        </w:rPr>
        <w:t>、评价标准：财政项目资金绩效评价，是以结果为导向的财政支出管理模式，绩效评价标准主要有计划标准、历史标准、其他标准等，结合项目的特点，确定此次绩效评价指标标准为行业标准和计划标准。财务管理采用国家财务相关法律法规，产出和效果指标采用项目申报文本中的指标值作为绩效评价标准。</w:t>
      </w:r>
    </w:p>
    <w:p w14:paraId="02C1B29C">
      <w:pPr>
        <w:spacing w:line="580" w:lineRule="exact"/>
        <w:ind w:firstLine="627" w:firstLineChars="200"/>
        <w:rPr>
          <w:rStyle w:val="19"/>
          <w:rFonts w:ascii="楷体" w:hAnsi="楷体" w:eastAsia="楷体"/>
          <w:spacing w:val="-4"/>
          <w:sz w:val="32"/>
          <w:szCs w:val="32"/>
        </w:rPr>
      </w:pPr>
      <w:r>
        <w:rPr>
          <w:rStyle w:val="19"/>
          <w:rFonts w:hint="eastAsia" w:ascii="楷体" w:hAnsi="楷体" w:eastAsia="楷体" w:cs="楷体"/>
          <w:spacing w:val="-4"/>
          <w:sz w:val="32"/>
          <w:szCs w:val="32"/>
        </w:rPr>
        <w:t>（三）绩效评价工作过程。</w:t>
      </w:r>
    </w:p>
    <w:p w14:paraId="68F08179">
      <w:pPr>
        <w:pStyle w:val="15"/>
        <w:widowControl/>
        <w:spacing w:line="580" w:lineRule="exact"/>
        <w:ind w:firstLine="640" w:firstLineChars="200"/>
        <w:rPr>
          <w:rFonts w:ascii="仿宋_GB2312"/>
          <w:sz w:val="32"/>
          <w:szCs w:val="32"/>
        </w:rPr>
      </w:pPr>
      <w:r>
        <w:rPr>
          <w:rFonts w:ascii="仿宋_GB2312" w:cs="仿宋_GB2312"/>
          <w:sz w:val="32"/>
          <w:szCs w:val="32"/>
        </w:rPr>
        <w:t>1</w:t>
      </w:r>
      <w:r>
        <w:rPr>
          <w:rFonts w:hint="eastAsia" w:ascii="仿宋_GB2312" w:cs="仿宋_GB2312"/>
          <w:sz w:val="32"/>
          <w:szCs w:val="32"/>
        </w:rPr>
        <w:t>、确定该项目的绩效评价对象和评价范围，下达绩效评价通知；</w:t>
      </w:r>
    </w:p>
    <w:p w14:paraId="1740D6FF">
      <w:pPr>
        <w:pStyle w:val="15"/>
        <w:widowControl/>
        <w:spacing w:line="580" w:lineRule="exact"/>
        <w:ind w:firstLine="640" w:firstLineChars="200"/>
        <w:rPr>
          <w:rFonts w:ascii="仿宋_GB2312"/>
          <w:sz w:val="32"/>
          <w:szCs w:val="32"/>
        </w:rPr>
      </w:pPr>
      <w:r>
        <w:rPr>
          <w:rFonts w:ascii="仿宋_GB2312" w:cs="仿宋_GB2312"/>
          <w:sz w:val="32"/>
          <w:szCs w:val="32"/>
        </w:rPr>
        <w:t>2</w:t>
      </w:r>
      <w:r>
        <w:rPr>
          <w:rFonts w:hint="eastAsia" w:ascii="仿宋_GB2312" w:cs="仿宋_GB2312"/>
          <w:sz w:val="32"/>
          <w:szCs w:val="32"/>
        </w:rPr>
        <w:t>、制定该项目的评价工作方案；</w:t>
      </w:r>
    </w:p>
    <w:p w14:paraId="05DE23EE">
      <w:pPr>
        <w:pStyle w:val="15"/>
        <w:widowControl/>
        <w:spacing w:line="580" w:lineRule="exact"/>
        <w:ind w:firstLine="640" w:firstLineChars="200"/>
        <w:rPr>
          <w:rFonts w:ascii="仿宋_GB2312"/>
          <w:sz w:val="32"/>
          <w:szCs w:val="32"/>
        </w:rPr>
      </w:pPr>
      <w:r>
        <w:rPr>
          <w:rFonts w:ascii="仿宋_GB2312" w:cs="仿宋_GB2312"/>
          <w:sz w:val="32"/>
          <w:szCs w:val="32"/>
        </w:rPr>
        <w:t>3</w:t>
      </w:r>
      <w:r>
        <w:rPr>
          <w:rFonts w:hint="eastAsia" w:ascii="仿宋_GB2312" w:cs="仿宋_GB2312"/>
          <w:sz w:val="32"/>
          <w:szCs w:val="32"/>
        </w:rPr>
        <w:t>、收集该项目绩效评价相关数据资料并进行现场调研；</w:t>
      </w:r>
    </w:p>
    <w:p w14:paraId="71573077">
      <w:pPr>
        <w:pStyle w:val="15"/>
        <w:widowControl/>
        <w:spacing w:line="580" w:lineRule="exact"/>
        <w:ind w:firstLine="640" w:firstLineChars="200"/>
        <w:rPr>
          <w:rFonts w:ascii="仿宋_GB2312"/>
          <w:sz w:val="32"/>
          <w:szCs w:val="32"/>
        </w:rPr>
      </w:pPr>
      <w:r>
        <w:rPr>
          <w:rFonts w:ascii="仿宋_GB2312" w:cs="仿宋_GB2312"/>
          <w:sz w:val="32"/>
          <w:szCs w:val="32"/>
        </w:rPr>
        <w:t>4</w:t>
      </w:r>
      <w:r>
        <w:rPr>
          <w:rFonts w:hint="eastAsia" w:ascii="仿宋_GB2312" w:cs="仿宋_GB2312"/>
          <w:sz w:val="32"/>
          <w:szCs w:val="32"/>
        </w:rPr>
        <w:t>、核实该项目相关情况，分析形成初步绩效评价结论；</w:t>
      </w:r>
    </w:p>
    <w:p w14:paraId="448A9808">
      <w:pPr>
        <w:pStyle w:val="15"/>
        <w:widowControl/>
        <w:spacing w:line="580" w:lineRule="exact"/>
        <w:ind w:firstLine="640" w:firstLineChars="200"/>
        <w:rPr>
          <w:rFonts w:ascii="仿宋_GB2312"/>
          <w:sz w:val="32"/>
          <w:szCs w:val="32"/>
        </w:rPr>
      </w:pPr>
      <w:r>
        <w:rPr>
          <w:rFonts w:ascii="仿宋_GB2312" w:cs="仿宋_GB2312"/>
          <w:sz w:val="32"/>
          <w:szCs w:val="32"/>
        </w:rPr>
        <w:t>5</w:t>
      </w:r>
      <w:r>
        <w:rPr>
          <w:rFonts w:hint="eastAsia" w:ascii="仿宋_GB2312" w:cs="仿宋_GB2312"/>
          <w:sz w:val="32"/>
          <w:szCs w:val="32"/>
        </w:rPr>
        <w:t>、综合分析形成最终结论，提交绩效评价报告，建立项目绩效评价档案。</w:t>
      </w:r>
    </w:p>
    <w:p w14:paraId="63F69FB7">
      <w:pPr>
        <w:pStyle w:val="15"/>
        <w:widowControl/>
        <w:spacing w:line="580" w:lineRule="exact"/>
        <w:ind w:firstLine="640" w:firstLineChars="200"/>
        <w:rPr>
          <w:rFonts w:ascii="仿宋_GB2312"/>
          <w:sz w:val="32"/>
          <w:szCs w:val="32"/>
        </w:rPr>
      </w:pPr>
      <w:r>
        <w:rPr>
          <w:rFonts w:hint="eastAsia" w:ascii="仿宋_GB2312" w:cs="仿宋_GB2312"/>
          <w:sz w:val="32"/>
          <w:szCs w:val="32"/>
        </w:rPr>
        <w:t>三、综合评价情况及评价结论</w:t>
      </w:r>
    </w:p>
    <w:p w14:paraId="7AC54CAA">
      <w:pPr>
        <w:spacing w:line="580" w:lineRule="exact"/>
        <w:ind w:firstLine="640" w:firstLineChars="200"/>
        <w:rPr>
          <w:rFonts w:ascii="仿宋_GB2312" w:eastAsia="仿宋_GB2312"/>
          <w:kern w:val="0"/>
        </w:rPr>
      </w:pPr>
      <w:r>
        <w:rPr>
          <w:rFonts w:hint="eastAsia" w:ascii="仿宋_GB2312" w:eastAsia="仿宋_GB2312" w:cs="仿宋_GB2312"/>
          <w:kern w:val="0"/>
          <w:sz w:val="32"/>
          <w:szCs w:val="32"/>
        </w:rPr>
        <w:t>该项目实施完毕后，在进行绩效评价过程中，学校绩效评价小组组织财务、总务相关业务科室负责人、经办人对该项目从年初立项、安排部门预算资金、项目实施管理、项目支出绩效评价等情况，按照年初设定的指标值，通过项目支出绩效评价体系结合评价方法、评价标准进行评价，首先要求相关科室负责人对该项目的规模、资金使用情况和管理制度进行学习了解熟悉，按照项目实施后达到的目的和效果制定评价方案，明确了绩效评价的目标、评价技术线路、评价依据、指标体系架构以及指标分值分配原则等。</w:t>
      </w:r>
    </w:p>
    <w:p w14:paraId="0BDE02A3">
      <w:pPr>
        <w:spacing w:line="580" w:lineRule="exact"/>
        <w:ind w:firstLine="624" w:firstLineChars="200"/>
        <w:rPr>
          <w:rStyle w:val="19"/>
          <w:rFonts w:ascii="黑体" w:hAnsi="黑体" w:eastAsia="黑体"/>
          <w:b w:val="0"/>
          <w:bCs w:val="0"/>
          <w:spacing w:val="-4"/>
          <w:sz w:val="32"/>
          <w:szCs w:val="32"/>
        </w:rPr>
      </w:pPr>
      <w:r>
        <w:rPr>
          <w:rStyle w:val="19"/>
          <w:rFonts w:hint="eastAsia" w:ascii="黑体" w:hAnsi="黑体" w:eastAsia="黑体" w:cs="黑体"/>
          <w:b w:val="0"/>
          <w:bCs w:val="0"/>
          <w:spacing w:val="-4"/>
          <w:sz w:val="32"/>
          <w:szCs w:val="32"/>
        </w:rPr>
        <w:t>四、绩效评价指标分析</w:t>
      </w:r>
    </w:p>
    <w:p w14:paraId="44CC86D5">
      <w:pPr>
        <w:spacing w:line="580" w:lineRule="exact"/>
        <w:ind w:firstLine="567" w:firstLineChars="181"/>
        <w:rPr>
          <w:rFonts w:ascii="楷体" w:hAnsi="楷体" w:eastAsia="楷体"/>
          <w:b/>
          <w:bCs/>
          <w:spacing w:val="-4"/>
          <w:sz w:val="32"/>
          <w:szCs w:val="32"/>
        </w:rPr>
      </w:pPr>
      <w:r>
        <w:rPr>
          <w:rFonts w:hint="eastAsia" w:ascii="楷体" w:hAnsi="楷体" w:eastAsia="楷体" w:cs="楷体"/>
          <w:b/>
          <w:bCs/>
          <w:spacing w:val="-4"/>
          <w:sz w:val="32"/>
          <w:szCs w:val="32"/>
        </w:rPr>
        <w:t>（一）项目绩效目标完成情况分析</w:t>
      </w:r>
    </w:p>
    <w:p w14:paraId="18792194">
      <w:pPr>
        <w:spacing w:line="580" w:lineRule="exact"/>
        <w:ind w:firstLine="564" w:firstLineChars="181"/>
        <w:rPr>
          <w:rStyle w:val="19"/>
          <w:rFonts w:ascii="仿宋_GB2312" w:hAnsi="仿宋" w:eastAsia="仿宋_GB2312"/>
          <w:b w:val="0"/>
          <w:bCs w:val="0"/>
          <w:spacing w:val="-4"/>
          <w:sz w:val="32"/>
          <w:szCs w:val="32"/>
        </w:rPr>
      </w:pPr>
      <w:r>
        <w:rPr>
          <w:rStyle w:val="19"/>
          <w:rFonts w:hint="eastAsia" w:ascii="仿宋_GB2312" w:hAnsi="仿宋" w:eastAsia="仿宋_GB2312" w:cs="仿宋_GB2312"/>
          <w:b w:val="0"/>
          <w:bCs w:val="0"/>
          <w:spacing w:val="-4"/>
          <w:sz w:val="32"/>
          <w:szCs w:val="32"/>
        </w:rPr>
        <w:t>（一）项目决策情况。</w:t>
      </w:r>
    </w:p>
    <w:p w14:paraId="04F6F78C">
      <w:pPr>
        <w:spacing w:line="580" w:lineRule="exact"/>
        <w:ind w:firstLine="564" w:firstLineChars="181"/>
        <w:rPr>
          <w:rStyle w:val="19"/>
          <w:rFonts w:ascii="仿宋_GB2312" w:hAnsi="仿宋" w:eastAsia="仿宋_GB2312"/>
          <w:b w:val="0"/>
          <w:bCs w:val="0"/>
          <w:spacing w:val="-4"/>
          <w:sz w:val="32"/>
          <w:szCs w:val="32"/>
        </w:rPr>
      </w:pPr>
      <w:r>
        <w:rPr>
          <w:rStyle w:val="19"/>
          <w:rFonts w:hint="eastAsia" w:ascii="仿宋_GB2312" w:hAnsi="仿宋" w:eastAsia="仿宋_GB2312" w:cs="仿宋_GB2312"/>
          <w:b w:val="0"/>
          <w:bCs w:val="0"/>
          <w:spacing w:val="-4"/>
          <w:sz w:val="32"/>
          <w:szCs w:val="32"/>
        </w:rPr>
        <w:t>巴州发改委先后于</w:t>
      </w:r>
      <w:r>
        <w:rPr>
          <w:rStyle w:val="19"/>
          <w:rFonts w:ascii="仿宋_GB2312" w:hAnsi="仿宋" w:eastAsia="仿宋_GB2312" w:cs="仿宋_GB2312"/>
          <w:b w:val="0"/>
          <w:bCs w:val="0"/>
          <w:spacing w:val="-4"/>
          <w:sz w:val="32"/>
          <w:szCs w:val="32"/>
        </w:rPr>
        <w:t>2013</w:t>
      </w:r>
      <w:r>
        <w:rPr>
          <w:rStyle w:val="19"/>
          <w:rFonts w:hint="eastAsia" w:ascii="仿宋_GB2312" w:hAnsi="仿宋" w:eastAsia="仿宋_GB2312" w:cs="仿宋_GB2312"/>
          <w:b w:val="0"/>
          <w:bCs w:val="0"/>
          <w:spacing w:val="-4"/>
          <w:sz w:val="32"/>
          <w:szCs w:val="32"/>
        </w:rPr>
        <w:t>年</w:t>
      </w:r>
      <w:r>
        <w:rPr>
          <w:rStyle w:val="19"/>
          <w:rFonts w:ascii="仿宋_GB2312" w:hAnsi="仿宋" w:eastAsia="仿宋_GB2312" w:cs="仿宋_GB2312"/>
          <w:b w:val="0"/>
          <w:bCs w:val="0"/>
          <w:spacing w:val="-4"/>
          <w:sz w:val="32"/>
          <w:szCs w:val="32"/>
        </w:rPr>
        <w:t>12</w:t>
      </w:r>
      <w:r>
        <w:rPr>
          <w:rStyle w:val="19"/>
          <w:rFonts w:hint="eastAsia" w:ascii="仿宋_GB2312" w:hAnsi="仿宋" w:eastAsia="仿宋_GB2312" w:cs="仿宋_GB2312"/>
          <w:b w:val="0"/>
          <w:bCs w:val="0"/>
          <w:spacing w:val="-4"/>
          <w:sz w:val="32"/>
          <w:szCs w:val="32"/>
        </w:rPr>
        <w:t>月和</w:t>
      </w:r>
      <w:r>
        <w:rPr>
          <w:rStyle w:val="19"/>
          <w:rFonts w:ascii="仿宋_GB2312" w:hAnsi="仿宋" w:eastAsia="仿宋_GB2312" w:cs="仿宋_GB2312"/>
          <w:b w:val="0"/>
          <w:bCs w:val="0"/>
          <w:spacing w:val="-4"/>
          <w:sz w:val="32"/>
          <w:szCs w:val="32"/>
        </w:rPr>
        <w:t>2015</w:t>
      </w:r>
      <w:r>
        <w:rPr>
          <w:rStyle w:val="19"/>
          <w:rFonts w:hint="eastAsia" w:ascii="仿宋_GB2312" w:hAnsi="仿宋" w:eastAsia="仿宋_GB2312" w:cs="仿宋_GB2312"/>
          <w:b w:val="0"/>
          <w:bCs w:val="0"/>
          <w:spacing w:val="-4"/>
          <w:sz w:val="32"/>
          <w:szCs w:val="32"/>
        </w:rPr>
        <w:t>年</w:t>
      </w:r>
      <w:r>
        <w:rPr>
          <w:rStyle w:val="19"/>
          <w:rFonts w:ascii="仿宋_GB2312" w:hAnsi="仿宋" w:eastAsia="仿宋_GB2312" w:cs="仿宋_GB2312"/>
          <w:b w:val="0"/>
          <w:bCs w:val="0"/>
          <w:spacing w:val="-4"/>
          <w:sz w:val="32"/>
          <w:szCs w:val="32"/>
        </w:rPr>
        <w:t>12</w:t>
      </w:r>
      <w:r>
        <w:rPr>
          <w:rStyle w:val="19"/>
          <w:rFonts w:hint="eastAsia" w:ascii="仿宋_GB2312" w:hAnsi="仿宋" w:eastAsia="仿宋_GB2312" w:cs="仿宋_GB2312"/>
          <w:b w:val="0"/>
          <w:bCs w:val="0"/>
          <w:spacing w:val="-4"/>
          <w:sz w:val="32"/>
          <w:szCs w:val="32"/>
        </w:rPr>
        <w:t>月两次批复，同意巴州党校在原址重建新的教学楼（巴发改投资〔</w:t>
      </w:r>
      <w:r>
        <w:rPr>
          <w:rStyle w:val="19"/>
          <w:rFonts w:ascii="仿宋_GB2312" w:hAnsi="仿宋" w:eastAsia="仿宋_GB2312" w:cs="仿宋_GB2312"/>
          <w:b w:val="0"/>
          <w:bCs w:val="0"/>
          <w:spacing w:val="-4"/>
          <w:sz w:val="32"/>
          <w:szCs w:val="32"/>
        </w:rPr>
        <w:t>2013</w:t>
      </w:r>
      <w:r>
        <w:rPr>
          <w:rStyle w:val="19"/>
          <w:rFonts w:hint="eastAsia" w:ascii="仿宋_GB2312" w:hAnsi="仿宋" w:eastAsia="仿宋_GB2312" w:cs="仿宋_GB2312"/>
          <w:b w:val="0"/>
          <w:bCs w:val="0"/>
          <w:spacing w:val="-4"/>
          <w:sz w:val="32"/>
          <w:szCs w:val="32"/>
        </w:rPr>
        <w:t>〕</w:t>
      </w:r>
      <w:r>
        <w:rPr>
          <w:rStyle w:val="19"/>
          <w:rFonts w:ascii="仿宋_GB2312" w:hAnsi="仿宋" w:eastAsia="仿宋_GB2312" w:cs="仿宋_GB2312"/>
          <w:b w:val="0"/>
          <w:bCs w:val="0"/>
          <w:spacing w:val="-4"/>
          <w:sz w:val="32"/>
          <w:szCs w:val="32"/>
        </w:rPr>
        <w:t>768</w:t>
      </w:r>
      <w:r>
        <w:rPr>
          <w:rStyle w:val="19"/>
          <w:rFonts w:hint="eastAsia" w:ascii="仿宋_GB2312" w:hAnsi="仿宋" w:eastAsia="仿宋_GB2312" w:cs="仿宋_GB2312"/>
          <w:b w:val="0"/>
          <w:bCs w:val="0"/>
          <w:spacing w:val="-4"/>
          <w:sz w:val="32"/>
          <w:szCs w:val="32"/>
        </w:rPr>
        <w:t>号）和巴发改投资〔</w:t>
      </w:r>
      <w:r>
        <w:rPr>
          <w:rStyle w:val="19"/>
          <w:rFonts w:ascii="仿宋_GB2312" w:hAnsi="仿宋" w:eastAsia="仿宋_GB2312" w:cs="仿宋_GB2312"/>
          <w:b w:val="0"/>
          <w:bCs w:val="0"/>
          <w:spacing w:val="-4"/>
          <w:sz w:val="32"/>
          <w:szCs w:val="32"/>
        </w:rPr>
        <w:t>2015</w:t>
      </w:r>
      <w:r>
        <w:rPr>
          <w:rStyle w:val="19"/>
          <w:rFonts w:hint="eastAsia" w:ascii="仿宋_GB2312" w:hAnsi="仿宋" w:eastAsia="仿宋_GB2312" w:cs="仿宋_GB2312"/>
          <w:b w:val="0"/>
          <w:bCs w:val="0"/>
          <w:spacing w:val="-4"/>
          <w:sz w:val="32"/>
          <w:szCs w:val="32"/>
        </w:rPr>
        <w:t>〕</w:t>
      </w:r>
      <w:r>
        <w:rPr>
          <w:rStyle w:val="19"/>
          <w:rFonts w:ascii="仿宋_GB2312" w:hAnsi="仿宋" w:eastAsia="仿宋_GB2312" w:cs="仿宋_GB2312"/>
          <w:b w:val="0"/>
          <w:bCs w:val="0"/>
          <w:spacing w:val="-4"/>
          <w:sz w:val="32"/>
          <w:szCs w:val="32"/>
        </w:rPr>
        <w:t>668</w:t>
      </w:r>
      <w:r>
        <w:rPr>
          <w:rStyle w:val="19"/>
          <w:rFonts w:hint="eastAsia" w:ascii="仿宋_GB2312" w:hAnsi="仿宋" w:eastAsia="仿宋_GB2312" w:cs="仿宋_GB2312"/>
          <w:b w:val="0"/>
          <w:bCs w:val="0"/>
          <w:spacing w:val="-4"/>
          <w:sz w:val="32"/>
          <w:szCs w:val="32"/>
        </w:rPr>
        <w:t>号）。总建筑面积</w:t>
      </w:r>
      <w:r>
        <w:rPr>
          <w:rStyle w:val="19"/>
          <w:rFonts w:ascii="仿宋_GB2312" w:hAnsi="仿宋" w:eastAsia="仿宋_GB2312" w:cs="仿宋_GB2312"/>
          <w:b w:val="0"/>
          <w:bCs w:val="0"/>
          <w:spacing w:val="-4"/>
          <w:sz w:val="32"/>
          <w:szCs w:val="32"/>
        </w:rPr>
        <w:t>12734.91</w:t>
      </w:r>
      <w:r>
        <w:rPr>
          <w:rStyle w:val="19"/>
          <w:rFonts w:hint="eastAsia" w:ascii="仿宋_GB2312" w:hAnsi="仿宋" w:eastAsia="仿宋_GB2312" w:cs="仿宋_GB2312"/>
          <w:b w:val="0"/>
          <w:bCs w:val="0"/>
          <w:spacing w:val="-4"/>
          <w:sz w:val="32"/>
          <w:szCs w:val="32"/>
        </w:rPr>
        <w:t>平方米。总投资规模</w:t>
      </w:r>
      <w:r>
        <w:rPr>
          <w:rStyle w:val="19"/>
          <w:rFonts w:ascii="仿宋_GB2312" w:hAnsi="仿宋" w:eastAsia="仿宋_GB2312" w:cs="仿宋_GB2312"/>
          <w:b w:val="0"/>
          <w:bCs w:val="0"/>
          <w:spacing w:val="-4"/>
          <w:sz w:val="32"/>
          <w:szCs w:val="32"/>
        </w:rPr>
        <w:t>4800</w:t>
      </w:r>
      <w:r>
        <w:rPr>
          <w:rStyle w:val="19"/>
          <w:rFonts w:hint="eastAsia" w:ascii="仿宋_GB2312" w:hAnsi="仿宋" w:eastAsia="仿宋_GB2312" w:cs="仿宋_GB2312"/>
          <w:b w:val="0"/>
          <w:bCs w:val="0"/>
          <w:spacing w:val="-4"/>
          <w:sz w:val="32"/>
          <w:szCs w:val="32"/>
        </w:rPr>
        <w:t>万元。</w:t>
      </w:r>
      <w:r>
        <w:rPr>
          <w:rStyle w:val="19"/>
          <w:rFonts w:ascii="仿宋_GB2312" w:hAnsi="仿宋" w:eastAsia="仿宋_GB2312" w:cs="仿宋_GB2312"/>
          <w:b w:val="0"/>
          <w:bCs w:val="0"/>
          <w:spacing w:val="-4"/>
          <w:sz w:val="32"/>
          <w:szCs w:val="32"/>
        </w:rPr>
        <w:t>2019</w:t>
      </w:r>
      <w:r>
        <w:rPr>
          <w:rStyle w:val="19"/>
          <w:rFonts w:hint="eastAsia" w:ascii="仿宋_GB2312" w:hAnsi="仿宋" w:eastAsia="仿宋_GB2312" w:cs="仿宋_GB2312"/>
          <w:b w:val="0"/>
          <w:bCs w:val="0"/>
          <w:spacing w:val="-4"/>
          <w:sz w:val="32"/>
          <w:szCs w:val="32"/>
        </w:rPr>
        <w:t>年安排项目资金</w:t>
      </w:r>
      <w:r>
        <w:rPr>
          <w:rStyle w:val="19"/>
          <w:rFonts w:ascii="仿宋_GB2312" w:hAnsi="仿宋" w:eastAsia="仿宋_GB2312" w:cs="仿宋_GB2312"/>
          <w:b w:val="0"/>
          <w:bCs w:val="0"/>
          <w:spacing w:val="-4"/>
          <w:sz w:val="32"/>
          <w:szCs w:val="32"/>
        </w:rPr>
        <w:t>14559965.49</w:t>
      </w:r>
      <w:r>
        <w:rPr>
          <w:rStyle w:val="19"/>
          <w:rFonts w:hint="eastAsia" w:ascii="仿宋_GB2312" w:hAnsi="仿宋" w:eastAsia="仿宋_GB2312" w:cs="仿宋_GB2312"/>
          <w:b w:val="0"/>
          <w:bCs w:val="0"/>
          <w:spacing w:val="-4"/>
          <w:sz w:val="32"/>
          <w:szCs w:val="32"/>
        </w:rPr>
        <w:t>元，项目计划在</w:t>
      </w:r>
      <w:r>
        <w:rPr>
          <w:rStyle w:val="19"/>
          <w:rFonts w:ascii="仿宋_GB2312" w:hAnsi="仿宋" w:eastAsia="仿宋_GB2312" w:cs="仿宋_GB2312"/>
          <w:b w:val="0"/>
          <w:bCs w:val="0"/>
          <w:spacing w:val="-4"/>
          <w:sz w:val="32"/>
          <w:szCs w:val="32"/>
        </w:rPr>
        <w:t>10</w:t>
      </w:r>
      <w:r>
        <w:rPr>
          <w:rStyle w:val="19"/>
          <w:rFonts w:hint="eastAsia" w:ascii="仿宋_GB2312" w:hAnsi="仿宋" w:eastAsia="仿宋_GB2312" w:cs="仿宋_GB2312"/>
          <w:b w:val="0"/>
          <w:bCs w:val="0"/>
          <w:spacing w:val="-4"/>
          <w:sz w:val="32"/>
          <w:szCs w:val="32"/>
        </w:rPr>
        <w:t>月</w:t>
      </w:r>
      <w:r>
        <w:rPr>
          <w:rStyle w:val="19"/>
          <w:rFonts w:ascii="仿宋_GB2312" w:hAnsi="仿宋" w:eastAsia="仿宋_GB2312" w:cs="仿宋_GB2312"/>
          <w:b w:val="0"/>
          <w:bCs w:val="0"/>
          <w:spacing w:val="-4"/>
          <w:sz w:val="32"/>
          <w:szCs w:val="32"/>
        </w:rPr>
        <w:t>1</w:t>
      </w:r>
      <w:r>
        <w:rPr>
          <w:rStyle w:val="19"/>
          <w:rFonts w:hint="eastAsia" w:ascii="仿宋_GB2312" w:hAnsi="仿宋" w:eastAsia="仿宋_GB2312" w:cs="仿宋_GB2312"/>
          <w:b w:val="0"/>
          <w:bCs w:val="0"/>
          <w:spacing w:val="-4"/>
          <w:sz w:val="32"/>
          <w:szCs w:val="32"/>
        </w:rPr>
        <w:t>日前完工。</w:t>
      </w:r>
    </w:p>
    <w:p w14:paraId="549BD566">
      <w:pPr>
        <w:spacing w:line="580" w:lineRule="exact"/>
        <w:ind w:firstLine="564" w:firstLineChars="181"/>
        <w:rPr>
          <w:rStyle w:val="19"/>
          <w:rFonts w:ascii="仿宋_GB2312" w:hAnsi="仿宋" w:eastAsia="仿宋_GB2312"/>
          <w:b w:val="0"/>
          <w:bCs w:val="0"/>
          <w:spacing w:val="-4"/>
          <w:sz w:val="32"/>
          <w:szCs w:val="32"/>
        </w:rPr>
      </w:pPr>
      <w:r>
        <w:rPr>
          <w:rStyle w:val="19"/>
          <w:rFonts w:hint="eastAsia" w:ascii="仿宋_GB2312" w:hAnsi="仿宋" w:eastAsia="仿宋_GB2312" w:cs="仿宋_GB2312"/>
          <w:b w:val="0"/>
          <w:bCs w:val="0"/>
          <w:spacing w:val="-4"/>
          <w:sz w:val="32"/>
          <w:szCs w:val="32"/>
        </w:rPr>
        <w:t>（二）项目过程情况。</w:t>
      </w:r>
    </w:p>
    <w:p w14:paraId="7E338E85">
      <w:pPr>
        <w:spacing w:line="580" w:lineRule="exact"/>
        <w:ind w:firstLine="564" w:firstLineChars="181"/>
        <w:rPr>
          <w:rStyle w:val="19"/>
          <w:rFonts w:ascii="仿宋_GB2312" w:hAnsi="仿宋" w:eastAsia="仿宋_GB2312"/>
          <w:b w:val="0"/>
          <w:bCs w:val="0"/>
          <w:spacing w:val="-4"/>
          <w:sz w:val="32"/>
          <w:szCs w:val="32"/>
        </w:rPr>
      </w:pPr>
      <w:r>
        <w:rPr>
          <w:rStyle w:val="19"/>
          <w:rFonts w:hint="eastAsia" w:ascii="仿宋_GB2312" w:hAnsi="仿宋" w:eastAsia="仿宋_GB2312" w:cs="仿宋_GB2312"/>
          <w:b w:val="0"/>
          <w:bCs w:val="0"/>
          <w:spacing w:val="-4"/>
          <w:sz w:val="32"/>
          <w:szCs w:val="32"/>
        </w:rPr>
        <w:t>此次绩效评价由项目实施由设备资产管理处和财务室共同完成。根据项目绩效目标进行，一是前期准备，明确工作分工、了解基本情况、设计指标体系；二是收集信息，分别落实工作；三是对照检查核实，提出意见建议。</w:t>
      </w:r>
    </w:p>
    <w:p w14:paraId="337FF1C8">
      <w:pPr>
        <w:spacing w:line="580" w:lineRule="exact"/>
        <w:ind w:firstLine="564" w:firstLineChars="181"/>
        <w:rPr>
          <w:rStyle w:val="19"/>
          <w:rFonts w:ascii="仿宋_GB2312" w:hAnsi="仿宋" w:eastAsia="仿宋_GB2312"/>
          <w:b w:val="0"/>
          <w:bCs w:val="0"/>
          <w:spacing w:val="-4"/>
          <w:sz w:val="32"/>
          <w:szCs w:val="32"/>
        </w:rPr>
      </w:pPr>
      <w:r>
        <w:rPr>
          <w:rStyle w:val="19"/>
          <w:rFonts w:hint="eastAsia" w:ascii="仿宋_GB2312" w:hAnsi="仿宋" w:eastAsia="仿宋_GB2312" w:cs="仿宋_GB2312"/>
          <w:b w:val="0"/>
          <w:bCs w:val="0"/>
          <w:spacing w:val="-4"/>
          <w:sz w:val="32"/>
          <w:szCs w:val="32"/>
        </w:rPr>
        <w:t>（三）项目产出情况。</w:t>
      </w:r>
    </w:p>
    <w:p w14:paraId="4387DDBC">
      <w:pPr>
        <w:spacing w:line="580" w:lineRule="exact"/>
        <w:ind w:firstLine="564" w:firstLineChars="181"/>
        <w:rPr>
          <w:rStyle w:val="19"/>
          <w:rFonts w:ascii="仿宋_GB2312" w:hAnsi="仿宋" w:eastAsia="仿宋_GB2312"/>
          <w:b w:val="0"/>
          <w:bCs w:val="0"/>
          <w:spacing w:val="-4"/>
          <w:sz w:val="32"/>
          <w:szCs w:val="32"/>
        </w:rPr>
      </w:pPr>
      <w:r>
        <w:rPr>
          <w:rStyle w:val="19"/>
          <w:rFonts w:hint="eastAsia" w:ascii="仿宋_GB2312" w:hAnsi="仿宋" w:eastAsia="仿宋_GB2312" w:cs="仿宋_GB2312"/>
          <w:b w:val="0"/>
          <w:bCs w:val="0"/>
          <w:spacing w:val="-4"/>
          <w:sz w:val="32"/>
          <w:szCs w:val="32"/>
        </w:rPr>
        <w:t>结合该项目支出绩效自评表年初该项目设定的产出指标分析：</w:t>
      </w:r>
    </w:p>
    <w:p w14:paraId="098D80F9">
      <w:pPr>
        <w:spacing w:line="580" w:lineRule="exact"/>
        <w:ind w:firstLine="564" w:firstLineChars="181"/>
        <w:rPr>
          <w:rStyle w:val="19"/>
          <w:rFonts w:ascii="仿宋_GB2312" w:hAnsi="仿宋" w:eastAsia="仿宋_GB2312"/>
          <w:b w:val="0"/>
          <w:bCs w:val="0"/>
          <w:spacing w:val="-4"/>
          <w:sz w:val="32"/>
          <w:szCs w:val="32"/>
        </w:rPr>
      </w:pPr>
      <w:r>
        <w:rPr>
          <w:rStyle w:val="19"/>
          <w:rFonts w:ascii="仿宋_GB2312" w:hAnsi="仿宋" w:eastAsia="仿宋_GB2312" w:cs="仿宋_GB2312"/>
          <w:b w:val="0"/>
          <w:bCs w:val="0"/>
          <w:spacing w:val="-4"/>
          <w:sz w:val="32"/>
          <w:szCs w:val="32"/>
        </w:rPr>
        <w:t>1</w:t>
      </w:r>
      <w:r>
        <w:rPr>
          <w:rStyle w:val="19"/>
          <w:rFonts w:hint="eastAsia" w:ascii="仿宋_GB2312" w:hAnsi="仿宋" w:eastAsia="仿宋_GB2312" w:cs="仿宋_GB2312"/>
          <w:b w:val="0"/>
          <w:bCs w:val="0"/>
          <w:spacing w:val="-4"/>
          <w:sz w:val="32"/>
          <w:szCs w:val="32"/>
        </w:rPr>
        <w:t>、数量指标：按照</w:t>
      </w:r>
      <w:r>
        <w:rPr>
          <w:rStyle w:val="19"/>
          <w:rFonts w:ascii="仿宋_GB2312" w:hAnsi="仿宋" w:eastAsia="仿宋_GB2312" w:cs="仿宋_GB2312"/>
          <w:b w:val="0"/>
          <w:bCs w:val="0"/>
          <w:spacing w:val="-4"/>
          <w:sz w:val="32"/>
          <w:szCs w:val="32"/>
        </w:rPr>
        <w:t>2019</w:t>
      </w:r>
      <w:r>
        <w:rPr>
          <w:rStyle w:val="19"/>
          <w:rFonts w:hint="eastAsia" w:ascii="仿宋_GB2312" w:hAnsi="仿宋" w:eastAsia="仿宋_GB2312" w:cs="仿宋_GB2312"/>
          <w:b w:val="0"/>
          <w:bCs w:val="0"/>
          <w:spacing w:val="-4"/>
          <w:sz w:val="32"/>
          <w:szCs w:val="32"/>
        </w:rPr>
        <w:t>年度新增教学面积和教学楼建筑面积两个指标，指标值分别为：≥</w:t>
      </w:r>
      <w:r>
        <w:rPr>
          <w:rStyle w:val="19"/>
          <w:rFonts w:ascii="仿宋_GB2312" w:hAnsi="仿宋" w:eastAsia="仿宋_GB2312" w:cs="仿宋_GB2312"/>
          <w:b w:val="0"/>
          <w:bCs w:val="0"/>
          <w:spacing w:val="-4"/>
          <w:sz w:val="32"/>
          <w:szCs w:val="32"/>
        </w:rPr>
        <w:t>10000</w:t>
      </w:r>
      <w:r>
        <w:rPr>
          <w:rStyle w:val="19"/>
          <w:rFonts w:hint="eastAsia" w:ascii="仿宋_GB2312" w:hAnsi="仿宋" w:eastAsia="仿宋_GB2312" w:cs="仿宋_GB2312"/>
          <w:b w:val="0"/>
          <w:bCs w:val="0"/>
          <w:spacing w:val="-4"/>
          <w:sz w:val="32"/>
          <w:szCs w:val="32"/>
        </w:rPr>
        <w:t>平方米和≤</w:t>
      </w:r>
      <w:r>
        <w:rPr>
          <w:rStyle w:val="19"/>
          <w:rFonts w:ascii="仿宋_GB2312" w:hAnsi="仿宋" w:eastAsia="仿宋_GB2312" w:cs="仿宋_GB2312"/>
          <w:b w:val="0"/>
          <w:bCs w:val="0"/>
          <w:spacing w:val="-4"/>
          <w:sz w:val="32"/>
          <w:szCs w:val="32"/>
        </w:rPr>
        <w:t>12734.71</w:t>
      </w:r>
      <w:r>
        <w:rPr>
          <w:rStyle w:val="19"/>
          <w:rFonts w:hint="eastAsia" w:ascii="仿宋_GB2312" w:hAnsi="仿宋" w:eastAsia="仿宋_GB2312" w:cs="仿宋_GB2312"/>
          <w:b w:val="0"/>
          <w:bCs w:val="0"/>
          <w:spacing w:val="-4"/>
          <w:sz w:val="32"/>
          <w:szCs w:val="32"/>
        </w:rPr>
        <w:t>平方米；年末，该项目实际完成值为</w:t>
      </w:r>
      <w:r>
        <w:rPr>
          <w:rStyle w:val="19"/>
          <w:rFonts w:ascii="仿宋_GB2312" w:hAnsi="仿宋" w:eastAsia="仿宋_GB2312" w:cs="仿宋_GB2312"/>
          <w:b w:val="0"/>
          <w:bCs w:val="0"/>
          <w:spacing w:val="-4"/>
          <w:sz w:val="32"/>
          <w:szCs w:val="32"/>
        </w:rPr>
        <w:t>12734</w:t>
      </w:r>
      <w:r>
        <w:rPr>
          <w:rStyle w:val="19"/>
          <w:rFonts w:hint="eastAsia" w:ascii="仿宋_GB2312" w:hAnsi="仿宋" w:eastAsia="仿宋_GB2312" w:cs="仿宋_GB2312"/>
          <w:b w:val="0"/>
          <w:bCs w:val="0"/>
          <w:spacing w:val="-4"/>
          <w:sz w:val="32"/>
          <w:szCs w:val="32"/>
        </w:rPr>
        <w:t>平方米和</w:t>
      </w:r>
      <w:r>
        <w:rPr>
          <w:rStyle w:val="19"/>
          <w:rFonts w:ascii="仿宋_GB2312" w:hAnsi="仿宋" w:eastAsia="仿宋_GB2312" w:cs="仿宋_GB2312"/>
          <w:b w:val="0"/>
          <w:bCs w:val="0"/>
          <w:spacing w:val="-4"/>
          <w:sz w:val="32"/>
          <w:szCs w:val="32"/>
        </w:rPr>
        <w:t>12734</w:t>
      </w:r>
      <w:r>
        <w:rPr>
          <w:rStyle w:val="19"/>
          <w:rFonts w:hint="eastAsia" w:ascii="仿宋_GB2312" w:hAnsi="仿宋" w:eastAsia="仿宋_GB2312" w:cs="仿宋_GB2312"/>
          <w:b w:val="0"/>
          <w:bCs w:val="0"/>
          <w:spacing w:val="-4"/>
          <w:sz w:val="32"/>
          <w:szCs w:val="32"/>
        </w:rPr>
        <w:t>平方米，指标完成率为</w:t>
      </w:r>
      <w:r>
        <w:rPr>
          <w:rStyle w:val="19"/>
          <w:rFonts w:ascii="仿宋_GB2312" w:hAnsi="仿宋" w:eastAsia="仿宋_GB2312" w:cs="仿宋_GB2312"/>
          <w:b w:val="0"/>
          <w:bCs w:val="0"/>
          <w:spacing w:val="-4"/>
          <w:sz w:val="32"/>
          <w:szCs w:val="32"/>
        </w:rPr>
        <w:t>100%</w:t>
      </w:r>
      <w:r>
        <w:rPr>
          <w:rStyle w:val="19"/>
          <w:rFonts w:hint="eastAsia" w:ascii="仿宋_GB2312" w:hAnsi="仿宋" w:eastAsia="仿宋_GB2312" w:cs="仿宋_GB2312"/>
          <w:b w:val="0"/>
          <w:bCs w:val="0"/>
          <w:spacing w:val="-4"/>
          <w:sz w:val="32"/>
          <w:szCs w:val="32"/>
        </w:rPr>
        <w:t>，完成了年初设定的指标值，达到了年初设定的指标值。</w:t>
      </w:r>
    </w:p>
    <w:p w14:paraId="032B7CFF">
      <w:pPr>
        <w:spacing w:line="580" w:lineRule="exact"/>
        <w:ind w:firstLine="564" w:firstLineChars="181"/>
        <w:rPr>
          <w:rStyle w:val="19"/>
          <w:rFonts w:ascii="仿宋_GB2312" w:hAnsi="仿宋" w:eastAsia="仿宋_GB2312"/>
          <w:b w:val="0"/>
          <w:bCs w:val="0"/>
          <w:spacing w:val="-4"/>
          <w:sz w:val="32"/>
          <w:szCs w:val="32"/>
        </w:rPr>
      </w:pPr>
      <w:r>
        <w:rPr>
          <w:rStyle w:val="19"/>
          <w:rFonts w:ascii="仿宋_GB2312" w:hAnsi="仿宋" w:eastAsia="仿宋_GB2312" w:cs="仿宋_GB2312"/>
          <w:b w:val="0"/>
          <w:bCs w:val="0"/>
          <w:spacing w:val="-4"/>
          <w:sz w:val="32"/>
          <w:szCs w:val="32"/>
        </w:rPr>
        <w:t>2</w:t>
      </w:r>
      <w:r>
        <w:rPr>
          <w:rStyle w:val="19"/>
          <w:rFonts w:hint="eastAsia" w:ascii="仿宋_GB2312" w:hAnsi="仿宋" w:eastAsia="仿宋_GB2312" w:cs="仿宋_GB2312"/>
          <w:b w:val="0"/>
          <w:bCs w:val="0"/>
          <w:spacing w:val="-4"/>
          <w:sz w:val="32"/>
          <w:szCs w:val="32"/>
        </w:rPr>
        <w:t>、质量指标：按照</w:t>
      </w:r>
      <w:r>
        <w:rPr>
          <w:rStyle w:val="19"/>
          <w:rFonts w:ascii="仿宋_GB2312" w:hAnsi="仿宋" w:eastAsia="仿宋_GB2312" w:cs="仿宋_GB2312"/>
          <w:b w:val="0"/>
          <w:bCs w:val="0"/>
          <w:spacing w:val="-4"/>
          <w:sz w:val="32"/>
          <w:szCs w:val="32"/>
        </w:rPr>
        <w:t>2019</w:t>
      </w:r>
      <w:r>
        <w:rPr>
          <w:rStyle w:val="19"/>
          <w:rFonts w:hint="eastAsia" w:ascii="仿宋_GB2312" w:hAnsi="仿宋" w:eastAsia="仿宋_GB2312" w:cs="仿宋_GB2312"/>
          <w:b w:val="0"/>
          <w:bCs w:val="0"/>
          <w:spacing w:val="-4"/>
          <w:sz w:val="32"/>
          <w:szCs w:val="32"/>
        </w:rPr>
        <w:t>年度安全事故发生数、按期完工度</w:t>
      </w:r>
      <w:r>
        <w:rPr>
          <w:rStyle w:val="19"/>
          <w:rFonts w:ascii="仿宋_GB2312" w:hAnsi="仿宋" w:eastAsia="仿宋_GB2312"/>
          <w:b w:val="0"/>
          <w:bCs w:val="0"/>
          <w:spacing w:val="-4"/>
          <w:sz w:val="32"/>
          <w:szCs w:val="32"/>
        </w:rPr>
        <w:tab/>
      </w:r>
      <w:r>
        <w:rPr>
          <w:rStyle w:val="19"/>
          <w:rFonts w:hint="eastAsia" w:ascii="仿宋_GB2312" w:hAnsi="仿宋" w:eastAsia="仿宋_GB2312" w:cs="仿宋_GB2312"/>
          <w:b w:val="0"/>
          <w:bCs w:val="0"/>
          <w:spacing w:val="-4"/>
          <w:sz w:val="32"/>
          <w:szCs w:val="32"/>
        </w:rPr>
        <w:t>、</w:t>
      </w:r>
      <w:r>
        <w:rPr>
          <w:rStyle w:val="19"/>
          <w:rFonts w:ascii="仿宋_GB2312" w:hAnsi="仿宋" w:eastAsia="仿宋_GB2312"/>
          <w:b w:val="0"/>
          <w:bCs w:val="0"/>
          <w:spacing w:val="-4"/>
          <w:sz w:val="32"/>
          <w:szCs w:val="32"/>
        </w:rPr>
        <w:tab/>
      </w:r>
      <w:r>
        <w:rPr>
          <w:rStyle w:val="19"/>
          <w:rFonts w:hint="eastAsia" w:ascii="仿宋_GB2312" w:hAnsi="仿宋" w:eastAsia="仿宋_GB2312" w:cs="仿宋_GB2312"/>
          <w:b w:val="0"/>
          <w:bCs w:val="0"/>
          <w:spacing w:val="-4"/>
          <w:sz w:val="32"/>
          <w:szCs w:val="32"/>
        </w:rPr>
        <w:t>一次性验收合格率三个指标。指标值分别为</w:t>
      </w:r>
      <w:r>
        <w:rPr>
          <w:rStyle w:val="19"/>
          <w:rFonts w:ascii="仿宋_GB2312" w:hAnsi="仿宋" w:eastAsia="仿宋_GB2312" w:cs="仿宋_GB2312"/>
          <w:b w:val="0"/>
          <w:bCs w:val="0"/>
          <w:spacing w:val="-4"/>
          <w:sz w:val="32"/>
          <w:szCs w:val="32"/>
        </w:rPr>
        <w:t>=0</w:t>
      </w:r>
      <w:r>
        <w:rPr>
          <w:rStyle w:val="19"/>
          <w:rFonts w:hint="eastAsia" w:ascii="仿宋_GB2312" w:hAnsi="仿宋" w:eastAsia="仿宋_GB2312" w:cs="仿宋_GB2312"/>
          <w:b w:val="0"/>
          <w:bCs w:val="0"/>
          <w:spacing w:val="-4"/>
          <w:sz w:val="32"/>
          <w:szCs w:val="32"/>
        </w:rPr>
        <w:t>件、≥</w:t>
      </w:r>
      <w:r>
        <w:rPr>
          <w:rStyle w:val="19"/>
          <w:rFonts w:ascii="仿宋_GB2312" w:hAnsi="仿宋" w:eastAsia="仿宋_GB2312" w:cs="仿宋_GB2312"/>
          <w:b w:val="0"/>
          <w:bCs w:val="0"/>
          <w:spacing w:val="-4"/>
          <w:sz w:val="32"/>
          <w:szCs w:val="32"/>
        </w:rPr>
        <w:t>95%</w:t>
      </w:r>
      <w:r>
        <w:rPr>
          <w:rStyle w:val="19"/>
          <w:rFonts w:hint="eastAsia" w:ascii="仿宋_GB2312" w:hAnsi="仿宋" w:eastAsia="仿宋_GB2312" w:cs="仿宋_GB2312"/>
          <w:b w:val="0"/>
          <w:bCs w:val="0"/>
          <w:spacing w:val="-4"/>
          <w:sz w:val="32"/>
          <w:szCs w:val="32"/>
        </w:rPr>
        <w:t>、</w:t>
      </w:r>
      <w:r>
        <w:rPr>
          <w:rStyle w:val="19"/>
          <w:rFonts w:ascii="仿宋_GB2312" w:hAnsi="仿宋" w:eastAsia="仿宋_GB2312" w:cs="仿宋_GB2312"/>
          <w:b w:val="0"/>
          <w:bCs w:val="0"/>
          <w:spacing w:val="-4"/>
          <w:sz w:val="32"/>
          <w:szCs w:val="32"/>
        </w:rPr>
        <w:t>=100%</w:t>
      </w:r>
      <w:r>
        <w:rPr>
          <w:rStyle w:val="19"/>
          <w:rFonts w:hint="eastAsia" w:ascii="仿宋_GB2312" w:hAnsi="仿宋" w:eastAsia="仿宋_GB2312" w:cs="仿宋_GB2312"/>
          <w:b w:val="0"/>
          <w:bCs w:val="0"/>
          <w:spacing w:val="-4"/>
          <w:sz w:val="32"/>
          <w:szCs w:val="32"/>
        </w:rPr>
        <w:t>，年末该项目实际完成值为</w:t>
      </w:r>
      <w:r>
        <w:rPr>
          <w:rStyle w:val="19"/>
          <w:rFonts w:ascii="仿宋_GB2312" w:hAnsi="仿宋" w:eastAsia="仿宋_GB2312" w:cs="仿宋_GB2312"/>
          <w:b w:val="0"/>
          <w:bCs w:val="0"/>
          <w:spacing w:val="-4"/>
          <w:sz w:val="32"/>
          <w:szCs w:val="32"/>
        </w:rPr>
        <w:t>0</w:t>
      </w:r>
      <w:r>
        <w:rPr>
          <w:rStyle w:val="19"/>
          <w:rFonts w:hint="eastAsia" w:ascii="仿宋_GB2312" w:hAnsi="仿宋" w:eastAsia="仿宋_GB2312" w:cs="仿宋_GB2312"/>
          <w:b w:val="0"/>
          <w:bCs w:val="0"/>
          <w:spacing w:val="-4"/>
          <w:sz w:val="32"/>
          <w:szCs w:val="32"/>
        </w:rPr>
        <w:t>件、</w:t>
      </w:r>
      <w:r>
        <w:rPr>
          <w:rStyle w:val="19"/>
          <w:rFonts w:ascii="仿宋_GB2312" w:hAnsi="仿宋" w:eastAsia="仿宋_GB2312" w:cs="仿宋_GB2312"/>
          <w:b w:val="0"/>
          <w:bCs w:val="0"/>
          <w:spacing w:val="-4"/>
          <w:sz w:val="32"/>
          <w:szCs w:val="32"/>
        </w:rPr>
        <w:t>96%</w:t>
      </w:r>
      <w:r>
        <w:rPr>
          <w:rStyle w:val="19"/>
          <w:rFonts w:hint="eastAsia" w:ascii="仿宋_GB2312" w:hAnsi="仿宋" w:eastAsia="仿宋_GB2312" w:cs="仿宋_GB2312"/>
          <w:b w:val="0"/>
          <w:bCs w:val="0"/>
          <w:spacing w:val="-4"/>
          <w:sz w:val="32"/>
          <w:szCs w:val="32"/>
        </w:rPr>
        <w:t>、</w:t>
      </w:r>
      <w:r>
        <w:rPr>
          <w:rStyle w:val="19"/>
          <w:rFonts w:ascii="仿宋_GB2312" w:hAnsi="仿宋" w:eastAsia="仿宋_GB2312" w:cs="仿宋_GB2312"/>
          <w:b w:val="0"/>
          <w:bCs w:val="0"/>
          <w:spacing w:val="-4"/>
          <w:sz w:val="32"/>
          <w:szCs w:val="32"/>
        </w:rPr>
        <w:t>95%</w:t>
      </w:r>
      <w:r>
        <w:rPr>
          <w:rStyle w:val="19"/>
          <w:rFonts w:hint="eastAsia" w:ascii="仿宋_GB2312" w:hAnsi="仿宋" w:eastAsia="仿宋_GB2312" w:cs="仿宋_GB2312"/>
          <w:b w:val="0"/>
          <w:bCs w:val="0"/>
          <w:spacing w:val="-4"/>
          <w:sz w:val="32"/>
          <w:szCs w:val="32"/>
        </w:rPr>
        <w:t>，前两项完成率为</w:t>
      </w:r>
      <w:r>
        <w:rPr>
          <w:rStyle w:val="19"/>
          <w:rFonts w:ascii="仿宋_GB2312" w:hAnsi="仿宋" w:eastAsia="仿宋_GB2312" w:cs="仿宋_GB2312"/>
          <w:b w:val="0"/>
          <w:bCs w:val="0"/>
          <w:spacing w:val="-4"/>
          <w:sz w:val="32"/>
          <w:szCs w:val="32"/>
        </w:rPr>
        <w:t>100%</w:t>
      </w:r>
      <w:r>
        <w:rPr>
          <w:rStyle w:val="19"/>
          <w:rFonts w:hint="eastAsia" w:ascii="仿宋_GB2312" w:hAnsi="仿宋" w:eastAsia="仿宋_GB2312" w:cs="仿宋_GB2312"/>
          <w:b w:val="0"/>
          <w:bCs w:val="0"/>
          <w:spacing w:val="-4"/>
          <w:sz w:val="32"/>
          <w:szCs w:val="32"/>
        </w:rPr>
        <w:t>，一次性验收合格率完成率</w:t>
      </w:r>
      <w:r>
        <w:rPr>
          <w:rStyle w:val="19"/>
          <w:rFonts w:ascii="仿宋_GB2312" w:hAnsi="仿宋" w:eastAsia="仿宋_GB2312" w:cs="仿宋_GB2312"/>
          <w:b w:val="0"/>
          <w:bCs w:val="0"/>
          <w:spacing w:val="-4"/>
          <w:sz w:val="32"/>
          <w:szCs w:val="32"/>
        </w:rPr>
        <w:t>96%</w:t>
      </w:r>
      <w:r>
        <w:rPr>
          <w:rStyle w:val="19"/>
          <w:rFonts w:hint="eastAsia" w:ascii="仿宋_GB2312" w:hAnsi="仿宋" w:eastAsia="仿宋_GB2312" w:cs="仿宋_GB2312"/>
          <w:b w:val="0"/>
          <w:bCs w:val="0"/>
          <w:spacing w:val="-4"/>
          <w:sz w:val="32"/>
          <w:szCs w:val="32"/>
        </w:rPr>
        <w:t>。</w:t>
      </w:r>
    </w:p>
    <w:p w14:paraId="73398312">
      <w:pPr>
        <w:spacing w:line="580" w:lineRule="exact"/>
        <w:ind w:firstLine="564" w:firstLineChars="181"/>
        <w:rPr>
          <w:rStyle w:val="19"/>
          <w:rFonts w:ascii="仿宋_GB2312" w:hAnsi="仿宋" w:eastAsia="仿宋_GB2312"/>
          <w:b w:val="0"/>
          <w:bCs w:val="0"/>
          <w:spacing w:val="-4"/>
          <w:sz w:val="32"/>
          <w:szCs w:val="32"/>
        </w:rPr>
      </w:pPr>
      <w:r>
        <w:rPr>
          <w:rStyle w:val="19"/>
          <w:rFonts w:ascii="仿宋_GB2312" w:hAnsi="仿宋" w:eastAsia="仿宋_GB2312" w:cs="仿宋_GB2312"/>
          <w:b w:val="0"/>
          <w:bCs w:val="0"/>
          <w:spacing w:val="-4"/>
          <w:sz w:val="32"/>
          <w:szCs w:val="32"/>
        </w:rPr>
        <w:t>3</w:t>
      </w:r>
      <w:r>
        <w:rPr>
          <w:rStyle w:val="19"/>
          <w:rFonts w:hint="eastAsia" w:ascii="仿宋_GB2312" w:hAnsi="仿宋" w:eastAsia="仿宋_GB2312" w:cs="仿宋_GB2312"/>
          <w:b w:val="0"/>
          <w:bCs w:val="0"/>
          <w:spacing w:val="-4"/>
          <w:sz w:val="32"/>
          <w:szCs w:val="32"/>
        </w:rPr>
        <w:t>、时效指标：设定了</w:t>
      </w:r>
      <w:r>
        <w:rPr>
          <w:rStyle w:val="19"/>
          <w:rFonts w:ascii="仿宋_GB2312" w:hAnsi="仿宋" w:eastAsia="仿宋_GB2312" w:cs="仿宋_GB2312"/>
          <w:b w:val="0"/>
          <w:bCs w:val="0"/>
          <w:spacing w:val="-4"/>
          <w:sz w:val="32"/>
          <w:szCs w:val="32"/>
        </w:rPr>
        <w:t>2019</w:t>
      </w:r>
      <w:r>
        <w:rPr>
          <w:rStyle w:val="19"/>
          <w:rFonts w:hint="eastAsia" w:ascii="仿宋_GB2312" w:hAnsi="仿宋" w:eastAsia="仿宋_GB2312" w:cs="仿宋_GB2312"/>
          <w:b w:val="0"/>
          <w:bCs w:val="0"/>
          <w:spacing w:val="-4"/>
          <w:sz w:val="32"/>
          <w:szCs w:val="32"/>
        </w:rPr>
        <w:t>年项目完工及时性，指标值为及时，该项目在完成目标值</w:t>
      </w:r>
      <w:r>
        <w:rPr>
          <w:rStyle w:val="19"/>
          <w:rFonts w:ascii="仿宋_GB2312" w:hAnsi="仿宋" w:eastAsia="仿宋_GB2312" w:cs="仿宋_GB2312"/>
          <w:b w:val="0"/>
          <w:bCs w:val="0"/>
          <w:spacing w:val="-4"/>
          <w:sz w:val="32"/>
          <w:szCs w:val="32"/>
        </w:rPr>
        <w:t>100%</w:t>
      </w:r>
      <w:r>
        <w:rPr>
          <w:rStyle w:val="19"/>
          <w:rFonts w:hint="eastAsia" w:ascii="仿宋_GB2312" w:hAnsi="仿宋" w:eastAsia="仿宋_GB2312" w:cs="仿宋_GB2312"/>
          <w:b w:val="0"/>
          <w:bCs w:val="0"/>
          <w:spacing w:val="-4"/>
          <w:sz w:val="32"/>
          <w:szCs w:val="32"/>
        </w:rPr>
        <w:t>，指标完成率为</w:t>
      </w:r>
      <w:r>
        <w:rPr>
          <w:rStyle w:val="19"/>
          <w:rFonts w:ascii="仿宋_GB2312" w:hAnsi="仿宋" w:eastAsia="仿宋_GB2312" w:cs="仿宋_GB2312"/>
          <w:b w:val="0"/>
          <w:bCs w:val="0"/>
          <w:spacing w:val="-4"/>
          <w:sz w:val="32"/>
          <w:szCs w:val="32"/>
        </w:rPr>
        <w:t>100%</w:t>
      </w:r>
      <w:r>
        <w:rPr>
          <w:rStyle w:val="19"/>
          <w:rFonts w:hint="eastAsia" w:ascii="仿宋_GB2312" w:hAnsi="仿宋" w:eastAsia="仿宋_GB2312" w:cs="仿宋_GB2312"/>
          <w:b w:val="0"/>
          <w:bCs w:val="0"/>
          <w:spacing w:val="-4"/>
          <w:sz w:val="32"/>
          <w:szCs w:val="32"/>
        </w:rPr>
        <w:t>，完成了年初设定的指标值。</w:t>
      </w:r>
    </w:p>
    <w:p w14:paraId="7757F6A4">
      <w:pPr>
        <w:spacing w:line="580" w:lineRule="exact"/>
        <w:ind w:firstLine="564" w:firstLineChars="181"/>
        <w:rPr>
          <w:rStyle w:val="19"/>
          <w:rFonts w:ascii="仿宋_GB2312" w:hAnsi="仿宋" w:eastAsia="仿宋_GB2312"/>
          <w:b w:val="0"/>
          <w:bCs w:val="0"/>
          <w:spacing w:val="-4"/>
          <w:sz w:val="32"/>
          <w:szCs w:val="32"/>
        </w:rPr>
      </w:pPr>
      <w:r>
        <w:rPr>
          <w:rStyle w:val="19"/>
          <w:rFonts w:ascii="仿宋_GB2312" w:hAnsi="仿宋" w:eastAsia="仿宋_GB2312" w:cs="仿宋_GB2312"/>
          <w:b w:val="0"/>
          <w:bCs w:val="0"/>
          <w:spacing w:val="-4"/>
          <w:sz w:val="32"/>
          <w:szCs w:val="32"/>
        </w:rPr>
        <w:t>4</w:t>
      </w:r>
      <w:r>
        <w:rPr>
          <w:rStyle w:val="19"/>
          <w:rFonts w:hint="eastAsia" w:ascii="仿宋_GB2312" w:hAnsi="仿宋" w:eastAsia="仿宋_GB2312" w:cs="仿宋_GB2312"/>
          <w:b w:val="0"/>
          <w:bCs w:val="0"/>
          <w:spacing w:val="-4"/>
          <w:sz w:val="32"/>
          <w:szCs w:val="32"/>
        </w:rPr>
        <w:t>、成本指标：按照项目的投资规模</w:t>
      </w:r>
      <w:r>
        <w:rPr>
          <w:rStyle w:val="19"/>
          <w:rFonts w:ascii="仿宋_GB2312" w:hAnsi="仿宋" w:eastAsia="仿宋_GB2312"/>
          <w:b w:val="0"/>
          <w:bCs w:val="0"/>
          <w:spacing w:val="-4"/>
          <w:sz w:val="32"/>
          <w:szCs w:val="32"/>
        </w:rPr>
        <w:tab/>
      </w:r>
      <w:r>
        <w:rPr>
          <w:rStyle w:val="19"/>
          <w:rFonts w:hint="eastAsia" w:ascii="仿宋_GB2312" w:hAnsi="仿宋" w:eastAsia="仿宋_GB2312" w:cs="仿宋_GB2312"/>
          <w:b w:val="0"/>
          <w:bCs w:val="0"/>
          <w:spacing w:val="-4"/>
          <w:sz w:val="32"/>
          <w:szCs w:val="32"/>
        </w:rPr>
        <w:t>设置成本指标：</w:t>
      </w:r>
      <w:r>
        <w:rPr>
          <w:rStyle w:val="19"/>
          <w:rFonts w:ascii="仿宋_GB2312" w:hAnsi="仿宋" w:eastAsia="仿宋_GB2312" w:cs="仿宋_GB2312"/>
          <w:b w:val="0"/>
          <w:bCs w:val="0"/>
          <w:spacing w:val="-4"/>
          <w:sz w:val="32"/>
          <w:szCs w:val="32"/>
        </w:rPr>
        <w:t>&lt;4800</w:t>
      </w:r>
      <w:r>
        <w:rPr>
          <w:rStyle w:val="19"/>
          <w:rFonts w:hint="eastAsia" w:ascii="仿宋_GB2312" w:hAnsi="仿宋" w:eastAsia="仿宋_GB2312" w:cs="仿宋_GB2312"/>
          <w:b w:val="0"/>
          <w:bCs w:val="0"/>
          <w:spacing w:val="-4"/>
          <w:sz w:val="32"/>
          <w:szCs w:val="32"/>
        </w:rPr>
        <w:t>万元；实际完成值为：</w:t>
      </w:r>
      <w:r>
        <w:rPr>
          <w:rStyle w:val="19"/>
          <w:rFonts w:ascii="仿宋_GB2312" w:hAnsi="仿宋" w:eastAsia="仿宋_GB2312" w:cs="仿宋_GB2312"/>
          <w:b w:val="0"/>
          <w:bCs w:val="0"/>
          <w:spacing w:val="-4"/>
          <w:sz w:val="32"/>
          <w:szCs w:val="32"/>
        </w:rPr>
        <w:t>4150</w:t>
      </w:r>
      <w:r>
        <w:rPr>
          <w:rStyle w:val="19"/>
          <w:rFonts w:hint="eastAsia" w:ascii="仿宋_GB2312" w:hAnsi="仿宋" w:eastAsia="仿宋_GB2312" w:cs="仿宋_GB2312"/>
          <w:b w:val="0"/>
          <w:bCs w:val="0"/>
          <w:spacing w:val="-4"/>
          <w:sz w:val="32"/>
          <w:szCs w:val="32"/>
        </w:rPr>
        <w:t>万元，指标完成率为</w:t>
      </w:r>
      <w:r>
        <w:rPr>
          <w:rStyle w:val="19"/>
          <w:rFonts w:ascii="仿宋_GB2312" w:hAnsi="仿宋" w:eastAsia="仿宋_GB2312" w:cs="仿宋_GB2312"/>
          <w:b w:val="0"/>
          <w:bCs w:val="0"/>
          <w:spacing w:val="-4"/>
          <w:sz w:val="32"/>
          <w:szCs w:val="32"/>
        </w:rPr>
        <w:t>100%</w:t>
      </w:r>
      <w:r>
        <w:rPr>
          <w:rStyle w:val="19"/>
          <w:rFonts w:hint="eastAsia" w:ascii="仿宋_GB2312" w:hAnsi="仿宋" w:eastAsia="仿宋_GB2312" w:cs="仿宋_GB2312"/>
          <w:b w:val="0"/>
          <w:bCs w:val="0"/>
          <w:spacing w:val="-4"/>
          <w:sz w:val="32"/>
          <w:szCs w:val="32"/>
        </w:rPr>
        <w:t>，完成了年初设定的指标值。</w:t>
      </w:r>
    </w:p>
    <w:p w14:paraId="7B4C74ED">
      <w:pPr>
        <w:spacing w:line="580" w:lineRule="exact"/>
        <w:ind w:firstLine="564" w:firstLineChars="181"/>
        <w:rPr>
          <w:rStyle w:val="19"/>
          <w:rFonts w:ascii="仿宋_GB2312" w:hAnsi="仿宋" w:eastAsia="仿宋_GB2312"/>
          <w:b w:val="0"/>
          <w:bCs w:val="0"/>
          <w:spacing w:val="-4"/>
          <w:sz w:val="32"/>
          <w:szCs w:val="32"/>
        </w:rPr>
      </w:pPr>
      <w:r>
        <w:rPr>
          <w:rStyle w:val="19"/>
          <w:rFonts w:ascii="仿宋_GB2312" w:hAnsi="仿宋" w:eastAsia="仿宋_GB2312" w:cs="仿宋_GB2312"/>
          <w:b w:val="0"/>
          <w:bCs w:val="0"/>
          <w:spacing w:val="-4"/>
          <w:sz w:val="32"/>
          <w:szCs w:val="32"/>
        </w:rPr>
        <w:t>5</w:t>
      </w:r>
      <w:r>
        <w:rPr>
          <w:rStyle w:val="19"/>
          <w:rFonts w:hint="eastAsia" w:ascii="仿宋_GB2312" w:hAnsi="仿宋" w:eastAsia="仿宋_GB2312" w:cs="仿宋_GB2312"/>
          <w:b w:val="0"/>
          <w:bCs w:val="0"/>
          <w:spacing w:val="-4"/>
          <w:sz w:val="32"/>
          <w:szCs w:val="32"/>
        </w:rPr>
        <w:t>、效益指标：项目年初设定效益指标为社会效益指标是教学质量显著提高，指标值为显著提高，年末指标完成率</w:t>
      </w:r>
      <w:r>
        <w:rPr>
          <w:rStyle w:val="19"/>
          <w:rFonts w:ascii="仿宋_GB2312" w:hAnsi="仿宋" w:eastAsia="仿宋_GB2312" w:cs="仿宋_GB2312"/>
          <w:b w:val="0"/>
          <w:bCs w:val="0"/>
          <w:spacing w:val="-4"/>
          <w:sz w:val="32"/>
          <w:szCs w:val="32"/>
        </w:rPr>
        <w:t>15%</w:t>
      </w:r>
      <w:r>
        <w:rPr>
          <w:rStyle w:val="19"/>
          <w:rFonts w:hint="eastAsia" w:ascii="仿宋_GB2312" w:hAnsi="仿宋" w:eastAsia="仿宋_GB2312" w:cs="仿宋_GB2312"/>
          <w:b w:val="0"/>
          <w:bCs w:val="0"/>
          <w:spacing w:val="-4"/>
          <w:sz w:val="32"/>
          <w:szCs w:val="32"/>
        </w:rPr>
        <w:t>。</w:t>
      </w:r>
    </w:p>
    <w:p w14:paraId="4CF7D905">
      <w:pPr>
        <w:spacing w:line="580" w:lineRule="exact"/>
        <w:ind w:firstLine="564" w:firstLineChars="181"/>
        <w:rPr>
          <w:rStyle w:val="19"/>
          <w:rFonts w:ascii="仿宋_GB2312" w:hAnsi="仿宋" w:eastAsia="仿宋_GB2312"/>
          <w:b w:val="0"/>
          <w:bCs w:val="0"/>
          <w:spacing w:val="-4"/>
          <w:sz w:val="32"/>
          <w:szCs w:val="32"/>
        </w:rPr>
      </w:pPr>
      <w:r>
        <w:rPr>
          <w:rStyle w:val="19"/>
          <w:rFonts w:ascii="仿宋_GB2312" w:hAnsi="仿宋" w:eastAsia="仿宋_GB2312" w:cs="仿宋_GB2312"/>
          <w:b w:val="0"/>
          <w:bCs w:val="0"/>
          <w:spacing w:val="-4"/>
          <w:sz w:val="32"/>
          <w:szCs w:val="32"/>
        </w:rPr>
        <w:t>6</w:t>
      </w:r>
      <w:r>
        <w:rPr>
          <w:rStyle w:val="19"/>
          <w:rFonts w:hint="eastAsia" w:ascii="仿宋_GB2312" w:hAnsi="仿宋" w:eastAsia="仿宋_GB2312" w:cs="仿宋_GB2312"/>
          <w:b w:val="0"/>
          <w:bCs w:val="0"/>
          <w:spacing w:val="-4"/>
          <w:sz w:val="32"/>
          <w:szCs w:val="32"/>
        </w:rPr>
        <w:t>、满意度指标：项目年初满意度指标设定服务对象满意度指标，设定教职工对党校建设满意度、学员对培训环境满意度两个指标，指标值为≥</w:t>
      </w:r>
      <w:r>
        <w:rPr>
          <w:rStyle w:val="19"/>
          <w:rFonts w:ascii="仿宋_GB2312" w:hAnsi="仿宋" w:eastAsia="仿宋_GB2312" w:cs="仿宋_GB2312"/>
          <w:b w:val="0"/>
          <w:bCs w:val="0"/>
          <w:spacing w:val="-4"/>
          <w:sz w:val="32"/>
          <w:szCs w:val="32"/>
        </w:rPr>
        <w:t>95%</w:t>
      </w:r>
      <w:r>
        <w:rPr>
          <w:rStyle w:val="19"/>
          <w:rFonts w:hint="eastAsia" w:ascii="仿宋_GB2312" w:hAnsi="仿宋" w:eastAsia="仿宋_GB2312" w:cs="仿宋_GB2312"/>
          <w:b w:val="0"/>
          <w:bCs w:val="0"/>
          <w:spacing w:val="-4"/>
          <w:sz w:val="32"/>
          <w:szCs w:val="32"/>
        </w:rPr>
        <w:t>，≥</w:t>
      </w:r>
      <w:r>
        <w:rPr>
          <w:rStyle w:val="19"/>
          <w:rFonts w:ascii="仿宋_GB2312" w:hAnsi="仿宋" w:eastAsia="仿宋_GB2312" w:cs="仿宋_GB2312"/>
          <w:b w:val="0"/>
          <w:bCs w:val="0"/>
          <w:spacing w:val="-4"/>
          <w:sz w:val="32"/>
          <w:szCs w:val="32"/>
        </w:rPr>
        <w:t>95%</w:t>
      </w:r>
      <w:r>
        <w:rPr>
          <w:rStyle w:val="19"/>
          <w:rFonts w:hint="eastAsia" w:ascii="仿宋_GB2312" w:hAnsi="仿宋" w:eastAsia="仿宋_GB2312" w:cs="仿宋_GB2312"/>
          <w:b w:val="0"/>
          <w:bCs w:val="0"/>
          <w:spacing w:val="-4"/>
          <w:sz w:val="32"/>
          <w:szCs w:val="32"/>
        </w:rPr>
        <w:t>。实际为</w:t>
      </w:r>
      <w:r>
        <w:rPr>
          <w:rStyle w:val="19"/>
          <w:rFonts w:ascii="仿宋_GB2312" w:hAnsi="仿宋" w:eastAsia="仿宋_GB2312" w:cs="仿宋_GB2312"/>
          <w:b w:val="0"/>
          <w:bCs w:val="0"/>
          <w:spacing w:val="-4"/>
          <w:sz w:val="32"/>
          <w:szCs w:val="32"/>
        </w:rPr>
        <w:t>96%</w:t>
      </w:r>
      <w:r>
        <w:rPr>
          <w:rStyle w:val="19"/>
          <w:rFonts w:hint="eastAsia" w:ascii="仿宋_GB2312" w:hAnsi="仿宋" w:eastAsia="仿宋_GB2312" w:cs="仿宋_GB2312"/>
          <w:b w:val="0"/>
          <w:bCs w:val="0"/>
          <w:spacing w:val="-4"/>
          <w:sz w:val="32"/>
          <w:szCs w:val="32"/>
        </w:rPr>
        <w:t>、</w:t>
      </w:r>
      <w:r>
        <w:rPr>
          <w:rStyle w:val="19"/>
          <w:rFonts w:ascii="仿宋_GB2312" w:hAnsi="仿宋" w:eastAsia="仿宋_GB2312" w:cs="仿宋_GB2312"/>
          <w:b w:val="0"/>
          <w:bCs w:val="0"/>
          <w:spacing w:val="-4"/>
          <w:sz w:val="32"/>
          <w:szCs w:val="32"/>
        </w:rPr>
        <w:t>96%</w:t>
      </w:r>
      <w:r>
        <w:rPr>
          <w:rStyle w:val="19"/>
          <w:rFonts w:hint="eastAsia" w:ascii="仿宋_GB2312" w:hAnsi="仿宋" w:eastAsia="仿宋_GB2312" w:cs="仿宋_GB2312"/>
          <w:b w:val="0"/>
          <w:bCs w:val="0"/>
          <w:spacing w:val="-4"/>
          <w:sz w:val="32"/>
          <w:szCs w:val="32"/>
        </w:rPr>
        <w:t>，指标完成率均为</w:t>
      </w:r>
      <w:r>
        <w:rPr>
          <w:rStyle w:val="19"/>
          <w:rFonts w:ascii="仿宋_GB2312" w:hAnsi="仿宋" w:eastAsia="仿宋_GB2312" w:cs="仿宋_GB2312"/>
          <w:b w:val="0"/>
          <w:bCs w:val="0"/>
          <w:spacing w:val="-4"/>
          <w:sz w:val="32"/>
          <w:szCs w:val="32"/>
        </w:rPr>
        <w:t>100%</w:t>
      </w:r>
      <w:r>
        <w:rPr>
          <w:rStyle w:val="19"/>
          <w:rFonts w:hint="eastAsia" w:ascii="仿宋_GB2312" w:hAnsi="仿宋" w:eastAsia="仿宋_GB2312" w:cs="仿宋_GB2312"/>
          <w:b w:val="0"/>
          <w:bCs w:val="0"/>
          <w:spacing w:val="-4"/>
          <w:sz w:val="32"/>
          <w:szCs w:val="32"/>
        </w:rPr>
        <w:t>。</w:t>
      </w:r>
    </w:p>
    <w:p w14:paraId="12A075A3">
      <w:pPr>
        <w:spacing w:line="580" w:lineRule="exact"/>
        <w:ind w:firstLine="564" w:firstLineChars="181"/>
        <w:rPr>
          <w:rStyle w:val="19"/>
          <w:rFonts w:ascii="仿宋_GB2312" w:hAnsi="仿宋" w:eastAsia="仿宋_GB2312"/>
          <w:b w:val="0"/>
          <w:bCs w:val="0"/>
          <w:spacing w:val="-4"/>
          <w:sz w:val="32"/>
          <w:szCs w:val="32"/>
        </w:rPr>
      </w:pPr>
      <w:r>
        <w:rPr>
          <w:rStyle w:val="19"/>
          <w:rFonts w:hint="eastAsia" w:ascii="仿宋_GB2312" w:hAnsi="仿宋" w:eastAsia="仿宋_GB2312" w:cs="仿宋_GB2312"/>
          <w:b w:val="0"/>
          <w:bCs w:val="0"/>
          <w:spacing w:val="-4"/>
          <w:sz w:val="32"/>
          <w:szCs w:val="32"/>
        </w:rPr>
        <w:t>从以上分析情况看，产出指标按年初制订的目标已全部完成。</w:t>
      </w:r>
    </w:p>
    <w:p w14:paraId="5CF555D8">
      <w:pPr>
        <w:spacing w:line="580" w:lineRule="exact"/>
        <w:ind w:firstLine="564" w:firstLineChars="181"/>
        <w:rPr>
          <w:rStyle w:val="19"/>
          <w:rFonts w:ascii="仿宋_GB2312" w:hAnsi="仿宋" w:eastAsia="仿宋_GB2312"/>
          <w:b w:val="0"/>
          <w:bCs w:val="0"/>
          <w:spacing w:val="-4"/>
          <w:sz w:val="32"/>
          <w:szCs w:val="32"/>
        </w:rPr>
      </w:pPr>
      <w:r>
        <w:rPr>
          <w:rStyle w:val="19"/>
          <w:rFonts w:hint="eastAsia" w:ascii="仿宋_GB2312" w:hAnsi="仿宋" w:eastAsia="仿宋_GB2312" w:cs="仿宋_GB2312"/>
          <w:b w:val="0"/>
          <w:bCs w:val="0"/>
          <w:spacing w:val="-4"/>
          <w:sz w:val="32"/>
          <w:szCs w:val="32"/>
        </w:rPr>
        <w:t>（四）项目效益情况。</w:t>
      </w:r>
    </w:p>
    <w:p w14:paraId="5C10EE62">
      <w:pPr>
        <w:spacing w:line="580" w:lineRule="exact"/>
        <w:ind w:firstLine="564" w:firstLineChars="181"/>
        <w:rPr>
          <w:rStyle w:val="19"/>
          <w:rFonts w:ascii="仿宋_GB2312" w:hAnsi="仿宋" w:eastAsia="仿宋_GB2312"/>
          <w:b w:val="0"/>
          <w:bCs w:val="0"/>
          <w:spacing w:val="-4"/>
          <w:sz w:val="32"/>
          <w:szCs w:val="32"/>
        </w:rPr>
      </w:pPr>
      <w:r>
        <w:rPr>
          <w:rStyle w:val="19"/>
          <w:rFonts w:ascii="仿宋_GB2312" w:hAnsi="仿宋" w:eastAsia="仿宋_GB2312" w:cs="仿宋_GB2312"/>
          <w:b w:val="0"/>
          <w:bCs w:val="0"/>
          <w:spacing w:val="-4"/>
          <w:sz w:val="32"/>
          <w:szCs w:val="32"/>
        </w:rPr>
        <w:t>1</w:t>
      </w:r>
      <w:r>
        <w:rPr>
          <w:rStyle w:val="19"/>
          <w:rFonts w:hint="eastAsia" w:ascii="仿宋_GB2312" w:hAnsi="仿宋" w:eastAsia="仿宋_GB2312" w:cs="仿宋_GB2312"/>
          <w:b w:val="0"/>
          <w:bCs w:val="0"/>
          <w:spacing w:val="-4"/>
          <w:sz w:val="32"/>
          <w:szCs w:val="32"/>
        </w:rPr>
        <w:t>、社会效益指标：通过该项目的实施，改善了学校的办学条件，提高学校的教育教学质量，通过以前年度对比，该项指标完成率为</w:t>
      </w:r>
      <w:r>
        <w:rPr>
          <w:rStyle w:val="19"/>
          <w:rFonts w:ascii="仿宋_GB2312" w:hAnsi="仿宋" w:eastAsia="仿宋_GB2312" w:cs="仿宋_GB2312"/>
          <w:b w:val="0"/>
          <w:bCs w:val="0"/>
          <w:spacing w:val="-4"/>
          <w:sz w:val="32"/>
          <w:szCs w:val="32"/>
        </w:rPr>
        <w:t>100%</w:t>
      </w:r>
      <w:r>
        <w:rPr>
          <w:rStyle w:val="19"/>
          <w:rFonts w:hint="eastAsia" w:ascii="仿宋_GB2312" w:hAnsi="仿宋" w:eastAsia="仿宋_GB2312" w:cs="仿宋_GB2312"/>
          <w:b w:val="0"/>
          <w:bCs w:val="0"/>
          <w:spacing w:val="-4"/>
          <w:sz w:val="32"/>
          <w:szCs w:val="32"/>
        </w:rPr>
        <w:t>。</w:t>
      </w:r>
    </w:p>
    <w:p w14:paraId="0D438216">
      <w:pPr>
        <w:spacing w:line="580" w:lineRule="exact"/>
        <w:ind w:firstLine="564" w:firstLineChars="181"/>
        <w:rPr>
          <w:rStyle w:val="19"/>
          <w:rFonts w:ascii="仿宋_GB2312" w:hAnsi="仿宋" w:eastAsia="仿宋_GB2312"/>
          <w:b w:val="0"/>
          <w:bCs w:val="0"/>
          <w:spacing w:val="-4"/>
          <w:sz w:val="32"/>
          <w:szCs w:val="32"/>
        </w:rPr>
      </w:pPr>
      <w:r>
        <w:rPr>
          <w:rStyle w:val="19"/>
          <w:rFonts w:ascii="仿宋_GB2312" w:hAnsi="仿宋" w:eastAsia="仿宋_GB2312" w:cs="仿宋_GB2312"/>
          <w:b w:val="0"/>
          <w:bCs w:val="0"/>
          <w:spacing w:val="-4"/>
          <w:sz w:val="32"/>
          <w:szCs w:val="32"/>
        </w:rPr>
        <w:t>2</w:t>
      </w:r>
      <w:r>
        <w:rPr>
          <w:rStyle w:val="19"/>
          <w:rFonts w:hint="eastAsia" w:ascii="仿宋_GB2312" w:hAnsi="仿宋" w:eastAsia="仿宋_GB2312" w:cs="仿宋_GB2312"/>
          <w:b w:val="0"/>
          <w:bCs w:val="0"/>
          <w:spacing w:val="-4"/>
          <w:sz w:val="32"/>
          <w:szCs w:val="32"/>
        </w:rPr>
        <w:t>、可持续影响指标：通过该项目的实施，改善办学条件，通过以前年度对比，该项指标完成率为</w:t>
      </w:r>
      <w:r>
        <w:rPr>
          <w:rStyle w:val="19"/>
          <w:rFonts w:ascii="仿宋_GB2312" w:hAnsi="仿宋" w:eastAsia="仿宋_GB2312" w:cs="仿宋_GB2312"/>
          <w:b w:val="0"/>
          <w:bCs w:val="0"/>
          <w:spacing w:val="-4"/>
          <w:sz w:val="32"/>
          <w:szCs w:val="32"/>
        </w:rPr>
        <w:t>100%</w:t>
      </w:r>
      <w:r>
        <w:rPr>
          <w:rStyle w:val="19"/>
          <w:rFonts w:hint="eastAsia" w:ascii="仿宋_GB2312" w:hAnsi="仿宋" w:eastAsia="仿宋_GB2312" w:cs="仿宋_GB2312"/>
          <w:b w:val="0"/>
          <w:bCs w:val="0"/>
          <w:spacing w:val="-4"/>
          <w:sz w:val="32"/>
          <w:szCs w:val="32"/>
        </w:rPr>
        <w:t>。</w:t>
      </w:r>
    </w:p>
    <w:p w14:paraId="1B6A7932">
      <w:pPr>
        <w:spacing w:line="580" w:lineRule="exact"/>
        <w:ind w:firstLine="564" w:firstLineChars="181"/>
        <w:rPr>
          <w:rStyle w:val="19"/>
          <w:spacing w:val="-4"/>
          <w:sz w:val="32"/>
          <w:szCs w:val="32"/>
        </w:rPr>
      </w:pPr>
      <w:r>
        <w:rPr>
          <w:rStyle w:val="19"/>
          <w:rFonts w:hint="eastAsia" w:ascii="黑体" w:hAnsi="黑体" w:eastAsia="黑体" w:cs="黑体"/>
          <w:b w:val="0"/>
          <w:bCs w:val="0"/>
          <w:spacing w:val="-4"/>
          <w:sz w:val="32"/>
          <w:szCs w:val="32"/>
        </w:rPr>
        <w:t>五、</w:t>
      </w:r>
      <w:r>
        <w:rPr>
          <w:rStyle w:val="19"/>
          <w:rFonts w:hint="eastAsia" w:cs="宋体"/>
          <w:spacing w:val="-4"/>
          <w:sz w:val="32"/>
          <w:szCs w:val="32"/>
        </w:rPr>
        <w:t>主要经验及做法、存在的问题及原因分析</w:t>
      </w:r>
    </w:p>
    <w:p w14:paraId="109104EB">
      <w:pPr>
        <w:spacing w:line="580" w:lineRule="exact"/>
        <w:ind w:firstLine="564" w:firstLineChars="181"/>
        <w:rPr>
          <w:rStyle w:val="19"/>
          <w:rFonts w:ascii="仿宋_GB2312" w:eastAsia="仿宋_GB2312"/>
          <w:b w:val="0"/>
          <w:bCs w:val="0"/>
          <w:spacing w:val="-4"/>
          <w:sz w:val="32"/>
          <w:szCs w:val="32"/>
        </w:rPr>
      </w:pPr>
      <w:r>
        <w:rPr>
          <w:rFonts w:hint="eastAsia" w:ascii="仿宋_GB2312" w:eastAsia="仿宋_GB2312" w:cs="仿宋_GB2312"/>
          <w:spacing w:val="-4"/>
          <w:sz w:val="32"/>
          <w:szCs w:val="32"/>
        </w:rPr>
        <w:t>项目应按工程建设程序严格履行法律法规，完善资料、执行程序，精准化工程进度和工程款数字，提前申请和审核，施工过程时时监控，对工程质量及安全生产严抓不懈，确保工程如期顺利完工。</w:t>
      </w:r>
    </w:p>
    <w:p w14:paraId="471CCAC2">
      <w:pPr>
        <w:spacing w:line="580" w:lineRule="exact"/>
        <w:ind w:firstLine="624" w:firstLineChars="200"/>
        <w:rPr>
          <w:rStyle w:val="19"/>
          <w:rFonts w:hAnsi="仿宋" w:eastAsia="仿宋_GB2312"/>
          <w:b w:val="0"/>
          <w:bCs w:val="0"/>
          <w:spacing w:val="-4"/>
          <w:sz w:val="32"/>
          <w:szCs w:val="32"/>
        </w:rPr>
      </w:pPr>
      <w:r>
        <w:rPr>
          <w:rStyle w:val="19"/>
          <w:rFonts w:hint="eastAsia" w:hAnsi="仿宋" w:eastAsia="仿宋_GB2312" w:cs="仿宋_GB2312"/>
          <w:b w:val="0"/>
          <w:bCs w:val="0"/>
          <w:spacing w:val="-4"/>
          <w:sz w:val="32"/>
          <w:szCs w:val="32"/>
        </w:rPr>
        <w:t>资金项目实施过程中主要有以下经验和做法：</w:t>
      </w:r>
    </w:p>
    <w:p w14:paraId="42AB9C1B">
      <w:pPr>
        <w:spacing w:line="580" w:lineRule="exact"/>
        <w:ind w:firstLine="624" w:firstLineChars="200"/>
        <w:rPr>
          <w:rStyle w:val="19"/>
          <w:rFonts w:hAnsi="仿宋" w:eastAsia="仿宋_GB2312"/>
          <w:b w:val="0"/>
          <w:bCs w:val="0"/>
          <w:spacing w:val="-4"/>
          <w:sz w:val="32"/>
          <w:szCs w:val="32"/>
        </w:rPr>
      </w:pPr>
      <w:r>
        <w:rPr>
          <w:rStyle w:val="19"/>
          <w:rFonts w:hAnsi="仿宋" w:eastAsia="仿宋_GB2312"/>
          <w:b w:val="0"/>
          <w:bCs w:val="0"/>
          <w:spacing w:val="-4"/>
          <w:sz w:val="32"/>
          <w:szCs w:val="32"/>
        </w:rPr>
        <w:t>1</w:t>
      </w:r>
      <w:r>
        <w:rPr>
          <w:rStyle w:val="19"/>
          <w:rFonts w:hint="eastAsia" w:hAnsi="仿宋" w:eastAsia="仿宋_GB2312" w:cs="仿宋_GB2312"/>
          <w:b w:val="0"/>
          <w:bCs w:val="0"/>
          <w:spacing w:val="-4"/>
          <w:sz w:val="32"/>
          <w:szCs w:val="32"/>
        </w:rPr>
        <w:t>、财务室加强配合，监管有力，及时按年初预算支付经费，为项目实施做好资金保障。</w:t>
      </w:r>
    </w:p>
    <w:p w14:paraId="12255F2E">
      <w:pPr>
        <w:spacing w:line="580" w:lineRule="exact"/>
        <w:ind w:firstLine="624" w:firstLineChars="200"/>
        <w:rPr>
          <w:rStyle w:val="19"/>
          <w:rFonts w:hAnsi="仿宋" w:eastAsia="仿宋_GB2312"/>
          <w:b w:val="0"/>
          <w:bCs w:val="0"/>
          <w:spacing w:val="-4"/>
          <w:sz w:val="32"/>
          <w:szCs w:val="32"/>
        </w:rPr>
      </w:pPr>
      <w:r>
        <w:rPr>
          <w:rStyle w:val="19"/>
          <w:rFonts w:hAnsi="仿宋" w:eastAsia="仿宋_GB2312"/>
          <w:b w:val="0"/>
          <w:bCs w:val="0"/>
          <w:spacing w:val="-4"/>
          <w:sz w:val="32"/>
          <w:szCs w:val="32"/>
        </w:rPr>
        <w:t>2</w:t>
      </w:r>
      <w:r>
        <w:rPr>
          <w:rStyle w:val="19"/>
          <w:rFonts w:hint="eastAsia" w:hAnsi="仿宋" w:eastAsia="仿宋_GB2312" w:cs="仿宋_GB2312"/>
          <w:b w:val="0"/>
          <w:bCs w:val="0"/>
          <w:spacing w:val="-4"/>
          <w:sz w:val="32"/>
          <w:szCs w:val="32"/>
        </w:rPr>
        <w:t>、项目执行科室总务科提出项目资金的使用计划，较为规范地组织实施，有条不紊开展相关工作，并做好资料收集整理工作。</w:t>
      </w:r>
    </w:p>
    <w:p w14:paraId="5919ADEC">
      <w:pPr>
        <w:spacing w:line="580" w:lineRule="exact"/>
        <w:ind w:firstLine="624" w:firstLineChars="200"/>
        <w:rPr>
          <w:rStyle w:val="19"/>
          <w:rFonts w:hAnsi="仿宋" w:eastAsia="仿宋_GB2312"/>
          <w:spacing w:val="-4"/>
          <w:sz w:val="32"/>
          <w:szCs w:val="32"/>
        </w:rPr>
      </w:pPr>
      <w:r>
        <w:rPr>
          <w:rStyle w:val="19"/>
          <w:rFonts w:hAnsi="仿宋" w:eastAsia="仿宋_GB2312"/>
          <w:b w:val="0"/>
          <w:bCs w:val="0"/>
          <w:spacing w:val="-4"/>
          <w:sz w:val="32"/>
          <w:szCs w:val="32"/>
        </w:rPr>
        <w:t>3</w:t>
      </w:r>
      <w:r>
        <w:rPr>
          <w:rStyle w:val="19"/>
          <w:rFonts w:hint="eastAsia" w:hAnsi="仿宋" w:eastAsia="仿宋_GB2312" w:cs="仿宋_GB2312"/>
          <w:b w:val="0"/>
          <w:bCs w:val="0"/>
          <w:spacing w:val="-4"/>
          <w:sz w:val="32"/>
          <w:szCs w:val="32"/>
        </w:rPr>
        <w:t>、存在的问题及原因分析：对于此项绩效管理工作经验不足，项目的部分成果无法用量化指标形式表示，在绩效考评指标的设计上，有待完善。</w:t>
      </w:r>
    </w:p>
    <w:p w14:paraId="13E3282D">
      <w:pPr>
        <w:spacing w:line="580" w:lineRule="exact"/>
        <w:ind w:firstLine="624" w:firstLineChars="200"/>
        <w:rPr>
          <w:rStyle w:val="19"/>
          <w:rFonts w:ascii="黑体" w:hAnsi="黑体" w:eastAsia="黑体"/>
          <w:b w:val="0"/>
          <w:bCs w:val="0"/>
          <w:spacing w:val="-4"/>
          <w:sz w:val="32"/>
          <w:szCs w:val="32"/>
        </w:rPr>
      </w:pPr>
      <w:r>
        <w:rPr>
          <w:rStyle w:val="19"/>
          <w:rFonts w:hint="eastAsia" w:ascii="黑体" w:hAnsi="黑体" w:eastAsia="黑体" w:cs="黑体"/>
          <w:b w:val="0"/>
          <w:bCs w:val="0"/>
          <w:spacing w:val="-4"/>
          <w:sz w:val="32"/>
          <w:szCs w:val="32"/>
        </w:rPr>
        <w:t>六、有关建议</w:t>
      </w:r>
    </w:p>
    <w:p w14:paraId="0C1ABA36">
      <w:pPr>
        <w:spacing w:line="580" w:lineRule="exact"/>
        <w:ind w:firstLine="624" w:firstLineChars="200"/>
        <w:rPr>
          <w:rFonts w:ascii="仿宋_GB2312" w:eastAsia="仿宋_GB2312"/>
          <w:spacing w:val="-4"/>
          <w:sz w:val="32"/>
          <w:szCs w:val="32"/>
        </w:rPr>
      </w:pPr>
      <w:r>
        <w:rPr>
          <w:rFonts w:hint="eastAsia" w:ascii="仿宋_GB2312" w:eastAsia="仿宋_GB2312" w:cs="仿宋_GB2312"/>
          <w:spacing w:val="-4"/>
          <w:sz w:val="32"/>
          <w:szCs w:val="32"/>
        </w:rPr>
        <w:t>项目资金使用具有不可预见性和不可计划性，因此部分指标并不适宜作为绩效考核，例如经济效益指标、成本指标等指标。建议研究制订适合专项资金的支出绩效评价共性指标。</w:t>
      </w:r>
    </w:p>
    <w:p w14:paraId="3157EC21">
      <w:pPr>
        <w:spacing w:line="580" w:lineRule="exact"/>
        <w:ind w:firstLine="640"/>
        <w:rPr>
          <w:rStyle w:val="19"/>
          <w:rFonts w:ascii="黑体" w:hAnsi="黑体" w:eastAsia="黑体"/>
          <w:b w:val="0"/>
          <w:bCs w:val="0"/>
          <w:spacing w:val="-4"/>
          <w:sz w:val="32"/>
          <w:szCs w:val="32"/>
        </w:rPr>
      </w:pPr>
      <w:r>
        <w:rPr>
          <w:rStyle w:val="19"/>
          <w:rFonts w:hint="eastAsia" w:ascii="黑体" w:hAnsi="黑体" w:eastAsia="黑体" w:cs="黑体"/>
          <w:b w:val="0"/>
          <w:bCs w:val="0"/>
          <w:spacing w:val="-4"/>
          <w:sz w:val="32"/>
          <w:szCs w:val="32"/>
        </w:rPr>
        <w:t>七、其他需要说明的问题</w:t>
      </w:r>
    </w:p>
    <w:p w14:paraId="0D0A1898">
      <w:pPr>
        <w:spacing w:line="580" w:lineRule="exact"/>
        <w:ind w:firstLine="564" w:firstLineChars="181"/>
        <w:rPr>
          <w:rFonts w:ascii="仿宋_GB2312" w:hAnsi="楷体" w:eastAsia="仿宋_GB2312"/>
          <w:spacing w:val="-4"/>
          <w:sz w:val="32"/>
          <w:szCs w:val="32"/>
        </w:rPr>
      </w:pPr>
      <w:r>
        <w:rPr>
          <w:rFonts w:hint="eastAsia" w:ascii="仿宋_GB2312" w:hAnsi="楷体" w:eastAsia="仿宋_GB2312" w:cs="仿宋_GB2312"/>
          <w:spacing w:val="-4"/>
          <w:sz w:val="32"/>
          <w:szCs w:val="32"/>
        </w:rPr>
        <w:t>做好工程资料整理收集工作，对各分项工程进行规范的检测和验收，保证工程保质保量完成。督促总包方完成工程结算，为教学楼开展审计做好准备工作。</w:t>
      </w:r>
    </w:p>
    <w:p w14:paraId="27058F35">
      <w:pPr>
        <w:spacing w:line="560" w:lineRule="exact"/>
        <w:ind w:firstLine="420" w:firstLineChars="200"/>
        <w:rPr>
          <w:rFonts w:ascii="仿宋_GB2312" w:hAnsi="黑体"/>
        </w:rPr>
      </w:pPr>
    </w:p>
    <w:p w14:paraId="506E7924">
      <w:pPr>
        <w:spacing w:line="540" w:lineRule="exact"/>
        <w:ind w:firstLine="640"/>
        <w:rPr>
          <w:rStyle w:val="19"/>
          <w:rFonts w:ascii="黑体" w:hAnsi="黑体" w:eastAsia="黑体"/>
          <w:b w:val="0"/>
          <w:bCs w:val="0"/>
          <w:spacing w:val="-4"/>
          <w:sz w:val="32"/>
          <w:szCs w:val="32"/>
        </w:rPr>
      </w:pPr>
    </w:p>
    <w:p w14:paraId="2E762358">
      <w:pPr>
        <w:spacing w:line="540" w:lineRule="exact"/>
        <w:ind w:firstLine="640"/>
        <w:rPr>
          <w:rStyle w:val="19"/>
          <w:rFonts w:ascii="黑体" w:hAnsi="黑体" w:eastAsia="黑体"/>
          <w:b w:val="0"/>
          <w:bCs w:val="0"/>
          <w:spacing w:val="-4"/>
          <w:sz w:val="32"/>
          <w:szCs w:val="32"/>
        </w:rPr>
      </w:pPr>
    </w:p>
    <w:p w14:paraId="21A4CE14">
      <w:pPr>
        <w:spacing w:line="540" w:lineRule="exact"/>
        <w:ind w:firstLine="640"/>
        <w:rPr>
          <w:rStyle w:val="19"/>
          <w:rFonts w:ascii="黑体" w:hAnsi="黑体" w:eastAsia="黑体"/>
          <w:b w:val="0"/>
          <w:bCs w:val="0"/>
          <w:spacing w:val="-4"/>
          <w:sz w:val="32"/>
          <w:szCs w:val="32"/>
        </w:rPr>
      </w:pPr>
    </w:p>
    <w:p w14:paraId="50763E3A">
      <w:pPr>
        <w:spacing w:line="540" w:lineRule="exact"/>
        <w:ind w:firstLine="640"/>
        <w:rPr>
          <w:rStyle w:val="19"/>
          <w:rFonts w:ascii="黑体" w:hAnsi="黑体" w:eastAsia="黑体"/>
          <w:b w:val="0"/>
          <w:bCs w:val="0"/>
          <w:spacing w:val="-4"/>
          <w:sz w:val="32"/>
          <w:szCs w:val="32"/>
        </w:rPr>
      </w:pPr>
    </w:p>
    <w:p w14:paraId="6369F7F6">
      <w:pPr>
        <w:spacing w:line="540" w:lineRule="exact"/>
        <w:ind w:firstLine="640"/>
        <w:rPr>
          <w:rStyle w:val="19"/>
          <w:rFonts w:ascii="黑体" w:hAnsi="黑体" w:eastAsia="黑体"/>
          <w:b w:val="0"/>
          <w:bCs w:val="0"/>
          <w:spacing w:val="-4"/>
          <w:sz w:val="32"/>
          <w:szCs w:val="32"/>
        </w:rPr>
      </w:pPr>
    </w:p>
    <w:p w14:paraId="26683A60">
      <w:pPr>
        <w:spacing w:line="540" w:lineRule="exact"/>
        <w:ind w:firstLine="640"/>
        <w:rPr>
          <w:rStyle w:val="19"/>
          <w:rFonts w:ascii="黑体" w:hAnsi="黑体" w:eastAsia="黑体"/>
          <w:b w:val="0"/>
          <w:bCs w:val="0"/>
          <w:spacing w:val="-4"/>
          <w:sz w:val="32"/>
          <w:szCs w:val="32"/>
        </w:rPr>
      </w:pPr>
    </w:p>
    <w:p w14:paraId="70EB9477">
      <w:pPr>
        <w:spacing w:line="540" w:lineRule="exact"/>
        <w:ind w:firstLine="640"/>
        <w:rPr>
          <w:rStyle w:val="19"/>
          <w:rFonts w:ascii="黑体" w:hAnsi="黑体" w:eastAsia="黑体"/>
          <w:b w:val="0"/>
          <w:bCs w:val="0"/>
          <w:spacing w:val="-4"/>
          <w:sz w:val="32"/>
          <w:szCs w:val="32"/>
        </w:rPr>
      </w:pPr>
    </w:p>
    <w:p w14:paraId="4DB45D12">
      <w:pPr>
        <w:spacing w:line="540" w:lineRule="exact"/>
        <w:ind w:firstLine="640"/>
        <w:rPr>
          <w:rStyle w:val="19"/>
          <w:rFonts w:ascii="黑体" w:hAnsi="黑体" w:eastAsia="黑体"/>
          <w:b w:val="0"/>
          <w:bCs w:val="0"/>
          <w:spacing w:val="-4"/>
          <w:sz w:val="32"/>
          <w:szCs w:val="32"/>
        </w:rPr>
      </w:pPr>
    </w:p>
    <w:p w14:paraId="42DBEB01">
      <w:pPr>
        <w:spacing w:line="540" w:lineRule="exact"/>
        <w:rPr>
          <w:rStyle w:val="19"/>
          <w:rFonts w:ascii="黑体" w:hAnsi="黑体" w:eastAsia="黑体"/>
          <w:b w:val="0"/>
          <w:bCs w:val="0"/>
          <w:spacing w:val="-4"/>
          <w:sz w:val="32"/>
          <w:szCs w:val="32"/>
        </w:rPr>
      </w:pPr>
    </w:p>
    <w:p w14:paraId="4595454A">
      <w:pPr>
        <w:spacing w:line="540" w:lineRule="exact"/>
        <w:ind w:firstLine="640"/>
        <w:rPr>
          <w:rStyle w:val="19"/>
          <w:rFonts w:ascii="黑体" w:hAnsi="黑体" w:eastAsia="黑体"/>
          <w:b w:val="0"/>
          <w:bCs w:val="0"/>
          <w:spacing w:val="-4"/>
          <w:sz w:val="32"/>
          <w:szCs w:val="32"/>
        </w:rPr>
        <w:sectPr>
          <w:headerReference r:id="rId3" w:type="default"/>
          <w:footerReference r:id="rId4" w:type="default"/>
          <w:pgSz w:w="11906" w:h="16838"/>
          <w:pgMar w:top="1440" w:right="1474" w:bottom="1440" w:left="1531" w:header="851" w:footer="992" w:gutter="0"/>
          <w:cols w:space="425" w:num="1"/>
          <w:docGrid w:type="lines" w:linePitch="312" w:charSpace="0"/>
        </w:sectPr>
      </w:pPr>
    </w:p>
    <w:p w14:paraId="12BD5354">
      <w:pPr>
        <w:pStyle w:val="3"/>
        <w:spacing w:before="0" w:after="0"/>
        <w:jc w:val="center"/>
        <w:rPr>
          <w:rFonts w:ascii="宋体" w:cs="Times New Roman"/>
          <w:color w:val="000000"/>
          <w:sz w:val="36"/>
          <w:szCs w:val="36"/>
        </w:rPr>
      </w:pPr>
      <w:r>
        <w:rPr>
          <w:rFonts w:hint="eastAsia" w:ascii="宋体" w:hAnsi="宋体" w:cs="宋体"/>
          <w:color w:val="000000"/>
          <w:sz w:val="36"/>
          <w:szCs w:val="36"/>
        </w:rPr>
        <w:t>项目支出绩效评价指标体系框架</w:t>
      </w:r>
    </w:p>
    <w:p w14:paraId="7346F843">
      <w:pPr>
        <w:pStyle w:val="3"/>
        <w:spacing w:before="0" w:after="0"/>
        <w:jc w:val="center"/>
        <w:rPr>
          <w:rFonts w:cs="Times New Roman"/>
          <w:color w:val="000000"/>
        </w:rPr>
      </w:pPr>
    </w:p>
    <w:tbl>
      <w:tblPr>
        <w:tblStyle w:val="17"/>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29"/>
        <w:gridCol w:w="12"/>
        <w:gridCol w:w="11"/>
        <w:gridCol w:w="899"/>
        <w:gridCol w:w="12"/>
        <w:gridCol w:w="11"/>
      </w:tblGrid>
      <w:tr w14:paraId="50B8F6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3" w:type="dxa"/>
            <w:shd w:val="clear" w:color="auto" w:fill="FFFFFF"/>
            <w:vAlign w:val="center"/>
          </w:tcPr>
          <w:p w14:paraId="702D8172">
            <w:pPr>
              <w:widowControl/>
              <w:spacing w:line="240" w:lineRule="atLeast"/>
              <w:jc w:val="center"/>
              <w:rPr>
                <w:rFonts w:ascii="宋体"/>
                <w:b/>
                <w:bCs/>
                <w:color w:val="000000"/>
                <w:kern w:val="0"/>
                <w:sz w:val="22"/>
                <w:szCs w:val="22"/>
              </w:rPr>
            </w:pPr>
            <w:r>
              <w:rPr>
                <w:rFonts w:hint="eastAsia" w:ascii="宋体" w:hAnsi="宋体" w:cs="宋体"/>
                <w:b/>
                <w:bCs/>
                <w:color w:val="000000"/>
                <w:kern w:val="0"/>
                <w:sz w:val="22"/>
                <w:szCs w:val="22"/>
              </w:rPr>
              <w:t>一级指标</w:t>
            </w:r>
          </w:p>
        </w:tc>
        <w:tc>
          <w:tcPr>
            <w:tcW w:w="1297" w:type="dxa"/>
            <w:shd w:val="clear" w:color="auto" w:fill="FFFFFF"/>
            <w:vAlign w:val="center"/>
          </w:tcPr>
          <w:p w14:paraId="6FD995D3">
            <w:pPr>
              <w:widowControl/>
              <w:spacing w:line="240" w:lineRule="atLeast"/>
              <w:jc w:val="center"/>
              <w:rPr>
                <w:rFonts w:ascii="宋体"/>
                <w:b/>
                <w:bCs/>
                <w:color w:val="000000"/>
                <w:kern w:val="0"/>
                <w:sz w:val="22"/>
                <w:szCs w:val="22"/>
              </w:rPr>
            </w:pPr>
            <w:r>
              <w:rPr>
                <w:rFonts w:hint="eastAsia" w:ascii="宋体" w:hAnsi="宋体" w:cs="宋体"/>
                <w:b/>
                <w:bCs/>
                <w:color w:val="000000"/>
                <w:kern w:val="0"/>
                <w:sz w:val="22"/>
                <w:szCs w:val="22"/>
              </w:rPr>
              <w:t>二级指标</w:t>
            </w:r>
          </w:p>
        </w:tc>
        <w:tc>
          <w:tcPr>
            <w:tcW w:w="1411" w:type="dxa"/>
            <w:shd w:val="clear" w:color="auto" w:fill="FFFFFF"/>
            <w:vAlign w:val="center"/>
          </w:tcPr>
          <w:p w14:paraId="1E8F77D6">
            <w:pPr>
              <w:widowControl/>
              <w:spacing w:line="240" w:lineRule="atLeast"/>
              <w:jc w:val="center"/>
              <w:rPr>
                <w:rFonts w:ascii="宋体"/>
                <w:b/>
                <w:bCs/>
                <w:color w:val="000000"/>
                <w:kern w:val="0"/>
                <w:sz w:val="22"/>
                <w:szCs w:val="22"/>
              </w:rPr>
            </w:pPr>
            <w:r>
              <w:rPr>
                <w:rFonts w:hint="eastAsia" w:ascii="宋体" w:hAnsi="宋体" w:cs="宋体"/>
                <w:b/>
                <w:bCs/>
                <w:color w:val="000000"/>
                <w:kern w:val="0"/>
                <w:sz w:val="22"/>
                <w:szCs w:val="22"/>
              </w:rPr>
              <w:t>三级指标</w:t>
            </w:r>
          </w:p>
        </w:tc>
        <w:tc>
          <w:tcPr>
            <w:tcW w:w="2789" w:type="dxa"/>
            <w:shd w:val="clear" w:color="auto" w:fill="FFFFFF"/>
            <w:vAlign w:val="center"/>
          </w:tcPr>
          <w:p w14:paraId="55E7275E">
            <w:pPr>
              <w:widowControl/>
              <w:spacing w:line="240" w:lineRule="atLeast"/>
              <w:jc w:val="center"/>
              <w:rPr>
                <w:rFonts w:ascii="宋体"/>
                <w:b/>
                <w:bCs/>
                <w:color w:val="000000"/>
                <w:kern w:val="0"/>
                <w:sz w:val="22"/>
                <w:szCs w:val="22"/>
              </w:rPr>
            </w:pPr>
            <w:r>
              <w:rPr>
                <w:rFonts w:hint="eastAsia" w:ascii="宋体" w:hAnsi="宋体" w:cs="宋体"/>
                <w:b/>
                <w:bCs/>
                <w:color w:val="000000"/>
                <w:kern w:val="0"/>
                <w:sz w:val="22"/>
                <w:szCs w:val="22"/>
              </w:rPr>
              <w:t>指标解释</w:t>
            </w:r>
          </w:p>
        </w:tc>
        <w:tc>
          <w:tcPr>
            <w:tcW w:w="7341" w:type="dxa"/>
            <w:shd w:val="clear" w:color="auto" w:fill="FFFFFF"/>
            <w:vAlign w:val="center"/>
          </w:tcPr>
          <w:p w14:paraId="4281DE81">
            <w:pPr>
              <w:widowControl/>
              <w:spacing w:line="240" w:lineRule="atLeast"/>
              <w:jc w:val="center"/>
              <w:rPr>
                <w:rFonts w:ascii="宋体"/>
                <w:b/>
                <w:bCs/>
                <w:color w:val="000000"/>
                <w:kern w:val="0"/>
                <w:sz w:val="22"/>
                <w:szCs w:val="22"/>
              </w:rPr>
            </w:pPr>
            <w:r>
              <w:rPr>
                <w:rFonts w:hint="eastAsia" w:ascii="宋体" w:hAnsi="宋体" w:cs="宋体"/>
                <w:b/>
                <w:bCs/>
                <w:color w:val="000000"/>
                <w:kern w:val="0"/>
                <w:sz w:val="22"/>
                <w:szCs w:val="22"/>
              </w:rPr>
              <w:t>指标说明</w:t>
            </w:r>
          </w:p>
        </w:tc>
        <w:tc>
          <w:tcPr>
            <w:tcW w:w="841" w:type="dxa"/>
            <w:gridSpan w:val="2"/>
            <w:tcBorders>
              <w:top w:val="single" w:color="auto" w:sz="4" w:space="0"/>
              <w:bottom w:val="single" w:color="auto" w:sz="4" w:space="0"/>
              <w:right w:val="single" w:color="auto" w:sz="4" w:space="0"/>
            </w:tcBorders>
          </w:tcPr>
          <w:p w14:paraId="573DD2A4">
            <w:pPr>
              <w:widowControl/>
              <w:spacing w:line="240" w:lineRule="atLeast"/>
              <w:jc w:val="center"/>
              <w:rPr>
                <w:rFonts w:ascii="宋体"/>
                <w:b/>
                <w:bCs/>
                <w:color w:val="000000"/>
                <w:kern w:val="0"/>
                <w:sz w:val="22"/>
                <w:szCs w:val="22"/>
              </w:rPr>
            </w:pPr>
            <w:r>
              <w:rPr>
                <w:rFonts w:hint="eastAsia" w:ascii="宋体" w:hAnsi="宋体" w:cs="宋体"/>
                <w:b/>
                <w:bCs/>
                <w:color w:val="000000"/>
                <w:kern w:val="0"/>
                <w:sz w:val="22"/>
                <w:szCs w:val="22"/>
              </w:rPr>
              <w:t>分值</w:t>
            </w:r>
          </w:p>
        </w:tc>
        <w:tc>
          <w:tcPr>
            <w:tcW w:w="922" w:type="dxa"/>
            <w:gridSpan w:val="3"/>
            <w:tcBorders>
              <w:top w:val="single" w:color="auto" w:sz="4" w:space="0"/>
              <w:left w:val="single" w:color="auto" w:sz="4" w:space="0"/>
              <w:bottom w:val="single" w:color="auto" w:sz="4" w:space="0"/>
              <w:right w:val="single" w:color="auto" w:sz="4" w:space="0"/>
            </w:tcBorders>
          </w:tcPr>
          <w:p w14:paraId="26FDDD68">
            <w:pPr>
              <w:widowControl/>
              <w:jc w:val="left"/>
              <w:rPr>
                <w:rFonts w:ascii="宋体"/>
                <w:b/>
                <w:bCs/>
                <w:color w:val="000000"/>
                <w:kern w:val="0"/>
                <w:sz w:val="22"/>
                <w:szCs w:val="22"/>
              </w:rPr>
            </w:pPr>
            <w:r>
              <w:rPr>
                <w:rFonts w:hint="eastAsia" w:ascii="宋体" w:hAnsi="宋体" w:cs="宋体"/>
                <w:b/>
                <w:bCs/>
                <w:color w:val="000000"/>
                <w:kern w:val="0"/>
                <w:sz w:val="22"/>
                <w:szCs w:val="22"/>
              </w:rPr>
              <w:t>评价</w:t>
            </w:r>
          </w:p>
          <w:p w14:paraId="26550931">
            <w:pPr>
              <w:widowControl/>
              <w:jc w:val="left"/>
              <w:rPr>
                <w:rFonts w:ascii="宋体"/>
                <w:b/>
                <w:bCs/>
                <w:color w:val="000000"/>
                <w:kern w:val="0"/>
                <w:sz w:val="22"/>
                <w:szCs w:val="22"/>
              </w:rPr>
            </w:pPr>
            <w:r>
              <w:rPr>
                <w:rFonts w:hint="eastAsia" w:ascii="宋体" w:hAnsi="宋体" w:cs="宋体"/>
                <w:b/>
                <w:bCs/>
                <w:color w:val="000000"/>
                <w:kern w:val="0"/>
                <w:sz w:val="22"/>
                <w:szCs w:val="22"/>
              </w:rPr>
              <w:t>结果</w:t>
            </w:r>
          </w:p>
        </w:tc>
      </w:tr>
      <w:tr w14:paraId="0CD067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18" w:hRule="atLeast"/>
          <w:jc w:val="center"/>
        </w:trPr>
        <w:tc>
          <w:tcPr>
            <w:tcW w:w="763" w:type="dxa"/>
            <w:vMerge w:val="restart"/>
            <w:shd w:val="clear" w:color="auto" w:fill="FFFFFF"/>
            <w:vAlign w:val="center"/>
          </w:tcPr>
          <w:p w14:paraId="1F45348B">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决策</w:t>
            </w:r>
            <w:r>
              <w:rPr>
                <w:rFonts w:ascii="宋体" w:hAnsi="宋体" w:cs="宋体"/>
                <w:color w:val="000000"/>
                <w:kern w:val="0"/>
                <w:sz w:val="22"/>
                <w:szCs w:val="22"/>
              </w:rPr>
              <w:t>(20</w:t>
            </w:r>
            <w:r>
              <w:rPr>
                <w:rFonts w:hint="eastAsia" w:ascii="宋体" w:hAnsi="宋体" w:cs="宋体"/>
                <w:color w:val="000000"/>
                <w:kern w:val="0"/>
                <w:sz w:val="22"/>
                <w:szCs w:val="22"/>
              </w:rPr>
              <w:t>分</w:t>
            </w:r>
            <w:r>
              <w:rPr>
                <w:rFonts w:ascii="宋体" w:hAnsi="宋体" w:cs="宋体"/>
                <w:color w:val="000000"/>
                <w:kern w:val="0"/>
                <w:sz w:val="22"/>
                <w:szCs w:val="22"/>
              </w:rPr>
              <w:t>)</w:t>
            </w:r>
            <w:r>
              <w:rPr>
                <w:rFonts w:hint="eastAsia" w:ascii="宋体" w:hAnsi="宋体" w:cs="宋体"/>
                <w:color w:val="000000"/>
                <w:kern w:val="0"/>
                <w:sz w:val="22"/>
                <w:szCs w:val="22"/>
              </w:rPr>
              <w:t>　</w:t>
            </w:r>
          </w:p>
          <w:p w14:paraId="4EAF9C0A">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　</w:t>
            </w:r>
          </w:p>
          <w:p w14:paraId="20350832">
            <w:pPr>
              <w:spacing w:line="240" w:lineRule="atLeast"/>
              <w:jc w:val="center"/>
              <w:rPr>
                <w:rFonts w:ascii="宋体"/>
                <w:color w:val="000000"/>
                <w:kern w:val="0"/>
                <w:sz w:val="22"/>
                <w:szCs w:val="22"/>
              </w:rPr>
            </w:pPr>
            <w:r>
              <w:rPr>
                <w:rFonts w:hint="eastAsia" w:ascii="宋体" w:hAnsi="宋体" w:cs="宋体"/>
                <w:color w:val="000000"/>
                <w:kern w:val="0"/>
                <w:sz w:val="22"/>
                <w:szCs w:val="22"/>
              </w:rPr>
              <w:t>　</w:t>
            </w:r>
          </w:p>
        </w:tc>
        <w:tc>
          <w:tcPr>
            <w:tcW w:w="1297" w:type="dxa"/>
            <w:vMerge w:val="restart"/>
            <w:shd w:val="clear" w:color="auto" w:fill="FFFFFF"/>
            <w:vAlign w:val="center"/>
          </w:tcPr>
          <w:p w14:paraId="7F10608F">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项目立项（</w:t>
            </w:r>
            <w:r>
              <w:rPr>
                <w:rFonts w:ascii="宋体" w:hAnsi="宋体" w:cs="宋体"/>
                <w:color w:val="000000"/>
                <w:kern w:val="0"/>
                <w:sz w:val="22"/>
                <w:szCs w:val="22"/>
              </w:rPr>
              <w:t>5</w:t>
            </w:r>
            <w:r>
              <w:rPr>
                <w:rFonts w:hint="eastAsia" w:ascii="宋体" w:hAnsi="宋体" w:cs="宋体"/>
                <w:color w:val="000000"/>
                <w:kern w:val="0"/>
                <w:sz w:val="22"/>
                <w:szCs w:val="22"/>
              </w:rPr>
              <w:t>）　</w:t>
            </w:r>
          </w:p>
        </w:tc>
        <w:tc>
          <w:tcPr>
            <w:tcW w:w="1411" w:type="dxa"/>
            <w:shd w:val="clear" w:color="auto" w:fill="FFFFFF"/>
            <w:vAlign w:val="center"/>
          </w:tcPr>
          <w:p w14:paraId="73A86EE6">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立项依据</w:t>
            </w:r>
          </w:p>
          <w:p w14:paraId="78D7E7F4">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充分性</w:t>
            </w:r>
          </w:p>
        </w:tc>
        <w:tc>
          <w:tcPr>
            <w:tcW w:w="2789" w:type="dxa"/>
            <w:shd w:val="clear" w:color="auto" w:fill="FFFFFF"/>
            <w:vAlign w:val="center"/>
          </w:tcPr>
          <w:p w14:paraId="6F3AD31E">
            <w:pPr>
              <w:widowControl/>
              <w:spacing w:line="240" w:lineRule="atLeast"/>
              <w:rPr>
                <w:rFonts w:ascii="宋体"/>
                <w:color w:val="000000"/>
                <w:kern w:val="0"/>
                <w:sz w:val="22"/>
                <w:szCs w:val="22"/>
              </w:rPr>
            </w:pPr>
            <w:r>
              <w:rPr>
                <w:rFonts w:hint="eastAsia" w:ascii="宋体" w:hAnsi="宋体" w:cs="宋体"/>
                <w:color w:val="000000"/>
                <w:kern w:val="0"/>
                <w:sz w:val="22"/>
                <w:szCs w:val="22"/>
              </w:rPr>
              <w:t>项目立项是否符合法律法规、相关政策、发展规划以及部门职责，用以反映和考核项目立项依据情况。</w:t>
            </w:r>
          </w:p>
        </w:tc>
        <w:tc>
          <w:tcPr>
            <w:tcW w:w="7341" w:type="dxa"/>
            <w:tcBorders>
              <w:bottom w:val="single" w:color="auto" w:sz="4" w:space="0"/>
            </w:tcBorders>
            <w:shd w:val="clear" w:color="auto" w:fill="FFFFFF"/>
            <w:vAlign w:val="center"/>
          </w:tcPr>
          <w:p w14:paraId="7F69C557">
            <w:pPr>
              <w:widowControl/>
              <w:spacing w:line="240" w:lineRule="atLeast"/>
              <w:jc w:val="left"/>
              <w:rPr>
                <w:rFonts w:ascii="宋体"/>
                <w:color w:val="000000"/>
                <w:kern w:val="0"/>
                <w:sz w:val="22"/>
                <w:szCs w:val="22"/>
              </w:rPr>
            </w:pPr>
            <w:r>
              <w:rPr>
                <w:rFonts w:hint="eastAsia" w:ascii="宋体" w:hAnsi="宋体" w:cs="宋体"/>
                <w:color w:val="000000"/>
                <w:kern w:val="0"/>
                <w:sz w:val="22"/>
                <w:szCs w:val="22"/>
              </w:rPr>
              <w:t>评价要点：</w:t>
            </w:r>
            <w:r>
              <w:rPr>
                <w:rFonts w:ascii="宋体"/>
                <w:color w:val="000000"/>
                <w:kern w:val="0"/>
                <w:sz w:val="22"/>
                <w:szCs w:val="22"/>
              </w:rPr>
              <w:br w:type="textWrapping"/>
            </w:r>
            <w:r>
              <w:rPr>
                <w:rFonts w:hint="eastAsia" w:ascii="宋体" w:hAnsi="宋体" w:cs="宋体"/>
                <w:color w:val="000000"/>
                <w:kern w:val="0"/>
                <w:sz w:val="22"/>
                <w:szCs w:val="22"/>
              </w:rPr>
              <w:t>①项目立项是否符合国家法律法规、国民经济发展规划和相关政策；</w:t>
            </w:r>
            <w:r>
              <w:rPr>
                <w:rFonts w:ascii="宋体"/>
                <w:color w:val="000000"/>
                <w:kern w:val="0"/>
                <w:sz w:val="22"/>
                <w:szCs w:val="22"/>
              </w:rPr>
              <w:br w:type="textWrapping"/>
            </w:r>
            <w:r>
              <w:rPr>
                <w:rFonts w:hint="eastAsia" w:ascii="宋体" w:hAnsi="宋体" w:cs="宋体"/>
                <w:color w:val="000000"/>
                <w:kern w:val="0"/>
                <w:sz w:val="22"/>
                <w:szCs w:val="22"/>
              </w:rPr>
              <w:t>②项目立项是否符合行业发展规划和政策要求；</w:t>
            </w:r>
            <w:r>
              <w:rPr>
                <w:rFonts w:ascii="宋体"/>
                <w:color w:val="000000"/>
                <w:kern w:val="0"/>
                <w:sz w:val="22"/>
                <w:szCs w:val="22"/>
              </w:rPr>
              <w:br w:type="textWrapping"/>
            </w:r>
            <w:r>
              <w:rPr>
                <w:rFonts w:hint="eastAsia" w:ascii="宋体" w:hAnsi="宋体" w:cs="宋体"/>
                <w:color w:val="000000"/>
                <w:kern w:val="0"/>
                <w:sz w:val="22"/>
                <w:szCs w:val="22"/>
              </w:rPr>
              <w:t>③项目立项是否与部门职责范围相符，属于部门履职所需；</w:t>
            </w:r>
            <w:r>
              <w:rPr>
                <w:rFonts w:ascii="宋体"/>
                <w:color w:val="000000"/>
                <w:kern w:val="0"/>
                <w:sz w:val="22"/>
                <w:szCs w:val="22"/>
              </w:rPr>
              <w:br w:type="textWrapping"/>
            </w:r>
            <w:r>
              <w:rPr>
                <w:rFonts w:hint="eastAsia" w:ascii="宋体" w:hAnsi="宋体" w:cs="宋体"/>
                <w:color w:val="000000"/>
                <w:kern w:val="0"/>
                <w:sz w:val="22"/>
                <w:szCs w:val="22"/>
              </w:rPr>
              <w:t>④项目是否属于公共财政支持范围，是否符合中央、地方事权支出责任划分原则；</w:t>
            </w:r>
            <w:r>
              <w:rPr>
                <w:rFonts w:ascii="宋体"/>
                <w:color w:val="000000"/>
                <w:kern w:val="0"/>
                <w:sz w:val="22"/>
                <w:szCs w:val="22"/>
              </w:rPr>
              <w:br w:type="textWrapping"/>
            </w:r>
            <w:r>
              <w:rPr>
                <w:rFonts w:hint="eastAsia" w:ascii="宋体" w:hAnsi="宋体" w:cs="宋体"/>
                <w:color w:val="000000"/>
                <w:kern w:val="0"/>
                <w:sz w:val="22"/>
                <w:szCs w:val="22"/>
              </w:rPr>
              <w:t>⑤项目是否与相关部门同类项目或部门内部相关项目重复。</w:t>
            </w:r>
          </w:p>
        </w:tc>
        <w:tc>
          <w:tcPr>
            <w:tcW w:w="841" w:type="dxa"/>
            <w:gridSpan w:val="2"/>
            <w:tcBorders>
              <w:top w:val="single" w:color="auto" w:sz="4" w:space="0"/>
              <w:bottom w:val="single" w:color="auto" w:sz="4" w:space="0"/>
              <w:right w:val="single" w:color="auto" w:sz="4" w:space="0"/>
            </w:tcBorders>
          </w:tcPr>
          <w:p w14:paraId="3F0DA827">
            <w:pPr>
              <w:widowControl/>
              <w:jc w:val="left"/>
              <w:rPr>
                <w:rFonts w:ascii="宋体"/>
                <w:color w:val="000000"/>
                <w:kern w:val="0"/>
                <w:sz w:val="22"/>
                <w:szCs w:val="22"/>
              </w:rPr>
            </w:pPr>
            <w:r>
              <w:rPr>
                <w:rFonts w:ascii="宋体" w:hAnsi="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tcPr>
          <w:p w14:paraId="491E41DD">
            <w:pPr>
              <w:widowControl/>
              <w:jc w:val="left"/>
              <w:rPr>
                <w:rFonts w:ascii="宋体"/>
                <w:color w:val="000000"/>
                <w:kern w:val="0"/>
                <w:sz w:val="22"/>
                <w:szCs w:val="22"/>
              </w:rPr>
            </w:pPr>
            <w:r>
              <w:rPr>
                <w:rFonts w:ascii="宋体" w:hAnsi="宋体" w:cs="宋体"/>
                <w:color w:val="000000"/>
                <w:kern w:val="0"/>
                <w:sz w:val="22"/>
                <w:szCs w:val="22"/>
              </w:rPr>
              <w:t>3</w:t>
            </w:r>
          </w:p>
        </w:tc>
      </w:tr>
      <w:tr w14:paraId="4F213D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jc w:val="center"/>
        </w:trPr>
        <w:tc>
          <w:tcPr>
            <w:tcW w:w="763" w:type="dxa"/>
            <w:vMerge w:val="continue"/>
            <w:shd w:val="clear" w:color="auto" w:fill="FFFFFF"/>
            <w:vAlign w:val="center"/>
          </w:tcPr>
          <w:p w14:paraId="672EBB46">
            <w:pPr>
              <w:spacing w:line="240" w:lineRule="atLeast"/>
              <w:jc w:val="center"/>
              <w:rPr>
                <w:rFonts w:ascii="宋体"/>
                <w:color w:val="000000"/>
                <w:kern w:val="0"/>
                <w:sz w:val="22"/>
                <w:szCs w:val="22"/>
              </w:rPr>
            </w:pPr>
          </w:p>
        </w:tc>
        <w:tc>
          <w:tcPr>
            <w:tcW w:w="1297" w:type="dxa"/>
            <w:vMerge w:val="continue"/>
            <w:shd w:val="clear" w:color="auto" w:fill="FFFFFF"/>
            <w:vAlign w:val="center"/>
          </w:tcPr>
          <w:p w14:paraId="70A1C91B">
            <w:pPr>
              <w:widowControl/>
              <w:spacing w:line="240" w:lineRule="atLeast"/>
              <w:jc w:val="center"/>
              <w:rPr>
                <w:rFonts w:ascii="宋体"/>
                <w:color w:val="000000"/>
                <w:kern w:val="0"/>
                <w:sz w:val="22"/>
                <w:szCs w:val="22"/>
              </w:rPr>
            </w:pPr>
          </w:p>
        </w:tc>
        <w:tc>
          <w:tcPr>
            <w:tcW w:w="1411" w:type="dxa"/>
            <w:shd w:val="clear" w:color="auto" w:fill="FFFFFF"/>
            <w:vAlign w:val="center"/>
          </w:tcPr>
          <w:p w14:paraId="76079638">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立项程序</w:t>
            </w:r>
          </w:p>
          <w:p w14:paraId="330F07B9">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规范性</w:t>
            </w:r>
          </w:p>
        </w:tc>
        <w:tc>
          <w:tcPr>
            <w:tcW w:w="2789" w:type="dxa"/>
            <w:shd w:val="clear" w:color="auto" w:fill="FFFFFF"/>
            <w:vAlign w:val="center"/>
          </w:tcPr>
          <w:p w14:paraId="1D8AAAC6">
            <w:pPr>
              <w:widowControl/>
              <w:spacing w:line="240" w:lineRule="atLeast"/>
              <w:rPr>
                <w:rFonts w:ascii="宋体"/>
                <w:color w:val="000000"/>
                <w:kern w:val="0"/>
                <w:sz w:val="22"/>
                <w:szCs w:val="22"/>
              </w:rPr>
            </w:pPr>
            <w:r>
              <w:rPr>
                <w:rFonts w:hint="eastAsia" w:ascii="宋体" w:hAnsi="宋体" w:cs="宋体"/>
                <w:color w:val="000000"/>
                <w:kern w:val="0"/>
                <w:sz w:val="22"/>
                <w:szCs w:val="22"/>
              </w:rPr>
              <w:t>项目申请、设立过程是否符合相关要求，用以反映和考核项目立项的规范情况。</w:t>
            </w:r>
          </w:p>
        </w:tc>
        <w:tc>
          <w:tcPr>
            <w:tcW w:w="7341" w:type="dxa"/>
            <w:shd w:val="clear" w:color="auto" w:fill="FFFFFF"/>
            <w:vAlign w:val="center"/>
          </w:tcPr>
          <w:p w14:paraId="07267BDF">
            <w:pPr>
              <w:widowControl/>
              <w:spacing w:line="240" w:lineRule="atLeast"/>
              <w:jc w:val="left"/>
              <w:rPr>
                <w:rFonts w:ascii="宋体"/>
                <w:color w:val="000000"/>
                <w:kern w:val="0"/>
                <w:sz w:val="22"/>
                <w:szCs w:val="22"/>
              </w:rPr>
            </w:pPr>
            <w:r>
              <w:rPr>
                <w:rFonts w:hint="eastAsia" w:ascii="宋体" w:hAnsi="宋体" w:cs="宋体"/>
                <w:color w:val="000000"/>
                <w:kern w:val="0"/>
                <w:sz w:val="22"/>
                <w:szCs w:val="22"/>
              </w:rPr>
              <w:t>评价要点：</w:t>
            </w:r>
            <w:r>
              <w:rPr>
                <w:rFonts w:ascii="宋体"/>
                <w:color w:val="000000"/>
                <w:kern w:val="0"/>
                <w:sz w:val="22"/>
                <w:szCs w:val="22"/>
              </w:rPr>
              <w:br w:type="textWrapping"/>
            </w:r>
            <w:r>
              <w:rPr>
                <w:rFonts w:hint="eastAsia" w:ascii="宋体" w:hAnsi="宋体" w:cs="宋体"/>
                <w:color w:val="000000"/>
                <w:kern w:val="0"/>
                <w:sz w:val="22"/>
                <w:szCs w:val="22"/>
              </w:rPr>
              <w:t>①项目是否按照规定的程序申请设立；</w:t>
            </w:r>
            <w:r>
              <w:rPr>
                <w:rFonts w:ascii="宋体"/>
                <w:color w:val="000000"/>
                <w:kern w:val="0"/>
                <w:sz w:val="22"/>
                <w:szCs w:val="22"/>
              </w:rPr>
              <w:br w:type="textWrapping"/>
            </w:r>
            <w:r>
              <w:rPr>
                <w:rFonts w:hint="eastAsia" w:ascii="宋体" w:hAnsi="宋体" w:cs="宋体"/>
                <w:color w:val="000000"/>
                <w:kern w:val="0"/>
                <w:sz w:val="22"/>
                <w:szCs w:val="22"/>
              </w:rPr>
              <w:t>②审批文件、材料是否符合相关要求；</w:t>
            </w:r>
            <w:r>
              <w:rPr>
                <w:rFonts w:ascii="宋体"/>
                <w:color w:val="000000"/>
                <w:kern w:val="0"/>
                <w:sz w:val="22"/>
                <w:szCs w:val="22"/>
              </w:rPr>
              <w:br w:type="textWrapping"/>
            </w:r>
            <w:r>
              <w:rPr>
                <w:rFonts w:hint="eastAsia" w:ascii="宋体" w:hAnsi="宋体" w:cs="宋体"/>
                <w:color w:val="000000"/>
                <w:kern w:val="0"/>
                <w:sz w:val="22"/>
                <w:szCs w:val="22"/>
              </w:rPr>
              <w:t>③事前是否已经过必要的可行性研究、专家论证、风险评估、绩效评估、集体决策。</w:t>
            </w:r>
          </w:p>
        </w:tc>
        <w:tc>
          <w:tcPr>
            <w:tcW w:w="841" w:type="dxa"/>
            <w:gridSpan w:val="2"/>
            <w:tcBorders>
              <w:top w:val="single" w:color="auto" w:sz="4" w:space="0"/>
              <w:bottom w:val="single" w:color="auto" w:sz="4" w:space="0"/>
              <w:right w:val="single" w:color="auto" w:sz="4" w:space="0"/>
            </w:tcBorders>
          </w:tcPr>
          <w:p w14:paraId="3BF2ECEB">
            <w:pPr>
              <w:widowControl/>
              <w:jc w:val="left"/>
              <w:rPr>
                <w:rFonts w:ascii="宋体"/>
                <w:color w:val="000000"/>
                <w:kern w:val="0"/>
                <w:sz w:val="22"/>
                <w:szCs w:val="22"/>
              </w:rPr>
            </w:pPr>
          </w:p>
          <w:p w14:paraId="1CA7E232">
            <w:pPr>
              <w:widowControl/>
              <w:jc w:val="left"/>
              <w:rPr>
                <w:rFonts w:ascii="宋体"/>
                <w:color w:val="000000"/>
                <w:kern w:val="0"/>
                <w:sz w:val="22"/>
                <w:szCs w:val="22"/>
              </w:rPr>
            </w:pPr>
            <w:r>
              <w:rPr>
                <w:rFonts w:ascii="宋体" w:hAnsi="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tcPr>
          <w:p w14:paraId="4DECB350">
            <w:pPr>
              <w:widowControl/>
              <w:jc w:val="left"/>
              <w:rPr>
                <w:rFonts w:ascii="宋体"/>
                <w:color w:val="000000"/>
                <w:kern w:val="0"/>
                <w:sz w:val="22"/>
                <w:szCs w:val="22"/>
              </w:rPr>
            </w:pPr>
          </w:p>
          <w:p w14:paraId="404E2E51">
            <w:pPr>
              <w:widowControl/>
              <w:jc w:val="left"/>
              <w:rPr>
                <w:rFonts w:ascii="宋体"/>
                <w:color w:val="000000"/>
                <w:kern w:val="0"/>
                <w:sz w:val="22"/>
                <w:szCs w:val="22"/>
              </w:rPr>
            </w:pPr>
            <w:r>
              <w:rPr>
                <w:rFonts w:ascii="宋体" w:hAnsi="宋体" w:cs="宋体"/>
                <w:color w:val="000000"/>
                <w:kern w:val="0"/>
                <w:sz w:val="22"/>
                <w:szCs w:val="22"/>
              </w:rPr>
              <w:t>2</w:t>
            </w:r>
          </w:p>
        </w:tc>
      </w:tr>
      <w:tr w14:paraId="0CD190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3" w:type="dxa"/>
            <w:vMerge w:val="continue"/>
            <w:shd w:val="clear" w:color="auto" w:fill="FFFFFF"/>
            <w:vAlign w:val="center"/>
          </w:tcPr>
          <w:p w14:paraId="3EA06547">
            <w:pPr>
              <w:spacing w:line="240" w:lineRule="atLeast"/>
              <w:jc w:val="center"/>
              <w:rPr>
                <w:rFonts w:ascii="宋体"/>
                <w:color w:val="000000"/>
                <w:kern w:val="0"/>
                <w:sz w:val="22"/>
                <w:szCs w:val="22"/>
              </w:rPr>
            </w:pPr>
          </w:p>
        </w:tc>
        <w:tc>
          <w:tcPr>
            <w:tcW w:w="1297" w:type="dxa"/>
            <w:shd w:val="clear" w:color="auto" w:fill="FFFFFF"/>
            <w:vAlign w:val="center"/>
          </w:tcPr>
          <w:p w14:paraId="00232FF7">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绩效目标（</w:t>
            </w:r>
            <w:r>
              <w:rPr>
                <w:rFonts w:ascii="宋体" w:hAnsi="宋体" w:cs="宋体"/>
                <w:color w:val="000000"/>
                <w:kern w:val="0"/>
                <w:sz w:val="22"/>
                <w:szCs w:val="22"/>
              </w:rPr>
              <w:t>10</w:t>
            </w:r>
            <w:r>
              <w:rPr>
                <w:rFonts w:hint="eastAsia" w:ascii="宋体" w:hAnsi="宋体" w:cs="宋体"/>
                <w:color w:val="000000"/>
                <w:kern w:val="0"/>
                <w:sz w:val="22"/>
                <w:szCs w:val="22"/>
              </w:rPr>
              <w:t>）　</w:t>
            </w:r>
          </w:p>
        </w:tc>
        <w:tc>
          <w:tcPr>
            <w:tcW w:w="1411" w:type="dxa"/>
            <w:shd w:val="clear" w:color="auto" w:fill="FFFFFF"/>
            <w:vAlign w:val="center"/>
          </w:tcPr>
          <w:p w14:paraId="2AD3C209">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绩效目标</w:t>
            </w:r>
          </w:p>
          <w:p w14:paraId="0D3D6563">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合理性</w:t>
            </w:r>
          </w:p>
        </w:tc>
        <w:tc>
          <w:tcPr>
            <w:tcW w:w="2789" w:type="dxa"/>
            <w:shd w:val="clear" w:color="000000" w:fill="FFFFFF"/>
            <w:vAlign w:val="center"/>
          </w:tcPr>
          <w:p w14:paraId="5F9B68FA">
            <w:pPr>
              <w:widowControl/>
              <w:spacing w:line="240" w:lineRule="atLeast"/>
              <w:rPr>
                <w:rFonts w:ascii="宋体"/>
                <w:color w:val="000000"/>
                <w:kern w:val="0"/>
                <w:sz w:val="22"/>
                <w:szCs w:val="22"/>
              </w:rPr>
            </w:pPr>
            <w:r>
              <w:rPr>
                <w:rFonts w:hint="eastAsia" w:ascii="宋体" w:hAnsi="宋体" w:cs="宋体"/>
                <w:color w:val="000000"/>
                <w:kern w:val="0"/>
                <w:sz w:val="22"/>
                <w:szCs w:val="22"/>
              </w:rPr>
              <w:t>项目所设定的绩效目标是否依据充分，是否符合客观实际，用以反映和考核项目绩效目标与项目实施的相符情况。</w:t>
            </w:r>
          </w:p>
        </w:tc>
        <w:tc>
          <w:tcPr>
            <w:tcW w:w="7341" w:type="dxa"/>
            <w:shd w:val="clear" w:color="000000" w:fill="FFFFFF"/>
            <w:vAlign w:val="center"/>
          </w:tcPr>
          <w:p w14:paraId="67520236">
            <w:pPr>
              <w:widowControl/>
              <w:spacing w:line="240" w:lineRule="atLeast"/>
              <w:jc w:val="left"/>
              <w:rPr>
                <w:rFonts w:ascii="宋体"/>
                <w:color w:val="000000"/>
                <w:kern w:val="0"/>
                <w:sz w:val="22"/>
                <w:szCs w:val="22"/>
              </w:rPr>
            </w:pPr>
            <w:r>
              <w:rPr>
                <w:rFonts w:hint="eastAsia" w:ascii="宋体" w:hAnsi="宋体" w:cs="宋体"/>
                <w:color w:val="000000"/>
                <w:kern w:val="0"/>
                <w:sz w:val="22"/>
                <w:szCs w:val="22"/>
              </w:rPr>
              <w:t>评价要点：</w:t>
            </w:r>
            <w:r>
              <w:rPr>
                <w:rFonts w:ascii="宋体"/>
                <w:color w:val="000000"/>
                <w:kern w:val="0"/>
                <w:sz w:val="22"/>
                <w:szCs w:val="22"/>
              </w:rPr>
              <w:br w:type="textWrapping"/>
            </w:r>
            <w:r>
              <w:rPr>
                <w:rFonts w:hint="eastAsia" w:ascii="宋体" w:hAnsi="宋体" w:cs="宋体"/>
                <w:color w:val="000000"/>
                <w:kern w:val="0"/>
                <w:sz w:val="22"/>
                <w:szCs w:val="22"/>
              </w:rPr>
              <w:t>（如未设定预算绩效目标，也可考核其他工作任务目标）</w:t>
            </w:r>
            <w:r>
              <w:rPr>
                <w:rFonts w:ascii="宋体"/>
                <w:color w:val="000000"/>
                <w:kern w:val="0"/>
                <w:sz w:val="22"/>
                <w:szCs w:val="22"/>
              </w:rPr>
              <w:br w:type="textWrapping"/>
            </w:r>
            <w:r>
              <w:rPr>
                <w:rFonts w:hint="eastAsia" w:ascii="宋体" w:hAnsi="宋体" w:cs="宋体"/>
                <w:color w:val="000000"/>
                <w:kern w:val="0"/>
                <w:sz w:val="22"/>
                <w:szCs w:val="22"/>
              </w:rPr>
              <w:t>①项目是否有绩效目标；</w:t>
            </w:r>
            <w:r>
              <w:rPr>
                <w:rFonts w:ascii="宋体"/>
                <w:color w:val="000000"/>
                <w:kern w:val="0"/>
                <w:sz w:val="22"/>
                <w:szCs w:val="22"/>
              </w:rPr>
              <w:br w:type="textWrapping"/>
            </w:r>
            <w:r>
              <w:rPr>
                <w:rFonts w:hint="eastAsia" w:ascii="宋体" w:hAnsi="宋体" w:cs="宋体"/>
                <w:color w:val="000000"/>
                <w:kern w:val="0"/>
                <w:sz w:val="22"/>
                <w:szCs w:val="22"/>
              </w:rPr>
              <w:t>②项目绩效目标与实际工作内容是否具有相关性；</w:t>
            </w:r>
            <w:r>
              <w:rPr>
                <w:rFonts w:ascii="宋体"/>
                <w:color w:val="000000"/>
                <w:kern w:val="0"/>
                <w:sz w:val="22"/>
                <w:szCs w:val="22"/>
              </w:rPr>
              <w:br w:type="textWrapping"/>
            </w:r>
            <w:r>
              <w:rPr>
                <w:rFonts w:hint="eastAsia" w:ascii="宋体" w:hAnsi="宋体" w:cs="宋体"/>
                <w:color w:val="000000"/>
                <w:kern w:val="0"/>
                <w:sz w:val="22"/>
                <w:szCs w:val="22"/>
              </w:rPr>
              <w:t>③项目预期产出效益和效果是否符合正常的业绩水平；</w:t>
            </w:r>
          </w:p>
          <w:p w14:paraId="296CD061">
            <w:pPr>
              <w:widowControl/>
              <w:spacing w:line="240" w:lineRule="atLeast"/>
              <w:jc w:val="left"/>
              <w:rPr>
                <w:rFonts w:ascii="宋体"/>
                <w:color w:val="000000"/>
                <w:kern w:val="0"/>
                <w:sz w:val="22"/>
                <w:szCs w:val="22"/>
              </w:rPr>
            </w:pPr>
            <w:r>
              <w:rPr>
                <w:rFonts w:hint="eastAsia" w:ascii="宋体" w:hAnsi="宋体" w:cs="宋体"/>
                <w:color w:val="000000"/>
                <w:kern w:val="0"/>
                <w:sz w:val="22"/>
                <w:szCs w:val="22"/>
              </w:rPr>
              <w:t>④是否与预算确定的项目投资额或资金量相匹配。</w:t>
            </w:r>
          </w:p>
        </w:tc>
        <w:tc>
          <w:tcPr>
            <w:tcW w:w="841" w:type="dxa"/>
            <w:gridSpan w:val="2"/>
            <w:tcBorders>
              <w:top w:val="single" w:color="auto" w:sz="4" w:space="0"/>
              <w:bottom w:val="single" w:color="auto" w:sz="4" w:space="0"/>
              <w:right w:val="single" w:color="auto" w:sz="4" w:space="0"/>
            </w:tcBorders>
          </w:tcPr>
          <w:p w14:paraId="132C20CD">
            <w:pPr>
              <w:widowControl/>
              <w:jc w:val="left"/>
              <w:rPr>
                <w:rFonts w:ascii="宋体"/>
                <w:color w:val="000000"/>
                <w:kern w:val="0"/>
                <w:sz w:val="22"/>
                <w:szCs w:val="22"/>
              </w:rPr>
            </w:pPr>
            <w:r>
              <w:rPr>
                <w:rFonts w:ascii="宋体" w:hAnsi="宋体" w:cs="宋体"/>
                <w:color w:val="000000"/>
                <w:kern w:val="0"/>
                <w:sz w:val="22"/>
                <w:szCs w:val="22"/>
              </w:rPr>
              <w:t>6</w:t>
            </w:r>
          </w:p>
        </w:tc>
        <w:tc>
          <w:tcPr>
            <w:tcW w:w="922" w:type="dxa"/>
            <w:gridSpan w:val="3"/>
            <w:tcBorders>
              <w:top w:val="single" w:color="auto" w:sz="4" w:space="0"/>
              <w:left w:val="single" w:color="auto" w:sz="4" w:space="0"/>
              <w:bottom w:val="single" w:color="auto" w:sz="4" w:space="0"/>
              <w:right w:val="single" w:color="auto" w:sz="4" w:space="0"/>
            </w:tcBorders>
          </w:tcPr>
          <w:p w14:paraId="5FF94D73">
            <w:pPr>
              <w:widowControl/>
              <w:jc w:val="left"/>
              <w:rPr>
                <w:rFonts w:ascii="宋体"/>
                <w:color w:val="000000"/>
                <w:kern w:val="0"/>
                <w:sz w:val="22"/>
                <w:szCs w:val="22"/>
              </w:rPr>
            </w:pPr>
            <w:r>
              <w:rPr>
                <w:rFonts w:ascii="宋体" w:hAnsi="宋体" w:cs="宋体"/>
                <w:color w:val="000000"/>
                <w:kern w:val="0"/>
                <w:sz w:val="22"/>
                <w:szCs w:val="22"/>
              </w:rPr>
              <w:t>5</w:t>
            </w:r>
          </w:p>
        </w:tc>
      </w:tr>
      <w:tr w14:paraId="307E37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restart"/>
            <w:shd w:val="clear" w:color="auto" w:fill="FFFFFF"/>
            <w:vAlign w:val="center"/>
          </w:tcPr>
          <w:p w14:paraId="5289750E">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决策（</w:t>
            </w:r>
            <w:r>
              <w:rPr>
                <w:rFonts w:ascii="宋体" w:hAnsi="宋体" w:cs="宋体"/>
                <w:color w:val="000000"/>
                <w:kern w:val="0"/>
                <w:sz w:val="22"/>
                <w:szCs w:val="22"/>
              </w:rPr>
              <w:t>20</w:t>
            </w:r>
            <w:r>
              <w:rPr>
                <w:rFonts w:hint="eastAsia" w:ascii="宋体" w:hAnsi="宋体" w:cs="宋体"/>
                <w:color w:val="000000"/>
                <w:kern w:val="0"/>
                <w:sz w:val="22"/>
                <w:szCs w:val="22"/>
              </w:rPr>
              <w:t>分）　</w:t>
            </w:r>
          </w:p>
        </w:tc>
        <w:tc>
          <w:tcPr>
            <w:tcW w:w="1297" w:type="dxa"/>
            <w:shd w:val="clear" w:color="auto" w:fill="FFFFFF"/>
            <w:vAlign w:val="center"/>
          </w:tcPr>
          <w:p w14:paraId="12239CDC">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绩效目标</w:t>
            </w:r>
          </w:p>
        </w:tc>
        <w:tc>
          <w:tcPr>
            <w:tcW w:w="1411" w:type="dxa"/>
            <w:shd w:val="clear" w:color="auto" w:fill="FFFFFF"/>
            <w:vAlign w:val="center"/>
          </w:tcPr>
          <w:p w14:paraId="68D20A86">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绩效指标</w:t>
            </w:r>
          </w:p>
          <w:p w14:paraId="00946FB4">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明确性</w:t>
            </w:r>
          </w:p>
        </w:tc>
        <w:tc>
          <w:tcPr>
            <w:tcW w:w="2789" w:type="dxa"/>
            <w:shd w:val="clear" w:color="000000" w:fill="FFFFFF"/>
            <w:vAlign w:val="center"/>
          </w:tcPr>
          <w:p w14:paraId="494BBE44">
            <w:pPr>
              <w:widowControl/>
              <w:spacing w:line="240" w:lineRule="atLeast"/>
              <w:rPr>
                <w:rFonts w:ascii="宋体"/>
                <w:color w:val="000000"/>
                <w:kern w:val="0"/>
                <w:sz w:val="22"/>
                <w:szCs w:val="22"/>
              </w:rPr>
            </w:pPr>
            <w:r>
              <w:rPr>
                <w:rFonts w:hint="eastAsia" w:ascii="宋体" w:hAnsi="宋体" w:cs="宋体"/>
                <w:color w:val="000000"/>
                <w:kern w:val="0"/>
                <w:sz w:val="22"/>
                <w:szCs w:val="22"/>
              </w:rPr>
              <w:t>依据绩效目标设定的绩效指标是否清晰、细化、可衡量等，用以反映和考核项目绩效目标的明细化情况。</w:t>
            </w:r>
          </w:p>
        </w:tc>
        <w:tc>
          <w:tcPr>
            <w:tcW w:w="7341" w:type="dxa"/>
            <w:shd w:val="clear" w:color="000000" w:fill="FFFFFF"/>
            <w:vAlign w:val="center"/>
          </w:tcPr>
          <w:p w14:paraId="0C8D817E">
            <w:pPr>
              <w:widowControl/>
              <w:spacing w:line="240" w:lineRule="atLeast"/>
              <w:rPr>
                <w:rFonts w:ascii="宋体"/>
                <w:color w:val="000000"/>
                <w:kern w:val="0"/>
                <w:sz w:val="22"/>
                <w:szCs w:val="22"/>
              </w:rPr>
            </w:pPr>
            <w:r>
              <w:rPr>
                <w:rFonts w:hint="eastAsia" w:ascii="宋体" w:hAnsi="宋体" w:cs="宋体"/>
                <w:color w:val="000000"/>
                <w:kern w:val="0"/>
                <w:sz w:val="22"/>
                <w:szCs w:val="22"/>
              </w:rPr>
              <w:t>评价要点：</w:t>
            </w:r>
            <w:r>
              <w:rPr>
                <w:rFonts w:ascii="宋体"/>
                <w:color w:val="000000"/>
                <w:kern w:val="0"/>
                <w:sz w:val="22"/>
                <w:szCs w:val="22"/>
              </w:rPr>
              <w:br w:type="textWrapping"/>
            </w:r>
            <w:r>
              <w:rPr>
                <w:rFonts w:hint="eastAsia" w:ascii="宋体" w:hAnsi="宋体" w:cs="宋体"/>
                <w:color w:val="000000"/>
                <w:kern w:val="0"/>
                <w:sz w:val="22"/>
                <w:szCs w:val="22"/>
              </w:rPr>
              <w:t>①是否将项目绩效目标细化分解为具体的绩效指标；</w:t>
            </w:r>
            <w:r>
              <w:rPr>
                <w:rFonts w:ascii="宋体"/>
                <w:color w:val="000000"/>
                <w:kern w:val="0"/>
                <w:sz w:val="22"/>
                <w:szCs w:val="22"/>
              </w:rPr>
              <w:br w:type="textWrapping"/>
            </w:r>
            <w:r>
              <w:rPr>
                <w:rFonts w:hint="eastAsia" w:ascii="宋体" w:hAnsi="宋体" w:cs="宋体"/>
                <w:color w:val="000000"/>
                <w:kern w:val="0"/>
                <w:sz w:val="22"/>
                <w:szCs w:val="22"/>
              </w:rPr>
              <w:t>②是否通过清晰、可衡量的指标值予以体现；</w:t>
            </w:r>
            <w:r>
              <w:rPr>
                <w:rFonts w:ascii="宋体"/>
                <w:color w:val="000000"/>
                <w:kern w:val="0"/>
                <w:sz w:val="22"/>
                <w:szCs w:val="22"/>
              </w:rPr>
              <w:br w:type="textWrapping"/>
            </w:r>
            <w:r>
              <w:rPr>
                <w:rFonts w:hint="eastAsia" w:ascii="宋体" w:hAnsi="宋体" w:cs="宋体"/>
                <w:color w:val="000000"/>
                <w:kern w:val="0"/>
                <w:sz w:val="22"/>
                <w:szCs w:val="22"/>
              </w:rPr>
              <w:t>③是否与项目目标任务数或计划数相对应。</w:t>
            </w:r>
            <w:r>
              <w:rPr>
                <w:rFonts w:ascii="宋体"/>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tcPr>
          <w:p w14:paraId="4F352563">
            <w:pPr>
              <w:widowControl/>
              <w:jc w:val="left"/>
              <w:rPr>
                <w:rFonts w:ascii="宋体"/>
                <w:color w:val="000000"/>
                <w:kern w:val="0"/>
                <w:sz w:val="22"/>
                <w:szCs w:val="22"/>
              </w:rPr>
            </w:pPr>
            <w:r>
              <w:rPr>
                <w:rFonts w:ascii="宋体" w:hAnsi="宋体" w:cs="宋体"/>
                <w:color w:val="000000"/>
                <w:kern w:val="0"/>
                <w:sz w:val="22"/>
                <w:szCs w:val="22"/>
              </w:rPr>
              <w:t>4</w:t>
            </w:r>
          </w:p>
        </w:tc>
        <w:tc>
          <w:tcPr>
            <w:tcW w:w="922" w:type="dxa"/>
            <w:gridSpan w:val="3"/>
            <w:tcBorders>
              <w:top w:val="single" w:color="auto" w:sz="4" w:space="0"/>
              <w:left w:val="single" w:color="auto" w:sz="4" w:space="0"/>
              <w:bottom w:val="single" w:color="auto" w:sz="4" w:space="0"/>
              <w:right w:val="single" w:color="auto" w:sz="4" w:space="0"/>
            </w:tcBorders>
          </w:tcPr>
          <w:p w14:paraId="5CC8245F">
            <w:pPr>
              <w:widowControl/>
              <w:jc w:val="left"/>
              <w:rPr>
                <w:rFonts w:ascii="宋体"/>
                <w:color w:val="000000"/>
                <w:kern w:val="0"/>
                <w:sz w:val="22"/>
                <w:szCs w:val="22"/>
              </w:rPr>
            </w:pPr>
            <w:r>
              <w:rPr>
                <w:rFonts w:ascii="宋体" w:hAnsi="宋体" w:cs="宋体"/>
                <w:color w:val="000000"/>
                <w:kern w:val="0"/>
                <w:sz w:val="22"/>
                <w:szCs w:val="22"/>
              </w:rPr>
              <w:t>3</w:t>
            </w:r>
          </w:p>
        </w:tc>
      </w:tr>
      <w:tr w14:paraId="0124A3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3" w:type="dxa"/>
            <w:vMerge w:val="continue"/>
            <w:shd w:val="clear" w:color="auto" w:fill="FFFFFF"/>
            <w:vAlign w:val="center"/>
          </w:tcPr>
          <w:p w14:paraId="0FD88ED0">
            <w:pPr>
              <w:spacing w:line="240" w:lineRule="atLeast"/>
              <w:jc w:val="center"/>
              <w:rPr>
                <w:rFonts w:ascii="宋体"/>
                <w:color w:val="000000"/>
                <w:kern w:val="0"/>
                <w:sz w:val="22"/>
                <w:szCs w:val="22"/>
              </w:rPr>
            </w:pPr>
          </w:p>
        </w:tc>
        <w:tc>
          <w:tcPr>
            <w:tcW w:w="1297" w:type="dxa"/>
            <w:vMerge w:val="restart"/>
            <w:shd w:val="clear" w:color="auto" w:fill="FFFFFF"/>
            <w:vAlign w:val="center"/>
          </w:tcPr>
          <w:p w14:paraId="12DB57E7">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资金投入（</w:t>
            </w:r>
            <w:r>
              <w:rPr>
                <w:rFonts w:ascii="宋体" w:hAnsi="宋体" w:cs="宋体"/>
                <w:color w:val="000000"/>
                <w:kern w:val="0"/>
                <w:sz w:val="22"/>
                <w:szCs w:val="22"/>
              </w:rPr>
              <w:t>5</w:t>
            </w:r>
            <w:r>
              <w:rPr>
                <w:rFonts w:hint="eastAsia" w:ascii="宋体" w:hAnsi="宋体" w:cs="宋体"/>
                <w:color w:val="000000"/>
                <w:kern w:val="0"/>
                <w:sz w:val="22"/>
                <w:szCs w:val="22"/>
              </w:rPr>
              <w:t>）</w:t>
            </w:r>
          </w:p>
          <w:p w14:paraId="5D35E2D8">
            <w:pPr>
              <w:spacing w:line="240" w:lineRule="atLeast"/>
              <w:jc w:val="center"/>
              <w:rPr>
                <w:rFonts w:ascii="宋体"/>
                <w:color w:val="000000"/>
                <w:kern w:val="0"/>
                <w:sz w:val="22"/>
                <w:szCs w:val="22"/>
              </w:rPr>
            </w:pPr>
            <w:r>
              <w:rPr>
                <w:rFonts w:hint="eastAsia" w:ascii="宋体" w:hAnsi="宋体" w:cs="宋体"/>
                <w:color w:val="000000"/>
                <w:kern w:val="0"/>
                <w:sz w:val="22"/>
                <w:szCs w:val="22"/>
              </w:rPr>
              <w:t>　</w:t>
            </w:r>
          </w:p>
        </w:tc>
        <w:tc>
          <w:tcPr>
            <w:tcW w:w="1411" w:type="dxa"/>
            <w:shd w:val="clear" w:color="auto" w:fill="FFFFFF"/>
            <w:vAlign w:val="center"/>
          </w:tcPr>
          <w:p w14:paraId="65A8DFED">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预算编制</w:t>
            </w:r>
          </w:p>
          <w:p w14:paraId="0962EBDD">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科学性</w:t>
            </w:r>
          </w:p>
        </w:tc>
        <w:tc>
          <w:tcPr>
            <w:tcW w:w="2789" w:type="dxa"/>
            <w:shd w:val="clear" w:color="auto" w:fill="FFFFFF"/>
            <w:vAlign w:val="center"/>
          </w:tcPr>
          <w:p w14:paraId="75B69832">
            <w:pPr>
              <w:widowControl/>
              <w:spacing w:line="240" w:lineRule="atLeast"/>
              <w:rPr>
                <w:rFonts w:ascii="宋体"/>
                <w:color w:val="000000"/>
                <w:kern w:val="0"/>
                <w:sz w:val="22"/>
                <w:szCs w:val="22"/>
              </w:rPr>
            </w:pPr>
            <w:r>
              <w:rPr>
                <w:rFonts w:hint="eastAsia" w:ascii="宋体" w:hAnsi="宋体" w:cs="宋体"/>
                <w:color w:val="000000"/>
                <w:kern w:val="0"/>
                <w:sz w:val="22"/>
                <w:szCs w:val="22"/>
              </w:rPr>
              <w:t>项目预算编制是否经过科学论证、有明确标准，资金额度与年度目标是否相适应，用以反映和考核项目预算编制的科学性、合理性情况。</w:t>
            </w:r>
          </w:p>
        </w:tc>
        <w:tc>
          <w:tcPr>
            <w:tcW w:w="7341" w:type="dxa"/>
            <w:shd w:val="clear" w:color="auto" w:fill="FFFFFF"/>
            <w:vAlign w:val="center"/>
          </w:tcPr>
          <w:p w14:paraId="06EFF1CB">
            <w:pPr>
              <w:widowControl/>
              <w:spacing w:line="240" w:lineRule="atLeast"/>
              <w:rPr>
                <w:rFonts w:ascii="宋体"/>
                <w:color w:val="000000"/>
                <w:kern w:val="0"/>
                <w:sz w:val="22"/>
                <w:szCs w:val="22"/>
              </w:rPr>
            </w:pPr>
            <w:r>
              <w:rPr>
                <w:rFonts w:hint="eastAsia" w:ascii="宋体" w:hAnsi="宋体" w:cs="宋体"/>
                <w:color w:val="000000"/>
                <w:kern w:val="0"/>
                <w:sz w:val="22"/>
                <w:szCs w:val="22"/>
              </w:rPr>
              <w:t>评价要点：</w:t>
            </w:r>
            <w:r>
              <w:rPr>
                <w:rFonts w:ascii="宋体"/>
                <w:color w:val="000000"/>
                <w:kern w:val="0"/>
                <w:sz w:val="22"/>
                <w:szCs w:val="22"/>
              </w:rPr>
              <w:br w:type="textWrapping"/>
            </w:r>
            <w:r>
              <w:rPr>
                <w:rFonts w:hint="eastAsia" w:ascii="宋体" w:hAnsi="宋体" w:cs="宋体"/>
                <w:color w:val="000000"/>
                <w:kern w:val="0"/>
                <w:sz w:val="22"/>
                <w:szCs w:val="22"/>
              </w:rPr>
              <w:t>①预算编制是否经过科学论证；</w:t>
            </w:r>
            <w:r>
              <w:rPr>
                <w:rFonts w:ascii="宋体"/>
                <w:color w:val="000000"/>
                <w:kern w:val="0"/>
                <w:sz w:val="22"/>
                <w:szCs w:val="22"/>
              </w:rPr>
              <w:br w:type="textWrapping"/>
            </w:r>
            <w:r>
              <w:rPr>
                <w:rFonts w:hint="eastAsia" w:ascii="宋体" w:hAnsi="宋体" w:cs="宋体"/>
                <w:color w:val="000000"/>
                <w:kern w:val="0"/>
                <w:sz w:val="22"/>
                <w:szCs w:val="22"/>
              </w:rPr>
              <w:t>②预算内容与项目内容是否匹配；</w:t>
            </w:r>
            <w:r>
              <w:rPr>
                <w:rFonts w:ascii="宋体"/>
                <w:color w:val="000000"/>
                <w:kern w:val="0"/>
                <w:sz w:val="22"/>
                <w:szCs w:val="22"/>
              </w:rPr>
              <w:br w:type="textWrapping"/>
            </w:r>
            <w:r>
              <w:rPr>
                <w:rFonts w:hint="eastAsia" w:ascii="宋体" w:hAnsi="宋体" w:cs="宋体"/>
                <w:color w:val="000000"/>
                <w:kern w:val="0"/>
                <w:sz w:val="22"/>
                <w:szCs w:val="22"/>
              </w:rPr>
              <w:t>③预算额度测算依据是否充分，是否按照标准编制；</w:t>
            </w:r>
            <w:r>
              <w:rPr>
                <w:rFonts w:ascii="宋体"/>
                <w:color w:val="000000"/>
                <w:kern w:val="0"/>
                <w:sz w:val="22"/>
                <w:szCs w:val="22"/>
              </w:rPr>
              <w:br w:type="textWrapping"/>
            </w:r>
            <w:r>
              <w:rPr>
                <w:rFonts w:hint="eastAsia" w:ascii="宋体" w:hAnsi="宋体" w:cs="宋体"/>
                <w:color w:val="000000"/>
                <w:kern w:val="0"/>
                <w:sz w:val="22"/>
                <w:szCs w:val="22"/>
              </w:rPr>
              <w:t>④预算确定的项目投资额或资金量是否与工作任务相匹配。</w:t>
            </w:r>
          </w:p>
        </w:tc>
        <w:tc>
          <w:tcPr>
            <w:tcW w:w="841" w:type="dxa"/>
            <w:gridSpan w:val="2"/>
            <w:tcBorders>
              <w:top w:val="single" w:color="auto" w:sz="4" w:space="0"/>
              <w:bottom w:val="single" w:color="auto" w:sz="4" w:space="0"/>
              <w:right w:val="single" w:color="auto" w:sz="4" w:space="0"/>
            </w:tcBorders>
          </w:tcPr>
          <w:p w14:paraId="24F736D3">
            <w:pPr>
              <w:widowControl/>
              <w:jc w:val="left"/>
              <w:rPr>
                <w:rFonts w:ascii="宋体"/>
                <w:color w:val="000000"/>
                <w:kern w:val="0"/>
                <w:sz w:val="22"/>
                <w:szCs w:val="22"/>
              </w:rPr>
            </w:pPr>
            <w:r>
              <w:rPr>
                <w:rFonts w:ascii="宋体" w:hAnsi="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tcPr>
          <w:p w14:paraId="0DE5296E">
            <w:pPr>
              <w:widowControl/>
              <w:jc w:val="left"/>
              <w:rPr>
                <w:rFonts w:ascii="宋体"/>
                <w:color w:val="000000"/>
                <w:kern w:val="0"/>
                <w:sz w:val="22"/>
                <w:szCs w:val="22"/>
              </w:rPr>
            </w:pPr>
            <w:r>
              <w:rPr>
                <w:rFonts w:ascii="宋体" w:hAnsi="宋体" w:cs="宋体"/>
                <w:color w:val="000000"/>
                <w:kern w:val="0"/>
                <w:sz w:val="22"/>
                <w:szCs w:val="22"/>
              </w:rPr>
              <w:t>3</w:t>
            </w:r>
          </w:p>
        </w:tc>
      </w:tr>
      <w:tr w14:paraId="3FA089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3" w:type="dxa"/>
            <w:vMerge w:val="continue"/>
            <w:shd w:val="clear" w:color="auto" w:fill="FFFFFF"/>
            <w:vAlign w:val="center"/>
          </w:tcPr>
          <w:p w14:paraId="59A5E4DE">
            <w:pPr>
              <w:widowControl/>
              <w:spacing w:line="240" w:lineRule="atLeast"/>
              <w:jc w:val="center"/>
              <w:rPr>
                <w:rFonts w:ascii="宋体"/>
                <w:color w:val="000000"/>
                <w:kern w:val="0"/>
                <w:sz w:val="22"/>
                <w:szCs w:val="22"/>
              </w:rPr>
            </w:pPr>
          </w:p>
        </w:tc>
        <w:tc>
          <w:tcPr>
            <w:tcW w:w="1297" w:type="dxa"/>
            <w:vMerge w:val="continue"/>
            <w:shd w:val="clear" w:color="auto" w:fill="FFFFFF"/>
            <w:vAlign w:val="center"/>
          </w:tcPr>
          <w:p w14:paraId="01FD42C2">
            <w:pPr>
              <w:widowControl/>
              <w:spacing w:line="240" w:lineRule="atLeast"/>
              <w:jc w:val="center"/>
              <w:rPr>
                <w:rFonts w:ascii="宋体"/>
                <w:color w:val="000000"/>
                <w:kern w:val="0"/>
                <w:sz w:val="22"/>
                <w:szCs w:val="22"/>
              </w:rPr>
            </w:pPr>
          </w:p>
        </w:tc>
        <w:tc>
          <w:tcPr>
            <w:tcW w:w="1411" w:type="dxa"/>
            <w:shd w:val="clear" w:color="auto" w:fill="FFFFFF"/>
            <w:vAlign w:val="center"/>
          </w:tcPr>
          <w:p w14:paraId="6A1CD5C0">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资金分配</w:t>
            </w:r>
          </w:p>
          <w:p w14:paraId="4D426F25">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合理性</w:t>
            </w:r>
          </w:p>
        </w:tc>
        <w:tc>
          <w:tcPr>
            <w:tcW w:w="2789" w:type="dxa"/>
            <w:shd w:val="clear" w:color="auto" w:fill="FFFFFF"/>
            <w:vAlign w:val="center"/>
          </w:tcPr>
          <w:p w14:paraId="78815F94">
            <w:pPr>
              <w:widowControl/>
              <w:spacing w:line="240" w:lineRule="atLeast"/>
              <w:rPr>
                <w:rFonts w:ascii="宋体"/>
                <w:color w:val="000000"/>
                <w:kern w:val="0"/>
                <w:sz w:val="22"/>
                <w:szCs w:val="22"/>
              </w:rPr>
            </w:pPr>
            <w:r>
              <w:rPr>
                <w:rFonts w:hint="eastAsia" w:ascii="宋体" w:hAnsi="宋体" w:cs="宋体"/>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color="auto" w:sz="4" w:space="0"/>
            </w:tcBorders>
            <w:shd w:val="clear" w:color="auto" w:fill="FFFFFF"/>
            <w:vAlign w:val="center"/>
          </w:tcPr>
          <w:p w14:paraId="534AFCB5">
            <w:pPr>
              <w:widowControl/>
              <w:spacing w:line="240" w:lineRule="atLeast"/>
              <w:rPr>
                <w:rFonts w:ascii="宋体"/>
                <w:color w:val="000000"/>
                <w:kern w:val="0"/>
                <w:sz w:val="22"/>
                <w:szCs w:val="22"/>
              </w:rPr>
            </w:pPr>
            <w:r>
              <w:rPr>
                <w:rFonts w:hint="eastAsia" w:ascii="宋体" w:hAnsi="宋体" w:cs="宋体"/>
                <w:color w:val="000000"/>
                <w:kern w:val="0"/>
                <w:sz w:val="22"/>
                <w:szCs w:val="22"/>
              </w:rPr>
              <w:t>评价要点：</w:t>
            </w:r>
            <w:r>
              <w:rPr>
                <w:rFonts w:ascii="宋体"/>
                <w:color w:val="000000"/>
                <w:kern w:val="0"/>
                <w:sz w:val="22"/>
                <w:szCs w:val="22"/>
              </w:rPr>
              <w:br w:type="textWrapping"/>
            </w:r>
            <w:r>
              <w:rPr>
                <w:rFonts w:hint="eastAsia" w:ascii="宋体" w:hAnsi="宋体" w:cs="宋体"/>
                <w:color w:val="000000"/>
                <w:kern w:val="0"/>
                <w:sz w:val="22"/>
                <w:szCs w:val="22"/>
              </w:rPr>
              <w:t>①预算资金分配依据是否充分；</w:t>
            </w:r>
            <w:r>
              <w:rPr>
                <w:rFonts w:ascii="宋体"/>
                <w:color w:val="000000"/>
                <w:kern w:val="0"/>
                <w:sz w:val="22"/>
                <w:szCs w:val="22"/>
              </w:rPr>
              <w:br w:type="textWrapping"/>
            </w:r>
            <w:r>
              <w:rPr>
                <w:rFonts w:hint="eastAsia" w:ascii="宋体" w:hAnsi="宋体" w:cs="宋体"/>
                <w:color w:val="000000"/>
                <w:kern w:val="0"/>
                <w:sz w:val="22"/>
                <w:szCs w:val="22"/>
              </w:rPr>
              <w:t>②资金分配额度是否合理，与项目单位或地方实际是否相适应。</w:t>
            </w:r>
          </w:p>
        </w:tc>
        <w:tc>
          <w:tcPr>
            <w:tcW w:w="841" w:type="dxa"/>
            <w:gridSpan w:val="2"/>
            <w:tcBorders>
              <w:top w:val="single" w:color="auto" w:sz="4" w:space="0"/>
              <w:bottom w:val="single" w:color="auto" w:sz="4" w:space="0"/>
              <w:right w:val="single" w:color="auto" w:sz="4" w:space="0"/>
            </w:tcBorders>
          </w:tcPr>
          <w:p w14:paraId="456AECE6">
            <w:pPr>
              <w:widowControl/>
              <w:jc w:val="left"/>
              <w:rPr>
                <w:rFonts w:ascii="宋体"/>
                <w:color w:val="000000"/>
                <w:kern w:val="0"/>
                <w:sz w:val="22"/>
                <w:szCs w:val="22"/>
              </w:rPr>
            </w:pPr>
            <w:r>
              <w:rPr>
                <w:rFonts w:ascii="宋体" w:hAnsi="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tcPr>
          <w:p w14:paraId="243E570F">
            <w:pPr>
              <w:widowControl/>
              <w:jc w:val="left"/>
              <w:rPr>
                <w:rFonts w:ascii="宋体"/>
                <w:color w:val="000000"/>
                <w:kern w:val="0"/>
                <w:sz w:val="22"/>
                <w:szCs w:val="22"/>
              </w:rPr>
            </w:pPr>
            <w:r>
              <w:rPr>
                <w:rFonts w:ascii="宋体" w:hAnsi="宋体" w:cs="宋体"/>
                <w:color w:val="000000"/>
                <w:kern w:val="0"/>
                <w:sz w:val="22"/>
                <w:szCs w:val="22"/>
              </w:rPr>
              <w:t>2</w:t>
            </w:r>
          </w:p>
        </w:tc>
      </w:tr>
      <w:tr w14:paraId="7271E0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shd w:val="clear" w:color="auto" w:fill="FFFFFF"/>
            <w:vAlign w:val="center"/>
          </w:tcPr>
          <w:p w14:paraId="2E95325A">
            <w:pPr>
              <w:spacing w:line="240" w:lineRule="atLeast"/>
              <w:jc w:val="center"/>
              <w:rPr>
                <w:rFonts w:ascii="宋体"/>
                <w:color w:val="000000"/>
                <w:kern w:val="0"/>
                <w:sz w:val="22"/>
                <w:szCs w:val="22"/>
              </w:rPr>
            </w:pPr>
            <w:r>
              <w:rPr>
                <w:rFonts w:hint="eastAsia" w:ascii="宋体" w:hAnsi="宋体" w:cs="宋体"/>
                <w:color w:val="000000"/>
                <w:kern w:val="0"/>
                <w:sz w:val="22"/>
                <w:szCs w:val="22"/>
              </w:rPr>
              <w:t>过程（</w:t>
            </w:r>
            <w:r>
              <w:rPr>
                <w:rFonts w:ascii="宋体" w:hAnsi="宋体" w:cs="宋体"/>
                <w:color w:val="000000"/>
                <w:kern w:val="0"/>
                <w:sz w:val="22"/>
                <w:szCs w:val="22"/>
              </w:rPr>
              <w:t>20</w:t>
            </w:r>
            <w:r>
              <w:rPr>
                <w:rFonts w:hint="eastAsia" w:ascii="宋体" w:hAnsi="宋体" w:cs="宋体"/>
                <w:color w:val="000000"/>
                <w:kern w:val="0"/>
                <w:sz w:val="22"/>
                <w:szCs w:val="22"/>
              </w:rPr>
              <w:t>分）</w:t>
            </w:r>
          </w:p>
        </w:tc>
        <w:tc>
          <w:tcPr>
            <w:tcW w:w="1297" w:type="dxa"/>
            <w:vMerge w:val="restart"/>
            <w:shd w:val="clear" w:color="auto" w:fill="FFFFFF"/>
            <w:vAlign w:val="center"/>
          </w:tcPr>
          <w:p w14:paraId="01725C67">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资金管理（</w:t>
            </w:r>
            <w:r>
              <w:rPr>
                <w:rFonts w:ascii="宋体" w:hAnsi="宋体" w:cs="宋体"/>
                <w:color w:val="000000"/>
                <w:kern w:val="0"/>
                <w:sz w:val="22"/>
                <w:szCs w:val="22"/>
              </w:rPr>
              <w:t>10</w:t>
            </w:r>
            <w:r>
              <w:rPr>
                <w:rFonts w:hint="eastAsia" w:ascii="宋体" w:hAnsi="宋体" w:cs="宋体"/>
                <w:color w:val="000000"/>
                <w:kern w:val="0"/>
                <w:sz w:val="22"/>
                <w:szCs w:val="22"/>
              </w:rPr>
              <w:t>）</w:t>
            </w:r>
          </w:p>
        </w:tc>
        <w:tc>
          <w:tcPr>
            <w:tcW w:w="1411" w:type="dxa"/>
            <w:shd w:val="clear" w:color="auto" w:fill="FFFFFF"/>
            <w:vAlign w:val="center"/>
          </w:tcPr>
          <w:p w14:paraId="11927A30">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资金到位率</w:t>
            </w:r>
          </w:p>
        </w:tc>
        <w:tc>
          <w:tcPr>
            <w:tcW w:w="2789" w:type="dxa"/>
            <w:shd w:val="clear" w:color="000000" w:fill="FFFFFF"/>
            <w:vAlign w:val="center"/>
          </w:tcPr>
          <w:p w14:paraId="69B5F8DA">
            <w:pPr>
              <w:widowControl/>
              <w:spacing w:line="240" w:lineRule="atLeast"/>
              <w:rPr>
                <w:rFonts w:ascii="宋体"/>
                <w:color w:val="000000"/>
                <w:kern w:val="0"/>
                <w:sz w:val="22"/>
                <w:szCs w:val="22"/>
              </w:rPr>
            </w:pPr>
            <w:r>
              <w:rPr>
                <w:rFonts w:hint="eastAsia" w:ascii="宋体" w:hAnsi="宋体" w:cs="宋体"/>
                <w:color w:val="000000"/>
                <w:kern w:val="0"/>
                <w:sz w:val="22"/>
                <w:szCs w:val="22"/>
              </w:rPr>
              <w:t>实际到位资金与预算资金的比率，用以反映和考核资金落实情况对项目实施的总体保障程度。</w:t>
            </w:r>
          </w:p>
        </w:tc>
        <w:tc>
          <w:tcPr>
            <w:tcW w:w="7341" w:type="dxa"/>
            <w:shd w:val="clear" w:color="000000" w:fill="FFFFFF"/>
            <w:vAlign w:val="center"/>
          </w:tcPr>
          <w:p w14:paraId="45F2C815">
            <w:pPr>
              <w:widowControl/>
              <w:spacing w:line="240" w:lineRule="atLeast"/>
              <w:rPr>
                <w:rFonts w:ascii="宋体"/>
                <w:color w:val="000000"/>
                <w:kern w:val="0"/>
                <w:sz w:val="22"/>
                <w:szCs w:val="22"/>
              </w:rPr>
            </w:pPr>
            <w:r>
              <w:rPr>
                <w:rFonts w:hint="eastAsia" w:ascii="宋体" w:hAnsi="宋体" w:cs="宋体"/>
                <w:color w:val="000000"/>
                <w:kern w:val="0"/>
                <w:sz w:val="22"/>
                <w:szCs w:val="22"/>
              </w:rPr>
              <w:t>资金到位率</w:t>
            </w:r>
            <w:r>
              <w:rPr>
                <w:rFonts w:ascii="宋体" w:hAnsi="宋体" w:cs="宋体"/>
                <w:color w:val="000000"/>
                <w:kern w:val="0"/>
                <w:sz w:val="22"/>
                <w:szCs w:val="22"/>
              </w:rPr>
              <w:t>=</w:t>
            </w:r>
            <w:r>
              <w:rPr>
                <w:rFonts w:hint="eastAsia" w:ascii="宋体" w:hAnsi="宋体" w:cs="宋体"/>
                <w:color w:val="000000"/>
                <w:kern w:val="0"/>
                <w:sz w:val="22"/>
                <w:szCs w:val="22"/>
              </w:rPr>
              <w:t>（实际到位资金</w:t>
            </w:r>
            <w:r>
              <w:rPr>
                <w:rFonts w:ascii="宋体" w:hAnsi="宋体" w:cs="宋体"/>
                <w:color w:val="000000"/>
                <w:kern w:val="0"/>
                <w:sz w:val="22"/>
                <w:szCs w:val="22"/>
              </w:rPr>
              <w:t>/</w:t>
            </w:r>
            <w:r>
              <w:rPr>
                <w:rFonts w:hint="eastAsia" w:ascii="宋体" w:hAnsi="宋体" w:cs="宋体"/>
                <w:color w:val="000000"/>
                <w:kern w:val="0"/>
                <w:sz w:val="22"/>
                <w:szCs w:val="22"/>
              </w:rPr>
              <w:t>预算资金）×</w:t>
            </w:r>
            <w:r>
              <w:rPr>
                <w:rFonts w:ascii="宋体" w:hAnsi="宋体" w:cs="宋体"/>
                <w:color w:val="000000"/>
                <w:kern w:val="0"/>
                <w:sz w:val="22"/>
                <w:szCs w:val="22"/>
              </w:rPr>
              <w:t>100%</w:t>
            </w:r>
            <w:r>
              <w:rPr>
                <w:rFonts w:hint="eastAsia" w:ascii="宋体" w:hAnsi="宋体" w:cs="宋体"/>
                <w:color w:val="000000"/>
                <w:kern w:val="0"/>
                <w:sz w:val="22"/>
                <w:szCs w:val="22"/>
              </w:rPr>
              <w:t>。</w:t>
            </w:r>
          </w:p>
          <w:p w14:paraId="0272C2BF">
            <w:pPr>
              <w:widowControl/>
              <w:spacing w:line="240" w:lineRule="atLeast"/>
              <w:rPr>
                <w:rFonts w:ascii="宋体"/>
                <w:color w:val="000000"/>
                <w:kern w:val="0"/>
                <w:sz w:val="22"/>
                <w:szCs w:val="22"/>
              </w:rPr>
            </w:pPr>
            <w:r>
              <w:rPr>
                <w:rFonts w:hint="eastAsia" w:ascii="宋体" w:hAnsi="宋体" w:cs="宋体"/>
                <w:color w:val="000000"/>
                <w:kern w:val="0"/>
                <w:sz w:val="22"/>
                <w:szCs w:val="22"/>
              </w:rPr>
              <w:t>实际到位资金：一定时期（本年度或项目期）内落实到具体项目的资金。</w:t>
            </w:r>
          </w:p>
          <w:p w14:paraId="23BF4E38">
            <w:pPr>
              <w:widowControl/>
              <w:spacing w:line="240" w:lineRule="atLeast"/>
              <w:rPr>
                <w:rFonts w:ascii="宋体"/>
                <w:color w:val="000000"/>
                <w:kern w:val="0"/>
                <w:sz w:val="22"/>
                <w:szCs w:val="22"/>
              </w:rPr>
            </w:pPr>
            <w:r>
              <w:rPr>
                <w:rFonts w:hint="eastAsia" w:ascii="宋体" w:hAnsi="宋体" w:cs="宋体"/>
                <w:color w:val="000000"/>
                <w:kern w:val="0"/>
                <w:sz w:val="22"/>
                <w:szCs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tcPr>
          <w:p w14:paraId="7662750B">
            <w:pPr>
              <w:widowControl/>
              <w:jc w:val="left"/>
              <w:rPr>
                <w:rFonts w:ascii="宋体"/>
                <w:color w:val="000000"/>
                <w:kern w:val="0"/>
                <w:sz w:val="22"/>
                <w:szCs w:val="22"/>
              </w:rPr>
            </w:pPr>
            <w:r>
              <w:rPr>
                <w:rFonts w:ascii="宋体" w:hAnsi="宋体" w:cs="宋体"/>
                <w:color w:val="000000"/>
                <w:kern w:val="0"/>
                <w:sz w:val="22"/>
                <w:szCs w:val="22"/>
              </w:rPr>
              <w:t>1</w:t>
            </w:r>
          </w:p>
        </w:tc>
        <w:tc>
          <w:tcPr>
            <w:tcW w:w="922" w:type="dxa"/>
            <w:gridSpan w:val="3"/>
            <w:tcBorders>
              <w:top w:val="single" w:color="auto" w:sz="4" w:space="0"/>
              <w:left w:val="single" w:color="auto" w:sz="4" w:space="0"/>
              <w:bottom w:val="single" w:color="auto" w:sz="4" w:space="0"/>
              <w:right w:val="single" w:color="auto" w:sz="4" w:space="0"/>
            </w:tcBorders>
          </w:tcPr>
          <w:p w14:paraId="19C97CFD">
            <w:pPr>
              <w:widowControl/>
              <w:jc w:val="left"/>
              <w:rPr>
                <w:rFonts w:ascii="宋体"/>
                <w:color w:val="000000"/>
                <w:kern w:val="0"/>
                <w:sz w:val="22"/>
                <w:szCs w:val="22"/>
              </w:rPr>
            </w:pPr>
            <w:r>
              <w:rPr>
                <w:rFonts w:ascii="宋体" w:hAnsi="宋体" w:cs="宋体"/>
                <w:color w:val="000000"/>
                <w:kern w:val="0"/>
                <w:sz w:val="22"/>
                <w:szCs w:val="22"/>
              </w:rPr>
              <w:t>1</w:t>
            </w:r>
          </w:p>
        </w:tc>
      </w:tr>
      <w:tr w14:paraId="632FD6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shd w:val="clear" w:color="auto" w:fill="FFFFFF"/>
            <w:vAlign w:val="center"/>
          </w:tcPr>
          <w:p w14:paraId="7FA06AD1">
            <w:pPr>
              <w:spacing w:line="240" w:lineRule="atLeast"/>
              <w:jc w:val="center"/>
              <w:rPr>
                <w:rFonts w:ascii="宋体"/>
                <w:color w:val="000000"/>
                <w:kern w:val="0"/>
                <w:sz w:val="22"/>
                <w:szCs w:val="22"/>
              </w:rPr>
            </w:pPr>
          </w:p>
        </w:tc>
        <w:tc>
          <w:tcPr>
            <w:tcW w:w="1297" w:type="dxa"/>
            <w:vMerge w:val="continue"/>
            <w:shd w:val="clear" w:color="auto" w:fill="FFFFFF"/>
            <w:vAlign w:val="center"/>
          </w:tcPr>
          <w:p w14:paraId="5D3F187C">
            <w:pPr>
              <w:spacing w:line="240" w:lineRule="atLeast"/>
              <w:jc w:val="center"/>
              <w:rPr>
                <w:rFonts w:ascii="宋体"/>
                <w:color w:val="000000"/>
                <w:kern w:val="0"/>
                <w:sz w:val="22"/>
                <w:szCs w:val="22"/>
              </w:rPr>
            </w:pPr>
          </w:p>
        </w:tc>
        <w:tc>
          <w:tcPr>
            <w:tcW w:w="1411" w:type="dxa"/>
            <w:shd w:val="clear" w:color="auto" w:fill="FFFFFF"/>
            <w:vAlign w:val="center"/>
          </w:tcPr>
          <w:p w14:paraId="6E017341">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预算执行率</w:t>
            </w:r>
          </w:p>
        </w:tc>
        <w:tc>
          <w:tcPr>
            <w:tcW w:w="2789" w:type="dxa"/>
            <w:shd w:val="clear" w:color="auto" w:fill="FFFFFF"/>
            <w:vAlign w:val="center"/>
          </w:tcPr>
          <w:p w14:paraId="44CC0FC5">
            <w:pPr>
              <w:widowControl/>
              <w:spacing w:line="240" w:lineRule="atLeast"/>
              <w:rPr>
                <w:rFonts w:ascii="宋体"/>
                <w:color w:val="000000"/>
                <w:kern w:val="0"/>
                <w:sz w:val="22"/>
                <w:szCs w:val="22"/>
              </w:rPr>
            </w:pPr>
            <w:r>
              <w:rPr>
                <w:rFonts w:hint="eastAsia" w:ascii="宋体" w:hAnsi="宋体" w:cs="宋体"/>
                <w:color w:val="000000"/>
                <w:kern w:val="0"/>
                <w:sz w:val="22"/>
                <w:szCs w:val="22"/>
              </w:rPr>
              <w:t>项目预算资金是否按照计划执行，用以反映或考核项目预算执行情况。</w:t>
            </w:r>
          </w:p>
        </w:tc>
        <w:tc>
          <w:tcPr>
            <w:tcW w:w="7341" w:type="dxa"/>
            <w:shd w:val="clear" w:color="auto" w:fill="FFFFFF"/>
            <w:vAlign w:val="center"/>
          </w:tcPr>
          <w:p w14:paraId="2D67AAD1">
            <w:pPr>
              <w:widowControl/>
              <w:spacing w:line="240" w:lineRule="atLeast"/>
              <w:rPr>
                <w:rFonts w:ascii="宋体"/>
                <w:color w:val="000000"/>
                <w:kern w:val="0"/>
                <w:sz w:val="22"/>
                <w:szCs w:val="22"/>
              </w:rPr>
            </w:pPr>
            <w:r>
              <w:rPr>
                <w:rFonts w:hint="eastAsia" w:ascii="宋体" w:hAnsi="宋体" w:cs="宋体"/>
                <w:color w:val="000000"/>
                <w:kern w:val="0"/>
                <w:sz w:val="22"/>
                <w:szCs w:val="22"/>
              </w:rPr>
              <w:t>预算执行率</w:t>
            </w:r>
            <w:r>
              <w:rPr>
                <w:rFonts w:ascii="宋体" w:hAnsi="宋体" w:cs="宋体"/>
                <w:color w:val="000000"/>
                <w:kern w:val="0"/>
                <w:sz w:val="22"/>
                <w:szCs w:val="22"/>
              </w:rPr>
              <w:t>=</w:t>
            </w:r>
            <w:r>
              <w:rPr>
                <w:rFonts w:hint="eastAsia" w:ascii="宋体" w:hAnsi="宋体" w:cs="宋体"/>
                <w:color w:val="000000"/>
                <w:kern w:val="0"/>
                <w:sz w:val="22"/>
                <w:szCs w:val="22"/>
              </w:rPr>
              <w:t>（实际支出资金</w:t>
            </w:r>
            <w:r>
              <w:rPr>
                <w:rFonts w:ascii="宋体" w:hAnsi="宋体" w:cs="宋体"/>
                <w:color w:val="000000"/>
                <w:kern w:val="0"/>
                <w:sz w:val="22"/>
                <w:szCs w:val="22"/>
              </w:rPr>
              <w:t>/</w:t>
            </w:r>
            <w:r>
              <w:rPr>
                <w:rFonts w:hint="eastAsia" w:ascii="宋体" w:hAnsi="宋体" w:cs="宋体"/>
                <w:color w:val="000000"/>
                <w:kern w:val="0"/>
                <w:sz w:val="22"/>
                <w:szCs w:val="22"/>
              </w:rPr>
              <w:t>实际到位资金）×</w:t>
            </w:r>
            <w:r>
              <w:rPr>
                <w:rFonts w:ascii="宋体" w:hAnsi="宋体" w:cs="宋体"/>
                <w:color w:val="000000"/>
                <w:kern w:val="0"/>
                <w:sz w:val="22"/>
                <w:szCs w:val="22"/>
              </w:rPr>
              <w:t>100%</w:t>
            </w:r>
            <w:r>
              <w:rPr>
                <w:rFonts w:hint="eastAsia" w:ascii="宋体" w:hAnsi="宋体" w:cs="宋体"/>
                <w:color w:val="000000"/>
                <w:kern w:val="0"/>
                <w:sz w:val="22"/>
                <w:szCs w:val="22"/>
              </w:rPr>
              <w:t>。</w:t>
            </w:r>
            <w:r>
              <w:rPr>
                <w:rFonts w:ascii="宋体"/>
                <w:color w:val="000000"/>
                <w:kern w:val="0"/>
                <w:sz w:val="22"/>
                <w:szCs w:val="22"/>
              </w:rPr>
              <w:br w:type="textWrapping"/>
            </w:r>
            <w:r>
              <w:rPr>
                <w:rFonts w:hint="eastAsia" w:ascii="宋体" w:hAnsi="宋体" w:cs="宋体"/>
                <w:color w:val="000000"/>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tcPr>
          <w:p w14:paraId="27938B7C">
            <w:pPr>
              <w:widowControl/>
              <w:jc w:val="left"/>
              <w:rPr>
                <w:rFonts w:ascii="宋体"/>
                <w:color w:val="000000"/>
                <w:kern w:val="0"/>
                <w:sz w:val="22"/>
                <w:szCs w:val="22"/>
              </w:rPr>
            </w:pPr>
            <w:r>
              <w:rPr>
                <w:rFonts w:ascii="宋体" w:hAnsi="宋体" w:cs="宋体"/>
                <w:color w:val="000000"/>
                <w:kern w:val="0"/>
                <w:sz w:val="22"/>
                <w:szCs w:val="22"/>
              </w:rPr>
              <w:t>1</w:t>
            </w:r>
          </w:p>
        </w:tc>
        <w:tc>
          <w:tcPr>
            <w:tcW w:w="922" w:type="dxa"/>
            <w:gridSpan w:val="3"/>
            <w:tcBorders>
              <w:top w:val="single" w:color="auto" w:sz="4" w:space="0"/>
              <w:left w:val="single" w:color="auto" w:sz="4" w:space="0"/>
              <w:bottom w:val="single" w:color="auto" w:sz="4" w:space="0"/>
              <w:right w:val="single" w:color="auto" w:sz="4" w:space="0"/>
            </w:tcBorders>
          </w:tcPr>
          <w:p w14:paraId="33922C62">
            <w:pPr>
              <w:widowControl/>
              <w:jc w:val="left"/>
              <w:rPr>
                <w:rFonts w:ascii="宋体"/>
                <w:color w:val="000000"/>
                <w:kern w:val="0"/>
                <w:sz w:val="22"/>
                <w:szCs w:val="22"/>
              </w:rPr>
            </w:pPr>
            <w:r>
              <w:rPr>
                <w:rFonts w:ascii="宋体" w:hAnsi="宋体" w:cs="宋体"/>
                <w:color w:val="000000"/>
                <w:kern w:val="0"/>
                <w:sz w:val="22"/>
                <w:szCs w:val="22"/>
              </w:rPr>
              <w:t>1</w:t>
            </w:r>
          </w:p>
        </w:tc>
      </w:tr>
      <w:tr w14:paraId="0C50AD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shd w:val="clear" w:color="auto" w:fill="FFFFFF"/>
            <w:vAlign w:val="center"/>
          </w:tcPr>
          <w:p w14:paraId="741FC50B">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　</w:t>
            </w:r>
          </w:p>
          <w:p w14:paraId="171654EA">
            <w:pPr>
              <w:spacing w:line="240" w:lineRule="atLeast"/>
              <w:jc w:val="center"/>
              <w:rPr>
                <w:rFonts w:ascii="宋体"/>
                <w:color w:val="000000"/>
                <w:kern w:val="0"/>
                <w:sz w:val="22"/>
                <w:szCs w:val="22"/>
              </w:rPr>
            </w:pPr>
            <w:r>
              <w:rPr>
                <w:rFonts w:hint="eastAsia" w:ascii="宋体" w:hAnsi="宋体" w:cs="宋体"/>
                <w:color w:val="000000"/>
                <w:kern w:val="0"/>
                <w:sz w:val="22"/>
                <w:szCs w:val="22"/>
              </w:rPr>
              <w:t>过程（</w:t>
            </w:r>
            <w:r>
              <w:rPr>
                <w:rFonts w:ascii="宋体" w:hAnsi="宋体" w:cs="宋体"/>
                <w:color w:val="000000"/>
                <w:kern w:val="0"/>
                <w:sz w:val="22"/>
                <w:szCs w:val="22"/>
              </w:rPr>
              <w:t>20</w:t>
            </w:r>
            <w:r>
              <w:rPr>
                <w:rFonts w:hint="eastAsia" w:ascii="宋体" w:hAnsi="宋体" w:cs="宋体"/>
                <w:color w:val="000000"/>
                <w:kern w:val="0"/>
                <w:sz w:val="22"/>
                <w:szCs w:val="22"/>
              </w:rPr>
              <w:t>分）　</w:t>
            </w:r>
          </w:p>
        </w:tc>
        <w:tc>
          <w:tcPr>
            <w:tcW w:w="1297" w:type="dxa"/>
            <w:shd w:val="clear" w:color="auto" w:fill="FFFFFF"/>
            <w:vAlign w:val="center"/>
          </w:tcPr>
          <w:p w14:paraId="5B8A8F97">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资金管理</w:t>
            </w:r>
          </w:p>
        </w:tc>
        <w:tc>
          <w:tcPr>
            <w:tcW w:w="1411" w:type="dxa"/>
            <w:shd w:val="clear" w:color="auto" w:fill="FFFFFF"/>
            <w:vAlign w:val="center"/>
          </w:tcPr>
          <w:p w14:paraId="7A4CE3FB">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资金使用</w:t>
            </w:r>
          </w:p>
          <w:p w14:paraId="20336951">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合规性</w:t>
            </w:r>
          </w:p>
        </w:tc>
        <w:tc>
          <w:tcPr>
            <w:tcW w:w="2789" w:type="dxa"/>
            <w:shd w:val="clear" w:color="000000" w:fill="FFFFFF"/>
            <w:vAlign w:val="center"/>
          </w:tcPr>
          <w:p w14:paraId="1AA8DD6A">
            <w:pPr>
              <w:widowControl/>
              <w:spacing w:line="240" w:lineRule="atLeast"/>
              <w:rPr>
                <w:rFonts w:ascii="宋体"/>
                <w:color w:val="000000"/>
                <w:kern w:val="0"/>
                <w:sz w:val="22"/>
                <w:szCs w:val="22"/>
              </w:rPr>
            </w:pPr>
            <w:r>
              <w:rPr>
                <w:rFonts w:hint="eastAsia" w:ascii="宋体" w:hAnsi="宋体" w:cs="宋体"/>
                <w:color w:val="000000"/>
                <w:kern w:val="0"/>
                <w:sz w:val="22"/>
                <w:szCs w:val="22"/>
              </w:rPr>
              <w:t>项目资金使用是否符合相关的财务管理制度规定，用以反映和考核项目资金的规范运行情况。</w:t>
            </w:r>
          </w:p>
        </w:tc>
        <w:tc>
          <w:tcPr>
            <w:tcW w:w="7341" w:type="dxa"/>
            <w:tcBorders>
              <w:bottom w:val="single" w:color="auto" w:sz="4" w:space="0"/>
            </w:tcBorders>
            <w:shd w:val="clear" w:color="000000" w:fill="FFFFFF"/>
            <w:vAlign w:val="center"/>
          </w:tcPr>
          <w:p w14:paraId="4378011F">
            <w:pPr>
              <w:widowControl/>
              <w:spacing w:line="240" w:lineRule="atLeast"/>
              <w:rPr>
                <w:rFonts w:ascii="宋体"/>
                <w:color w:val="000000"/>
                <w:kern w:val="0"/>
                <w:sz w:val="22"/>
                <w:szCs w:val="22"/>
              </w:rPr>
            </w:pPr>
            <w:r>
              <w:rPr>
                <w:rFonts w:hint="eastAsia" w:ascii="宋体" w:hAnsi="宋体" w:cs="宋体"/>
                <w:color w:val="000000"/>
                <w:kern w:val="0"/>
                <w:sz w:val="22"/>
                <w:szCs w:val="22"/>
              </w:rPr>
              <w:t>评价要点：</w:t>
            </w:r>
            <w:r>
              <w:rPr>
                <w:rFonts w:ascii="宋体"/>
                <w:color w:val="000000"/>
                <w:kern w:val="0"/>
                <w:sz w:val="22"/>
                <w:szCs w:val="22"/>
              </w:rPr>
              <w:br w:type="textWrapping"/>
            </w:r>
            <w:r>
              <w:rPr>
                <w:rFonts w:hint="eastAsia" w:ascii="宋体" w:hAnsi="宋体" w:cs="宋体"/>
                <w:color w:val="000000"/>
                <w:kern w:val="0"/>
                <w:sz w:val="22"/>
                <w:szCs w:val="22"/>
              </w:rPr>
              <w:t>①是否符合国家财经法规和财务管理制度以及有关专项资金管理办法的规定；</w:t>
            </w:r>
            <w:r>
              <w:rPr>
                <w:rFonts w:ascii="宋体"/>
                <w:color w:val="000000"/>
                <w:kern w:val="0"/>
                <w:sz w:val="22"/>
                <w:szCs w:val="22"/>
              </w:rPr>
              <w:br w:type="textWrapping"/>
            </w:r>
            <w:r>
              <w:rPr>
                <w:rFonts w:hint="eastAsia" w:ascii="宋体" w:hAnsi="宋体" w:cs="宋体"/>
                <w:color w:val="000000"/>
                <w:kern w:val="0"/>
                <w:sz w:val="22"/>
                <w:szCs w:val="22"/>
              </w:rPr>
              <w:t>②资金的拨付是否有完整的审批程序和手续；</w:t>
            </w:r>
            <w:r>
              <w:rPr>
                <w:rFonts w:ascii="宋体"/>
                <w:color w:val="000000"/>
                <w:kern w:val="0"/>
                <w:sz w:val="22"/>
                <w:szCs w:val="22"/>
              </w:rPr>
              <w:br w:type="textWrapping"/>
            </w:r>
            <w:r>
              <w:rPr>
                <w:rFonts w:hint="eastAsia" w:ascii="宋体" w:hAnsi="宋体" w:cs="宋体"/>
                <w:color w:val="000000"/>
                <w:kern w:val="0"/>
                <w:sz w:val="22"/>
                <w:szCs w:val="22"/>
              </w:rPr>
              <w:t>③是否符合项目预算批复或合同规定的用途；</w:t>
            </w:r>
            <w:r>
              <w:rPr>
                <w:rFonts w:ascii="宋体"/>
                <w:color w:val="000000"/>
                <w:kern w:val="0"/>
                <w:sz w:val="22"/>
                <w:szCs w:val="22"/>
              </w:rPr>
              <w:br w:type="textWrapping"/>
            </w:r>
            <w:r>
              <w:rPr>
                <w:rFonts w:hint="eastAsia" w:ascii="宋体" w:hAnsi="宋体" w:cs="宋体"/>
                <w:color w:val="000000"/>
                <w:kern w:val="0"/>
                <w:sz w:val="22"/>
                <w:szCs w:val="22"/>
              </w:rPr>
              <w:t>④是否存在截留、挤占、挪用、虚列支出等情况。</w:t>
            </w:r>
          </w:p>
        </w:tc>
        <w:tc>
          <w:tcPr>
            <w:tcW w:w="829" w:type="dxa"/>
            <w:tcBorders>
              <w:top w:val="single" w:color="auto" w:sz="4" w:space="0"/>
              <w:bottom w:val="single" w:color="auto" w:sz="4" w:space="0"/>
              <w:right w:val="single" w:color="auto" w:sz="4" w:space="0"/>
            </w:tcBorders>
          </w:tcPr>
          <w:p w14:paraId="6A81F840">
            <w:pPr>
              <w:widowControl/>
              <w:jc w:val="left"/>
              <w:rPr>
                <w:rFonts w:ascii="宋体"/>
                <w:color w:val="000000"/>
                <w:kern w:val="0"/>
                <w:sz w:val="22"/>
                <w:szCs w:val="22"/>
              </w:rPr>
            </w:pPr>
            <w:r>
              <w:rPr>
                <w:rFonts w:ascii="宋体" w:hAnsi="宋体" w:cs="宋体"/>
                <w:color w:val="000000"/>
                <w:kern w:val="0"/>
                <w:sz w:val="22"/>
                <w:szCs w:val="22"/>
              </w:rPr>
              <w:t>8</w:t>
            </w:r>
          </w:p>
        </w:tc>
        <w:tc>
          <w:tcPr>
            <w:tcW w:w="922" w:type="dxa"/>
            <w:gridSpan w:val="3"/>
            <w:tcBorders>
              <w:top w:val="single" w:color="auto" w:sz="4" w:space="0"/>
              <w:left w:val="single" w:color="auto" w:sz="4" w:space="0"/>
              <w:bottom w:val="single" w:color="auto" w:sz="4" w:space="0"/>
              <w:right w:val="single" w:color="auto" w:sz="4" w:space="0"/>
            </w:tcBorders>
          </w:tcPr>
          <w:p w14:paraId="1575A264">
            <w:pPr>
              <w:widowControl/>
              <w:jc w:val="left"/>
              <w:rPr>
                <w:rFonts w:ascii="宋体"/>
                <w:color w:val="000000"/>
                <w:kern w:val="0"/>
                <w:sz w:val="22"/>
                <w:szCs w:val="22"/>
              </w:rPr>
            </w:pPr>
            <w:r>
              <w:rPr>
                <w:rFonts w:ascii="宋体" w:hAnsi="宋体" w:cs="宋体"/>
                <w:color w:val="000000"/>
                <w:kern w:val="0"/>
                <w:sz w:val="22"/>
                <w:szCs w:val="22"/>
              </w:rPr>
              <w:t>8</w:t>
            </w:r>
          </w:p>
        </w:tc>
      </w:tr>
      <w:tr w14:paraId="40951A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763" w:type="dxa"/>
            <w:vMerge w:val="continue"/>
            <w:shd w:val="clear" w:color="auto" w:fill="FFFFFF"/>
            <w:vAlign w:val="center"/>
          </w:tcPr>
          <w:p w14:paraId="749B8929">
            <w:pPr>
              <w:spacing w:line="240" w:lineRule="atLeast"/>
              <w:jc w:val="center"/>
              <w:rPr>
                <w:rFonts w:ascii="宋体"/>
                <w:color w:val="000000"/>
                <w:kern w:val="0"/>
                <w:sz w:val="22"/>
                <w:szCs w:val="22"/>
              </w:rPr>
            </w:pPr>
          </w:p>
        </w:tc>
        <w:tc>
          <w:tcPr>
            <w:tcW w:w="1297" w:type="dxa"/>
            <w:vMerge w:val="restart"/>
            <w:shd w:val="clear" w:color="auto" w:fill="FFFFFF"/>
            <w:vAlign w:val="center"/>
          </w:tcPr>
          <w:p w14:paraId="420B9E0F">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组织实施（</w:t>
            </w:r>
            <w:r>
              <w:rPr>
                <w:rFonts w:ascii="宋体" w:hAnsi="宋体" w:cs="宋体"/>
                <w:color w:val="000000"/>
                <w:kern w:val="0"/>
                <w:sz w:val="22"/>
                <w:szCs w:val="22"/>
              </w:rPr>
              <w:t>10</w:t>
            </w:r>
            <w:r>
              <w:rPr>
                <w:rFonts w:hint="eastAsia" w:ascii="宋体" w:hAnsi="宋体" w:cs="宋体"/>
                <w:color w:val="000000"/>
                <w:kern w:val="0"/>
                <w:sz w:val="22"/>
                <w:szCs w:val="22"/>
              </w:rPr>
              <w:t>）</w:t>
            </w:r>
          </w:p>
          <w:p w14:paraId="035AA6F6">
            <w:pPr>
              <w:spacing w:line="240" w:lineRule="atLeast"/>
              <w:jc w:val="center"/>
              <w:rPr>
                <w:rFonts w:ascii="宋体"/>
                <w:color w:val="000000"/>
                <w:kern w:val="0"/>
                <w:sz w:val="22"/>
                <w:szCs w:val="22"/>
              </w:rPr>
            </w:pPr>
            <w:r>
              <w:rPr>
                <w:rFonts w:hint="eastAsia" w:ascii="宋体" w:hAnsi="宋体" w:cs="宋体"/>
                <w:color w:val="000000"/>
                <w:kern w:val="0"/>
                <w:sz w:val="22"/>
                <w:szCs w:val="22"/>
              </w:rPr>
              <w:t>　</w:t>
            </w:r>
          </w:p>
        </w:tc>
        <w:tc>
          <w:tcPr>
            <w:tcW w:w="1411" w:type="dxa"/>
            <w:shd w:val="clear" w:color="auto" w:fill="FFFFFF"/>
            <w:vAlign w:val="center"/>
          </w:tcPr>
          <w:p w14:paraId="4193BF3B">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管理制度</w:t>
            </w:r>
          </w:p>
          <w:p w14:paraId="13C0751E">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健全性</w:t>
            </w:r>
          </w:p>
        </w:tc>
        <w:tc>
          <w:tcPr>
            <w:tcW w:w="2789" w:type="dxa"/>
            <w:shd w:val="clear" w:color="000000" w:fill="FFFFFF"/>
            <w:vAlign w:val="center"/>
          </w:tcPr>
          <w:p w14:paraId="6981087F">
            <w:pPr>
              <w:widowControl/>
              <w:spacing w:line="240" w:lineRule="atLeast"/>
              <w:rPr>
                <w:rFonts w:ascii="宋体"/>
                <w:color w:val="000000"/>
                <w:kern w:val="0"/>
                <w:sz w:val="22"/>
                <w:szCs w:val="22"/>
              </w:rPr>
            </w:pPr>
            <w:r>
              <w:rPr>
                <w:rFonts w:hint="eastAsia" w:ascii="宋体" w:hAnsi="宋体" w:cs="宋体"/>
                <w:color w:val="000000"/>
                <w:kern w:val="0"/>
                <w:sz w:val="22"/>
                <w:szCs w:val="22"/>
              </w:rPr>
              <w:t>项目实施单位的财务和业务管理制度是否健全，用以反映和考核财务和业务管理制度对项目顺利实施的保障情况。</w:t>
            </w:r>
          </w:p>
        </w:tc>
        <w:tc>
          <w:tcPr>
            <w:tcW w:w="7341" w:type="dxa"/>
            <w:shd w:val="clear" w:color="000000" w:fill="FFFFFF"/>
            <w:vAlign w:val="center"/>
          </w:tcPr>
          <w:p w14:paraId="72EAC5F8">
            <w:pPr>
              <w:widowControl/>
              <w:spacing w:line="240" w:lineRule="atLeast"/>
              <w:rPr>
                <w:rFonts w:ascii="宋体"/>
                <w:color w:val="000000"/>
                <w:kern w:val="0"/>
                <w:sz w:val="22"/>
                <w:szCs w:val="22"/>
              </w:rPr>
            </w:pPr>
            <w:r>
              <w:rPr>
                <w:rFonts w:hint="eastAsia" w:ascii="宋体" w:hAnsi="宋体" w:cs="宋体"/>
                <w:color w:val="000000"/>
                <w:kern w:val="0"/>
                <w:sz w:val="22"/>
                <w:szCs w:val="22"/>
              </w:rPr>
              <w:t>评价要点：</w:t>
            </w:r>
            <w:r>
              <w:rPr>
                <w:rFonts w:ascii="宋体"/>
                <w:color w:val="000000"/>
                <w:kern w:val="0"/>
                <w:sz w:val="22"/>
                <w:szCs w:val="22"/>
              </w:rPr>
              <w:br w:type="textWrapping"/>
            </w:r>
            <w:r>
              <w:rPr>
                <w:rFonts w:hint="eastAsia" w:ascii="宋体" w:hAnsi="宋体" w:cs="宋体"/>
                <w:color w:val="000000"/>
                <w:kern w:val="0"/>
                <w:sz w:val="22"/>
                <w:szCs w:val="22"/>
              </w:rPr>
              <w:t>①是否已制定或具有相应的财务和业务管理制度；</w:t>
            </w:r>
            <w:r>
              <w:rPr>
                <w:rFonts w:ascii="宋体"/>
                <w:color w:val="000000"/>
                <w:kern w:val="0"/>
                <w:sz w:val="22"/>
                <w:szCs w:val="22"/>
              </w:rPr>
              <w:br w:type="textWrapping"/>
            </w:r>
            <w:r>
              <w:rPr>
                <w:rFonts w:hint="eastAsia" w:ascii="宋体" w:hAnsi="宋体" w:cs="宋体"/>
                <w:color w:val="000000"/>
                <w:kern w:val="0"/>
                <w:sz w:val="22"/>
                <w:szCs w:val="22"/>
              </w:rPr>
              <w:t>②财务和业务管理制度是否合法、合规、完整。</w:t>
            </w:r>
          </w:p>
        </w:tc>
        <w:tc>
          <w:tcPr>
            <w:tcW w:w="829" w:type="dxa"/>
            <w:tcBorders>
              <w:top w:val="single" w:color="auto" w:sz="4" w:space="0"/>
              <w:bottom w:val="single" w:color="auto" w:sz="4" w:space="0"/>
              <w:right w:val="single" w:color="auto" w:sz="4" w:space="0"/>
            </w:tcBorders>
          </w:tcPr>
          <w:p w14:paraId="07C8FFB2">
            <w:pPr>
              <w:widowControl/>
              <w:jc w:val="left"/>
              <w:rPr>
                <w:rFonts w:ascii="宋体"/>
                <w:color w:val="000000"/>
                <w:kern w:val="0"/>
                <w:sz w:val="22"/>
                <w:szCs w:val="22"/>
              </w:rPr>
            </w:pPr>
            <w:r>
              <w:rPr>
                <w:rFonts w:ascii="宋体" w:hAnsi="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14:paraId="6242FFD4">
            <w:pPr>
              <w:widowControl/>
              <w:jc w:val="left"/>
              <w:rPr>
                <w:rFonts w:ascii="宋体"/>
                <w:color w:val="000000"/>
                <w:kern w:val="0"/>
                <w:sz w:val="22"/>
                <w:szCs w:val="22"/>
              </w:rPr>
            </w:pPr>
            <w:r>
              <w:rPr>
                <w:rFonts w:ascii="宋体" w:hAnsi="宋体" w:cs="宋体"/>
                <w:color w:val="000000"/>
                <w:kern w:val="0"/>
                <w:sz w:val="22"/>
                <w:szCs w:val="22"/>
              </w:rPr>
              <w:t>5</w:t>
            </w:r>
          </w:p>
        </w:tc>
      </w:tr>
      <w:tr w14:paraId="16B794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763" w:type="dxa"/>
            <w:vMerge w:val="continue"/>
            <w:shd w:val="clear" w:color="auto" w:fill="FFFFFF"/>
            <w:vAlign w:val="center"/>
          </w:tcPr>
          <w:p w14:paraId="397E0400">
            <w:pPr>
              <w:widowControl/>
              <w:spacing w:line="240" w:lineRule="atLeast"/>
              <w:jc w:val="center"/>
              <w:rPr>
                <w:rFonts w:ascii="宋体"/>
                <w:color w:val="000000"/>
                <w:kern w:val="0"/>
                <w:sz w:val="22"/>
                <w:szCs w:val="22"/>
              </w:rPr>
            </w:pPr>
          </w:p>
        </w:tc>
        <w:tc>
          <w:tcPr>
            <w:tcW w:w="1297" w:type="dxa"/>
            <w:vMerge w:val="continue"/>
            <w:shd w:val="clear" w:color="auto" w:fill="FFFFFF"/>
            <w:vAlign w:val="center"/>
          </w:tcPr>
          <w:p w14:paraId="32EE622D">
            <w:pPr>
              <w:widowControl/>
              <w:spacing w:line="240" w:lineRule="atLeast"/>
              <w:jc w:val="center"/>
              <w:rPr>
                <w:rFonts w:ascii="宋体"/>
                <w:color w:val="000000"/>
                <w:kern w:val="0"/>
                <w:sz w:val="22"/>
                <w:szCs w:val="22"/>
              </w:rPr>
            </w:pPr>
          </w:p>
        </w:tc>
        <w:tc>
          <w:tcPr>
            <w:tcW w:w="1411" w:type="dxa"/>
            <w:shd w:val="clear" w:color="auto" w:fill="FFFFFF"/>
            <w:vAlign w:val="center"/>
          </w:tcPr>
          <w:p w14:paraId="151E3607">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制度执行</w:t>
            </w:r>
          </w:p>
          <w:p w14:paraId="24094E0A">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有效性</w:t>
            </w:r>
          </w:p>
        </w:tc>
        <w:tc>
          <w:tcPr>
            <w:tcW w:w="2789" w:type="dxa"/>
            <w:shd w:val="clear" w:color="000000" w:fill="FFFFFF"/>
            <w:vAlign w:val="center"/>
          </w:tcPr>
          <w:p w14:paraId="7A274125">
            <w:pPr>
              <w:widowControl/>
              <w:spacing w:line="240" w:lineRule="atLeast"/>
              <w:rPr>
                <w:rFonts w:ascii="宋体"/>
                <w:color w:val="000000"/>
                <w:kern w:val="0"/>
                <w:sz w:val="22"/>
                <w:szCs w:val="22"/>
              </w:rPr>
            </w:pPr>
            <w:r>
              <w:rPr>
                <w:rFonts w:hint="eastAsia" w:ascii="宋体" w:hAnsi="宋体" w:cs="宋体"/>
                <w:color w:val="000000"/>
                <w:kern w:val="0"/>
                <w:sz w:val="22"/>
                <w:szCs w:val="22"/>
              </w:rPr>
              <w:t>项目实施是否符合相关管理规定，用以反映和考核相关管理制度的有效执行情况。</w:t>
            </w:r>
          </w:p>
        </w:tc>
        <w:tc>
          <w:tcPr>
            <w:tcW w:w="7341" w:type="dxa"/>
            <w:shd w:val="clear" w:color="000000" w:fill="FFFFFF"/>
            <w:vAlign w:val="center"/>
          </w:tcPr>
          <w:p w14:paraId="4B735FC4">
            <w:pPr>
              <w:widowControl/>
              <w:spacing w:line="240" w:lineRule="atLeast"/>
              <w:rPr>
                <w:rFonts w:ascii="宋体"/>
                <w:color w:val="000000"/>
                <w:kern w:val="0"/>
                <w:sz w:val="22"/>
                <w:szCs w:val="22"/>
              </w:rPr>
            </w:pPr>
            <w:r>
              <w:rPr>
                <w:rFonts w:hint="eastAsia" w:ascii="宋体" w:hAnsi="宋体" w:cs="宋体"/>
                <w:color w:val="000000"/>
                <w:kern w:val="0"/>
                <w:sz w:val="22"/>
                <w:szCs w:val="22"/>
              </w:rPr>
              <w:t>评价要点：</w:t>
            </w:r>
            <w:r>
              <w:rPr>
                <w:rFonts w:ascii="宋体"/>
                <w:color w:val="000000"/>
                <w:kern w:val="0"/>
                <w:sz w:val="22"/>
                <w:szCs w:val="22"/>
              </w:rPr>
              <w:br w:type="textWrapping"/>
            </w:r>
            <w:r>
              <w:rPr>
                <w:rFonts w:hint="eastAsia" w:ascii="宋体" w:hAnsi="宋体" w:cs="宋体"/>
                <w:color w:val="000000"/>
                <w:kern w:val="0"/>
                <w:sz w:val="22"/>
                <w:szCs w:val="22"/>
              </w:rPr>
              <w:t>①是否遵守相关法律法规和相关管理规定；</w:t>
            </w:r>
            <w:r>
              <w:rPr>
                <w:rFonts w:ascii="宋体"/>
                <w:color w:val="000000"/>
                <w:kern w:val="0"/>
                <w:sz w:val="22"/>
                <w:szCs w:val="22"/>
              </w:rPr>
              <w:br w:type="textWrapping"/>
            </w:r>
            <w:r>
              <w:rPr>
                <w:rFonts w:hint="eastAsia" w:ascii="宋体" w:hAnsi="宋体" w:cs="宋体"/>
                <w:color w:val="000000"/>
                <w:kern w:val="0"/>
                <w:sz w:val="22"/>
                <w:szCs w:val="22"/>
              </w:rPr>
              <w:t>②项目调整及支出调整手续是否完备；</w:t>
            </w:r>
            <w:r>
              <w:rPr>
                <w:rFonts w:ascii="宋体"/>
                <w:color w:val="000000"/>
                <w:kern w:val="0"/>
                <w:sz w:val="22"/>
                <w:szCs w:val="22"/>
              </w:rPr>
              <w:br w:type="textWrapping"/>
            </w:r>
            <w:r>
              <w:rPr>
                <w:rFonts w:hint="eastAsia" w:ascii="宋体" w:hAnsi="宋体" w:cs="宋体"/>
                <w:color w:val="000000"/>
                <w:kern w:val="0"/>
                <w:sz w:val="22"/>
                <w:szCs w:val="22"/>
              </w:rPr>
              <w:t>③项目合同书、验收报告、技术鉴定等资料是否齐全并及时归档；</w:t>
            </w:r>
            <w:r>
              <w:rPr>
                <w:rFonts w:ascii="宋体"/>
                <w:color w:val="000000"/>
                <w:kern w:val="0"/>
                <w:sz w:val="22"/>
                <w:szCs w:val="22"/>
              </w:rPr>
              <w:br w:type="textWrapping"/>
            </w:r>
            <w:r>
              <w:rPr>
                <w:rFonts w:hint="eastAsia" w:ascii="宋体" w:hAnsi="宋体" w:cs="宋体"/>
                <w:color w:val="000000"/>
                <w:kern w:val="0"/>
                <w:sz w:val="22"/>
                <w:szCs w:val="22"/>
              </w:rPr>
              <w:t>④项目实施的人员条件、场地设备、信息支撑等是否落实到位。</w:t>
            </w:r>
          </w:p>
        </w:tc>
        <w:tc>
          <w:tcPr>
            <w:tcW w:w="829" w:type="dxa"/>
            <w:tcBorders>
              <w:top w:val="single" w:color="auto" w:sz="4" w:space="0"/>
              <w:bottom w:val="single" w:color="auto" w:sz="4" w:space="0"/>
              <w:right w:val="single" w:color="auto" w:sz="4" w:space="0"/>
            </w:tcBorders>
          </w:tcPr>
          <w:p w14:paraId="461F56AC">
            <w:pPr>
              <w:widowControl/>
              <w:jc w:val="left"/>
              <w:rPr>
                <w:rFonts w:ascii="宋体"/>
                <w:color w:val="000000"/>
                <w:kern w:val="0"/>
                <w:sz w:val="22"/>
                <w:szCs w:val="22"/>
              </w:rPr>
            </w:pPr>
            <w:r>
              <w:rPr>
                <w:rFonts w:ascii="宋体" w:hAnsi="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14:paraId="1B2EEF8C">
            <w:pPr>
              <w:widowControl/>
              <w:jc w:val="left"/>
              <w:rPr>
                <w:rFonts w:ascii="宋体"/>
                <w:color w:val="000000"/>
                <w:kern w:val="0"/>
                <w:sz w:val="22"/>
                <w:szCs w:val="22"/>
              </w:rPr>
            </w:pPr>
            <w:r>
              <w:rPr>
                <w:rFonts w:ascii="宋体" w:hAnsi="宋体" w:cs="宋体"/>
                <w:color w:val="000000"/>
                <w:kern w:val="0"/>
                <w:sz w:val="22"/>
                <w:szCs w:val="22"/>
              </w:rPr>
              <w:t>5</w:t>
            </w:r>
          </w:p>
        </w:tc>
      </w:tr>
      <w:tr w14:paraId="20197C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shd w:val="clear" w:color="auto" w:fill="FFFFFF"/>
            <w:vAlign w:val="center"/>
          </w:tcPr>
          <w:p w14:paraId="7AF8B73E">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产出（</w:t>
            </w:r>
            <w:r>
              <w:rPr>
                <w:rFonts w:ascii="宋体" w:hAnsi="宋体" w:cs="宋体"/>
                <w:color w:val="000000"/>
                <w:kern w:val="0"/>
                <w:sz w:val="22"/>
                <w:szCs w:val="22"/>
              </w:rPr>
              <w:t>30</w:t>
            </w:r>
            <w:r>
              <w:rPr>
                <w:rFonts w:hint="eastAsia" w:ascii="宋体" w:hAnsi="宋体" w:cs="宋体"/>
                <w:color w:val="000000"/>
                <w:kern w:val="0"/>
                <w:sz w:val="22"/>
                <w:szCs w:val="22"/>
              </w:rPr>
              <w:t>分）</w:t>
            </w:r>
          </w:p>
        </w:tc>
        <w:tc>
          <w:tcPr>
            <w:tcW w:w="1297" w:type="dxa"/>
            <w:shd w:val="clear" w:color="auto" w:fill="FFFFFF"/>
            <w:vAlign w:val="center"/>
          </w:tcPr>
          <w:p w14:paraId="2E2682CE">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产出数量（</w:t>
            </w:r>
            <w:r>
              <w:rPr>
                <w:rFonts w:ascii="宋体" w:hAnsi="宋体" w:cs="宋体"/>
                <w:color w:val="000000"/>
                <w:kern w:val="0"/>
                <w:sz w:val="22"/>
                <w:szCs w:val="22"/>
              </w:rPr>
              <w:t>10</w:t>
            </w:r>
            <w:r>
              <w:rPr>
                <w:rFonts w:hint="eastAsia" w:ascii="宋体" w:hAnsi="宋体" w:cs="宋体"/>
                <w:color w:val="000000"/>
                <w:kern w:val="0"/>
                <w:sz w:val="22"/>
                <w:szCs w:val="22"/>
              </w:rPr>
              <w:t>分）</w:t>
            </w:r>
          </w:p>
        </w:tc>
        <w:tc>
          <w:tcPr>
            <w:tcW w:w="1411" w:type="dxa"/>
            <w:shd w:val="clear" w:color="auto" w:fill="FFFFFF"/>
            <w:vAlign w:val="center"/>
          </w:tcPr>
          <w:p w14:paraId="023B8195">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实际完成率</w:t>
            </w:r>
          </w:p>
        </w:tc>
        <w:tc>
          <w:tcPr>
            <w:tcW w:w="2789" w:type="dxa"/>
            <w:shd w:val="clear" w:color="000000" w:fill="FFFFFF"/>
            <w:vAlign w:val="center"/>
          </w:tcPr>
          <w:p w14:paraId="285433A7">
            <w:pPr>
              <w:widowControl/>
              <w:spacing w:line="240" w:lineRule="atLeast"/>
              <w:rPr>
                <w:rFonts w:ascii="宋体"/>
                <w:color w:val="000000"/>
                <w:kern w:val="0"/>
                <w:sz w:val="22"/>
                <w:szCs w:val="22"/>
              </w:rPr>
            </w:pPr>
            <w:r>
              <w:rPr>
                <w:rFonts w:hint="eastAsia" w:ascii="宋体" w:hAnsi="宋体" w:cs="宋体"/>
                <w:color w:val="000000"/>
                <w:kern w:val="0"/>
                <w:sz w:val="22"/>
                <w:szCs w:val="22"/>
              </w:rPr>
              <w:t>项目实施的实际产出数与计划产出数的比率，用以反映和考核项目产出数量目标的实现程度。</w:t>
            </w:r>
          </w:p>
        </w:tc>
        <w:tc>
          <w:tcPr>
            <w:tcW w:w="7341" w:type="dxa"/>
            <w:shd w:val="clear" w:color="000000" w:fill="FFFFFF"/>
            <w:vAlign w:val="center"/>
          </w:tcPr>
          <w:p w14:paraId="66708E6E">
            <w:pPr>
              <w:widowControl/>
              <w:spacing w:line="240" w:lineRule="atLeast"/>
              <w:rPr>
                <w:rFonts w:ascii="宋体"/>
                <w:color w:val="000000"/>
                <w:kern w:val="0"/>
                <w:sz w:val="22"/>
                <w:szCs w:val="22"/>
              </w:rPr>
            </w:pPr>
            <w:r>
              <w:rPr>
                <w:rFonts w:hint="eastAsia" w:ascii="宋体" w:hAnsi="宋体" w:cs="宋体"/>
                <w:color w:val="000000"/>
                <w:kern w:val="0"/>
                <w:sz w:val="22"/>
                <w:szCs w:val="22"/>
              </w:rPr>
              <w:t>实际完成率</w:t>
            </w:r>
            <w:r>
              <w:rPr>
                <w:rFonts w:ascii="宋体" w:hAnsi="宋体" w:cs="宋体"/>
                <w:color w:val="000000"/>
                <w:kern w:val="0"/>
                <w:sz w:val="22"/>
                <w:szCs w:val="22"/>
              </w:rPr>
              <w:t>=</w:t>
            </w:r>
            <w:r>
              <w:rPr>
                <w:rFonts w:hint="eastAsia" w:ascii="宋体" w:hAnsi="宋体" w:cs="宋体"/>
                <w:color w:val="000000"/>
                <w:kern w:val="0"/>
                <w:sz w:val="22"/>
                <w:szCs w:val="22"/>
              </w:rPr>
              <w:t>（实际产出数</w:t>
            </w:r>
            <w:r>
              <w:rPr>
                <w:rFonts w:ascii="宋体" w:hAnsi="宋体" w:cs="宋体"/>
                <w:color w:val="000000"/>
                <w:kern w:val="0"/>
                <w:sz w:val="22"/>
                <w:szCs w:val="22"/>
              </w:rPr>
              <w:t>/</w:t>
            </w:r>
            <w:r>
              <w:rPr>
                <w:rFonts w:hint="eastAsia" w:ascii="宋体" w:hAnsi="宋体" w:cs="宋体"/>
                <w:color w:val="000000"/>
                <w:kern w:val="0"/>
                <w:sz w:val="22"/>
                <w:szCs w:val="22"/>
              </w:rPr>
              <w:t>计划产出数）×</w:t>
            </w:r>
            <w:r>
              <w:rPr>
                <w:rFonts w:ascii="宋体" w:hAnsi="宋体" w:cs="宋体"/>
                <w:color w:val="000000"/>
                <w:kern w:val="0"/>
                <w:sz w:val="22"/>
                <w:szCs w:val="22"/>
              </w:rPr>
              <w:t>100%</w:t>
            </w:r>
            <w:r>
              <w:rPr>
                <w:rFonts w:hint="eastAsia" w:ascii="宋体" w:hAnsi="宋体" w:cs="宋体"/>
                <w:color w:val="000000"/>
                <w:kern w:val="0"/>
                <w:sz w:val="22"/>
                <w:szCs w:val="22"/>
              </w:rPr>
              <w:t>。</w:t>
            </w:r>
            <w:r>
              <w:rPr>
                <w:rFonts w:ascii="宋体"/>
                <w:color w:val="000000"/>
                <w:kern w:val="0"/>
                <w:sz w:val="22"/>
                <w:szCs w:val="22"/>
              </w:rPr>
              <w:br w:type="textWrapping"/>
            </w:r>
            <w:r>
              <w:rPr>
                <w:rFonts w:hint="eastAsia" w:ascii="宋体" w:hAnsi="宋体" w:cs="宋体"/>
                <w:color w:val="000000"/>
                <w:kern w:val="0"/>
                <w:sz w:val="22"/>
                <w:szCs w:val="22"/>
              </w:rPr>
              <w:t>实际产出数：一定时期（本年度或项目期）内项目实际产出的产品或提供的服务数量。</w:t>
            </w:r>
            <w:r>
              <w:rPr>
                <w:rFonts w:ascii="宋体"/>
                <w:color w:val="000000"/>
                <w:kern w:val="0"/>
                <w:sz w:val="22"/>
                <w:szCs w:val="22"/>
              </w:rPr>
              <w:br w:type="textWrapping"/>
            </w:r>
            <w:r>
              <w:rPr>
                <w:rFonts w:hint="eastAsia" w:ascii="宋体" w:hAnsi="宋体" w:cs="宋体"/>
                <w:color w:val="000000"/>
                <w:kern w:val="0"/>
                <w:sz w:val="22"/>
                <w:szCs w:val="22"/>
              </w:rPr>
              <w:t>计划产出数：项目绩效目标确定的在一定时期（本年度或项目期）内计划产出的产品或提供的服务数量。</w:t>
            </w:r>
          </w:p>
        </w:tc>
        <w:tc>
          <w:tcPr>
            <w:tcW w:w="829" w:type="dxa"/>
            <w:tcBorders>
              <w:top w:val="single" w:color="auto" w:sz="4" w:space="0"/>
              <w:bottom w:val="single" w:color="auto" w:sz="4" w:space="0"/>
              <w:right w:val="single" w:color="auto" w:sz="4" w:space="0"/>
            </w:tcBorders>
          </w:tcPr>
          <w:p w14:paraId="2370A2DA">
            <w:pPr>
              <w:widowControl/>
              <w:jc w:val="left"/>
              <w:rPr>
                <w:rFonts w:ascii="宋体"/>
                <w:color w:val="000000"/>
                <w:kern w:val="0"/>
                <w:sz w:val="22"/>
                <w:szCs w:val="22"/>
              </w:rPr>
            </w:pPr>
            <w:r>
              <w:rPr>
                <w:rFonts w:ascii="宋体" w:hAnsi="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tcPr>
          <w:p w14:paraId="081C6828">
            <w:pPr>
              <w:widowControl/>
              <w:jc w:val="left"/>
              <w:rPr>
                <w:rFonts w:ascii="宋体"/>
                <w:color w:val="000000"/>
                <w:kern w:val="0"/>
                <w:sz w:val="22"/>
                <w:szCs w:val="22"/>
              </w:rPr>
            </w:pPr>
            <w:r>
              <w:rPr>
                <w:rFonts w:ascii="宋体" w:hAnsi="宋体" w:cs="宋体"/>
                <w:color w:val="000000"/>
                <w:kern w:val="0"/>
                <w:sz w:val="22"/>
                <w:szCs w:val="22"/>
              </w:rPr>
              <w:t>10</w:t>
            </w:r>
          </w:p>
        </w:tc>
      </w:tr>
      <w:tr w14:paraId="5F125F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63" w:type="dxa"/>
            <w:vMerge w:val="restart"/>
            <w:shd w:val="clear" w:color="auto" w:fill="FFFFFF"/>
            <w:vAlign w:val="center"/>
          </w:tcPr>
          <w:p w14:paraId="377F7969">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产出（</w:t>
            </w:r>
            <w:r>
              <w:rPr>
                <w:rFonts w:ascii="宋体" w:hAnsi="宋体" w:cs="宋体"/>
                <w:color w:val="000000"/>
                <w:kern w:val="0"/>
                <w:sz w:val="22"/>
                <w:szCs w:val="22"/>
              </w:rPr>
              <w:t>30</w:t>
            </w:r>
            <w:r>
              <w:rPr>
                <w:rFonts w:hint="eastAsia" w:ascii="宋体" w:hAnsi="宋体" w:cs="宋体"/>
                <w:color w:val="000000"/>
                <w:kern w:val="0"/>
                <w:sz w:val="22"/>
                <w:szCs w:val="22"/>
              </w:rPr>
              <w:t>分）</w:t>
            </w:r>
          </w:p>
        </w:tc>
        <w:tc>
          <w:tcPr>
            <w:tcW w:w="1297" w:type="dxa"/>
            <w:shd w:val="clear" w:color="auto" w:fill="FFFFFF"/>
            <w:vAlign w:val="center"/>
          </w:tcPr>
          <w:p w14:paraId="1D23BB1D">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产出质量（</w:t>
            </w:r>
            <w:r>
              <w:rPr>
                <w:rFonts w:ascii="宋体" w:hAnsi="宋体" w:cs="宋体"/>
                <w:color w:val="000000"/>
                <w:kern w:val="0"/>
                <w:sz w:val="22"/>
                <w:szCs w:val="22"/>
              </w:rPr>
              <w:t>10</w:t>
            </w:r>
            <w:r>
              <w:rPr>
                <w:rFonts w:hint="eastAsia" w:ascii="宋体" w:hAnsi="宋体" w:cs="宋体"/>
                <w:color w:val="000000"/>
                <w:kern w:val="0"/>
                <w:sz w:val="22"/>
                <w:szCs w:val="22"/>
              </w:rPr>
              <w:t>分）</w:t>
            </w:r>
          </w:p>
        </w:tc>
        <w:tc>
          <w:tcPr>
            <w:tcW w:w="1411" w:type="dxa"/>
            <w:shd w:val="clear" w:color="auto" w:fill="FFFFFF"/>
            <w:vAlign w:val="center"/>
          </w:tcPr>
          <w:p w14:paraId="0B9A1BE5">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质量达标率</w:t>
            </w:r>
          </w:p>
        </w:tc>
        <w:tc>
          <w:tcPr>
            <w:tcW w:w="2789" w:type="dxa"/>
            <w:shd w:val="clear" w:color="000000" w:fill="FFFFFF"/>
            <w:vAlign w:val="center"/>
          </w:tcPr>
          <w:p w14:paraId="03ED8374">
            <w:pPr>
              <w:widowControl/>
              <w:spacing w:line="240" w:lineRule="atLeast"/>
              <w:rPr>
                <w:rFonts w:ascii="宋体"/>
                <w:color w:val="000000"/>
                <w:kern w:val="0"/>
                <w:sz w:val="22"/>
                <w:szCs w:val="22"/>
              </w:rPr>
            </w:pPr>
            <w:r>
              <w:rPr>
                <w:rFonts w:hint="eastAsia" w:ascii="宋体" w:hAnsi="宋体" w:cs="宋体"/>
                <w:color w:val="000000"/>
                <w:kern w:val="0"/>
                <w:sz w:val="22"/>
                <w:szCs w:val="22"/>
              </w:rPr>
              <w:t>项目完成的质量达标产出数与实际产出数的比率，用以反映和考核项目产出质量目标的实现程度。</w:t>
            </w:r>
          </w:p>
        </w:tc>
        <w:tc>
          <w:tcPr>
            <w:tcW w:w="7341" w:type="dxa"/>
            <w:tcBorders>
              <w:bottom w:val="single" w:color="auto" w:sz="4" w:space="0"/>
            </w:tcBorders>
            <w:shd w:val="clear" w:color="000000" w:fill="FFFFFF"/>
            <w:vAlign w:val="center"/>
          </w:tcPr>
          <w:p w14:paraId="60826B17">
            <w:pPr>
              <w:widowControl/>
              <w:spacing w:line="240" w:lineRule="atLeast"/>
              <w:rPr>
                <w:rFonts w:ascii="宋体"/>
                <w:color w:val="000000"/>
                <w:kern w:val="0"/>
                <w:sz w:val="22"/>
                <w:szCs w:val="22"/>
              </w:rPr>
            </w:pPr>
            <w:r>
              <w:rPr>
                <w:rFonts w:hint="eastAsia" w:ascii="宋体" w:hAnsi="宋体" w:cs="宋体"/>
                <w:color w:val="000000"/>
                <w:kern w:val="0"/>
                <w:sz w:val="22"/>
                <w:szCs w:val="22"/>
              </w:rPr>
              <w:t>质量达标率</w:t>
            </w:r>
            <w:r>
              <w:rPr>
                <w:rFonts w:ascii="宋体" w:hAnsi="宋体" w:cs="宋体"/>
                <w:color w:val="000000"/>
                <w:kern w:val="0"/>
                <w:sz w:val="22"/>
                <w:szCs w:val="22"/>
              </w:rPr>
              <w:t>=</w:t>
            </w:r>
            <w:r>
              <w:rPr>
                <w:rFonts w:hint="eastAsia" w:ascii="宋体" w:hAnsi="宋体" w:cs="宋体"/>
                <w:color w:val="000000"/>
                <w:kern w:val="0"/>
                <w:sz w:val="22"/>
                <w:szCs w:val="22"/>
              </w:rPr>
              <w:t>（质量达标产出数</w:t>
            </w:r>
            <w:r>
              <w:rPr>
                <w:rFonts w:ascii="宋体" w:hAnsi="宋体" w:cs="宋体"/>
                <w:color w:val="000000"/>
                <w:kern w:val="0"/>
                <w:sz w:val="22"/>
                <w:szCs w:val="22"/>
              </w:rPr>
              <w:t>/</w:t>
            </w:r>
            <w:r>
              <w:rPr>
                <w:rFonts w:hint="eastAsia" w:ascii="宋体" w:hAnsi="宋体" w:cs="宋体"/>
                <w:color w:val="000000"/>
                <w:kern w:val="0"/>
                <w:sz w:val="22"/>
                <w:szCs w:val="22"/>
              </w:rPr>
              <w:t>实际产出数）×</w:t>
            </w:r>
            <w:r>
              <w:rPr>
                <w:rFonts w:ascii="宋体" w:hAnsi="宋体" w:cs="宋体"/>
                <w:color w:val="000000"/>
                <w:kern w:val="0"/>
                <w:sz w:val="22"/>
                <w:szCs w:val="22"/>
              </w:rPr>
              <w:t>100%</w:t>
            </w:r>
            <w:r>
              <w:rPr>
                <w:rFonts w:hint="eastAsia" w:ascii="宋体" w:hAnsi="宋体" w:cs="宋体"/>
                <w:color w:val="000000"/>
                <w:kern w:val="0"/>
                <w:sz w:val="22"/>
                <w:szCs w:val="22"/>
              </w:rPr>
              <w:t>。</w:t>
            </w:r>
          </w:p>
          <w:p w14:paraId="245C0D30">
            <w:pPr>
              <w:widowControl/>
              <w:spacing w:line="240" w:lineRule="atLeast"/>
              <w:rPr>
                <w:rFonts w:ascii="宋体"/>
                <w:color w:val="000000"/>
                <w:kern w:val="0"/>
                <w:sz w:val="22"/>
                <w:szCs w:val="22"/>
              </w:rPr>
            </w:pPr>
            <w:r>
              <w:rPr>
                <w:rFonts w:hint="eastAsia" w:ascii="宋体" w:hAnsi="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bottom w:val="single" w:color="auto" w:sz="4" w:space="0"/>
              <w:right w:val="single" w:color="auto" w:sz="4" w:space="0"/>
            </w:tcBorders>
          </w:tcPr>
          <w:p w14:paraId="0DE6C317">
            <w:pPr>
              <w:widowControl/>
              <w:jc w:val="left"/>
              <w:rPr>
                <w:rFonts w:ascii="宋体"/>
                <w:color w:val="000000"/>
                <w:kern w:val="0"/>
                <w:sz w:val="22"/>
                <w:szCs w:val="22"/>
              </w:rPr>
            </w:pPr>
            <w:r>
              <w:rPr>
                <w:rFonts w:ascii="宋体" w:hAnsi="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tcPr>
          <w:p w14:paraId="3A134505">
            <w:pPr>
              <w:widowControl/>
              <w:jc w:val="left"/>
              <w:rPr>
                <w:rFonts w:ascii="宋体"/>
                <w:color w:val="000000"/>
                <w:kern w:val="0"/>
                <w:sz w:val="22"/>
                <w:szCs w:val="22"/>
              </w:rPr>
            </w:pPr>
            <w:r>
              <w:rPr>
                <w:rFonts w:ascii="宋体" w:hAnsi="宋体" w:cs="宋体"/>
                <w:color w:val="000000"/>
                <w:kern w:val="0"/>
                <w:sz w:val="22"/>
                <w:szCs w:val="22"/>
              </w:rPr>
              <w:t>10</w:t>
            </w:r>
          </w:p>
        </w:tc>
      </w:tr>
      <w:tr w14:paraId="41AC90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63" w:type="dxa"/>
            <w:vMerge w:val="continue"/>
            <w:shd w:val="clear" w:color="auto" w:fill="FFFFFF"/>
            <w:vAlign w:val="center"/>
          </w:tcPr>
          <w:p w14:paraId="696C8FCB">
            <w:pPr>
              <w:spacing w:line="240" w:lineRule="atLeast"/>
              <w:jc w:val="center"/>
              <w:rPr>
                <w:rFonts w:ascii="宋体"/>
                <w:color w:val="000000"/>
                <w:kern w:val="0"/>
                <w:sz w:val="22"/>
                <w:szCs w:val="22"/>
              </w:rPr>
            </w:pPr>
          </w:p>
        </w:tc>
        <w:tc>
          <w:tcPr>
            <w:tcW w:w="1297" w:type="dxa"/>
            <w:shd w:val="clear" w:color="auto" w:fill="FFFFFF"/>
            <w:vAlign w:val="center"/>
          </w:tcPr>
          <w:p w14:paraId="7C1F98DE">
            <w:pPr>
              <w:spacing w:line="240" w:lineRule="atLeast"/>
              <w:jc w:val="center"/>
              <w:rPr>
                <w:rFonts w:ascii="宋体"/>
                <w:color w:val="000000"/>
                <w:kern w:val="0"/>
                <w:sz w:val="22"/>
                <w:szCs w:val="22"/>
              </w:rPr>
            </w:pPr>
            <w:r>
              <w:rPr>
                <w:rFonts w:hint="eastAsia" w:ascii="宋体" w:hAnsi="宋体" w:cs="宋体"/>
                <w:color w:val="000000"/>
                <w:kern w:val="0"/>
                <w:sz w:val="22"/>
                <w:szCs w:val="22"/>
              </w:rPr>
              <w:t>产出时效（</w:t>
            </w:r>
            <w:r>
              <w:rPr>
                <w:rFonts w:ascii="宋体" w:hAnsi="宋体" w:cs="宋体"/>
                <w:color w:val="000000"/>
                <w:kern w:val="0"/>
                <w:sz w:val="22"/>
                <w:szCs w:val="22"/>
              </w:rPr>
              <w:t>5</w:t>
            </w:r>
            <w:r>
              <w:rPr>
                <w:rFonts w:hint="eastAsia" w:ascii="宋体" w:hAnsi="宋体" w:cs="宋体"/>
                <w:color w:val="000000"/>
                <w:kern w:val="0"/>
                <w:sz w:val="22"/>
                <w:szCs w:val="22"/>
              </w:rPr>
              <w:t>分）</w:t>
            </w:r>
          </w:p>
        </w:tc>
        <w:tc>
          <w:tcPr>
            <w:tcW w:w="1411" w:type="dxa"/>
            <w:shd w:val="clear" w:color="auto" w:fill="FFFFFF"/>
            <w:vAlign w:val="center"/>
          </w:tcPr>
          <w:p w14:paraId="304650EF">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完成及时性</w:t>
            </w:r>
          </w:p>
        </w:tc>
        <w:tc>
          <w:tcPr>
            <w:tcW w:w="2789" w:type="dxa"/>
            <w:shd w:val="clear" w:color="000000" w:fill="FFFFFF"/>
            <w:vAlign w:val="center"/>
          </w:tcPr>
          <w:p w14:paraId="73EC6921">
            <w:pPr>
              <w:widowControl/>
              <w:spacing w:line="240" w:lineRule="atLeast"/>
              <w:rPr>
                <w:rFonts w:ascii="宋体"/>
                <w:color w:val="000000"/>
                <w:kern w:val="0"/>
                <w:sz w:val="22"/>
                <w:szCs w:val="22"/>
              </w:rPr>
            </w:pPr>
            <w:r>
              <w:rPr>
                <w:rFonts w:hint="eastAsia" w:ascii="宋体" w:hAnsi="宋体" w:cs="宋体"/>
                <w:color w:val="000000"/>
                <w:kern w:val="0"/>
                <w:sz w:val="22"/>
                <w:szCs w:val="22"/>
              </w:rPr>
              <w:t>项目实际完成时间与计划完成时间的比较，用以反映和考核项目产出时效目标的实现程度。</w:t>
            </w:r>
          </w:p>
        </w:tc>
        <w:tc>
          <w:tcPr>
            <w:tcW w:w="7341" w:type="dxa"/>
            <w:shd w:val="clear" w:color="000000" w:fill="FFFFFF"/>
            <w:vAlign w:val="center"/>
          </w:tcPr>
          <w:p w14:paraId="6E7AFA28">
            <w:pPr>
              <w:widowControl/>
              <w:spacing w:line="240" w:lineRule="atLeast"/>
              <w:rPr>
                <w:rFonts w:ascii="宋体"/>
                <w:color w:val="000000"/>
                <w:kern w:val="0"/>
                <w:sz w:val="22"/>
                <w:szCs w:val="22"/>
              </w:rPr>
            </w:pPr>
            <w:r>
              <w:rPr>
                <w:rFonts w:hint="eastAsia" w:ascii="宋体" w:hAnsi="宋体" w:cs="宋体"/>
                <w:color w:val="000000"/>
                <w:kern w:val="0"/>
                <w:sz w:val="22"/>
                <w:szCs w:val="22"/>
              </w:rPr>
              <w:t>实际完成时间：项目实施单位完成该项目实际所耗用的时间。</w:t>
            </w:r>
            <w:r>
              <w:rPr>
                <w:rFonts w:ascii="宋体"/>
                <w:color w:val="000000"/>
                <w:kern w:val="0"/>
                <w:sz w:val="22"/>
                <w:szCs w:val="22"/>
              </w:rPr>
              <w:br w:type="textWrapping"/>
            </w:r>
            <w:r>
              <w:rPr>
                <w:rFonts w:hint="eastAsia" w:ascii="宋体" w:hAnsi="宋体" w:cs="宋体"/>
                <w:color w:val="000000"/>
                <w:kern w:val="0"/>
                <w:sz w:val="22"/>
                <w:szCs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tcPr>
          <w:p w14:paraId="6309B795">
            <w:pPr>
              <w:widowControl/>
              <w:jc w:val="left"/>
              <w:rPr>
                <w:rFonts w:ascii="宋体"/>
                <w:color w:val="000000"/>
                <w:kern w:val="0"/>
                <w:sz w:val="22"/>
                <w:szCs w:val="22"/>
              </w:rPr>
            </w:pPr>
            <w:r>
              <w:rPr>
                <w:rFonts w:ascii="宋体" w:hAnsi="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14:paraId="1AB248FE">
            <w:pPr>
              <w:widowControl/>
              <w:jc w:val="left"/>
              <w:rPr>
                <w:rFonts w:ascii="宋体"/>
                <w:color w:val="000000"/>
                <w:kern w:val="0"/>
                <w:sz w:val="22"/>
                <w:szCs w:val="22"/>
              </w:rPr>
            </w:pPr>
            <w:r>
              <w:rPr>
                <w:rFonts w:ascii="宋体" w:hAnsi="宋体" w:cs="宋体"/>
                <w:color w:val="000000"/>
                <w:kern w:val="0"/>
                <w:sz w:val="22"/>
                <w:szCs w:val="22"/>
              </w:rPr>
              <w:t>5</w:t>
            </w:r>
          </w:p>
        </w:tc>
      </w:tr>
      <w:tr w14:paraId="399103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63" w:type="dxa"/>
            <w:vMerge w:val="continue"/>
            <w:shd w:val="clear" w:color="auto" w:fill="FFFFFF"/>
            <w:vAlign w:val="center"/>
          </w:tcPr>
          <w:p w14:paraId="17658B2C">
            <w:pPr>
              <w:widowControl/>
              <w:spacing w:line="240" w:lineRule="atLeast"/>
              <w:jc w:val="center"/>
              <w:rPr>
                <w:rFonts w:ascii="宋体"/>
                <w:color w:val="000000"/>
                <w:kern w:val="0"/>
                <w:sz w:val="22"/>
                <w:szCs w:val="22"/>
              </w:rPr>
            </w:pPr>
          </w:p>
        </w:tc>
        <w:tc>
          <w:tcPr>
            <w:tcW w:w="1297" w:type="dxa"/>
            <w:shd w:val="clear" w:color="auto" w:fill="FFFFFF"/>
            <w:vAlign w:val="center"/>
          </w:tcPr>
          <w:p w14:paraId="22864862">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产出成本（</w:t>
            </w:r>
            <w:r>
              <w:rPr>
                <w:rFonts w:ascii="宋体" w:hAnsi="宋体" w:cs="宋体"/>
                <w:color w:val="000000"/>
                <w:kern w:val="0"/>
                <w:sz w:val="22"/>
                <w:szCs w:val="22"/>
              </w:rPr>
              <w:t>5</w:t>
            </w:r>
            <w:r>
              <w:rPr>
                <w:rFonts w:hint="eastAsia" w:ascii="宋体" w:hAnsi="宋体" w:cs="宋体"/>
                <w:color w:val="000000"/>
                <w:kern w:val="0"/>
                <w:sz w:val="22"/>
                <w:szCs w:val="22"/>
              </w:rPr>
              <w:t>分）</w:t>
            </w:r>
          </w:p>
        </w:tc>
        <w:tc>
          <w:tcPr>
            <w:tcW w:w="1411" w:type="dxa"/>
            <w:shd w:val="clear" w:color="auto" w:fill="FFFFFF"/>
            <w:vAlign w:val="center"/>
          </w:tcPr>
          <w:p w14:paraId="5A6F9B82">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成本节约率</w:t>
            </w:r>
          </w:p>
        </w:tc>
        <w:tc>
          <w:tcPr>
            <w:tcW w:w="2789" w:type="dxa"/>
            <w:shd w:val="clear" w:color="000000" w:fill="FFFFFF"/>
            <w:vAlign w:val="center"/>
          </w:tcPr>
          <w:p w14:paraId="30B21AF6">
            <w:pPr>
              <w:widowControl/>
              <w:spacing w:line="240" w:lineRule="atLeast"/>
              <w:rPr>
                <w:rFonts w:ascii="宋体"/>
                <w:color w:val="000000"/>
                <w:kern w:val="0"/>
                <w:sz w:val="22"/>
                <w:szCs w:val="22"/>
              </w:rPr>
            </w:pPr>
            <w:r>
              <w:rPr>
                <w:rFonts w:hint="eastAsia" w:ascii="宋体" w:hAnsi="宋体" w:cs="宋体"/>
                <w:color w:val="000000"/>
                <w:kern w:val="0"/>
                <w:sz w:val="22"/>
                <w:szCs w:val="22"/>
              </w:rPr>
              <w:t>完成项目计划工作目标的实际节约成本与计划成本的比率，用以反映和考核项目的成本节约程度。</w:t>
            </w:r>
          </w:p>
        </w:tc>
        <w:tc>
          <w:tcPr>
            <w:tcW w:w="7341" w:type="dxa"/>
            <w:shd w:val="clear" w:color="000000" w:fill="FFFFFF"/>
            <w:vAlign w:val="center"/>
          </w:tcPr>
          <w:p w14:paraId="1E952879">
            <w:pPr>
              <w:widowControl/>
              <w:spacing w:line="240" w:lineRule="atLeast"/>
              <w:rPr>
                <w:rFonts w:ascii="宋体"/>
                <w:color w:val="000000"/>
                <w:kern w:val="0"/>
                <w:sz w:val="22"/>
                <w:szCs w:val="22"/>
              </w:rPr>
            </w:pPr>
            <w:r>
              <w:rPr>
                <w:rFonts w:ascii="宋体"/>
                <w:color w:val="000000"/>
                <w:kern w:val="0"/>
                <w:sz w:val="22"/>
                <w:szCs w:val="22"/>
              </w:rPr>
              <w:br w:type="textWrapping"/>
            </w:r>
            <w:r>
              <w:rPr>
                <w:rFonts w:hint="eastAsia" w:ascii="宋体" w:hAnsi="宋体" w:cs="宋体"/>
                <w:color w:val="000000"/>
                <w:kern w:val="0"/>
                <w:sz w:val="22"/>
                <w:szCs w:val="22"/>
              </w:rPr>
              <w:t>成本节约率</w:t>
            </w:r>
            <w:r>
              <w:rPr>
                <w:rFonts w:ascii="宋体" w:hAnsi="宋体" w:cs="宋体"/>
                <w:color w:val="000000"/>
                <w:kern w:val="0"/>
                <w:sz w:val="22"/>
                <w:szCs w:val="22"/>
              </w:rPr>
              <w:t>=[</w:t>
            </w:r>
            <w:r>
              <w:rPr>
                <w:rFonts w:hint="eastAsia" w:ascii="宋体" w:hAnsi="宋体" w:cs="宋体"/>
                <w:color w:val="000000"/>
                <w:kern w:val="0"/>
                <w:sz w:val="22"/>
                <w:szCs w:val="22"/>
              </w:rPr>
              <w:t>（计划成本</w:t>
            </w:r>
            <w:r>
              <w:rPr>
                <w:rFonts w:ascii="宋体" w:cs="宋体"/>
                <w:color w:val="000000"/>
                <w:kern w:val="0"/>
                <w:sz w:val="22"/>
                <w:szCs w:val="22"/>
              </w:rPr>
              <w:t>-</w:t>
            </w:r>
            <w:r>
              <w:rPr>
                <w:rFonts w:hint="eastAsia" w:ascii="宋体" w:hAnsi="宋体" w:cs="宋体"/>
                <w:color w:val="000000"/>
                <w:kern w:val="0"/>
                <w:sz w:val="22"/>
                <w:szCs w:val="22"/>
              </w:rPr>
              <w:t>实际成本）</w:t>
            </w:r>
            <w:r>
              <w:rPr>
                <w:rFonts w:ascii="宋体" w:hAnsi="宋体" w:cs="宋体"/>
                <w:color w:val="000000"/>
                <w:kern w:val="0"/>
                <w:sz w:val="22"/>
                <w:szCs w:val="22"/>
              </w:rPr>
              <w:t>/</w:t>
            </w:r>
            <w:r>
              <w:rPr>
                <w:rFonts w:hint="eastAsia" w:ascii="宋体" w:hAnsi="宋体" w:cs="宋体"/>
                <w:color w:val="000000"/>
                <w:kern w:val="0"/>
                <w:sz w:val="22"/>
                <w:szCs w:val="22"/>
              </w:rPr>
              <w:t>计划成本</w:t>
            </w:r>
            <w:r>
              <w:rPr>
                <w:rFonts w:ascii="宋体" w:hAnsi="宋体" w:cs="宋体"/>
                <w:color w:val="000000"/>
                <w:kern w:val="0"/>
                <w:sz w:val="22"/>
                <w:szCs w:val="22"/>
              </w:rPr>
              <w:t>]</w:t>
            </w:r>
            <w:r>
              <w:rPr>
                <w:rFonts w:hint="eastAsia" w:ascii="宋体" w:hAnsi="宋体" w:cs="宋体"/>
                <w:color w:val="000000"/>
                <w:kern w:val="0"/>
                <w:sz w:val="22"/>
                <w:szCs w:val="22"/>
              </w:rPr>
              <w:t>×</w:t>
            </w:r>
            <w:r>
              <w:rPr>
                <w:rFonts w:ascii="宋体" w:hAnsi="宋体" w:cs="宋体"/>
                <w:color w:val="000000"/>
                <w:kern w:val="0"/>
                <w:sz w:val="22"/>
                <w:szCs w:val="22"/>
              </w:rPr>
              <w:t>100%</w:t>
            </w:r>
            <w:r>
              <w:rPr>
                <w:rFonts w:hint="eastAsia" w:ascii="宋体" w:hAnsi="宋体" w:cs="宋体"/>
                <w:color w:val="000000"/>
                <w:kern w:val="0"/>
                <w:sz w:val="22"/>
                <w:szCs w:val="22"/>
              </w:rPr>
              <w:t>。</w:t>
            </w:r>
            <w:r>
              <w:rPr>
                <w:rFonts w:ascii="宋体"/>
                <w:color w:val="000000"/>
                <w:kern w:val="0"/>
                <w:sz w:val="22"/>
                <w:szCs w:val="22"/>
              </w:rPr>
              <w:br w:type="textWrapping"/>
            </w:r>
            <w:r>
              <w:rPr>
                <w:rFonts w:hint="eastAsia" w:ascii="宋体" w:hAnsi="宋体" w:cs="宋体"/>
                <w:color w:val="000000"/>
                <w:kern w:val="0"/>
                <w:sz w:val="22"/>
                <w:szCs w:val="22"/>
              </w:rPr>
              <w:t>实际成本：项目实施单位如期、保质、保量完成既定工作目标实际所耗费的支出。</w:t>
            </w:r>
            <w:r>
              <w:rPr>
                <w:rFonts w:ascii="宋体"/>
                <w:color w:val="000000"/>
                <w:kern w:val="0"/>
                <w:sz w:val="22"/>
                <w:szCs w:val="22"/>
              </w:rPr>
              <w:br w:type="textWrapping"/>
            </w:r>
            <w:r>
              <w:rPr>
                <w:rFonts w:hint="eastAsia" w:ascii="宋体" w:hAnsi="宋体" w:cs="宋体"/>
                <w:color w:val="000000"/>
                <w:kern w:val="0"/>
                <w:sz w:val="22"/>
                <w:szCs w:val="22"/>
              </w:rPr>
              <w:t>计划成本：项目实施单位为完成工作目标计划安排的支出，一般以项目预算为参考。</w:t>
            </w:r>
          </w:p>
        </w:tc>
        <w:tc>
          <w:tcPr>
            <w:tcW w:w="852" w:type="dxa"/>
            <w:gridSpan w:val="3"/>
            <w:tcBorders>
              <w:top w:val="single" w:color="auto" w:sz="4" w:space="0"/>
              <w:bottom w:val="single" w:color="auto" w:sz="4" w:space="0"/>
              <w:right w:val="single" w:color="auto" w:sz="4" w:space="0"/>
            </w:tcBorders>
          </w:tcPr>
          <w:p w14:paraId="3E779923">
            <w:pPr>
              <w:widowControl/>
              <w:jc w:val="left"/>
              <w:rPr>
                <w:rFonts w:ascii="宋体"/>
                <w:color w:val="000000"/>
                <w:kern w:val="0"/>
                <w:sz w:val="22"/>
                <w:szCs w:val="22"/>
              </w:rPr>
            </w:pPr>
            <w:r>
              <w:rPr>
                <w:rFonts w:ascii="宋体" w:hAnsi="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14:paraId="7D02E71D">
            <w:pPr>
              <w:widowControl/>
              <w:jc w:val="left"/>
              <w:rPr>
                <w:rFonts w:ascii="宋体"/>
                <w:color w:val="000000"/>
                <w:kern w:val="0"/>
                <w:sz w:val="22"/>
                <w:szCs w:val="22"/>
              </w:rPr>
            </w:pPr>
            <w:r>
              <w:rPr>
                <w:rFonts w:ascii="宋体" w:hAnsi="宋体" w:cs="宋体"/>
                <w:color w:val="000000"/>
                <w:kern w:val="0"/>
                <w:sz w:val="22"/>
                <w:szCs w:val="22"/>
              </w:rPr>
              <w:t>5</w:t>
            </w:r>
          </w:p>
        </w:tc>
      </w:tr>
      <w:tr w14:paraId="388B85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shd w:val="clear" w:color="auto" w:fill="FFFFFF"/>
            <w:vAlign w:val="center"/>
          </w:tcPr>
          <w:p w14:paraId="02BDF546">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效益（</w:t>
            </w:r>
            <w:r>
              <w:rPr>
                <w:rFonts w:ascii="宋体" w:hAnsi="宋体" w:cs="宋体"/>
                <w:color w:val="000000"/>
                <w:kern w:val="0"/>
                <w:sz w:val="22"/>
                <w:szCs w:val="22"/>
              </w:rPr>
              <w:t>30</w:t>
            </w:r>
            <w:r>
              <w:rPr>
                <w:rFonts w:hint="eastAsia" w:ascii="宋体" w:hAnsi="宋体" w:cs="宋体"/>
                <w:color w:val="000000"/>
                <w:kern w:val="0"/>
                <w:sz w:val="22"/>
                <w:szCs w:val="22"/>
              </w:rPr>
              <w:t>分）　</w:t>
            </w:r>
          </w:p>
        </w:tc>
        <w:tc>
          <w:tcPr>
            <w:tcW w:w="1297" w:type="dxa"/>
            <w:vMerge w:val="restart"/>
            <w:shd w:val="clear" w:color="auto" w:fill="FFFFFF"/>
            <w:vAlign w:val="center"/>
          </w:tcPr>
          <w:p w14:paraId="1489B4EE">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项目效益（</w:t>
            </w:r>
            <w:r>
              <w:rPr>
                <w:rFonts w:ascii="宋体" w:hAnsi="宋体" w:cs="宋体"/>
                <w:color w:val="000000"/>
                <w:kern w:val="0"/>
                <w:sz w:val="22"/>
                <w:szCs w:val="22"/>
              </w:rPr>
              <w:t>30</w:t>
            </w:r>
            <w:r>
              <w:rPr>
                <w:rFonts w:hint="eastAsia" w:ascii="宋体" w:hAnsi="宋体" w:cs="宋体"/>
                <w:color w:val="000000"/>
                <w:kern w:val="0"/>
                <w:sz w:val="22"/>
                <w:szCs w:val="22"/>
              </w:rPr>
              <w:t>分）　</w:t>
            </w:r>
          </w:p>
        </w:tc>
        <w:tc>
          <w:tcPr>
            <w:tcW w:w="1411" w:type="dxa"/>
            <w:shd w:val="clear" w:color="auto" w:fill="FFFFFF"/>
            <w:vAlign w:val="center"/>
          </w:tcPr>
          <w:p w14:paraId="49DABEB4">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实施效益</w:t>
            </w:r>
          </w:p>
        </w:tc>
        <w:tc>
          <w:tcPr>
            <w:tcW w:w="2789" w:type="dxa"/>
            <w:shd w:val="clear" w:color="auto" w:fill="FFFFFF"/>
            <w:vAlign w:val="center"/>
          </w:tcPr>
          <w:p w14:paraId="3CA7D174">
            <w:pPr>
              <w:widowControl/>
              <w:spacing w:line="240" w:lineRule="atLeast"/>
              <w:jc w:val="left"/>
              <w:rPr>
                <w:rFonts w:ascii="宋体"/>
                <w:color w:val="000000"/>
                <w:kern w:val="0"/>
                <w:sz w:val="22"/>
                <w:szCs w:val="22"/>
              </w:rPr>
            </w:pPr>
            <w:r>
              <w:rPr>
                <w:rFonts w:hint="eastAsia" w:ascii="宋体" w:hAnsi="宋体" w:cs="宋体"/>
                <w:color w:val="000000"/>
                <w:kern w:val="0"/>
                <w:sz w:val="22"/>
                <w:szCs w:val="22"/>
              </w:rPr>
              <w:t>项目实施所产生的效益。</w:t>
            </w:r>
          </w:p>
        </w:tc>
        <w:tc>
          <w:tcPr>
            <w:tcW w:w="7341" w:type="dxa"/>
            <w:shd w:val="clear" w:color="auto" w:fill="FFFFFF"/>
            <w:vAlign w:val="center"/>
          </w:tcPr>
          <w:p w14:paraId="405ECBAF">
            <w:pPr>
              <w:widowControl/>
              <w:spacing w:line="240" w:lineRule="atLeast"/>
              <w:rPr>
                <w:rFonts w:ascii="宋体"/>
                <w:color w:val="000000"/>
                <w:kern w:val="0"/>
                <w:sz w:val="22"/>
                <w:szCs w:val="22"/>
              </w:rPr>
            </w:pPr>
            <w:r>
              <w:rPr>
                <w:rFonts w:hint="eastAsia" w:ascii="宋体" w:hAnsi="宋体" w:cs="宋体"/>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color="auto" w:sz="4" w:space="0"/>
              <w:bottom w:val="single" w:color="auto" w:sz="4" w:space="0"/>
              <w:right w:val="single" w:color="auto" w:sz="4" w:space="0"/>
            </w:tcBorders>
          </w:tcPr>
          <w:p w14:paraId="31B7C1AA">
            <w:pPr>
              <w:widowControl/>
              <w:jc w:val="left"/>
              <w:rPr>
                <w:rFonts w:ascii="宋体"/>
                <w:color w:val="000000"/>
                <w:kern w:val="0"/>
                <w:sz w:val="22"/>
                <w:szCs w:val="22"/>
              </w:rPr>
            </w:pPr>
            <w:r>
              <w:rPr>
                <w:rFonts w:ascii="宋体" w:hAnsi="宋体" w:cs="宋体"/>
                <w:color w:val="000000"/>
                <w:kern w:val="0"/>
                <w:sz w:val="22"/>
                <w:szCs w:val="22"/>
              </w:rPr>
              <w:t>20</w:t>
            </w:r>
          </w:p>
        </w:tc>
        <w:tc>
          <w:tcPr>
            <w:tcW w:w="922" w:type="dxa"/>
            <w:gridSpan w:val="3"/>
            <w:tcBorders>
              <w:top w:val="single" w:color="auto" w:sz="4" w:space="0"/>
              <w:left w:val="single" w:color="auto" w:sz="4" w:space="0"/>
              <w:bottom w:val="single" w:color="auto" w:sz="4" w:space="0"/>
              <w:right w:val="single" w:color="auto" w:sz="4" w:space="0"/>
            </w:tcBorders>
          </w:tcPr>
          <w:p w14:paraId="1CB90D1D">
            <w:pPr>
              <w:widowControl/>
              <w:jc w:val="left"/>
              <w:rPr>
                <w:rFonts w:ascii="宋体"/>
                <w:color w:val="000000"/>
                <w:kern w:val="0"/>
                <w:sz w:val="22"/>
                <w:szCs w:val="22"/>
              </w:rPr>
            </w:pPr>
            <w:r>
              <w:rPr>
                <w:rFonts w:ascii="宋体" w:hAnsi="宋体" w:cs="宋体"/>
                <w:color w:val="000000"/>
                <w:kern w:val="0"/>
                <w:sz w:val="22"/>
                <w:szCs w:val="22"/>
              </w:rPr>
              <w:t>20</w:t>
            </w:r>
          </w:p>
        </w:tc>
      </w:tr>
      <w:tr w14:paraId="5F1FEF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763" w:type="dxa"/>
            <w:vMerge w:val="continue"/>
            <w:shd w:val="clear" w:color="auto" w:fill="FFFFFF"/>
            <w:vAlign w:val="center"/>
          </w:tcPr>
          <w:p w14:paraId="21A9D89C">
            <w:pPr>
              <w:widowControl/>
              <w:spacing w:line="240" w:lineRule="atLeast"/>
              <w:jc w:val="center"/>
              <w:rPr>
                <w:rFonts w:ascii="宋体"/>
                <w:color w:val="000000"/>
                <w:kern w:val="0"/>
                <w:sz w:val="22"/>
                <w:szCs w:val="22"/>
              </w:rPr>
            </w:pPr>
          </w:p>
        </w:tc>
        <w:tc>
          <w:tcPr>
            <w:tcW w:w="1297" w:type="dxa"/>
            <w:vMerge w:val="continue"/>
            <w:shd w:val="clear" w:color="auto" w:fill="FFFFFF"/>
            <w:vAlign w:val="center"/>
          </w:tcPr>
          <w:p w14:paraId="2AAF0E29">
            <w:pPr>
              <w:widowControl/>
              <w:spacing w:line="240" w:lineRule="atLeast"/>
              <w:jc w:val="center"/>
              <w:rPr>
                <w:rFonts w:ascii="宋体"/>
                <w:color w:val="000000"/>
                <w:kern w:val="0"/>
                <w:sz w:val="22"/>
                <w:szCs w:val="22"/>
              </w:rPr>
            </w:pPr>
          </w:p>
        </w:tc>
        <w:tc>
          <w:tcPr>
            <w:tcW w:w="1411" w:type="dxa"/>
            <w:shd w:val="clear" w:color="auto" w:fill="FFFFFF"/>
            <w:vAlign w:val="center"/>
          </w:tcPr>
          <w:p w14:paraId="28C67B2E">
            <w:pPr>
              <w:widowControl/>
              <w:spacing w:line="240" w:lineRule="atLeast"/>
              <w:jc w:val="center"/>
              <w:rPr>
                <w:rFonts w:ascii="宋体"/>
                <w:color w:val="000000"/>
                <w:kern w:val="0"/>
                <w:sz w:val="22"/>
                <w:szCs w:val="22"/>
              </w:rPr>
            </w:pPr>
            <w:r>
              <w:rPr>
                <w:rFonts w:hint="eastAsia" w:ascii="宋体" w:hAnsi="宋体" w:cs="宋体"/>
                <w:color w:val="000000"/>
                <w:kern w:val="0"/>
                <w:sz w:val="22"/>
                <w:szCs w:val="22"/>
              </w:rPr>
              <w:t>满意度</w:t>
            </w:r>
          </w:p>
        </w:tc>
        <w:tc>
          <w:tcPr>
            <w:tcW w:w="2789" w:type="dxa"/>
            <w:shd w:val="clear" w:color="000000" w:fill="FFFFFF"/>
            <w:vAlign w:val="center"/>
          </w:tcPr>
          <w:p w14:paraId="3BFEC4BF">
            <w:pPr>
              <w:widowControl/>
              <w:spacing w:line="240" w:lineRule="atLeast"/>
              <w:rPr>
                <w:rFonts w:ascii="宋体"/>
                <w:color w:val="000000"/>
                <w:kern w:val="0"/>
                <w:sz w:val="22"/>
                <w:szCs w:val="22"/>
              </w:rPr>
            </w:pPr>
            <w:r>
              <w:rPr>
                <w:rFonts w:hint="eastAsia" w:ascii="宋体" w:hAnsi="宋体" w:cs="宋体"/>
                <w:color w:val="000000"/>
                <w:kern w:val="0"/>
                <w:sz w:val="22"/>
                <w:szCs w:val="22"/>
              </w:rPr>
              <w:t>社会公众或服务对象对项目实施效果的满意程度。</w:t>
            </w:r>
          </w:p>
        </w:tc>
        <w:tc>
          <w:tcPr>
            <w:tcW w:w="7341" w:type="dxa"/>
            <w:shd w:val="clear" w:color="000000" w:fill="FFFFFF"/>
            <w:vAlign w:val="center"/>
          </w:tcPr>
          <w:p w14:paraId="7F6BB10B">
            <w:pPr>
              <w:widowControl/>
              <w:spacing w:line="240" w:lineRule="atLeast"/>
              <w:rPr>
                <w:rFonts w:ascii="宋体"/>
                <w:color w:val="000000"/>
                <w:kern w:val="0"/>
                <w:sz w:val="22"/>
                <w:szCs w:val="22"/>
              </w:rPr>
            </w:pPr>
            <w:r>
              <w:rPr>
                <w:rFonts w:hint="eastAsia" w:ascii="宋体" w:hAnsi="宋体" w:cs="宋体"/>
                <w:color w:val="000000"/>
                <w:kern w:val="0"/>
                <w:sz w:val="22"/>
                <w:szCs w:val="22"/>
              </w:rPr>
              <w:t>社会公众或服务对象是指因该项目实施而受到影响的部门（单位）、群体或个人。一般采取社会调查的方式。</w:t>
            </w:r>
          </w:p>
        </w:tc>
        <w:tc>
          <w:tcPr>
            <w:tcW w:w="852" w:type="dxa"/>
            <w:gridSpan w:val="3"/>
            <w:tcBorders>
              <w:top w:val="single" w:color="auto" w:sz="4" w:space="0"/>
              <w:bottom w:val="single" w:color="auto" w:sz="4" w:space="0"/>
              <w:right w:val="single" w:color="auto" w:sz="4" w:space="0"/>
            </w:tcBorders>
          </w:tcPr>
          <w:p w14:paraId="0EA16141">
            <w:pPr>
              <w:widowControl/>
              <w:jc w:val="left"/>
              <w:rPr>
                <w:rFonts w:ascii="宋体"/>
                <w:color w:val="000000"/>
                <w:kern w:val="0"/>
                <w:sz w:val="22"/>
                <w:szCs w:val="22"/>
              </w:rPr>
            </w:pPr>
            <w:r>
              <w:rPr>
                <w:rFonts w:ascii="宋体" w:hAnsi="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tcPr>
          <w:p w14:paraId="65E80194">
            <w:pPr>
              <w:widowControl/>
              <w:jc w:val="left"/>
              <w:rPr>
                <w:rFonts w:ascii="宋体"/>
                <w:color w:val="000000"/>
                <w:kern w:val="0"/>
                <w:sz w:val="22"/>
                <w:szCs w:val="22"/>
              </w:rPr>
            </w:pPr>
            <w:r>
              <w:rPr>
                <w:rFonts w:ascii="宋体" w:hAnsi="宋体" w:cs="宋体"/>
                <w:color w:val="000000"/>
                <w:kern w:val="0"/>
                <w:sz w:val="22"/>
                <w:szCs w:val="22"/>
              </w:rPr>
              <w:t>10</w:t>
            </w:r>
          </w:p>
        </w:tc>
      </w:tr>
    </w:tbl>
    <w:p w14:paraId="4E27B666">
      <w:pPr>
        <w:spacing w:line="540" w:lineRule="exact"/>
        <w:ind w:firstLine="640"/>
        <w:rPr>
          <w:rStyle w:val="19"/>
          <w:rFonts w:ascii="黑体" w:hAnsi="黑体" w:eastAsia="黑体"/>
          <w:b w:val="0"/>
          <w:bCs w:val="0"/>
          <w:spacing w:val="-4"/>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559FE33-41C2-48C4-B9D3-9A12CA251C3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embedRegular r:id="rId2" w:fontKey="{12D3A29F-96F3-4BD0-A347-D132E6DA60FE}"/>
  </w:font>
  <w:font w:name="仿宋">
    <w:panose1 w:val="02010609060101010101"/>
    <w:charset w:val="86"/>
    <w:family w:val="modern"/>
    <w:pitch w:val="default"/>
    <w:sig w:usb0="800002BF" w:usb1="38CF7CFA" w:usb2="00000016" w:usb3="00000000" w:csb0="00040001" w:csb1="00000000"/>
    <w:embedRegular r:id="rId3" w:fontKey="{918EDCCF-7C37-40FB-B188-CDE3F5AF300A}"/>
  </w:font>
  <w:font w:name="华文中宋">
    <w:panose1 w:val="02010600040101010101"/>
    <w:charset w:val="86"/>
    <w:family w:val="auto"/>
    <w:pitch w:val="default"/>
    <w:sig w:usb0="00000287" w:usb1="080F0000" w:usb2="00000000" w:usb3="00000000" w:csb0="0004009F" w:csb1="DFD70000"/>
    <w:embedRegular r:id="rId4" w:fontKey="{6B8F5EF8-6B63-48FB-B85E-3A550AC0DF63}"/>
  </w:font>
  <w:font w:name="方正大标宋简体">
    <w:altName w:val="宋体"/>
    <w:panose1 w:val="00000000000000000000"/>
    <w:charset w:val="86"/>
    <w:family w:val="auto"/>
    <w:pitch w:val="default"/>
    <w:sig w:usb0="00000000" w:usb1="00000000" w:usb2="00000010" w:usb3="00000000" w:csb0="00040000" w:csb1="00000000"/>
    <w:embedRegular r:id="rId5" w:fontKey="{50EFB469-8F97-467A-ADCF-30166F2DD38D}"/>
  </w:font>
  <w:font w:name="楷体">
    <w:panose1 w:val="02010609060101010101"/>
    <w:charset w:val="86"/>
    <w:family w:val="modern"/>
    <w:pitch w:val="default"/>
    <w:sig w:usb0="800002BF" w:usb1="38CF7CFA" w:usb2="00000016" w:usb3="00000000" w:csb0="00040001" w:csb1="00000000"/>
    <w:embedRegular r:id="rId6" w:fontKey="{0B5795F2-F3CB-43FC-B7D2-D0648C31E4A8}"/>
  </w:font>
  <w:font w:name="方正小标宋_GBK">
    <w:panose1 w:val="02000000000000000000"/>
    <w:charset w:val="86"/>
    <w:family w:val="script"/>
    <w:pitch w:val="default"/>
    <w:sig w:usb0="A00002BF" w:usb1="38CF7CFA" w:usb2="00082016" w:usb3="00000000" w:csb0="00040001" w:csb1="00000000"/>
    <w:embedRegular r:id="rId7" w:fontKey="{852224E4-D60D-4418-AD26-8243814A829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643341">
    <w:pPr>
      <w:pStyle w:val="12"/>
      <w:jc w:val="center"/>
      <w:rPr>
        <w:rFonts w:cs="Times New Roman"/>
      </w:rPr>
    </w:pPr>
    <w:r>
      <w:fldChar w:fldCharType="begin"/>
    </w:r>
    <w:r>
      <w:instrText xml:space="preserve">PAGE   \* MERGEFORMAT</w:instrText>
    </w:r>
    <w:r>
      <w:fldChar w:fldCharType="separate"/>
    </w:r>
    <w:r>
      <w:rPr>
        <w:lang w:val="zh-CN"/>
      </w:rPr>
      <w:t>12</w:t>
    </w:r>
    <w:r>
      <w:rPr>
        <w:lang w:val="zh-CN"/>
      </w:rPr>
      <w:fldChar w:fldCharType="end"/>
    </w:r>
  </w:p>
  <w:p w14:paraId="3BD11CA8">
    <w:pPr>
      <w:pStyle w:val="12"/>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A1199E">
    <w:pPr>
      <w:pStyle w:val="13"/>
      <w:pBdr>
        <w:bottom w:val="none" w:color="auto" w:sz="0" w:space="0"/>
      </w:pBdr>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7E5AF8"/>
    <w:multiLevelType w:val="singleLevel"/>
    <w:tmpl w:val="677E5AF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oNotHyphenateCaps/>
  <w:drawingGridHorizontalSpacing w:val="105"/>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2784B"/>
    <w:rsid w:val="00034CCB"/>
    <w:rsid w:val="00056465"/>
    <w:rsid w:val="00077B92"/>
    <w:rsid w:val="000C15F4"/>
    <w:rsid w:val="00121AE4"/>
    <w:rsid w:val="00146AAD"/>
    <w:rsid w:val="00170F15"/>
    <w:rsid w:val="001739F8"/>
    <w:rsid w:val="00193A56"/>
    <w:rsid w:val="001967ED"/>
    <w:rsid w:val="001A4D4F"/>
    <w:rsid w:val="001B3A40"/>
    <w:rsid w:val="001E46E9"/>
    <w:rsid w:val="002574E5"/>
    <w:rsid w:val="002F18EE"/>
    <w:rsid w:val="00324913"/>
    <w:rsid w:val="00346C05"/>
    <w:rsid w:val="003908B7"/>
    <w:rsid w:val="003A13B7"/>
    <w:rsid w:val="003F5CC2"/>
    <w:rsid w:val="004241E5"/>
    <w:rsid w:val="004366A8"/>
    <w:rsid w:val="00472DC5"/>
    <w:rsid w:val="004959A2"/>
    <w:rsid w:val="004D5708"/>
    <w:rsid w:val="00502BA7"/>
    <w:rsid w:val="005162F1"/>
    <w:rsid w:val="005264DE"/>
    <w:rsid w:val="00535153"/>
    <w:rsid w:val="00554F82"/>
    <w:rsid w:val="00555F36"/>
    <w:rsid w:val="00557291"/>
    <w:rsid w:val="0056390D"/>
    <w:rsid w:val="005667A6"/>
    <w:rsid w:val="00571999"/>
    <w:rsid w:val="005719B0"/>
    <w:rsid w:val="005860AF"/>
    <w:rsid w:val="00596ED9"/>
    <w:rsid w:val="005D10D6"/>
    <w:rsid w:val="005D53F3"/>
    <w:rsid w:val="0060019E"/>
    <w:rsid w:val="00616491"/>
    <w:rsid w:val="00632CE7"/>
    <w:rsid w:val="00651E58"/>
    <w:rsid w:val="006A0030"/>
    <w:rsid w:val="006E6BB4"/>
    <w:rsid w:val="006F737E"/>
    <w:rsid w:val="00700D17"/>
    <w:rsid w:val="00704E1E"/>
    <w:rsid w:val="00711F01"/>
    <w:rsid w:val="0073359B"/>
    <w:rsid w:val="00752EA1"/>
    <w:rsid w:val="0076581C"/>
    <w:rsid w:val="00790B1D"/>
    <w:rsid w:val="007A7E3D"/>
    <w:rsid w:val="007C2E13"/>
    <w:rsid w:val="00820F68"/>
    <w:rsid w:val="00855E3A"/>
    <w:rsid w:val="00897690"/>
    <w:rsid w:val="008B0697"/>
    <w:rsid w:val="008B498F"/>
    <w:rsid w:val="008C1624"/>
    <w:rsid w:val="00910D83"/>
    <w:rsid w:val="00922CB9"/>
    <w:rsid w:val="00957FB7"/>
    <w:rsid w:val="009E4A0D"/>
    <w:rsid w:val="009E5CD9"/>
    <w:rsid w:val="00A06282"/>
    <w:rsid w:val="00A12681"/>
    <w:rsid w:val="00A17120"/>
    <w:rsid w:val="00A26421"/>
    <w:rsid w:val="00A4293B"/>
    <w:rsid w:val="00A61F74"/>
    <w:rsid w:val="00A6556A"/>
    <w:rsid w:val="00A67D50"/>
    <w:rsid w:val="00A7039A"/>
    <w:rsid w:val="00A8691A"/>
    <w:rsid w:val="00AC1946"/>
    <w:rsid w:val="00AE4F80"/>
    <w:rsid w:val="00B10958"/>
    <w:rsid w:val="00B40063"/>
    <w:rsid w:val="00B41F61"/>
    <w:rsid w:val="00BA46E6"/>
    <w:rsid w:val="00C56C72"/>
    <w:rsid w:val="00C72111"/>
    <w:rsid w:val="00CA6457"/>
    <w:rsid w:val="00CB616C"/>
    <w:rsid w:val="00CD0884"/>
    <w:rsid w:val="00CD7A6B"/>
    <w:rsid w:val="00CE33F8"/>
    <w:rsid w:val="00D17F2E"/>
    <w:rsid w:val="00D30354"/>
    <w:rsid w:val="00DD4B22"/>
    <w:rsid w:val="00DF42A0"/>
    <w:rsid w:val="00E06634"/>
    <w:rsid w:val="00E215AA"/>
    <w:rsid w:val="00E32BA1"/>
    <w:rsid w:val="00E45425"/>
    <w:rsid w:val="00E6508A"/>
    <w:rsid w:val="00E769FE"/>
    <w:rsid w:val="00EA2CBE"/>
    <w:rsid w:val="00F17EFE"/>
    <w:rsid w:val="00F32FEE"/>
    <w:rsid w:val="00F45518"/>
    <w:rsid w:val="00FB10BB"/>
    <w:rsid w:val="00FB3B0C"/>
    <w:rsid w:val="016619F4"/>
    <w:rsid w:val="0A571CA9"/>
    <w:rsid w:val="0F0347A0"/>
    <w:rsid w:val="281D0B3A"/>
    <w:rsid w:val="29411189"/>
    <w:rsid w:val="2E2140CE"/>
    <w:rsid w:val="2F380780"/>
    <w:rsid w:val="31D92145"/>
    <w:rsid w:val="3BEC63EA"/>
    <w:rsid w:val="40BF0A84"/>
    <w:rsid w:val="452B7171"/>
    <w:rsid w:val="47B123D7"/>
    <w:rsid w:val="49DA0B83"/>
    <w:rsid w:val="507E17D3"/>
    <w:rsid w:val="59176DF6"/>
    <w:rsid w:val="5F3021C5"/>
    <w:rsid w:val="62B3139E"/>
    <w:rsid w:val="65D649FA"/>
    <w:rsid w:val="6B425981"/>
    <w:rsid w:val="76C96DD7"/>
    <w:rsid w:val="78C51BD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semiHidden="0"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cs="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cs="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cs="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cs="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cs="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cs="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cs="Calibri"/>
      <w:kern w:val="0"/>
      <w:sz w:val="24"/>
      <w:szCs w:val="24"/>
    </w:rPr>
  </w:style>
  <w:style w:type="paragraph" w:styleId="9">
    <w:name w:val="heading 8"/>
    <w:basedOn w:val="1"/>
    <w:next w:val="1"/>
    <w:link w:val="28"/>
    <w:qFormat/>
    <w:uiPriority w:val="99"/>
    <w:pPr>
      <w:widowControl/>
      <w:spacing w:before="240" w:after="60"/>
      <w:jc w:val="left"/>
      <w:outlineLvl w:val="7"/>
    </w:pPr>
    <w:rPr>
      <w:rFonts w:ascii="Calibri" w:hAnsi="Calibri" w:cs="Calibri"/>
      <w:i/>
      <w:iCs/>
      <w:kern w:val="0"/>
      <w:sz w:val="24"/>
      <w:szCs w:val="24"/>
    </w:rPr>
  </w:style>
  <w:style w:type="paragraph" w:styleId="10">
    <w:name w:val="heading 9"/>
    <w:basedOn w:val="1"/>
    <w:next w:val="1"/>
    <w:link w:val="29"/>
    <w:qFormat/>
    <w:uiPriority w:val="99"/>
    <w:pPr>
      <w:widowControl/>
      <w:spacing w:before="240" w:after="60"/>
      <w:jc w:val="left"/>
      <w:outlineLvl w:val="8"/>
    </w:pPr>
    <w:rPr>
      <w:rFonts w:ascii="Cambria" w:hAnsi="Cambria" w:cs="Cambria"/>
      <w:kern w:val="0"/>
      <w:sz w:val="22"/>
      <w:szCs w:val="22"/>
    </w:rPr>
  </w:style>
  <w:style w:type="character" w:default="1" w:styleId="18">
    <w:name w:val="Default Paragraph Font"/>
    <w:semiHidden/>
    <w:qFormat/>
    <w:uiPriority w:val="99"/>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cs="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cs="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cs="Cambria"/>
      <w:kern w:val="0"/>
      <w:sz w:val="24"/>
      <w:szCs w:val="24"/>
    </w:rPr>
  </w:style>
  <w:style w:type="paragraph" w:styleId="15">
    <w:name w:val="Normal (Web)"/>
    <w:basedOn w:val="1"/>
    <w:qFormat/>
    <w:locked/>
    <w:uiPriority w:val="99"/>
    <w:pPr>
      <w:spacing w:before="100" w:beforeAutospacing="1" w:after="100" w:afterAutospacing="1"/>
      <w:jc w:val="left"/>
    </w:pPr>
    <w:rPr>
      <w:rFonts w:eastAsia="仿宋_GB2312"/>
      <w:kern w:val="0"/>
      <w:sz w:val="24"/>
      <w:szCs w:val="24"/>
    </w:rPr>
  </w:style>
  <w:style w:type="paragraph" w:styleId="16">
    <w:name w:val="Title"/>
    <w:basedOn w:val="1"/>
    <w:next w:val="1"/>
    <w:link w:val="34"/>
    <w:qFormat/>
    <w:uiPriority w:val="99"/>
    <w:pPr>
      <w:widowControl/>
      <w:spacing w:before="240" w:after="60"/>
      <w:jc w:val="center"/>
      <w:outlineLvl w:val="0"/>
    </w:pPr>
    <w:rPr>
      <w:rFonts w:ascii="Cambria" w:hAnsi="Cambria" w:cs="Cambria"/>
      <w:b/>
      <w:bCs/>
      <w:kern w:val="28"/>
      <w:sz w:val="32"/>
      <w:szCs w:val="32"/>
    </w:rPr>
  </w:style>
  <w:style w:type="character" w:styleId="19">
    <w:name w:val="Strong"/>
    <w:basedOn w:val="18"/>
    <w:qFormat/>
    <w:uiPriority w:val="99"/>
    <w:rPr>
      <w:b/>
      <w:bCs/>
    </w:rPr>
  </w:style>
  <w:style w:type="character" w:styleId="20">
    <w:name w:val="Emphasis"/>
    <w:basedOn w:val="18"/>
    <w:qFormat/>
    <w:uiPriority w:val="99"/>
    <w:rPr>
      <w:rFonts w:ascii="Calibri" w:hAnsi="Calibri" w:cs="Calibri"/>
      <w:b/>
      <w:bCs/>
      <w:i/>
      <w:iCs/>
    </w:rPr>
  </w:style>
  <w:style w:type="character" w:customStyle="1" w:styleId="21">
    <w:name w:val="Heading 1 Char"/>
    <w:basedOn w:val="18"/>
    <w:link w:val="2"/>
    <w:qFormat/>
    <w:locked/>
    <w:uiPriority w:val="99"/>
    <w:rPr>
      <w:rFonts w:ascii="Cambria" w:hAnsi="Cambria" w:eastAsia="宋体" w:cs="Cambria"/>
      <w:b/>
      <w:bCs/>
      <w:kern w:val="32"/>
      <w:sz w:val="32"/>
      <w:szCs w:val="32"/>
    </w:rPr>
  </w:style>
  <w:style w:type="character" w:customStyle="1" w:styleId="22">
    <w:name w:val="Heading 2 Char"/>
    <w:basedOn w:val="18"/>
    <w:link w:val="3"/>
    <w:semiHidden/>
    <w:qFormat/>
    <w:locked/>
    <w:uiPriority w:val="99"/>
    <w:rPr>
      <w:rFonts w:ascii="Cambria" w:hAnsi="Cambria" w:eastAsia="宋体" w:cs="Cambria"/>
      <w:b/>
      <w:bCs/>
      <w:i/>
      <w:iCs/>
      <w:sz w:val="28"/>
      <w:szCs w:val="28"/>
    </w:rPr>
  </w:style>
  <w:style w:type="character" w:customStyle="1" w:styleId="23">
    <w:name w:val="Heading 3 Char"/>
    <w:basedOn w:val="18"/>
    <w:link w:val="4"/>
    <w:semiHidden/>
    <w:qFormat/>
    <w:locked/>
    <w:uiPriority w:val="99"/>
    <w:rPr>
      <w:rFonts w:ascii="Cambria" w:hAnsi="Cambria" w:eastAsia="宋体" w:cs="Cambria"/>
      <w:b/>
      <w:bCs/>
      <w:sz w:val="26"/>
      <w:szCs w:val="26"/>
    </w:rPr>
  </w:style>
  <w:style w:type="character" w:customStyle="1" w:styleId="24">
    <w:name w:val="Heading 4 Char"/>
    <w:basedOn w:val="18"/>
    <w:link w:val="5"/>
    <w:semiHidden/>
    <w:qFormat/>
    <w:locked/>
    <w:uiPriority w:val="99"/>
    <w:rPr>
      <w:b/>
      <w:bCs/>
      <w:sz w:val="28"/>
      <w:szCs w:val="28"/>
    </w:rPr>
  </w:style>
  <w:style w:type="character" w:customStyle="1" w:styleId="25">
    <w:name w:val="Heading 5 Char"/>
    <w:basedOn w:val="18"/>
    <w:link w:val="6"/>
    <w:semiHidden/>
    <w:qFormat/>
    <w:locked/>
    <w:uiPriority w:val="99"/>
    <w:rPr>
      <w:b/>
      <w:bCs/>
      <w:i/>
      <w:iCs/>
      <w:sz w:val="26"/>
      <w:szCs w:val="26"/>
    </w:rPr>
  </w:style>
  <w:style w:type="character" w:customStyle="1" w:styleId="26">
    <w:name w:val="Heading 6 Char"/>
    <w:basedOn w:val="18"/>
    <w:link w:val="7"/>
    <w:semiHidden/>
    <w:qFormat/>
    <w:locked/>
    <w:uiPriority w:val="99"/>
    <w:rPr>
      <w:b/>
      <w:bCs/>
    </w:rPr>
  </w:style>
  <w:style w:type="character" w:customStyle="1" w:styleId="27">
    <w:name w:val="Heading 7 Char"/>
    <w:basedOn w:val="18"/>
    <w:link w:val="8"/>
    <w:semiHidden/>
    <w:qFormat/>
    <w:locked/>
    <w:uiPriority w:val="99"/>
    <w:rPr>
      <w:sz w:val="24"/>
      <w:szCs w:val="24"/>
    </w:rPr>
  </w:style>
  <w:style w:type="character" w:customStyle="1" w:styleId="28">
    <w:name w:val="Heading 8 Char"/>
    <w:basedOn w:val="18"/>
    <w:link w:val="9"/>
    <w:semiHidden/>
    <w:qFormat/>
    <w:locked/>
    <w:uiPriority w:val="99"/>
    <w:rPr>
      <w:i/>
      <w:iCs/>
      <w:sz w:val="24"/>
      <w:szCs w:val="24"/>
    </w:rPr>
  </w:style>
  <w:style w:type="character" w:customStyle="1" w:styleId="29">
    <w:name w:val="Heading 9 Char"/>
    <w:basedOn w:val="18"/>
    <w:link w:val="10"/>
    <w:semiHidden/>
    <w:qFormat/>
    <w:locked/>
    <w:uiPriority w:val="99"/>
    <w:rPr>
      <w:rFonts w:ascii="Cambria" w:hAnsi="Cambria" w:eastAsia="宋体" w:cs="Cambria"/>
    </w:rPr>
  </w:style>
  <w:style w:type="character" w:customStyle="1" w:styleId="30">
    <w:name w:val="Balloon Text Char"/>
    <w:basedOn w:val="18"/>
    <w:link w:val="11"/>
    <w:semiHidden/>
    <w:qFormat/>
    <w:locked/>
    <w:uiPriority w:val="99"/>
    <w:rPr>
      <w:rFonts w:ascii="Times New Roman" w:hAnsi="Times New Roman" w:eastAsia="宋体" w:cs="Times New Roman"/>
      <w:kern w:val="2"/>
      <w:sz w:val="18"/>
      <w:szCs w:val="18"/>
    </w:rPr>
  </w:style>
  <w:style w:type="character" w:customStyle="1" w:styleId="31">
    <w:name w:val="Footer Char"/>
    <w:basedOn w:val="18"/>
    <w:link w:val="12"/>
    <w:qFormat/>
    <w:locked/>
    <w:uiPriority w:val="99"/>
    <w:rPr>
      <w:rFonts w:ascii="Calibri" w:hAnsi="Calibri" w:eastAsia="宋体" w:cs="Calibri"/>
      <w:kern w:val="2"/>
      <w:sz w:val="18"/>
      <w:szCs w:val="18"/>
    </w:rPr>
  </w:style>
  <w:style w:type="character" w:customStyle="1" w:styleId="32">
    <w:name w:val="Header Char"/>
    <w:basedOn w:val="18"/>
    <w:link w:val="13"/>
    <w:qFormat/>
    <w:locked/>
    <w:uiPriority w:val="99"/>
    <w:rPr>
      <w:rFonts w:ascii="Calibri" w:hAnsi="Calibri" w:eastAsia="宋体" w:cs="Calibri"/>
      <w:kern w:val="2"/>
      <w:sz w:val="18"/>
      <w:szCs w:val="18"/>
    </w:rPr>
  </w:style>
  <w:style w:type="character" w:customStyle="1" w:styleId="33">
    <w:name w:val="Subtitle Char"/>
    <w:basedOn w:val="18"/>
    <w:link w:val="14"/>
    <w:qFormat/>
    <w:locked/>
    <w:uiPriority w:val="99"/>
    <w:rPr>
      <w:rFonts w:ascii="Cambria" w:hAnsi="Cambria" w:eastAsia="宋体" w:cs="Cambria"/>
      <w:sz w:val="24"/>
      <w:szCs w:val="24"/>
    </w:rPr>
  </w:style>
  <w:style w:type="character" w:customStyle="1" w:styleId="34">
    <w:name w:val="Title Char"/>
    <w:basedOn w:val="18"/>
    <w:link w:val="16"/>
    <w:qFormat/>
    <w:locked/>
    <w:uiPriority w:val="99"/>
    <w:rPr>
      <w:rFonts w:ascii="Cambria" w:hAnsi="Cambria" w:eastAsia="宋体" w:cs="Cambria"/>
      <w:b/>
      <w:bCs/>
      <w:kern w:val="28"/>
      <w:sz w:val="32"/>
      <w:szCs w:val="32"/>
    </w:rPr>
  </w:style>
  <w:style w:type="paragraph" w:styleId="35">
    <w:name w:val="No Spacing"/>
    <w:basedOn w:val="1"/>
    <w:qFormat/>
    <w:uiPriority w:val="99"/>
    <w:pPr>
      <w:widowControl/>
      <w:jc w:val="left"/>
    </w:pPr>
    <w:rPr>
      <w:rFonts w:ascii="Calibri" w:hAnsi="Calibri" w:cs="Calibri"/>
      <w:kern w:val="0"/>
      <w:sz w:val="24"/>
      <w:szCs w:val="24"/>
      <w:lang w:eastAsia="en-US"/>
    </w:rPr>
  </w:style>
  <w:style w:type="paragraph" w:styleId="36">
    <w:name w:val="List Paragraph"/>
    <w:basedOn w:val="1"/>
    <w:qFormat/>
    <w:uiPriority w:val="99"/>
    <w:pPr>
      <w:widowControl/>
      <w:ind w:left="720"/>
      <w:jc w:val="left"/>
    </w:pPr>
    <w:rPr>
      <w:rFonts w:ascii="Calibri" w:hAnsi="Calibri" w:cs="Calibri"/>
      <w:kern w:val="0"/>
      <w:sz w:val="24"/>
      <w:szCs w:val="24"/>
      <w:lang w:eastAsia="en-US"/>
    </w:rPr>
  </w:style>
  <w:style w:type="paragraph" w:styleId="37">
    <w:name w:val="Quote"/>
    <w:basedOn w:val="1"/>
    <w:next w:val="1"/>
    <w:link w:val="38"/>
    <w:qFormat/>
    <w:uiPriority w:val="99"/>
    <w:pPr>
      <w:widowControl/>
      <w:jc w:val="left"/>
    </w:pPr>
    <w:rPr>
      <w:rFonts w:ascii="Calibri" w:hAnsi="Calibri" w:cs="Calibri"/>
      <w:i/>
      <w:iCs/>
      <w:kern w:val="0"/>
      <w:sz w:val="24"/>
      <w:szCs w:val="24"/>
    </w:rPr>
  </w:style>
  <w:style w:type="character" w:customStyle="1" w:styleId="38">
    <w:name w:val="Quote Char"/>
    <w:basedOn w:val="18"/>
    <w:link w:val="37"/>
    <w:qFormat/>
    <w:locked/>
    <w:uiPriority w:val="99"/>
    <w:rPr>
      <w:i/>
      <w:iCs/>
      <w:sz w:val="24"/>
      <w:szCs w:val="24"/>
    </w:rPr>
  </w:style>
  <w:style w:type="paragraph" w:styleId="39">
    <w:name w:val="Intense Quote"/>
    <w:basedOn w:val="1"/>
    <w:next w:val="1"/>
    <w:link w:val="40"/>
    <w:qFormat/>
    <w:uiPriority w:val="99"/>
    <w:pPr>
      <w:widowControl/>
      <w:ind w:left="720" w:right="720"/>
      <w:jc w:val="left"/>
    </w:pPr>
    <w:rPr>
      <w:rFonts w:ascii="Calibri" w:hAnsi="Calibri" w:cs="Calibri"/>
      <w:b/>
      <w:bCs/>
      <w:i/>
      <w:iCs/>
      <w:kern w:val="0"/>
      <w:sz w:val="24"/>
      <w:szCs w:val="24"/>
    </w:rPr>
  </w:style>
  <w:style w:type="character" w:customStyle="1" w:styleId="40">
    <w:name w:val="Intense Quote Char"/>
    <w:basedOn w:val="18"/>
    <w:link w:val="39"/>
    <w:qFormat/>
    <w:locked/>
    <w:uiPriority w:val="99"/>
    <w:rPr>
      <w:b/>
      <w:bCs/>
      <w:i/>
      <w:iCs/>
      <w:sz w:val="24"/>
      <w:szCs w:val="24"/>
    </w:rPr>
  </w:style>
  <w:style w:type="character" w:customStyle="1" w:styleId="41">
    <w:name w:val="Subtle Emphasis1"/>
    <w:basedOn w:val="18"/>
    <w:qFormat/>
    <w:uiPriority w:val="99"/>
    <w:rPr>
      <w:i/>
      <w:iCs/>
      <w:color w:val="auto"/>
    </w:rPr>
  </w:style>
  <w:style w:type="character" w:customStyle="1" w:styleId="42">
    <w:name w:val="Intense Emphasis1"/>
    <w:basedOn w:val="18"/>
    <w:uiPriority w:val="99"/>
    <w:rPr>
      <w:b/>
      <w:bCs/>
      <w:i/>
      <w:iCs/>
      <w:sz w:val="24"/>
      <w:szCs w:val="24"/>
      <w:u w:val="single"/>
    </w:rPr>
  </w:style>
  <w:style w:type="character" w:customStyle="1" w:styleId="43">
    <w:name w:val="Subtle Reference1"/>
    <w:basedOn w:val="18"/>
    <w:qFormat/>
    <w:uiPriority w:val="99"/>
    <w:rPr>
      <w:sz w:val="24"/>
      <w:szCs w:val="24"/>
      <w:u w:val="single"/>
    </w:rPr>
  </w:style>
  <w:style w:type="character" w:customStyle="1" w:styleId="44">
    <w:name w:val="Intense Reference1"/>
    <w:basedOn w:val="18"/>
    <w:qFormat/>
    <w:uiPriority w:val="99"/>
    <w:rPr>
      <w:b/>
      <w:bCs/>
      <w:sz w:val="24"/>
      <w:szCs w:val="24"/>
      <w:u w:val="single"/>
    </w:rPr>
  </w:style>
  <w:style w:type="character" w:customStyle="1" w:styleId="45">
    <w:name w:val="Book Title1"/>
    <w:basedOn w:val="18"/>
    <w:qFormat/>
    <w:uiPriority w:val="99"/>
    <w:rPr>
      <w:rFonts w:ascii="Cambria" w:hAnsi="Cambria" w:eastAsia="宋体" w:cs="Cambria"/>
      <w:b/>
      <w:bCs/>
      <w:i/>
      <w:iCs/>
      <w:sz w:val="24"/>
      <w:szCs w:val="24"/>
    </w:rPr>
  </w:style>
  <w:style w:type="paragraph" w:customStyle="1" w:styleId="46">
    <w:name w:val="TOC Heading1"/>
    <w:basedOn w:val="2"/>
    <w:next w:val="1"/>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Pages>14</Pages>
  <Words>7113</Words>
  <Characters>7390</Characters>
  <Lines>0</Lines>
  <Paragraphs>0</Paragraphs>
  <TotalTime>13</TotalTime>
  <ScaleCrop>false</ScaleCrop>
  <LinksUpToDate>false</LinksUpToDate>
  <CharactersWithSpaces>7406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2019-01-15T05:38:00Z</dcterms:created>
  <dc:creator>赵 恺（预算处）</dc:creator>
  <cp:lastModifiedBy>Qxb</cp:lastModifiedBy>
  <cp:lastPrinted>2020-04-30T09:23:00Z</cp:lastPrinted>
  <dcterms:modified xsi:type="dcterms:W3CDTF">2025-02-07T04:58:32Z</dcterms:modified>
  <dc:title>附件2：</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eyJoZGlkIjoiNjhiMzgzMWJiNDVmMjc4YmZhYzYxZmZlMGEwZTI0MDIiLCJ1c2VySWQiOiIxMDczMzg0NjQwIn0=</vt:lpwstr>
  </property>
  <property fmtid="{D5CDD505-2E9C-101B-9397-08002B2CF9AE}" pid="4" name="ICV">
    <vt:lpwstr>3A3AC53AE1C14171BD7CE62C482E2216_12</vt:lpwstr>
  </property>
</Properties>
</file>