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6CAB8">
      <w:pPr>
        <w:spacing w:line="480" w:lineRule="auto"/>
        <w:ind w:firstLine="0" w:firstLineChars="0"/>
        <w:jc w:val="center"/>
        <w:rPr>
          <w:rFonts w:hint="eastAsia" w:ascii="Times New Roman" w:hAnsi="Times New Roman" w:eastAsia="黑体" w:cs="Times New Roman"/>
          <w:b/>
          <w:kern w:val="0"/>
          <w:sz w:val="50"/>
          <w:szCs w:val="50"/>
          <w:lang w:bidi="en-US"/>
        </w:rPr>
      </w:pPr>
    </w:p>
    <w:p w14:paraId="03F337D6">
      <w:pPr>
        <w:pStyle w:val="2"/>
        <w:rPr>
          <w:rFonts w:hint="eastAsia" w:ascii="Times New Roman" w:hAnsi="Times New Roman" w:eastAsia="黑体" w:cs="Times New Roman"/>
          <w:b/>
          <w:kern w:val="0"/>
          <w:sz w:val="50"/>
          <w:szCs w:val="50"/>
          <w:lang w:bidi="en-US"/>
        </w:rPr>
      </w:pPr>
    </w:p>
    <w:p w14:paraId="610A8DA7">
      <w:pPr>
        <w:rPr>
          <w:rFonts w:hint="eastAsia"/>
        </w:rPr>
      </w:pPr>
    </w:p>
    <w:p w14:paraId="51EC1B2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巴州党委老干部局</w:t>
      </w:r>
      <w:r>
        <w:rPr>
          <w:rFonts w:hint="eastAsia" w:ascii="方正小标宋_GBK" w:hAnsi="华文中宋" w:eastAsia="方正小标宋_GBK" w:cs="宋体"/>
          <w:b/>
          <w:kern w:val="0"/>
          <w:sz w:val="48"/>
          <w:szCs w:val="48"/>
        </w:rPr>
        <w:t>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299B5EF6">
      <w:pPr>
        <w:spacing w:line="540" w:lineRule="exact"/>
        <w:jc w:val="center"/>
        <w:rPr>
          <w:rFonts w:ascii="华文中宋" w:hAnsi="华文中宋" w:eastAsia="华文中宋" w:cs="宋体"/>
          <w:b/>
          <w:kern w:val="0"/>
          <w:sz w:val="52"/>
          <w:szCs w:val="52"/>
        </w:rPr>
      </w:pPr>
    </w:p>
    <w:p w14:paraId="28AAC4A5">
      <w:pPr>
        <w:spacing w:line="540" w:lineRule="exact"/>
        <w:jc w:val="center"/>
        <w:rPr>
          <w:rFonts w:ascii="华文中宋" w:hAnsi="华文中宋" w:eastAsia="华文中宋" w:cs="宋体"/>
          <w:b/>
          <w:kern w:val="0"/>
          <w:sz w:val="52"/>
          <w:szCs w:val="52"/>
        </w:rPr>
      </w:pPr>
    </w:p>
    <w:p w14:paraId="3ECB5760">
      <w:pPr>
        <w:spacing w:line="540" w:lineRule="exact"/>
        <w:jc w:val="center"/>
        <w:rPr>
          <w:rFonts w:ascii="华文中宋" w:hAnsi="华文中宋" w:eastAsia="华文中宋" w:cs="宋体"/>
          <w:b/>
          <w:kern w:val="0"/>
          <w:sz w:val="52"/>
          <w:szCs w:val="52"/>
        </w:rPr>
      </w:pPr>
    </w:p>
    <w:p w14:paraId="34D4DC8C">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（2019年度）</w:t>
      </w:r>
    </w:p>
    <w:p w14:paraId="08393A48">
      <w:pPr>
        <w:spacing w:line="540" w:lineRule="exact"/>
        <w:jc w:val="center"/>
        <w:rPr>
          <w:rFonts w:hAnsi="宋体" w:eastAsia="仿宋_GB2312" w:cs="宋体"/>
          <w:kern w:val="0"/>
          <w:sz w:val="30"/>
          <w:szCs w:val="30"/>
        </w:rPr>
      </w:pPr>
    </w:p>
    <w:p w14:paraId="77510939">
      <w:pPr>
        <w:spacing w:line="540" w:lineRule="exact"/>
        <w:jc w:val="center"/>
        <w:rPr>
          <w:rFonts w:hAnsi="宋体" w:eastAsia="仿宋_GB2312" w:cs="宋体"/>
          <w:kern w:val="0"/>
          <w:sz w:val="30"/>
          <w:szCs w:val="30"/>
        </w:rPr>
      </w:pPr>
    </w:p>
    <w:p w14:paraId="72AA2C99">
      <w:pPr>
        <w:spacing w:line="540" w:lineRule="exact"/>
        <w:jc w:val="center"/>
        <w:rPr>
          <w:rFonts w:hAnsi="宋体" w:eastAsia="仿宋_GB2312" w:cs="宋体"/>
          <w:kern w:val="0"/>
          <w:sz w:val="30"/>
          <w:szCs w:val="30"/>
        </w:rPr>
      </w:pPr>
    </w:p>
    <w:p w14:paraId="2145DF97">
      <w:pPr>
        <w:spacing w:line="540" w:lineRule="exact"/>
        <w:jc w:val="center"/>
        <w:rPr>
          <w:rFonts w:hAnsi="宋体" w:eastAsia="仿宋_GB2312" w:cs="宋体"/>
          <w:kern w:val="0"/>
          <w:sz w:val="30"/>
          <w:szCs w:val="30"/>
        </w:rPr>
      </w:pPr>
    </w:p>
    <w:p w14:paraId="44DCA607">
      <w:pPr>
        <w:spacing w:line="540" w:lineRule="exact"/>
        <w:jc w:val="center"/>
        <w:rPr>
          <w:rFonts w:hAnsi="宋体" w:eastAsia="仿宋_GB2312" w:cs="宋体"/>
          <w:kern w:val="0"/>
          <w:sz w:val="30"/>
          <w:szCs w:val="30"/>
        </w:rPr>
      </w:pPr>
    </w:p>
    <w:p w14:paraId="1FEB51AD">
      <w:pPr>
        <w:spacing w:line="540" w:lineRule="exact"/>
        <w:rPr>
          <w:rFonts w:hAnsi="宋体" w:eastAsia="仿宋_GB2312" w:cs="宋体"/>
          <w:kern w:val="0"/>
          <w:sz w:val="30"/>
          <w:szCs w:val="30"/>
        </w:rPr>
      </w:pPr>
    </w:p>
    <w:p w14:paraId="6AC89BA8">
      <w:pPr>
        <w:spacing w:line="700" w:lineRule="exact"/>
        <w:ind w:firstLine="900" w:firstLineChars="250"/>
        <w:jc w:val="left"/>
        <w:rPr>
          <w:rFonts w:hint="eastAsia" w:hAnsi="宋体" w:eastAsia="仿宋_GB2312" w:cs="宋体"/>
          <w:kern w:val="0"/>
          <w:sz w:val="36"/>
          <w:szCs w:val="36"/>
          <w:lang w:eastAsia="zh-CN"/>
        </w:rPr>
      </w:pPr>
      <w:r>
        <w:rPr>
          <w:rFonts w:hint="eastAsia" w:hAnsi="宋体" w:eastAsia="仿宋_GB2312" w:cs="宋体"/>
          <w:kern w:val="0"/>
          <w:sz w:val="36"/>
          <w:szCs w:val="36"/>
        </w:rPr>
        <w:t>项目名称：</w:t>
      </w:r>
      <w:r>
        <w:rPr>
          <w:rFonts w:hint="eastAsia" w:hAnsi="宋体" w:cs="宋体"/>
          <w:kern w:val="0"/>
          <w:sz w:val="36"/>
          <w:szCs w:val="36"/>
          <w:lang w:eastAsia="zh-CN"/>
        </w:rPr>
        <w:t>老干部活动费</w:t>
      </w:r>
    </w:p>
    <w:p w14:paraId="460E5311">
      <w:pPr>
        <w:spacing w:line="700" w:lineRule="exact"/>
        <w:ind w:firstLine="900" w:firstLineChars="25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Ansi="宋体" w:eastAsia="仿宋_GB2312" w:cs="宋体"/>
          <w:kern w:val="0"/>
          <w:sz w:val="36"/>
          <w:szCs w:val="36"/>
        </w:rPr>
        <w:t xml:space="preserve"> </w:t>
      </w:r>
      <w:r>
        <w:rPr>
          <w:rFonts w:hint="eastAsia" w:hAnsi="宋体" w:cs="宋体"/>
          <w:kern w:val="0"/>
          <w:sz w:val="36"/>
          <w:szCs w:val="36"/>
          <w:lang w:eastAsia="zh-CN"/>
        </w:rPr>
        <w:t>巴州党委老干部局</w:t>
      </w:r>
    </w:p>
    <w:p w14:paraId="2B2A7FD8">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Ansi="宋体" w:eastAsia="仿宋_GB2312" w:cs="宋体"/>
          <w:kern w:val="0"/>
          <w:sz w:val="36"/>
          <w:szCs w:val="36"/>
        </w:rPr>
        <w:t xml:space="preserve"> </w:t>
      </w:r>
      <w:r>
        <w:rPr>
          <w:rFonts w:hint="eastAsia" w:hAnsi="宋体" w:cs="宋体"/>
          <w:kern w:val="0"/>
          <w:sz w:val="36"/>
          <w:szCs w:val="36"/>
          <w:lang w:eastAsia="zh-CN"/>
        </w:rPr>
        <w:t>巴州党委</w:t>
      </w:r>
    </w:p>
    <w:p w14:paraId="2EA4601A">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cs="宋体"/>
          <w:kern w:val="0"/>
          <w:sz w:val="36"/>
          <w:szCs w:val="36"/>
          <w:lang w:eastAsia="zh-CN"/>
        </w:rPr>
        <w:t>李鹏飞</w:t>
      </w:r>
    </w:p>
    <w:p w14:paraId="60624240">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val="en-US" w:eastAsia="zh-CN"/>
        </w:rPr>
        <w:t>2020年4月30日</w:t>
      </w:r>
      <w:r>
        <w:rPr>
          <w:rFonts w:hint="eastAsia" w:hAnsi="宋体" w:eastAsia="仿宋_GB2312" w:cs="宋体"/>
          <w:kern w:val="0"/>
          <w:sz w:val="36"/>
          <w:szCs w:val="36"/>
        </w:rPr>
        <w:t xml:space="preserve">  </w:t>
      </w:r>
      <w:r>
        <w:rPr>
          <w:rFonts w:hAnsi="宋体" w:eastAsia="仿宋_GB2312" w:cs="宋体"/>
          <w:kern w:val="0"/>
          <w:sz w:val="36"/>
          <w:szCs w:val="36"/>
        </w:rPr>
        <w:t xml:space="preserve"> </w:t>
      </w:r>
    </w:p>
    <w:p w14:paraId="0DED40CD"/>
    <w:p w14:paraId="61D1C717">
      <w:pPr>
        <w:spacing w:line="600" w:lineRule="exact"/>
        <w:ind w:firstLine="600" w:firstLineChars="200"/>
        <w:rPr>
          <w:rFonts w:ascii="黑体" w:hAnsi="黑体" w:eastAsia="黑体"/>
        </w:rPr>
      </w:pPr>
      <w:r>
        <w:rPr>
          <w:rFonts w:hint="eastAsia" w:ascii="黑体" w:hAnsi="黑体" w:eastAsia="黑体"/>
        </w:rPr>
        <w:t>一、基本情况</w:t>
      </w:r>
    </w:p>
    <w:p w14:paraId="31BEB4E4">
      <w:pPr>
        <w:spacing w:line="600" w:lineRule="exact"/>
        <w:ind w:firstLine="602" w:firstLineChars="200"/>
        <w:rPr>
          <w:rFonts w:ascii="黑体" w:hAnsi="黑体" w:eastAsia="黑体"/>
          <w:b/>
        </w:rPr>
      </w:pPr>
      <w:r>
        <w:rPr>
          <w:rFonts w:hint="eastAsia" w:ascii="仿宋" w:hAnsi="仿宋" w:eastAsia="仿宋"/>
          <w:b/>
        </w:rPr>
        <w:t>（一）项目概况</w:t>
      </w:r>
    </w:p>
    <w:p w14:paraId="23DD8D75">
      <w:pPr>
        <w:spacing w:line="600" w:lineRule="exact"/>
        <w:ind w:firstLine="600" w:firstLineChars="200"/>
        <w:rPr>
          <w:rFonts w:ascii="仿宋" w:hAnsi="仿宋" w:eastAsia="仿宋"/>
        </w:rPr>
      </w:pPr>
      <w:r>
        <w:rPr>
          <w:rFonts w:hint="eastAsia" w:ascii="仿宋" w:hAnsi="仿宋" w:eastAsia="仿宋"/>
        </w:rPr>
        <w:t>1、项目背景：为贯彻落实党中央、自治区党委、州委有关离退休干部工作的方针政策，协调有关部门做好离退休干部各项待遇的落实，认真抓好中办发（2016）3号和新党办发（2017）47号文件精神贯彻落实。为了履行本单位职责，使老干部工作服务于全州工作大局，经多次会议研究，反复修改，结合实际，拟定老干部项目经费管理办法，设立老干部节日慰问和开展各类文体活动等专项经费。</w:t>
      </w:r>
    </w:p>
    <w:p w14:paraId="50E87065">
      <w:pPr>
        <w:pStyle w:val="12"/>
        <w:ind w:left="0" w:leftChars="0" w:firstLine="600" w:firstLineChars="200"/>
        <w:rPr>
          <w:rFonts w:ascii="仿宋" w:hAnsi="仿宋" w:eastAsia="仿宋"/>
        </w:rPr>
      </w:pPr>
      <w:r>
        <w:rPr>
          <w:rFonts w:hint="eastAsia" w:ascii="仿宋" w:hAnsi="仿宋" w:eastAsia="仿宋"/>
        </w:rPr>
        <w:t>2、主要内容及实施情况：</w:t>
      </w:r>
      <w:r>
        <w:rPr>
          <w:rFonts w:hint="eastAsia" w:ascii="仿宋" w:hAnsi="仿宋" w:eastAsia="仿宋" w:cs="Times New Roman"/>
          <w:kern w:val="2"/>
          <w:sz w:val="30"/>
          <w:szCs w:val="24"/>
          <w:lang w:val="en-US" w:eastAsia="zh-CN" w:bidi="ar-SA"/>
        </w:rPr>
        <w:t>履行老干部工作职责，加强老干部的各项待遇落实和充分发挥老干部的政治经验优势，全年慰问老干部7次557人，帮助特困帮扶老干部12人，组织老干部外出考察学习80人，举办老干部培训班1次118人，支持老干部开展各类文体活动741人。老干部对老干部局</w:t>
      </w:r>
      <w:bookmarkStart w:id="0" w:name="_GoBack"/>
      <w:bookmarkEnd w:id="0"/>
      <w:r>
        <w:rPr>
          <w:rFonts w:hint="eastAsia" w:ascii="仿宋" w:hAnsi="仿宋" w:eastAsia="仿宋" w:cs="Times New Roman"/>
          <w:kern w:val="2"/>
          <w:sz w:val="30"/>
          <w:szCs w:val="24"/>
          <w:lang w:val="en-US" w:eastAsia="zh-CN" w:bidi="ar-SA"/>
        </w:rPr>
        <w:t>的工作满意度显著增强，老干部满意率达到95%。</w:t>
      </w:r>
    </w:p>
    <w:p w14:paraId="1B73D131">
      <w:pPr>
        <w:spacing w:line="600" w:lineRule="exact"/>
        <w:ind w:firstLine="600" w:firstLineChars="200"/>
        <w:rPr>
          <w:rFonts w:hint="eastAsia" w:ascii="仿宋" w:hAnsi="仿宋" w:eastAsia="仿宋"/>
        </w:rPr>
      </w:pPr>
      <w:r>
        <w:rPr>
          <w:rFonts w:hint="eastAsia" w:ascii="仿宋" w:hAnsi="仿宋" w:eastAsia="仿宋"/>
        </w:rPr>
        <w:t>3、资金投入和使用情况：2019年追加老干部活动经费</w:t>
      </w:r>
      <w:r>
        <w:rPr>
          <w:rFonts w:hint="eastAsia" w:ascii="仿宋" w:hAnsi="仿宋" w:eastAsia="仿宋"/>
          <w:lang w:val="en-US" w:eastAsia="zh-CN"/>
        </w:rPr>
        <w:t>80.3</w:t>
      </w:r>
      <w:r>
        <w:rPr>
          <w:rFonts w:hint="eastAsia" w:ascii="仿宋" w:hAnsi="仿宋" w:eastAsia="仿宋"/>
        </w:rPr>
        <w:t>万元，财政资金支出</w:t>
      </w:r>
      <w:r>
        <w:rPr>
          <w:rFonts w:hint="eastAsia" w:ascii="仿宋" w:hAnsi="仿宋" w:eastAsia="仿宋"/>
          <w:lang w:val="en-US" w:eastAsia="zh-CN"/>
        </w:rPr>
        <w:t>80.3</w:t>
      </w:r>
      <w:r>
        <w:rPr>
          <w:rFonts w:hint="eastAsia" w:ascii="仿宋" w:hAnsi="仿宋" w:eastAsia="仿宋"/>
        </w:rPr>
        <w:t>万元，</w:t>
      </w:r>
      <w:r>
        <w:rPr>
          <w:rFonts w:hint="eastAsia" w:ascii="仿宋" w:hAnsi="仿宋" w:eastAsia="仿宋"/>
          <w:lang w:eastAsia="zh-CN"/>
        </w:rPr>
        <w:t>全部用于开展老干部慰问、帮助特殊困难老干部、组织老干部外出考察学习、举办培训班等</w:t>
      </w:r>
      <w:r>
        <w:rPr>
          <w:rFonts w:hint="eastAsia" w:ascii="仿宋" w:hAnsi="仿宋" w:eastAsia="仿宋"/>
        </w:rPr>
        <w:t>。</w:t>
      </w:r>
    </w:p>
    <w:p w14:paraId="3B237F9E">
      <w:pPr>
        <w:spacing w:line="600" w:lineRule="exact"/>
        <w:ind w:firstLine="602" w:firstLineChars="200"/>
        <w:rPr>
          <w:rFonts w:ascii="仿宋_GB2312"/>
        </w:rPr>
      </w:pPr>
      <w:r>
        <w:rPr>
          <w:rFonts w:hint="eastAsia" w:ascii="仿宋" w:hAnsi="仿宋" w:eastAsia="仿宋"/>
          <w:b/>
        </w:rPr>
        <w:t>（二）项目绩效目标</w:t>
      </w:r>
    </w:p>
    <w:p w14:paraId="00D29E52">
      <w:pPr>
        <w:pStyle w:val="12"/>
        <w:ind w:left="0" w:leftChars="0" w:firstLine="600" w:firstLineChars="200"/>
        <w:rPr>
          <w:rFonts w:hint="eastAsia"/>
          <w:lang w:eastAsia="zh-CN"/>
        </w:rPr>
      </w:pPr>
      <w:r>
        <w:rPr>
          <w:rFonts w:hint="eastAsia"/>
          <w:lang w:eastAsia="zh-CN"/>
        </w:rPr>
        <w:t>总体目标：</w:t>
      </w:r>
      <w:r>
        <w:rPr>
          <w:rFonts w:hint="eastAsia" w:ascii="仿宋" w:hAnsi="仿宋" w:eastAsia="仿宋" w:cs="Times New Roman"/>
          <w:kern w:val="2"/>
          <w:sz w:val="30"/>
          <w:szCs w:val="24"/>
          <w:lang w:val="en-US" w:eastAsia="zh-CN" w:bidi="ar-SA"/>
        </w:rPr>
        <w:t>履行老干部工作职责，加强老干部的各项待遇落实和充分发挥老干部的政治经验优势，</w:t>
      </w:r>
      <w:r>
        <w:rPr>
          <w:rFonts w:hint="eastAsia" w:ascii="仿宋" w:hAnsi="仿宋" w:eastAsia="仿宋"/>
          <w:lang w:eastAsia="zh-CN"/>
        </w:rPr>
        <w:t>开展老干部慰问、帮助特殊困难老干部、组织老干部外出考察学习、举办培训班等活动。</w:t>
      </w:r>
    </w:p>
    <w:p w14:paraId="5A39CE1A">
      <w:pPr>
        <w:pStyle w:val="12"/>
        <w:ind w:left="0" w:leftChars="0" w:firstLine="600" w:firstLineChars="200"/>
        <w:rPr>
          <w:rFonts w:hint="eastAsia"/>
          <w:lang w:eastAsia="zh-CN"/>
        </w:rPr>
      </w:pPr>
      <w:r>
        <w:rPr>
          <w:rFonts w:hint="eastAsia"/>
          <w:lang w:eastAsia="zh-CN"/>
        </w:rPr>
        <w:t>阶段性目标：　</w:t>
      </w:r>
    </w:p>
    <w:p w14:paraId="193A345D">
      <w:pPr>
        <w:pStyle w:val="12"/>
        <w:numPr>
          <w:ilvl w:val="0"/>
          <w:numId w:val="1"/>
        </w:numPr>
        <w:ind w:left="0" w:leftChars="0" w:firstLine="600" w:firstLineChars="200"/>
        <w:rPr>
          <w:rFonts w:hint="eastAsia" w:ascii="仿宋" w:hAnsi="仿宋" w:eastAsia="仿宋" w:cs="Times New Roman"/>
          <w:kern w:val="2"/>
          <w:sz w:val="30"/>
          <w:szCs w:val="24"/>
          <w:lang w:val="en-US" w:eastAsia="zh-CN" w:bidi="ar-SA"/>
        </w:rPr>
      </w:pPr>
      <w:r>
        <w:rPr>
          <w:rFonts w:hint="eastAsia"/>
          <w:lang w:val="en-US" w:eastAsia="zh-CN"/>
        </w:rPr>
        <w:t>组织重大节日开展</w:t>
      </w:r>
      <w:r>
        <w:rPr>
          <w:rFonts w:hint="eastAsia" w:ascii="仿宋" w:hAnsi="仿宋" w:eastAsia="仿宋" w:cs="Times New Roman"/>
          <w:kern w:val="2"/>
          <w:sz w:val="30"/>
          <w:szCs w:val="24"/>
          <w:lang w:val="en-US" w:eastAsia="zh-CN" w:bidi="ar-SA"/>
        </w:rPr>
        <w:t>慰问老干部活动，及时了解老干部的思想和生活状态，将</w:t>
      </w:r>
      <w:r>
        <w:rPr>
          <w:rFonts w:hint="eastAsia"/>
          <w:lang w:eastAsia="zh-CN"/>
        </w:rPr>
        <w:t>党和政府的关爱传递给老干部。</w:t>
      </w:r>
    </w:p>
    <w:p w14:paraId="1FC3D30B">
      <w:pPr>
        <w:pStyle w:val="12"/>
        <w:numPr>
          <w:ilvl w:val="0"/>
          <w:numId w:val="1"/>
        </w:numPr>
        <w:ind w:left="0" w:leftChars="0" w:firstLine="600" w:firstLineChars="200"/>
        <w:rPr>
          <w:rFonts w:hint="eastAsia"/>
          <w:lang w:eastAsia="zh-CN"/>
        </w:rPr>
      </w:pPr>
      <w:r>
        <w:rPr>
          <w:rFonts w:hint="eastAsia" w:ascii="仿宋" w:hAnsi="仿宋" w:eastAsia="仿宋" w:cs="Times New Roman"/>
          <w:kern w:val="2"/>
          <w:sz w:val="30"/>
          <w:szCs w:val="24"/>
          <w:lang w:val="en-US" w:eastAsia="zh-CN" w:bidi="ar-SA"/>
        </w:rPr>
        <w:t>组织老干部工作者开展老干部政策业务培训，提高老干部工作者的整体业务水平。</w:t>
      </w:r>
    </w:p>
    <w:p w14:paraId="57B575E2">
      <w:pPr>
        <w:pStyle w:val="12"/>
        <w:ind w:left="0" w:leftChars="0" w:firstLine="600" w:firstLineChars="200"/>
        <w:rPr>
          <w:rFonts w:hint="eastAsia"/>
          <w:lang w:eastAsia="zh-CN"/>
        </w:rPr>
      </w:pPr>
      <w:r>
        <w:rPr>
          <w:rFonts w:hint="eastAsia" w:ascii="仿宋" w:hAnsi="仿宋" w:eastAsia="仿宋" w:cs="Times New Roman"/>
          <w:kern w:val="2"/>
          <w:sz w:val="30"/>
          <w:szCs w:val="24"/>
          <w:lang w:val="en-US" w:eastAsia="zh-CN" w:bidi="ar-SA"/>
        </w:rPr>
        <w:t>3、帮助州直特殊困难老干部，协助解决实际行的困难，了解老干部所需、所盼、所求。</w:t>
      </w:r>
    </w:p>
    <w:p w14:paraId="48D07F54">
      <w:pPr>
        <w:spacing w:line="600" w:lineRule="exact"/>
        <w:ind w:firstLine="600" w:firstLineChars="200"/>
        <w:rPr>
          <w:rFonts w:ascii="仿宋" w:hAnsi="仿宋" w:eastAsia="仿宋"/>
        </w:rPr>
      </w:pPr>
      <w:r>
        <w:rPr>
          <w:rFonts w:hint="eastAsia"/>
          <w:lang w:eastAsia="zh-CN"/>
        </w:rPr>
        <w:t>4、组织老干部外出考察学习，</w:t>
      </w:r>
      <w:r>
        <w:rPr>
          <w:rFonts w:hint="eastAsia" w:ascii="仿宋" w:hAnsi="仿宋" w:eastAsia="仿宋"/>
        </w:rPr>
        <w:t>通过考察学习开阔眼界，充分调动老干部的政治优势和经验优势，对我州各项事业做贡献。</w:t>
      </w:r>
    </w:p>
    <w:p w14:paraId="1677C550">
      <w:pPr>
        <w:spacing w:line="600" w:lineRule="exact"/>
        <w:ind w:firstLine="600" w:firstLineChars="200"/>
        <w:rPr>
          <w:rFonts w:ascii="黑体" w:hAnsi="黑体" w:eastAsia="黑体"/>
        </w:rPr>
      </w:pPr>
      <w:r>
        <w:rPr>
          <w:rFonts w:hint="eastAsia" w:ascii="黑体" w:hAnsi="黑体" w:eastAsia="黑体"/>
        </w:rPr>
        <w:t>二、绩效评价工作开展情况</w:t>
      </w:r>
    </w:p>
    <w:p w14:paraId="434C9622">
      <w:pPr>
        <w:spacing w:line="600" w:lineRule="exact"/>
        <w:ind w:firstLine="602" w:firstLineChars="200"/>
        <w:rPr>
          <w:rFonts w:ascii="仿宋" w:hAnsi="仿宋" w:eastAsia="仿宋"/>
          <w:b/>
        </w:rPr>
      </w:pPr>
      <w:r>
        <w:rPr>
          <w:rFonts w:hint="eastAsia" w:ascii="仿宋" w:hAnsi="仿宋" w:eastAsia="仿宋"/>
          <w:b/>
        </w:rPr>
        <w:t>（一）绩效评价目的、对象和范围</w:t>
      </w:r>
    </w:p>
    <w:p w14:paraId="284F37EE">
      <w:pPr>
        <w:spacing w:line="600" w:lineRule="exact"/>
        <w:ind w:firstLine="600" w:firstLineChars="200"/>
        <w:rPr>
          <w:rFonts w:ascii="仿宋" w:hAnsi="仿宋" w:eastAsia="仿宋"/>
        </w:rPr>
      </w:pPr>
      <w:r>
        <w:rPr>
          <w:rFonts w:hint="eastAsia" w:ascii="仿宋" w:hAnsi="仿宋" w:eastAsia="仿宋"/>
        </w:rPr>
        <w:t>1、绩效评价目的：为了更好的服务全州老干部，做好老干部工作，认真落实老干部的政治、生活待遇。</w:t>
      </w:r>
    </w:p>
    <w:p w14:paraId="701709E2">
      <w:pPr>
        <w:spacing w:line="600" w:lineRule="exact"/>
        <w:ind w:firstLine="600" w:firstLineChars="200"/>
        <w:rPr>
          <w:rFonts w:hint="eastAsia" w:ascii="仿宋" w:hAnsi="仿宋" w:eastAsia="仿宋"/>
          <w:highlight w:val="none"/>
          <w:lang w:eastAsia="zh-CN"/>
        </w:rPr>
      </w:pPr>
      <w:r>
        <w:rPr>
          <w:rFonts w:hint="eastAsia" w:ascii="仿宋" w:hAnsi="仿宋" w:eastAsia="仿宋"/>
        </w:rPr>
        <w:t>2</w:t>
      </w:r>
      <w:r>
        <w:rPr>
          <w:rFonts w:hint="eastAsia" w:ascii="仿宋" w:hAnsi="仿宋" w:eastAsia="仿宋"/>
          <w:highlight w:val="none"/>
        </w:rPr>
        <w:t>、绩效评价对象</w:t>
      </w:r>
      <w:r>
        <w:rPr>
          <w:rFonts w:hint="eastAsia" w:ascii="仿宋" w:hAnsi="仿宋" w:eastAsia="仿宋"/>
          <w:highlight w:val="none"/>
          <w:lang w:eastAsia="zh-CN"/>
        </w:rPr>
        <w:t>：老干部</w:t>
      </w:r>
      <w:r>
        <w:rPr>
          <w:rFonts w:hint="eastAsia"/>
          <w:highlight w:val="none"/>
          <w:lang w:eastAsia="zh-CN"/>
        </w:rPr>
        <w:t>活动费</w:t>
      </w:r>
    </w:p>
    <w:p w14:paraId="46989A66">
      <w:pPr>
        <w:spacing w:line="600" w:lineRule="exact"/>
        <w:ind w:firstLine="600" w:firstLineChars="200"/>
        <w:rPr>
          <w:rFonts w:ascii="仿宋" w:hAnsi="仿宋" w:eastAsia="仿宋"/>
          <w:highlight w:val="none"/>
        </w:rPr>
      </w:pPr>
      <w:r>
        <w:rPr>
          <w:rFonts w:hint="eastAsia" w:ascii="仿宋" w:hAnsi="仿宋" w:eastAsia="仿宋"/>
          <w:highlight w:val="none"/>
          <w:lang w:val="en-US" w:eastAsia="zh-CN"/>
        </w:rPr>
        <w:t>3、</w:t>
      </w:r>
      <w:r>
        <w:rPr>
          <w:rFonts w:hint="eastAsia" w:ascii="仿宋" w:hAnsi="仿宋" w:eastAsia="仿宋"/>
          <w:highlight w:val="none"/>
        </w:rPr>
        <w:t>绩效评价范围：本项目涉及州直离退休老干部</w:t>
      </w:r>
    </w:p>
    <w:p w14:paraId="5C539F7F">
      <w:pPr>
        <w:spacing w:line="600" w:lineRule="exact"/>
        <w:ind w:firstLine="602" w:firstLineChars="200"/>
        <w:rPr>
          <w:rFonts w:ascii="仿宋" w:hAnsi="仿宋" w:eastAsia="仿宋"/>
          <w:b/>
          <w:highlight w:val="none"/>
        </w:rPr>
      </w:pPr>
      <w:r>
        <w:rPr>
          <w:rFonts w:hint="eastAsia" w:ascii="仿宋" w:hAnsi="仿宋" w:eastAsia="仿宋"/>
          <w:b/>
          <w:highlight w:val="none"/>
        </w:rPr>
        <w:t>（二）绩效评价原则、评价指标体系、评价方法、评价标准等</w:t>
      </w:r>
    </w:p>
    <w:p w14:paraId="0B7CC7BF">
      <w:pPr>
        <w:spacing w:line="600" w:lineRule="exact"/>
        <w:ind w:firstLine="600" w:firstLineChars="200"/>
        <w:rPr>
          <w:rFonts w:hint="eastAsia"/>
          <w:highlight w:val="yellow"/>
          <w:lang w:eastAsia="zh-CN"/>
        </w:rPr>
      </w:pPr>
      <w:r>
        <w:rPr>
          <w:rFonts w:hint="eastAsia" w:ascii="仿宋" w:hAnsi="仿宋" w:eastAsia="仿宋"/>
          <w:highlight w:val="none"/>
        </w:rPr>
        <w:t>1、</w:t>
      </w:r>
      <w:r>
        <w:rPr>
          <w:rFonts w:hint="eastAsia"/>
          <w:highlight w:val="none"/>
          <w:lang w:eastAsia="zh-CN"/>
        </w:rPr>
        <w:t>绩效评价原则：项目绩效评价坚持科学规范、公正公开、分级分类和绩效相关的原则,坚持经济效益、社会效益和生态效益相结合的原则。成立本单位绩效评价领导小组，严格</w:t>
      </w:r>
      <w:r>
        <w:rPr>
          <w:rFonts w:hint="eastAsia" w:ascii="仿宋_GB2312"/>
          <w:highlight w:val="none"/>
        </w:rPr>
        <w:t>按照</w:t>
      </w:r>
      <w:r>
        <w:rPr>
          <w:rFonts w:hint="eastAsia" w:ascii="仿宋_GB2312"/>
          <w:highlight w:val="none"/>
          <w:lang w:eastAsia="zh-CN"/>
        </w:rPr>
        <w:t>本单位制定的绩效评价分值表，结合实际情况逐项对照，</w:t>
      </w:r>
      <w:r>
        <w:rPr>
          <w:rFonts w:hint="eastAsia" w:ascii="仿宋_GB2312"/>
          <w:highlight w:val="none"/>
        </w:rPr>
        <w:t>对项目绩效进行客观、公正的</w:t>
      </w:r>
      <w:r>
        <w:rPr>
          <w:rFonts w:hint="eastAsia" w:ascii="仿宋_GB2312"/>
          <w:highlight w:val="none"/>
          <w:lang w:eastAsia="zh-CN"/>
        </w:rPr>
        <w:t>评分</w:t>
      </w:r>
      <w:r>
        <w:rPr>
          <w:rFonts w:hint="eastAsia" w:ascii="仿宋_GB2312"/>
          <w:highlight w:val="none"/>
        </w:rPr>
        <w:t>。</w:t>
      </w:r>
    </w:p>
    <w:p w14:paraId="2331AD63">
      <w:pPr>
        <w:pStyle w:val="12"/>
        <w:ind w:firstLine="498" w:firstLineChars="166"/>
        <w:rPr>
          <w:rFonts w:hint="eastAsia" w:ascii="仿宋" w:hAnsi="仿宋" w:eastAsia="仿宋"/>
          <w:b/>
        </w:rPr>
      </w:pPr>
      <w:r>
        <w:rPr>
          <w:rFonts w:hint="eastAsia" w:ascii="仿宋" w:hAnsi="仿宋" w:eastAsia="仿宋"/>
        </w:rPr>
        <w:t>2、</w:t>
      </w:r>
      <w:r>
        <w:rPr>
          <w:rFonts w:hint="eastAsia" w:ascii="仿宋" w:hAnsi="仿宋" w:eastAsia="仿宋"/>
          <w:b w:val="0"/>
          <w:bCs/>
        </w:rPr>
        <w:t>评价指标体系</w:t>
      </w:r>
      <w:r>
        <w:rPr>
          <w:rFonts w:hint="eastAsia" w:ascii="仿宋" w:hAnsi="仿宋" w:eastAsia="仿宋"/>
          <w:b w:val="0"/>
          <w:bCs/>
          <w:lang w:eastAsia="zh-CN"/>
        </w:rPr>
        <w:t>：</w:t>
      </w:r>
      <w:r>
        <w:rPr>
          <w:rFonts w:hint="eastAsia"/>
          <w:lang w:eastAsia="zh-CN"/>
        </w:rPr>
        <w:t>评价指标体系：评价标准从数量指标、质量指标、时效指标和群众满意度等方面分别计</w:t>
      </w:r>
      <w:r>
        <w:rPr>
          <w:rFonts w:hint="eastAsia"/>
          <w:highlight w:val="none"/>
          <w:lang w:eastAsia="zh-CN"/>
        </w:rPr>
        <w:t>分，详见后附评分表。</w:t>
      </w:r>
    </w:p>
    <w:p w14:paraId="2A64D419">
      <w:pPr>
        <w:spacing w:line="600" w:lineRule="exact"/>
        <w:ind w:firstLine="600" w:firstLineChars="200"/>
        <w:rPr>
          <w:rFonts w:hint="eastAsia" w:ascii="仿宋" w:hAnsi="仿宋" w:eastAsia="仿宋"/>
          <w:highlight w:val="none"/>
          <w:lang w:val="en-US" w:eastAsia="zh-CN"/>
        </w:rPr>
      </w:pPr>
      <w:r>
        <w:rPr>
          <w:rFonts w:hint="eastAsia"/>
          <w:color w:val="auto"/>
          <w:lang w:val="en-US" w:eastAsia="zh-CN"/>
        </w:rPr>
        <w:t>3、</w:t>
      </w:r>
      <w:r>
        <w:rPr>
          <w:rFonts w:hint="eastAsia" w:ascii="仿宋" w:hAnsi="仿宋" w:eastAsia="仿宋"/>
          <w:highlight w:val="none"/>
          <w:lang w:eastAsia="zh-CN"/>
        </w:rPr>
        <w:t>评价方法：为加强部门整体支出管理，提高资金和资产的使用效益，提高财务工作的精细化管理水平，结合</w:t>
      </w:r>
      <w:r>
        <w:rPr>
          <w:rFonts w:hint="eastAsia" w:ascii="仿宋" w:hAnsi="仿宋" w:eastAsia="仿宋"/>
          <w:highlight w:val="none"/>
          <w:lang w:val="en-US" w:eastAsia="zh-CN"/>
        </w:rPr>
        <w:t>我单位实际情况，本次绩效采用比较法、因素分析法。</w:t>
      </w:r>
    </w:p>
    <w:p w14:paraId="132B037D">
      <w:pPr>
        <w:spacing w:line="600" w:lineRule="exact"/>
        <w:ind w:firstLine="600" w:firstLineChars="200"/>
        <w:rPr>
          <w:rFonts w:hint="eastAsia" w:ascii="仿宋" w:hAnsi="仿宋" w:eastAsia="仿宋"/>
          <w:highlight w:val="none"/>
          <w:lang w:val="en-US" w:eastAsia="zh-CN"/>
        </w:rPr>
      </w:pPr>
      <w:r>
        <w:rPr>
          <w:rFonts w:hint="eastAsia" w:ascii="仿宋" w:hAnsi="仿宋" w:eastAsia="仿宋"/>
          <w:highlight w:val="none"/>
          <w:lang w:val="en-US" w:eastAsia="zh-CN"/>
        </w:rPr>
        <w:t>4、</w:t>
      </w:r>
      <w:r>
        <w:rPr>
          <w:rFonts w:hint="eastAsia" w:ascii="仿宋" w:hAnsi="仿宋" w:eastAsia="仿宋"/>
          <w:color w:val="auto"/>
          <w:highlight w:val="none"/>
          <w:lang w:val="en-US" w:eastAsia="zh-CN"/>
        </w:rPr>
        <w:t>评价标准：本</w:t>
      </w:r>
      <w:r>
        <w:rPr>
          <w:rFonts w:hint="eastAsia" w:ascii="仿宋" w:hAnsi="仿宋" w:eastAsia="仿宋"/>
          <w:highlight w:val="none"/>
          <w:lang w:val="en-US" w:eastAsia="zh-CN"/>
        </w:rPr>
        <w:t>次绩效采用计划标准，</w:t>
      </w:r>
      <w:r>
        <w:rPr>
          <w:rFonts w:hint="eastAsia"/>
          <w:color w:val="auto"/>
          <w:highlight w:val="none"/>
          <w:lang w:eastAsia="zh-CN"/>
        </w:rPr>
        <w:t>为加强部门整体支出管理，提高资金和资产的使用效益，提高财务工作的精细化管理水平，本单位根据绩效目标表，逐项对照实际完成情况设立分值并打分</w:t>
      </w:r>
      <w:r>
        <w:rPr>
          <w:rFonts w:hint="eastAsia" w:ascii="仿宋" w:hAnsi="仿宋" w:eastAsia="仿宋"/>
          <w:highlight w:val="none"/>
          <w:lang w:val="en-US" w:eastAsia="zh-CN"/>
        </w:rPr>
        <w:t>。</w:t>
      </w:r>
    </w:p>
    <w:p w14:paraId="77876ECC">
      <w:pPr>
        <w:spacing w:line="600" w:lineRule="exact"/>
        <w:ind w:firstLine="301" w:firstLineChars="100"/>
        <w:rPr>
          <w:rFonts w:ascii="仿宋" w:hAnsi="仿宋" w:eastAsia="仿宋"/>
          <w:b/>
        </w:rPr>
      </w:pPr>
      <w:r>
        <w:rPr>
          <w:rFonts w:hint="eastAsia" w:ascii="仿宋" w:hAnsi="仿宋" w:eastAsia="仿宋"/>
          <w:b/>
        </w:rPr>
        <w:t>（三）绩效评价工作过程</w:t>
      </w:r>
    </w:p>
    <w:p w14:paraId="421AA177">
      <w:pPr>
        <w:spacing w:line="600" w:lineRule="exact"/>
        <w:ind w:firstLine="600" w:firstLineChars="200"/>
        <w:rPr>
          <w:rFonts w:hint="eastAsia" w:ascii="仿宋" w:hAnsi="仿宋" w:eastAsia="仿宋"/>
          <w:highlight w:val="none"/>
          <w:lang w:eastAsia="zh-CN"/>
        </w:rPr>
      </w:pPr>
      <w:r>
        <w:rPr>
          <w:rFonts w:hint="eastAsia"/>
          <w:lang w:eastAsia="zh-CN"/>
        </w:rPr>
        <w:tab/>
      </w:r>
      <w:r>
        <w:rPr>
          <w:rFonts w:hint="eastAsia" w:ascii="仿宋" w:hAnsi="仿宋" w:eastAsia="仿宋"/>
          <w:highlight w:val="none"/>
          <w:lang w:eastAsia="zh-CN"/>
        </w:rPr>
        <w:t>1、前期准备：一是成立预算绩效管理评价工作领导小组，负责预算绩效评价工作的领导管理工作，领导小组下设办公室。二是开展预算绩效管理业务培训，宣传预算绩效管理工作的重要性。三是建立事前绩效目标编制工作，构建事中绩效跟踪和绩效评价机制。为确保绩效目标如期实现，根据确定的部门整体支出绩效目标和项目支出绩效目标，对绩效目标的完成进行跟踪和绩效自评。</w:t>
      </w:r>
    </w:p>
    <w:p w14:paraId="62D7BDE8">
      <w:pPr>
        <w:spacing w:line="600" w:lineRule="exact"/>
        <w:ind w:firstLine="600" w:firstLineChars="200"/>
        <w:rPr>
          <w:rFonts w:hint="eastAsia" w:ascii="仿宋" w:hAnsi="仿宋" w:eastAsia="仿宋"/>
          <w:highlight w:val="none"/>
          <w:lang w:eastAsia="zh-CN"/>
        </w:rPr>
      </w:pPr>
      <w:r>
        <w:rPr>
          <w:rFonts w:hint="eastAsia" w:ascii="仿宋" w:hAnsi="仿宋" w:eastAsia="仿宋"/>
          <w:highlight w:val="none"/>
          <w:lang w:eastAsia="zh-CN"/>
        </w:rPr>
        <w:t>2、组织实施：在部门整体支出绩效评价指标体系框架的基础上，结合年初预算批复的部门整体支出绩效指标，确定部门整体支出和项目的绩效自评指标体系、绩效考评实施方案，并开展相关绩效自评工作，得出绩效自评结论，形成部门整体支出绩效自评报告。</w:t>
      </w:r>
    </w:p>
    <w:p w14:paraId="2BAC7CEC">
      <w:pPr>
        <w:spacing w:line="600" w:lineRule="exact"/>
        <w:ind w:firstLine="600" w:firstLineChars="200"/>
        <w:rPr>
          <w:rFonts w:hint="eastAsia" w:ascii="仿宋" w:hAnsi="仿宋" w:eastAsia="仿宋"/>
          <w:highlight w:val="none"/>
          <w:lang w:eastAsia="zh-CN"/>
        </w:rPr>
      </w:pPr>
      <w:r>
        <w:rPr>
          <w:rFonts w:hint="eastAsia" w:ascii="仿宋" w:hAnsi="仿宋" w:eastAsia="仿宋"/>
          <w:highlight w:val="none"/>
          <w:lang w:eastAsia="zh-CN"/>
        </w:rPr>
        <w:t>3、2019年各项预算收入的各项绩效工作全部纳入巴州党委老干部局2019年度单位绩效考评工作，由州委绩效办对所涉及的相关工作进行了评价，相关工作所涉及的基础数据和资料来及佐证材料已通过检查和考核。</w:t>
      </w:r>
    </w:p>
    <w:p w14:paraId="03C871C0">
      <w:pPr>
        <w:numPr>
          <w:ilvl w:val="0"/>
          <w:numId w:val="2"/>
        </w:numPr>
        <w:spacing w:line="600" w:lineRule="exact"/>
        <w:ind w:firstLine="600" w:firstLineChars="200"/>
        <w:rPr>
          <w:rFonts w:hint="eastAsia" w:ascii="黑体" w:hAnsi="黑体" w:eastAsia="黑体"/>
        </w:rPr>
      </w:pPr>
      <w:r>
        <w:rPr>
          <w:rFonts w:hint="eastAsia" w:ascii="黑体" w:hAnsi="黑体" w:eastAsia="黑体"/>
        </w:rPr>
        <w:t>综合评价情况及评价结论</w:t>
      </w:r>
    </w:p>
    <w:p w14:paraId="1FA30E56">
      <w:pPr>
        <w:numPr>
          <w:ilvl w:val="0"/>
          <w:numId w:val="0"/>
        </w:numPr>
        <w:spacing w:line="600" w:lineRule="exact"/>
        <w:ind w:firstLine="600" w:firstLineChars="200"/>
        <w:rPr>
          <w:rFonts w:ascii="仿宋" w:hAnsi="仿宋" w:eastAsia="仿宋"/>
        </w:rPr>
      </w:pPr>
      <w:r>
        <w:rPr>
          <w:rFonts w:hint="eastAsia"/>
          <w:lang w:eastAsia="zh-CN"/>
        </w:rPr>
        <w:t>2019年巴州党委老干部局财政拨款收入项目资金</w:t>
      </w:r>
      <w:r>
        <w:rPr>
          <w:rFonts w:hint="eastAsia"/>
          <w:lang w:val="en-US" w:eastAsia="zh-CN"/>
        </w:rPr>
        <w:t>80.3</w:t>
      </w:r>
      <w:r>
        <w:rPr>
          <w:rFonts w:hint="eastAsia"/>
          <w:lang w:eastAsia="zh-CN"/>
        </w:rPr>
        <w:t>万元,自筹资金0元。全年</w:t>
      </w:r>
      <w:r>
        <w:rPr>
          <w:rFonts w:hint="eastAsia" w:ascii="仿宋" w:hAnsi="仿宋" w:eastAsia="仿宋"/>
        </w:rPr>
        <w:t>慰问老干部7次557人</w:t>
      </w:r>
      <w:r>
        <w:rPr>
          <w:rFonts w:hint="eastAsia" w:ascii="仿宋" w:hAnsi="仿宋" w:eastAsia="仿宋"/>
          <w:lang w:eastAsia="zh-CN"/>
        </w:rPr>
        <w:t>，</w:t>
      </w:r>
      <w:r>
        <w:rPr>
          <w:rFonts w:hint="eastAsia" w:ascii="仿宋" w:hAnsi="仿宋" w:eastAsia="仿宋"/>
        </w:rPr>
        <w:t>帮助特困帮扶老干部12人</w:t>
      </w:r>
      <w:r>
        <w:rPr>
          <w:rFonts w:hint="eastAsia" w:ascii="仿宋" w:hAnsi="仿宋" w:eastAsia="仿宋"/>
          <w:lang w:eastAsia="zh-CN"/>
        </w:rPr>
        <w:t>，</w:t>
      </w:r>
      <w:r>
        <w:rPr>
          <w:rFonts w:hint="eastAsia" w:ascii="仿宋" w:hAnsi="仿宋" w:eastAsia="仿宋"/>
        </w:rPr>
        <w:t>老干部外出考察学习80人</w:t>
      </w:r>
      <w:r>
        <w:rPr>
          <w:rFonts w:hint="eastAsia" w:ascii="仿宋" w:hAnsi="仿宋" w:eastAsia="仿宋"/>
          <w:lang w:eastAsia="zh-CN"/>
        </w:rPr>
        <w:t>，</w:t>
      </w:r>
      <w:r>
        <w:rPr>
          <w:rFonts w:hint="eastAsia" w:ascii="仿宋" w:hAnsi="仿宋" w:eastAsia="仿宋"/>
        </w:rPr>
        <w:t>全年举办老干部培训班1次118人</w:t>
      </w:r>
      <w:r>
        <w:rPr>
          <w:rFonts w:hint="eastAsia" w:ascii="仿宋" w:hAnsi="仿宋" w:eastAsia="仿宋"/>
          <w:lang w:eastAsia="zh-CN"/>
        </w:rPr>
        <w:t>，</w:t>
      </w:r>
      <w:r>
        <w:rPr>
          <w:rFonts w:hint="eastAsia" w:ascii="仿宋" w:hAnsi="仿宋" w:eastAsia="仿宋"/>
        </w:rPr>
        <w:t>全年支持老干部开展各类问题活动741人，均达到年初设立目标值，综合考虑资金投入、效果、影响力等各方面因素，通过数据采集及分析，最终评分结果：2019年老干部活动费资金项目绩效自评结果为：总得分</w:t>
      </w:r>
      <w:r>
        <w:rPr>
          <w:rFonts w:hint="eastAsia" w:ascii="仿宋" w:hAnsi="仿宋" w:eastAsia="仿宋"/>
          <w:lang w:val="en-US" w:eastAsia="zh-CN"/>
        </w:rPr>
        <w:t>90</w:t>
      </w:r>
      <w:r>
        <w:rPr>
          <w:rFonts w:hint="eastAsia" w:ascii="仿宋" w:hAnsi="仿宋" w:eastAsia="仿宋"/>
        </w:rPr>
        <w:t>分，属于"优秀"。</w:t>
      </w:r>
    </w:p>
    <w:p w14:paraId="5FCB7868">
      <w:pPr>
        <w:spacing w:line="600" w:lineRule="exact"/>
        <w:ind w:firstLine="600" w:firstLineChars="200"/>
        <w:rPr>
          <w:rFonts w:ascii="黑体" w:hAnsi="黑体" w:eastAsia="黑体"/>
        </w:rPr>
      </w:pPr>
      <w:r>
        <w:rPr>
          <w:rFonts w:hint="eastAsia" w:ascii="黑体" w:hAnsi="黑体" w:eastAsia="黑体"/>
        </w:rPr>
        <w:t>四、绩效评价指标分析</w:t>
      </w:r>
    </w:p>
    <w:p w14:paraId="6A618FFC">
      <w:pPr>
        <w:pStyle w:val="12"/>
        <w:ind w:firstLine="500" w:firstLineChars="166"/>
        <w:rPr>
          <w:rFonts w:hint="eastAsia"/>
          <w:b/>
          <w:bCs/>
          <w:lang w:eastAsia="zh-CN"/>
        </w:rPr>
      </w:pPr>
      <w:r>
        <w:rPr>
          <w:rFonts w:hint="eastAsia"/>
          <w:b/>
          <w:bCs/>
          <w:lang w:eastAsia="zh-CN"/>
        </w:rPr>
        <w:t>（一）项目决策情况</w:t>
      </w:r>
    </w:p>
    <w:p w14:paraId="1B379CA4">
      <w:pPr>
        <w:numPr>
          <w:ilvl w:val="0"/>
          <w:numId w:val="0"/>
        </w:numPr>
        <w:spacing w:line="600" w:lineRule="exact"/>
        <w:ind w:firstLine="600" w:firstLineChars="200"/>
        <w:rPr>
          <w:rFonts w:hint="eastAsia" w:ascii="仿宋" w:hAnsi="仿宋" w:eastAsia="仿宋"/>
          <w:lang w:val="en-US" w:eastAsia="zh-CN"/>
        </w:rPr>
      </w:pPr>
      <w:r>
        <w:rPr>
          <w:rFonts w:hint="eastAsia" w:ascii="仿宋" w:hAnsi="仿宋" w:eastAsia="仿宋"/>
          <w:lang w:eastAsia="zh-CN"/>
        </w:rPr>
        <w:t>项目决策指标主要从项目立项、绩效目标和资金投入三个方面来体现，三级指标有：立项依据充分性、立项程序规范性、绩效目标合理性、绩效指标明确性、预算编制科学性、资金分配合理性</w:t>
      </w:r>
      <w:r>
        <w:rPr>
          <w:rFonts w:hint="eastAsia" w:ascii="仿宋" w:hAnsi="仿宋" w:eastAsia="仿宋"/>
          <w:lang w:val="en-US" w:eastAsia="zh-CN"/>
        </w:rPr>
        <w:t>，共计6个具体评分点，详细得分见下表：</w:t>
      </w:r>
    </w:p>
    <w:p w14:paraId="083FB466">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36"/>
          <w:szCs w:val="36"/>
          <w:lang w:val="en-US" w:eastAsia="zh-CN"/>
        </w:rPr>
      </w:pPr>
      <w:r>
        <w:rPr>
          <w:rFonts w:hint="eastAsia" w:ascii="方正仿宋_GBK" w:hAnsi="方正仿宋_GBK" w:eastAsia="方正仿宋_GBK" w:cs="方正仿宋_GBK"/>
          <w:b/>
          <w:bCs/>
          <w:sz w:val="36"/>
          <w:szCs w:val="36"/>
        </w:rPr>
        <w:t>项目决策</w:t>
      </w:r>
      <w:r>
        <w:rPr>
          <w:rFonts w:hint="eastAsia" w:ascii="方正仿宋_GBK" w:hAnsi="方正仿宋_GBK" w:eastAsia="方正仿宋_GBK" w:cs="方正仿宋_GBK"/>
          <w:b/>
          <w:bCs/>
          <w:sz w:val="36"/>
          <w:szCs w:val="36"/>
          <w:lang w:eastAsia="zh-CN"/>
        </w:rPr>
        <w:t>指标评分表</w:t>
      </w:r>
    </w:p>
    <w:tbl>
      <w:tblPr>
        <w:tblStyle w:val="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1812"/>
        <w:gridCol w:w="1812"/>
        <w:gridCol w:w="1812"/>
        <w:gridCol w:w="1812"/>
      </w:tblGrid>
      <w:tr w14:paraId="0761D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14:paraId="67A1E10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b/>
                <w:bCs/>
                <w:sz w:val="21"/>
                <w:szCs w:val="21"/>
                <w:lang w:val="en-US" w:eastAsia="zh-CN"/>
              </w:rPr>
            </w:pPr>
            <w:r>
              <w:rPr>
                <w:rFonts w:hint="eastAsia" w:ascii="方正仿宋_GBK" w:hAnsi="方正仿宋_GBK" w:eastAsia="方正仿宋_GBK" w:cs="方正仿宋_GBK"/>
                <w:b/>
                <w:bCs/>
                <w:sz w:val="21"/>
                <w:szCs w:val="21"/>
                <w:lang w:val="en-US" w:eastAsia="zh-CN"/>
              </w:rPr>
              <w:t>二级指标</w:t>
            </w:r>
          </w:p>
        </w:tc>
        <w:tc>
          <w:tcPr>
            <w:tcW w:w="1812" w:type="dxa"/>
            <w:vAlign w:val="center"/>
          </w:tcPr>
          <w:p w14:paraId="2D1E983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b/>
                <w:bCs/>
                <w:sz w:val="21"/>
                <w:szCs w:val="21"/>
                <w:lang w:val="en-US" w:eastAsia="zh-CN"/>
              </w:rPr>
            </w:pPr>
            <w:r>
              <w:rPr>
                <w:rFonts w:hint="eastAsia" w:ascii="方正仿宋_GBK" w:hAnsi="方正仿宋_GBK" w:eastAsia="方正仿宋_GBK" w:cs="方正仿宋_GBK"/>
                <w:b/>
                <w:bCs/>
                <w:sz w:val="21"/>
                <w:szCs w:val="21"/>
                <w:lang w:val="en-US" w:eastAsia="zh-CN"/>
              </w:rPr>
              <w:t>三级指标</w:t>
            </w:r>
          </w:p>
        </w:tc>
        <w:tc>
          <w:tcPr>
            <w:tcW w:w="1812" w:type="dxa"/>
            <w:vAlign w:val="center"/>
          </w:tcPr>
          <w:p w14:paraId="367274D8">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b/>
                <w:bCs/>
                <w:sz w:val="21"/>
                <w:szCs w:val="21"/>
                <w:lang w:val="en-US" w:eastAsia="zh-CN"/>
              </w:rPr>
            </w:pPr>
            <w:r>
              <w:rPr>
                <w:rFonts w:hint="eastAsia" w:ascii="方正仿宋_GBK" w:hAnsi="方正仿宋_GBK" w:eastAsia="方正仿宋_GBK" w:cs="方正仿宋_GBK"/>
                <w:b/>
                <w:bCs/>
                <w:sz w:val="21"/>
                <w:szCs w:val="21"/>
                <w:lang w:val="en-US" w:eastAsia="zh-CN"/>
              </w:rPr>
              <w:t>标准分值</w:t>
            </w:r>
          </w:p>
        </w:tc>
        <w:tc>
          <w:tcPr>
            <w:tcW w:w="1812" w:type="dxa"/>
            <w:vAlign w:val="center"/>
          </w:tcPr>
          <w:p w14:paraId="2495E02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b/>
                <w:bCs/>
                <w:sz w:val="21"/>
                <w:szCs w:val="21"/>
                <w:lang w:val="en-US" w:eastAsia="zh-CN"/>
              </w:rPr>
            </w:pPr>
            <w:r>
              <w:rPr>
                <w:rFonts w:hint="eastAsia" w:ascii="方正仿宋_GBK" w:hAnsi="方正仿宋_GBK" w:eastAsia="方正仿宋_GBK" w:cs="方正仿宋_GBK"/>
                <w:b/>
                <w:bCs/>
                <w:sz w:val="21"/>
                <w:szCs w:val="21"/>
                <w:lang w:val="en-US" w:eastAsia="zh-CN"/>
              </w:rPr>
              <w:t>实际得分</w:t>
            </w:r>
          </w:p>
        </w:tc>
        <w:tc>
          <w:tcPr>
            <w:tcW w:w="1812" w:type="dxa"/>
            <w:vAlign w:val="center"/>
          </w:tcPr>
          <w:p w14:paraId="3C3A61E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b/>
                <w:bCs/>
                <w:sz w:val="21"/>
                <w:szCs w:val="21"/>
                <w:lang w:val="en-US" w:eastAsia="zh-CN"/>
              </w:rPr>
            </w:pPr>
            <w:r>
              <w:rPr>
                <w:rFonts w:hint="eastAsia" w:ascii="方正仿宋_GBK" w:hAnsi="方正仿宋_GBK" w:eastAsia="方正仿宋_GBK" w:cs="方正仿宋_GBK"/>
                <w:b/>
                <w:bCs/>
                <w:sz w:val="21"/>
                <w:szCs w:val="21"/>
                <w:lang w:val="en-US" w:eastAsia="zh-CN"/>
              </w:rPr>
              <w:t>得分率</w:t>
            </w:r>
          </w:p>
        </w:tc>
      </w:tr>
      <w:tr w14:paraId="50126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14:paraId="65A5384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项目立项（5分）</w:t>
            </w:r>
          </w:p>
        </w:tc>
        <w:tc>
          <w:tcPr>
            <w:tcW w:w="1812" w:type="dxa"/>
            <w:vAlign w:val="center"/>
          </w:tcPr>
          <w:p w14:paraId="37020A4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立项依据充分性</w:t>
            </w:r>
          </w:p>
        </w:tc>
        <w:tc>
          <w:tcPr>
            <w:tcW w:w="1812" w:type="dxa"/>
            <w:vAlign w:val="center"/>
          </w:tcPr>
          <w:p w14:paraId="25FA107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2.5</w:t>
            </w:r>
          </w:p>
        </w:tc>
        <w:tc>
          <w:tcPr>
            <w:tcW w:w="1812" w:type="dxa"/>
            <w:vAlign w:val="center"/>
          </w:tcPr>
          <w:p w14:paraId="4A9FDF3D">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2.5</w:t>
            </w:r>
          </w:p>
        </w:tc>
        <w:tc>
          <w:tcPr>
            <w:tcW w:w="1812" w:type="dxa"/>
            <w:vAlign w:val="center"/>
          </w:tcPr>
          <w:p w14:paraId="55029F6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100%</w:t>
            </w:r>
          </w:p>
        </w:tc>
      </w:tr>
      <w:tr w14:paraId="095F7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14:paraId="78A6A40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p>
        </w:tc>
        <w:tc>
          <w:tcPr>
            <w:tcW w:w="1812" w:type="dxa"/>
            <w:vAlign w:val="center"/>
          </w:tcPr>
          <w:p w14:paraId="09AC0E6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立项程序规范性</w:t>
            </w:r>
          </w:p>
        </w:tc>
        <w:tc>
          <w:tcPr>
            <w:tcW w:w="1812" w:type="dxa"/>
            <w:vAlign w:val="center"/>
          </w:tcPr>
          <w:p w14:paraId="3B1F470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2.5</w:t>
            </w:r>
          </w:p>
        </w:tc>
        <w:tc>
          <w:tcPr>
            <w:tcW w:w="1812" w:type="dxa"/>
            <w:vAlign w:val="center"/>
          </w:tcPr>
          <w:p w14:paraId="79663BE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2.5</w:t>
            </w:r>
          </w:p>
        </w:tc>
        <w:tc>
          <w:tcPr>
            <w:tcW w:w="1812" w:type="dxa"/>
            <w:vAlign w:val="center"/>
          </w:tcPr>
          <w:p w14:paraId="334B4AC9">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100%</w:t>
            </w:r>
          </w:p>
        </w:tc>
      </w:tr>
      <w:tr w14:paraId="150EF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14:paraId="6AB62AA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绩效目标（10分）</w:t>
            </w:r>
          </w:p>
        </w:tc>
        <w:tc>
          <w:tcPr>
            <w:tcW w:w="1812" w:type="dxa"/>
            <w:vAlign w:val="center"/>
          </w:tcPr>
          <w:p w14:paraId="280895E7">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绩效目标合理性</w:t>
            </w:r>
          </w:p>
        </w:tc>
        <w:tc>
          <w:tcPr>
            <w:tcW w:w="1812" w:type="dxa"/>
            <w:vAlign w:val="center"/>
          </w:tcPr>
          <w:p w14:paraId="3CB013B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5</w:t>
            </w:r>
          </w:p>
        </w:tc>
        <w:tc>
          <w:tcPr>
            <w:tcW w:w="1812" w:type="dxa"/>
            <w:vAlign w:val="center"/>
          </w:tcPr>
          <w:p w14:paraId="18B23EA7">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5</w:t>
            </w:r>
          </w:p>
        </w:tc>
        <w:tc>
          <w:tcPr>
            <w:tcW w:w="1812" w:type="dxa"/>
            <w:vAlign w:val="center"/>
          </w:tcPr>
          <w:p w14:paraId="4A48F67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100%</w:t>
            </w:r>
          </w:p>
        </w:tc>
      </w:tr>
      <w:tr w14:paraId="6CF92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14:paraId="36E8494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p>
        </w:tc>
        <w:tc>
          <w:tcPr>
            <w:tcW w:w="1812" w:type="dxa"/>
            <w:vAlign w:val="center"/>
          </w:tcPr>
          <w:p w14:paraId="0836020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绩效指标明确性</w:t>
            </w:r>
          </w:p>
        </w:tc>
        <w:tc>
          <w:tcPr>
            <w:tcW w:w="1812" w:type="dxa"/>
            <w:vAlign w:val="center"/>
          </w:tcPr>
          <w:p w14:paraId="767006F9">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5</w:t>
            </w:r>
          </w:p>
        </w:tc>
        <w:tc>
          <w:tcPr>
            <w:tcW w:w="1812" w:type="dxa"/>
            <w:vAlign w:val="center"/>
          </w:tcPr>
          <w:p w14:paraId="3B8F846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5</w:t>
            </w:r>
          </w:p>
        </w:tc>
        <w:tc>
          <w:tcPr>
            <w:tcW w:w="1812" w:type="dxa"/>
            <w:vAlign w:val="center"/>
          </w:tcPr>
          <w:p w14:paraId="2EF5A4F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100%</w:t>
            </w:r>
          </w:p>
        </w:tc>
      </w:tr>
      <w:tr w14:paraId="0BCD8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restart"/>
            <w:vAlign w:val="center"/>
          </w:tcPr>
          <w:p w14:paraId="55DC84D3">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资金投入（5分）</w:t>
            </w:r>
          </w:p>
        </w:tc>
        <w:tc>
          <w:tcPr>
            <w:tcW w:w="1812" w:type="dxa"/>
            <w:vAlign w:val="center"/>
          </w:tcPr>
          <w:p w14:paraId="1691895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预算编制科学性</w:t>
            </w:r>
          </w:p>
        </w:tc>
        <w:tc>
          <w:tcPr>
            <w:tcW w:w="1812" w:type="dxa"/>
            <w:vAlign w:val="center"/>
          </w:tcPr>
          <w:p w14:paraId="72CC541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2.5</w:t>
            </w:r>
          </w:p>
        </w:tc>
        <w:tc>
          <w:tcPr>
            <w:tcW w:w="1812" w:type="dxa"/>
            <w:vAlign w:val="center"/>
          </w:tcPr>
          <w:p w14:paraId="32869E3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2.5</w:t>
            </w:r>
          </w:p>
        </w:tc>
        <w:tc>
          <w:tcPr>
            <w:tcW w:w="1812" w:type="dxa"/>
            <w:vAlign w:val="center"/>
          </w:tcPr>
          <w:p w14:paraId="2B69721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100%</w:t>
            </w:r>
          </w:p>
        </w:tc>
      </w:tr>
      <w:tr w14:paraId="09BAD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Merge w:val="continue"/>
            <w:vAlign w:val="center"/>
          </w:tcPr>
          <w:p w14:paraId="6D2BD88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p>
        </w:tc>
        <w:tc>
          <w:tcPr>
            <w:tcW w:w="1812" w:type="dxa"/>
            <w:vAlign w:val="center"/>
          </w:tcPr>
          <w:p w14:paraId="6CFD83F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资金分配合理性</w:t>
            </w:r>
          </w:p>
        </w:tc>
        <w:tc>
          <w:tcPr>
            <w:tcW w:w="1812" w:type="dxa"/>
            <w:vAlign w:val="center"/>
          </w:tcPr>
          <w:p w14:paraId="3FE714A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2.5</w:t>
            </w:r>
          </w:p>
        </w:tc>
        <w:tc>
          <w:tcPr>
            <w:tcW w:w="1812" w:type="dxa"/>
            <w:vAlign w:val="center"/>
          </w:tcPr>
          <w:p w14:paraId="2042D279">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2.5</w:t>
            </w:r>
          </w:p>
        </w:tc>
        <w:tc>
          <w:tcPr>
            <w:tcW w:w="1812" w:type="dxa"/>
            <w:vAlign w:val="center"/>
          </w:tcPr>
          <w:p w14:paraId="6C5CDFF7">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100%</w:t>
            </w:r>
          </w:p>
        </w:tc>
      </w:tr>
      <w:tr w14:paraId="0CBC1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24" w:type="dxa"/>
            <w:gridSpan w:val="2"/>
            <w:vAlign w:val="center"/>
          </w:tcPr>
          <w:p w14:paraId="181A99F9">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b/>
                <w:bCs/>
                <w:sz w:val="21"/>
                <w:szCs w:val="21"/>
                <w:vertAlign w:val="baseline"/>
                <w:lang w:val="en-US" w:eastAsia="zh-CN"/>
              </w:rPr>
            </w:pPr>
            <w:r>
              <w:rPr>
                <w:rFonts w:hint="eastAsia" w:ascii="方正仿宋_GBK" w:hAnsi="方正仿宋_GBK" w:eastAsia="方正仿宋_GBK" w:cs="方正仿宋_GBK"/>
                <w:b/>
                <w:bCs/>
                <w:sz w:val="21"/>
                <w:szCs w:val="21"/>
                <w:vertAlign w:val="baseline"/>
                <w:lang w:val="en-US" w:eastAsia="zh-CN"/>
              </w:rPr>
              <w:t>决策得分合计</w:t>
            </w:r>
          </w:p>
        </w:tc>
        <w:tc>
          <w:tcPr>
            <w:tcW w:w="1812" w:type="dxa"/>
            <w:vAlign w:val="center"/>
          </w:tcPr>
          <w:p w14:paraId="1DDECAF7">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b/>
                <w:bCs/>
                <w:sz w:val="21"/>
                <w:szCs w:val="21"/>
                <w:vertAlign w:val="baseline"/>
                <w:lang w:val="en-US" w:eastAsia="zh-CN"/>
              </w:rPr>
            </w:pPr>
            <w:r>
              <w:rPr>
                <w:rFonts w:hint="eastAsia" w:ascii="方正仿宋_GBK" w:hAnsi="方正仿宋_GBK" w:eastAsia="方正仿宋_GBK" w:cs="方正仿宋_GBK"/>
                <w:b/>
                <w:bCs/>
                <w:sz w:val="21"/>
                <w:szCs w:val="21"/>
                <w:vertAlign w:val="baseline"/>
                <w:lang w:val="en-US" w:eastAsia="zh-CN"/>
              </w:rPr>
              <w:t>20</w:t>
            </w:r>
          </w:p>
        </w:tc>
        <w:tc>
          <w:tcPr>
            <w:tcW w:w="1812" w:type="dxa"/>
            <w:vAlign w:val="center"/>
          </w:tcPr>
          <w:p w14:paraId="4918085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b/>
                <w:bCs/>
                <w:sz w:val="21"/>
                <w:szCs w:val="21"/>
                <w:vertAlign w:val="baseline"/>
                <w:lang w:val="en-US" w:eastAsia="zh-CN"/>
              </w:rPr>
            </w:pPr>
            <w:r>
              <w:rPr>
                <w:rFonts w:hint="eastAsia" w:ascii="方正仿宋_GBK" w:hAnsi="方正仿宋_GBK" w:eastAsia="方正仿宋_GBK" w:cs="方正仿宋_GBK"/>
                <w:b/>
                <w:bCs/>
                <w:sz w:val="21"/>
                <w:szCs w:val="21"/>
                <w:vertAlign w:val="baseline"/>
                <w:lang w:val="en-US" w:eastAsia="zh-CN"/>
              </w:rPr>
              <w:t>20</w:t>
            </w:r>
          </w:p>
        </w:tc>
        <w:tc>
          <w:tcPr>
            <w:tcW w:w="1812" w:type="dxa"/>
            <w:vAlign w:val="center"/>
          </w:tcPr>
          <w:p w14:paraId="61348D7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b/>
                <w:bCs/>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100%</w:t>
            </w:r>
          </w:p>
        </w:tc>
      </w:tr>
    </w:tbl>
    <w:p w14:paraId="6CFF362F">
      <w:pPr>
        <w:numPr>
          <w:ilvl w:val="0"/>
          <w:numId w:val="0"/>
        </w:numPr>
        <w:spacing w:line="600" w:lineRule="exact"/>
        <w:ind w:firstLine="600" w:firstLineChars="200"/>
        <w:rPr>
          <w:rFonts w:hint="eastAsia" w:ascii="仿宋" w:hAnsi="仿宋" w:eastAsia="仿宋"/>
          <w:lang w:val="en-US" w:eastAsia="zh-CN"/>
        </w:rPr>
      </w:pPr>
      <w:r>
        <w:rPr>
          <w:rFonts w:hint="eastAsia" w:ascii="仿宋" w:hAnsi="仿宋" w:eastAsia="仿宋"/>
          <w:lang w:val="en-US" w:eastAsia="zh-CN"/>
        </w:rPr>
        <w:t>根据本次绩效评价体系及评分标准值，2019年老干部活动费项目，决策指标权重20分，得分总值20分，得分率100%。</w:t>
      </w:r>
    </w:p>
    <w:p w14:paraId="464FEB0C">
      <w:pPr>
        <w:numPr>
          <w:ilvl w:val="0"/>
          <w:numId w:val="0"/>
        </w:numPr>
        <w:spacing w:line="600" w:lineRule="exact"/>
        <w:ind w:firstLine="600" w:firstLineChars="200"/>
        <w:rPr>
          <w:rFonts w:hint="default" w:ascii="仿宋" w:hAnsi="仿宋" w:eastAsia="仿宋"/>
          <w:lang w:val="en-US" w:eastAsia="zh-CN"/>
        </w:rPr>
      </w:pPr>
      <w:r>
        <w:rPr>
          <w:rFonts w:hint="eastAsia" w:ascii="仿宋" w:hAnsi="仿宋" w:eastAsia="仿宋"/>
          <w:lang w:val="en-US" w:eastAsia="zh-CN"/>
        </w:rPr>
        <w:t>1、立项依据充分性2.5分。该项目符合</w:t>
      </w:r>
      <w:r>
        <w:rPr>
          <w:rFonts w:hint="eastAsia" w:ascii="仿宋" w:hAnsi="仿宋" w:eastAsia="仿宋"/>
          <w:lang w:eastAsia="zh-CN"/>
        </w:rPr>
        <w:t>自治区老干部年度工作要点和自治州党委对老干部工作各项要求</w:t>
      </w:r>
      <w:r>
        <w:rPr>
          <w:rFonts w:hint="eastAsia" w:ascii="仿宋" w:hAnsi="仿宋" w:eastAsia="仿宋"/>
          <w:lang w:val="en-US" w:eastAsia="zh-CN"/>
        </w:rPr>
        <w:t>。因此，项目立项依据充分性指标得分2.5分，得分率100%。</w:t>
      </w:r>
    </w:p>
    <w:p w14:paraId="765D8521">
      <w:pPr>
        <w:numPr>
          <w:ilvl w:val="0"/>
          <w:numId w:val="0"/>
        </w:numPr>
        <w:spacing w:line="600" w:lineRule="exact"/>
        <w:ind w:firstLine="600" w:firstLineChars="200"/>
        <w:rPr>
          <w:rFonts w:hint="eastAsia" w:ascii="仿宋" w:hAnsi="仿宋" w:eastAsia="仿宋"/>
          <w:lang w:val="en-US" w:eastAsia="zh-CN"/>
        </w:rPr>
      </w:pPr>
      <w:r>
        <w:rPr>
          <w:rFonts w:hint="eastAsia" w:ascii="仿宋" w:hAnsi="仿宋" w:eastAsia="仿宋"/>
          <w:lang w:val="en-US" w:eastAsia="zh-CN"/>
        </w:rPr>
        <w:t>2、项目立项规范性2.5分。该项目根据自治区老干部年度工作要点和自治州党委对老干部各项工作部署，项目申报程序规范，符合相关要求。因此，项目立项规范性指标得分2.5分，得分率100%。</w:t>
      </w:r>
    </w:p>
    <w:p w14:paraId="518F8ED4">
      <w:pPr>
        <w:numPr>
          <w:ilvl w:val="0"/>
          <w:numId w:val="0"/>
        </w:numPr>
        <w:spacing w:line="600" w:lineRule="exact"/>
        <w:ind w:firstLine="600" w:firstLineChars="200"/>
        <w:rPr>
          <w:rFonts w:hint="eastAsia" w:ascii="仿宋" w:hAnsi="仿宋" w:eastAsia="仿宋"/>
          <w:lang w:val="en-US" w:eastAsia="zh-CN"/>
        </w:rPr>
      </w:pPr>
      <w:r>
        <w:rPr>
          <w:rFonts w:hint="eastAsia" w:ascii="仿宋" w:hAnsi="仿宋" w:eastAsia="仿宋"/>
          <w:lang w:val="en-US" w:eastAsia="zh-CN"/>
        </w:rPr>
        <w:t>3、绩效目标合理性5分。该项目设立了长期目标、年度目标、绩效目标，项目实施产生积极影响，根据绩效目标与项目完成情况的对比分析，项目预期产出效益和效果基本符合正常业务水平，项目资金预算与绩效目标相匹配。因此，绩效目标合理性指标得分5分，得分率100%。</w:t>
      </w:r>
    </w:p>
    <w:p w14:paraId="616F1DE5">
      <w:pPr>
        <w:numPr>
          <w:ilvl w:val="0"/>
          <w:numId w:val="0"/>
        </w:numPr>
        <w:spacing w:line="600" w:lineRule="exact"/>
        <w:ind w:firstLine="600" w:firstLineChars="200"/>
        <w:rPr>
          <w:rFonts w:hint="eastAsia" w:ascii="仿宋" w:hAnsi="仿宋" w:eastAsia="仿宋"/>
          <w:lang w:val="en-US" w:eastAsia="zh-CN"/>
        </w:rPr>
      </w:pPr>
      <w:r>
        <w:rPr>
          <w:rFonts w:hint="eastAsia" w:ascii="仿宋" w:hAnsi="仿宋" w:eastAsia="仿宋"/>
          <w:lang w:val="en-US" w:eastAsia="zh-CN"/>
        </w:rPr>
        <w:t>4、绩效目标明确性5分。该项目设立的绩效目标清晰、可量化、可衡量、目标任务数、计划数等相对应。因此，绩效目标明确性指标得分5分，得分率100%。</w:t>
      </w:r>
    </w:p>
    <w:p w14:paraId="577FDA20">
      <w:pPr>
        <w:numPr>
          <w:ilvl w:val="0"/>
          <w:numId w:val="0"/>
        </w:numPr>
        <w:spacing w:line="600" w:lineRule="exact"/>
        <w:ind w:firstLine="600" w:firstLineChars="200"/>
        <w:rPr>
          <w:rFonts w:hint="default" w:ascii="仿宋" w:hAnsi="仿宋" w:eastAsia="仿宋"/>
          <w:lang w:val="en-US" w:eastAsia="zh-CN"/>
        </w:rPr>
      </w:pPr>
      <w:r>
        <w:rPr>
          <w:rFonts w:hint="eastAsia" w:ascii="仿宋" w:hAnsi="仿宋" w:eastAsia="仿宋"/>
          <w:lang w:val="en-US" w:eastAsia="zh-CN"/>
        </w:rPr>
        <w:t>5、预算编制科学性2.5分。该项目预算编制经过充分论证、预算内容与项目内容匹配，预算额度测算合力、符合行业标准，预算投资金额与计划工作量相匹配。因此，预算编制科学性指标得分2.5分，得分率100%。</w:t>
      </w:r>
    </w:p>
    <w:p w14:paraId="04FA5683">
      <w:pPr>
        <w:numPr>
          <w:ilvl w:val="0"/>
          <w:numId w:val="0"/>
        </w:numPr>
        <w:spacing w:line="600" w:lineRule="exact"/>
        <w:ind w:firstLine="600" w:firstLineChars="200"/>
        <w:rPr>
          <w:rFonts w:hint="eastAsia" w:ascii="仿宋" w:hAnsi="仿宋" w:eastAsia="仿宋"/>
          <w:lang w:eastAsia="zh-CN"/>
        </w:rPr>
      </w:pPr>
      <w:r>
        <w:rPr>
          <w:rFonts w:hint="eastAsia" w:ascii="仿宋" w:hAnsi="仿宋" w:eastAsia="仿宋"/>
          <w:lang w:val="en-US" w:eastAsia="zh-CN"/>
        </w:rPr>
        <w:t>6、资金分配合理性2.5分。根据财政预算下达指标，该项目总投入80.3万元，实行国库集中支付制度。截止2019年12月31日，该项目实际支出80.3万元，未支付0万元，资金执行率100%。因此，资金投入合理性指标得分2.5分，得分率100%。</w:t>
      </w:r>
    </w:p>
    <w:p w14:paraId="70B95180">
      <w:pPr>
        <w:spacing w:line="600" w:lineRule="exact"/>
        <w:ind w:firstLine="602" w:firstLineChars="200"/>
        <w:rPr>
          <w:rFonts w:ascii="仿宋" w:hAnsi="仿宋" w:eastAsia="仿宋"/>
          <w:b/>
        </w:rPr>
      </w:pPr>
      <w:r>
        <w:rPr>
          <w:rFonts w:hint="eastAsia" w:ascii="仿宋" w:hAnsi="仿宋" w:eastAsia="仿宋"/>
          <w:b/>
        </w:rPr>
        <w:t>（二）项目过程情况</w:t>
      </w:r>
    </w:p>
    <w:p w14:paraId="7C687FC9">
      <w:pPr>
        <w:pStyle w:val="12"/>
        <w:rPr>
          <w:rFonts w:hint="eastAsia" w:ascii="仿宋" w:hAnsi="仿宋" w:eastAsia="仿宋" w:cs="Times New Roman"/>
          <w:kern w:val="2"/>
          <w:sz w:val="30"/>
          <w:szCs w:val="24"/>
          <w:lang w:val="en-US" w:eastAsia="zh-CN" w:bidi="ar-SA"/>
        </w:rPr>
      </w:pPr>
      <w:r>
        <w:rPr>
          <w:rFonts w:hint="eastAsia"/>
          <w:lang w:eastAsia="zh-CN"/>
        </w:rPr>
        <w:tab/>
      </w:r>
      <w:r>
        <w:rPr>
          <w:rFonts w:hint="eastAsia" w:ascii="仿宋" w:hAnsi="仿宋" w:eastAsia="仿宋" w:cs="Times New Roman"/>
          <w:kern w:val="2"/>
          <w:sz w:val="30"/>
          <w:szCs w:val="24"/>
          <w:lang w:val="en-US" w:eastAsia="zh-CN" w:bidi="ar-SA"/>
        </w:rPr>
        <w:t xml:space="preserve"> 巴州党委老干部局2019年度工作计划分阶段组织实施。资金使用过程中，能规范项目资金管理，提高项目资金、财务管理水平和资金使用效益，统一申报、建设、考评和验收程序，严格按照《会计核算制度》《政府采购制度》、资金审查审批程序和财务制度进行管理，坚决贯彻执行各级财政预算资金管理规定，全面提高财务人员的业务工作能力，制定项目实施的各项保障制度，主要包括项目管理制度建设、日常检查监督管理等。</w:t>
      </w:r>
    </w:p>
    <w:p w14:paraId="74517011">
      <w:pPr>
        <w:spacing w:line="600" w:lineRule="exact"/>
        <w:ind w:firstLine="602" w:firstLineChars="200"/>
        <w:rPr>
          <w:rFonts w:ascii="仿宋" w:hAnsi="仿宋" w:eastAsia="仿宋"/>
          <w:b/>
        </w:rPr>
      </w:pPr>
      <w:r>
        <w:rPr>
          <w:rFonts w:hint="eastAsia" w:ascii="仿宋" w:hAnsi="仿宋" w:eastAsia="仿宋"/>
          <w:b/>
        </w:rPr>
        <w:t>（三）项目产出情况</w:t>
      </w:r>
    </w:p>
    <w:p w14:paraId="2AFAFB50">
      <w:pPr>
        <w:spacing w:line="600" w:lineRule="exact"/>
        <w:ind w:firstLine="600" w:firstLineChars="200"/>
        <w:rPr>
          <w:rFonts w:ascii="仿宋" w:hAnsi="仿宋" w:eastAsia="仿宋"/>
        </w:rPr>
      </w:pPr>
      <w:r>
        <w:rPr>
          <w:rFonts w:hint="eastAsia" w:ascii="仿宋" w:hAnsi="仿宋" w:eastAsia="仿宋"/>
        </w:rPr>
        <w:t>今年以来，我局以贯彻落实中办发〔2016〕3号和新党办发（2017）47号文件精神为主线，积极推进离退休干部党建工作，扎实开展正能量活动，努力为老干部办实事做好事，取得了新成效。</w:t>
      </w:r>
      <w:r>
        <w:rPr>
          <w:rFonts w:hint="eastAsia"/>
          <w:lang w:eastAsia="zh-CN"/>
        </w:rPr>
        <w:t>全年</w:t>
      </w:r>
      <w:r>
        <w:rPr>
          <w:rFonts w:hint="eastAsia" w:ascii="仿宋" w:hAnsi="仿宋" w:eastAsia="仿宋"/>
        </w:rPr>
        <w:t>慰问老干部7次557人</w:t>
      </w:r>
      <w:r>
        <w:rPr>
          <w:rFonts w:hint="eastAsia" w:ascii="仿宋" w:hAnsi="仿宋" w:eastAsia="仿宋"/>
          <w:lang w:eastAsia="zh-CN"/>
        </w:rPr>
        <w:t>，</w:t>
      </w:r>
      <w:r>
        <w:rPr>
          <w:rFonts w:hint="eastAsia" w:ascii="仿宋" w:hAnsi="仿宋" w:eastAsia="仿宋"/>
        </w:rPr>
        <w:t>帮助特困帮扶老干部12人</w:t>
      </w:r>
      <w:r>
        <w:rPr>
          <w:rFonts w:hint="eastAsia" w:ascii="仿宋" w:hAnsi="仿宋" w:eastAsia="仿宋"/>
          <w:lang w:eastAsia="zh-CN"/>
        </w:rPr>
        <w:t>，</w:t>
      </w:r>
      <w:r>
        <w:rPr>
          <w:rFonts w:hint="eastAsia" w:ascii="仿宋" w:hAnsi="仿宋" w:eastAsia="仿宋"/>
        </w:rPr>
        <w:t>老干部外出考察学习80人</w:t>
      </w:r>
      <w:r>
        <w:rPr>
          <w:rFonts w:hint="eastAsia" w:ascii="仿宋" w:hAnsi="仿宋" w:eastAsia="仿宋"/>
          <w:lang w:eastAsia="zh-CN"/>
        </w:rPr>
        <w:t>，</w:t>
      </w:r>
      <w:r>
        <w:rPr>
          <w:rFonts w:hint="eastAsia" w:ascii="仿宋" w:hAnsi="仿宋" w:eastAsia="仿宋"/>
        </w:rPr>
        <w:t>全年举办老干部培训班1次118人</w:t>
      </w:r>
      <w:r>
        <w:rPr>
          <w:rFonts w:hint="eastAsia" w:ascii="仿宋" w:hAnsi="仿宋" w:eastAsia="仿宋"/>
          <w:lang w:eastAsia="zh-CN"/>
        </w:rPr>
        <w:t>，</w:t>
      </w:r>
      <w:r>
        <w:rPr>
          <w:rFonts w:hint="eastAsia" w:ascii="仿宋" w:hAnsi="仿宋" w:eastAsia="仿宋"/>
        </w:rPr>
        <w:t>全年支持老干部开展各类问题活动741人</w:t>
      </w:r>
      <w:r>
        <w:rPr>
          <w:rFonts w:hint="eastAsia" w:ascii="仿宋" w:hAnsi="仿宋" w:eastAsia="仿宋"/>
          <w:lang w:eastAsia="zh-CN"/>
        </w:rPr>
        <w:t>。</w:t>
      </w:r>
      <w:r>
        <w:rPr>
          <w:rFonts w:hint="eastAsia" w:ascii="仿宋" w:hAnsi="仿宋" w:eastAsia="仿宋"/>
        </w:rPr>
        <w:t>我局绩效自评项目老干部活动费专项经费完成了2019年绩效目标。</w:t>
      </w:r>
    </w:p>
    <w:p w14:paraId="5143E953">
      <w:pPr>
        <w:spacing w:line="600" w:lineRule="exact"/>
        <w:ind w:firstLine="602" w:firstLineChars="200"/>
        <w:rPr>
          <w:rFonts w:ascii="仿宋" w:hAnsi="仿宋" w:eastAsia="仿宋"/>
          <w:b/>
        </w:rPr>
      </w:pPr>
      <w:r>
        <w:rPr>
          <w:rFonts w:hint="eastAsia" w:ascii="仿宋" w:hAnsi="仿宋" w:eastAsia="仿宋"/>
          <w:b/>
        </w:rPr>
        <w:t>（四）项目效益情况</w:t>
      </w:r>
    </w:p>
    <w:p w14:paraId="38065D7B">
      <w:pPr>
        <w:pStyle w:val="12"/>
        <w:ind w:firstLine="498" w:firstLineChars="166"/>
        <w:rPr>
          <w:rFonts w:hint="eastAsia"/>
          <w:lang w:eastAsia="zh-CN"/>
        </w:rPr>
      </w:pPr>
      <w:r>
        <w:rPr>
          <w:rFonts w:hint="eastAsia"/>
          <w:color w:val="auto"/>
          <w:lang w:eastAsia="zh-CN"/>
        </w:rPr>
        <w:t>巴州党委老干部局专项业务工作为非盈利项目，不产生经济效益，因此无产出。</w:t>
      </w:r>
      <w:r>
        <w:rPr>
          <w:rFonts w:hint="eastAsia"/>
          <w:lang w:eastAsia="zh-CN"/>
        </w:rPr>
        <w:t>主要是履行工作职能，满足单位正常运行和办公需要。</w:t>
      </w:r>
    </w:p>
    <w:p w14:paraId="30C17B83">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14:paraId="40E43188">
      <w:pPr>
        <w:spacing w:line="600" w:lineRule="exact"/>
        <w:ind w:firstLine="602" w:firstLineChars="200"/>
        <w:rPr>
          <w:rFonts w:hint="eastAsia" w:ascii="仿宋" w:hAnsi="仿宋" w:eastAsia="仿宋"/>
          <w:b/>
          <w:lang w:eastAsia="zh-CN"/>
        </w:rPr>
      </w:pPr>
      <w:r>
        <w:rPr>
          <w:rFonts w:hint="eastAsia" w:ascii="仿宋" w:hAnsi="仿宋" w:eastAsia="仿宋"/>
          <w:b/>
          <w:lang w:eastAsia="zh-CN"/>
        </w:rPr>
        <w:t>（一）主要经验做法</w:t>
      </w:r>
      <w:r>
        <w:rPr>
          <w:rFonts w:hint="eastAsia" w:ascii="仿宋" w:hAnsi="仿宋" w:eastAsia="仿宋"/>
          <w:b/>
          <w:lang w:eastAsia="zh-CN"/>
        </w:rPr>
        <w:tab/>
      </w:r>
    </w:p>
    <w:p w14:paraId="2120F8EC">
      <w:pPr>
        <w:pStyle w:val="12"/>
        <w:ind w:firstLine="498" w:firstLineChars="166"/>
        <w:rPr>
          <w:rFonts w:hint="eastAsia"/>
          <w:lang w:eastAsia="zh-CN"/>
        </w:rPr>
      </w:pPr>
      <w:r>
        <w:rPr>
          <w:rFonts w:hint="eastAsia"/>
          <w:lang w:eastAsia="zh-CN"/>
        </w:rPr>
        <w:t>1、组织州直老干部工作者和各县市老干部局参加自治区老干部工作视频会议，组织召开自治州老干部政策业务培训，传达上级老干部局会议精神，安排部署2019年工作。</w:t>
      </w:r>
    </w:p>
    <w:p w14:paraId="344E255F">
      <w:pPr>
        <w:pStyle w:val="12"/>
        <w:ind w:firstLine="498" w:firstLineChars="166"/>
        <w:rPr>
          <w:rFonts w:hint="eastAsia"/>
          <w:lang w:eastAsia="zh-CN"/>
        </w:rPr>
      </w:pPr>
      <w:r>
        <w:rPr>
          <w:rFonts w:hint="eastAsia"/>
          <w:lang w:val="en-US" w:eastAsia="zh-CN"/>
        </w:rPr>
        <w:t>2、重大节日开展走访慰问老干部活动。</w:t>
      </w:r>
      <w:r>
        <w:rPr>
          <w:rFonts w:hint="eastAsia"/>
          <w:lang w:eastAsia="zh-CN"/>
        </w:rPr>
        <w:t>春节、古尔邦节、重阳节、七一等重大节日前夕，走访慰问州地厅级老干部、老八路及遗孀等。</w:t>
      </w:r>
    </w:p>
    <w:p w14:paraId="108281A1">
      <w:pPr>
        <w:pStyle w:val="12"/>
        <w:ind w:firstLine="498" w:firstLineChars="166"/>
        <w:rPr>
          <w:rFonts w:hint="eastAsia"/>
          <w:lang w:val="en-US" w:eastAsia="zh-CN"/>
        </w:rPr>
      </w:pPr>
      <w:r>
        <w:rPr>
          <w:rFonts w:hint="eastAsia"/>
          <w:lang w:val="en-US" w:eastAsia="zh-CN"/>
        </w:rPr>
        <w:t>3、国庆前夕，开展普遍走访慰问离休干部，慰问离休干部100余人。</w:t>
      </w:r>
    </w:p>
    <w:p w14:paraId="3039D011">
      <w:pPr>
        <w:spacing w:line="600" w:lineRule="exact"/>
        <w:ind w:firstLine="602" w:firstLineChars="200"/>
        <w:rPr>
          <w:rFonts w:hint="eastAsia"/>
          <w:lang w:val="en-US" w:eastAsia="zh-CN"/>
        </w:rPr>
      </w:pPr>
      <w:r>
        <w:rPr>
          <w:rFonts w:hint="eastAsia" w:ascii="仿宋" w:hAnsi="仿宋" w:eastAsia="仿宋"/>
          <w:b/>
          <w:lang w:eastAsia="zh-CN"/>
        </w:rPr>
        <w:t>（二）</w:t>
      </w:r>
      <w:r>
        <w:rPr>
          <w:rFonts w:hint="eastAsia" w:ascii="仿宋" w:hAnsi="仿宋" w:eastAsia="仿宋"/>
          <w:b/>
          <w:lang w:val="en-US" w:eastAsia="zh-CN"/>
        </w:rPr>
        <w:t>存在的问题及原因分析</w:t>
      </w:r>
    </w:p>
    <w:p w14:paraId="096A123F">
      <w:pPr>
        <w:pStyle w:val="12"/>
        <w:ind w:left="0" w:leftChars="0" w:firstLine="600" w:firstLineChars="200"/>
        <w:rPr>
          <w:rFonts w:hint="eastAsia" w:ascii="黑体" w:hAnsi="黑体" w:eastAsia="黑体"/>
        </w:rPr>
      </w:pPr>
      <w:r>
        <w:rPr>
          <w:rFonts w:hint="eastAsia"/>
          <w:lang w:eastAsia="zh-CN"/>
        </w:rPr>
        <w:t>随着老干部人数的逐年增加，老干部工作所需经费越来越高，但是按照办公费逐年递减少的要求，经费非常紧张，开展工作难度非常大，工作效率也必会受到影响。</w:t>
      </w:r>
    </w:p>
    <w:p w14:paraId="623C66F1">
      <w:pPr>
        <w:numPr>
          <w:ilvl w:val="0"/>
          <w:numId w:val="3"/>
        </w:numPr>
        <w:spacing w:line="600" w:lineRule="exact"/>
        <w:ind w:firstLine="600" w:firstLineChars="200"/>
        <w:rPr>
          <w:rFonts w:hint="eastAsia" w:ascii="黑体" w:hAnsi="黑体" w:eastAsia="黑体"/>
        </w:rPr>
      </w:pPr>
      <w:r>
        <w:rPr>
          <w:rFonts w:hint="eastAsia" w:ascii="黑体" w:hAnsi="黑体" w:eastAsia="黑体"/>
        </w:rPr>
        <w:t>有关建议</w:t>
      </w:r>
    </w:p>
    <w:p w14:paraId="09EC1FF2">
      <w:pPr>
        <w:spacing w:line="600" w:lineRule="exact"/>
        <w:ind w:firstLine="600" w:firstLineChars="200"/>
        <w:rPr>
          <w:rFonts w:hint="eastAsia" w:ascii="仿宋" w:hAnsi="仿宋" w:eastAsia="仿宋"/>
          <w:lang w:eastAsia="zh-CN"/>
        </w:rPr>
      </w:pPr>
      <w:r>
        <w:rPr>
          <w:rFonts w:hint="eastAsia" w:ascii="仿宋" w:hAnsi="仿宋" w:eastAsia="仿宋"/>
          <w:lang w:val="en-US" w:eastAsia="zh-CN"/>
        </w:rPr>
        <w:t>1、</w:t>
      </w:r>
      <w:r>
        <w:rPr>
          <w:rFonts w:hint="eastAsia" w:ascii="仿宋" w:hAnsi="仿宋" w:eastAsia="仿宋"/>
          <w:lang w:eastAsia="zh-CN"/>
        </w:rPr>
        <w:t>建议财政部门从实际工作需要出发，拨付工作经费，保证工作工作有效开展。</w:t>
      </w:r>
    </w:p>
    <w:p w14:paraId="589EC59E">
      <w:pPr>
        <w:spacing w:line="600" w:lineRule="exact"/>
        <w:ind w:firstLine="600" w:firstLineChars="200"/>
        <w:rPr>
          <w:rFonts w:ascii="仿宋" w:hAnsi="仿宋" w:eastAsia="仿宋"/>
        </w:rPr>
      </w:pPr>
      <w:r>
        <w:rPr>
          <w:rFonts w:hint="eastAsia" w:ascii="仿宋" w:hAnsi="仿宋" w:eastAsia="仿宋"/>
          <w:lang w:val="en-US" w:eastAsia="zh-CN"/>
        </w:rPr>
        <w:t>2、</w:t>
      </w:r>
      <w:r>
        <w:rPr>
          <w:rFonts w:hint="eastAsia" w:ascii="仿宋" w:hAnsi="仿宋" w:eastAsia="仿宋"/>
        </w:rPr>
        <w:t>加强</w:t>
      </w:r>
      <w:r>
        <w:rPr>
          <w:rFonts w:hint="eastAsia" w:ascii="仿宋" w:hAnsi="仿宋" w:eastAsia="仿宋"/>
          <w:lang w:eastAsia="zh-CN"/>
        </w:rPr>
        <w:t>单位</w:t>
      </w:r>
      <w:r>
        <w:rPr>
          <w:rFonts w:hint="eastAsia" w:ascii="仿宋" w:hAnsi="仿宋" w:eastAsia="仿宋"/>
        </w:rPr>
        <w:t>资金管理。一是加强学习，努力提高绩效评价工作水平和质量。二是加强项目管理和绩效管理相结合，以预算绩效管理为抓手，对专项资金实施全过程预算绩效管理，建立健全预算编制、执行和监督的绩效管理体系。三是加强预算执行情况分析，及时掌握项目绩效目标的实现情况、项目实施进程和资金支出进度，从而对出现的情况和问题及时采取措施予以纠正。</w:t>
      </w:r>
    </w:p>
    <w:p w14:paraId="0B4DD837">
      <w:pPr>
        <w:spacing w:line="600" w:lineRule="exact"/>
        <w:ind w:firstLine="600" w:firstLineChars="200"/>
        <w:rPr>
          <w:rFonts w:ascii="黑体" w:hAnsi="黑体" w:eastAsia="黑体"/>
        </w:rPr>
      </w:pPr>
      <w:r>
        <w:rPr>
          <w:rFonts w:hint="eastAsia" w:ascii="黑体" w:hAnsi="黑体" w:eastAsia="黑体"/>
        </w:rPr>
        <w:t>七、其他需要说明的问题</w:t>
      </w:r>
    </w:p>
    <w:p w14:paraId="19C9A551">
      <w:pPr>
        <w:spacing w:line="600" w:lineRule="exact"/>
        <w:ind w:firstLine="600" w:firstLineChars="200"/>
        <w:rPr>
          <w:rFonts w:hint="eastAsia" w:ascii="仿宋" w:hAnsi="仿宋" w:eastAsia="仿宋"/>
        </w:rPr>
      </w:pPr>
      <w:r>
        <w:rPr>
          <w:rFonts w:hint="eastAsia" w:ascii="仿宋" w:hAnsi="仿宋" w:eastAsia="仿宋"/>
        </w:rPr>
        <w:t>无。</w:t>
      </w:r>
    </w:p>
    <w:p w14:paraId="496D9C9C">
      <w:pPr>
        <w:rPr>
          <w:rFonts w:hint="eastAsia" w:ascii="仿宋" w:hAnsi="仿宋" w:eastAsia="仿宋"/>
        </w:rPr>
      </w:pPr>
    </w:p>
    <w:p w14:paraId="262B3A97">
      <w:pPr>
        <w:rPr>
          <w:rFonts w:hint="eastAsia" w:ascii="仿宋" w:hAnsi="仿宋" w:eastAsia="仿宋"/>
        </w:rPr>
        <w:sectPr>
          <w:headerReference r:id="rId3" w:type="default"/>
          <w:footerReference r:id="rId4" w:type="default"/>
          <w:pgSz w:w="11906" w:h="16838"/>
          <w:pgMar w:top="1928" w:right="1531" w:bottom="1701" w:left="1531" w:header="737" w:footer="851" w:gutter="0"/>
          <w:cols w:space="720" w:num="1"/>
          <w:docGrid w:type="lines" w:linePitch="408" w:charSpace="0"/>
        </w:sectPr>
      </w:pPr>
    </w:p>
    <w:p w14:paraId="038D8606">
      <w:pPr>
        <w:pStyle w:val="3"/>
        <w:spacing w:before="0" w:after="0" w:line="240" w:lineRule="auto"/>
        <w:jc w:val="center"/>
        <w:rPr>
          <w:bCs/>
          <w:color w:val="000000"/>
        </w:rPr>
      </w:pPr>
      <w:r>
        <w:rPr>
          <w:rFonts w:hint="eastAsia" w:ascii="宋体" w:hAnsi="宋体" w:eastAsia="宋体" w:cs="宋体"/>
          <w:bCs/>
          <w:color w:val="000000"/>
          <w:sz w:val="36"/>
          <w:szCs w:val="28"/>
        </w:rPr>
        <w:t>项目支出绩效评价指标体系框架</w:t>
      </w: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18458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551" w:hRule="atLeast"/>
          <w:tblHeader/>
          <w:jc w:val="center"/>
        </w:trPr>
        <w:tc>
          <w:tcPr>
            <w:tcW w:w="763" w:type="dxa"/>
            <w:tcBorders>
              <w:tl2br w:val="nil"/>
              <w:tr2bl w:val="nil"/>
            </w:tcBorders>
            <w:shd w:val="clear" w:color="auto" w:fill="FFFFFF"/>
            <w:vAlign w:val="center"/>
          </w:tcPr>
          <w:p w14:paraId="7A8D6B89">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4B4845CF">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4D821CEB">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4054171B">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2A0BE4C1">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vAlign w:val="top"/>
          </w:tcPr>
          <w:p w14:paraId="6108C02E">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27D35BE3">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5DB8A388">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41667F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183CAF8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5B98F09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F2467C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741E0B2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4403AD5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1D40B00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0953A45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56777A5D">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vAlign w:val="top"/>
          </w:tcPr>
          <w:p w14:paraId="395C15B2">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15A77725">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2.5</w:t>
            </w:r>
          </w:p>
        </w:tc>
      </w:tr>
      <w:tr w14:paraId="4696E5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67992924">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B9BE2B9">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4174368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14CA40F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0D07BE7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4D2310EB">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vAlign w:val="top"/>
          </w:tcPr>
          <w:p w14:paraId="1690C8A7">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07107123">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2.5</w:t>
            </w:r>
          </w:p>
        </w:tc>
      </w:tr>
      <w:tr w14:paraId="338724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4D4D6DF0">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4E01DD8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3CCDC1E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08CB4F4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1F1AE2E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38C823C9">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23D7BF1C">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vAlign w:val="top"/>
          </w:tcPr>
          <w:p w14:paraId="4DA1EA9C">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138D198D">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2D5655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6EF7D4C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67F56CB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3B37692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7E1DC5C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342BBC9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0CB493E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vAlign w:val="top"/>
          </w:tcPr>
          <w:p w14:paraId="33B7069D">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4D14D220">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733687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1FCFA322">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03E4CDF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30EC79BA">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73E78A5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263E7CC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27A8784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7372047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vAlign w:val="top"/>
          </w:tcPr>
          <w:p w14:paraId="7ED5EE4A">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39C1C0BE">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2.5</w:t>
            </w:r>
          </w:p>
        </w:tc>
      </w:tr>
      <w:tr w14:paraId="30E97C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6A455C1D">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113A72A9">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00DCE6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500D460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0ABE6B6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321387C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vAlign w:val="top"/>
          </w:tcPr>
          <w:p w14:paraId="53E98ED2">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1D1BE751">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2.5</w:t>
            </w:r>
          </w:p>
        </w:tc>
      </w:tr>
      <w:tr w14:paraId="24A5FC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39F2B319">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1F892E9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275A66C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76C79DD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727B31E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5B4C7C7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07236BC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vAlign w:val="top"/>
          </w:tcPr>
          <w:p w14:paraId="29F5E102">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3</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2FB77478">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3</w:t>
            </w:r>
          </w:p>
        </w:tc>
      </w:tr>
      <w:tr w14:paraId="3CF5AE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17E8CAA0">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7FC897E">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B7B0DC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50623DC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4BE0526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vAlign w:val="top"/>
          </w:tcPr>
          <w:p w14:paraId="3B84C043">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3</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0CDF6E23">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3</w:t>
            </w:r>
          </w:p>
        </w:tc>
      </w:tr>
      <w:tr w14:paraId="66495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56B1482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2707B0B9">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4608CF2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179115C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041D350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37F36AF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4194547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vAlign w:val="top"/>
          </w:tcPr>
          <w:p w14:paraId="636272CE">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22B1D9FA">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r>
      <w:tr w14:paraId="1563DC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31F0D2CB">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4F94D55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08971B6F">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36D540F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244FC4E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67263BC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0148A92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vAlign w:val="top"/>
          </w:tcPr>
          <w:p w14:paraId="3307849D">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55F2C15D">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7FB7E7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7CD03C86">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7B662722">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1E58865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0224EF4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6542130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746CDF6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vAlign w:val="top"/>
          </w:tcPr>
          <w:p w14:paraId="7D15B600">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16FAF998">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311C75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17F1D4F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5DA1714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401FA70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79AA458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5DE6A8A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vAlign w:val="top"/>
          </w:tcPr>
          <w:p w14:paraId="7E458877">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64EBDE87">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w:t>
            </w:r>
          </w:p>
        </w:tc>
      </w:tr>
      <w:tr w14:paraId="02E3E9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5" w:hRule="atLeast"/>
          <w:jc w:val="center"/>
        </w:trPr>
        <w:tc>
          <w:tcPr>
            <w:tcW w:w="763" w:type="dxa"/>
            <w:vMerge w:val="restart"/>
            <w:tcBorders>
              <w:tl2br w:val="nil"/>
              <w:tr2bl w:val="nil"/>
            </w:tcBorders>
            <w:shd w:val="clear" w:color="auto" w:fill="FFFFFF"/>
            <w:vAlign w:val="center"/>
          </w:tcPr>
          <w:p w14:paraId="7484391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013EE6C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18296D1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0E3A3F6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2F38620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59ACF9F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vAlign w:val="top"/>
          </w:tcPr>
          <w:p w14:paraId="3AE9B50D">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67ABC6E5">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w:t>
            </w:r>
          </w:p>
        </w:tc>
      </w:tr>
      <w:tr w14:paraId="67A33B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8" w:hRule="atLeast"/>
          <w:jc w:val="center"/>
        </w:trPr>
        <w:tc>
          <w:tcPr>
            <w:tcW w:w="763" w:type="dxa"/>
            <w:vMerge w:val="continue"/>
            <w:tcBorders>
              <w:tl2br w:val="nil"/>
              <w:tr2bl w:val="nil"/>
            </w:tcBorders>
            <w:shd w:val="clear" w:color="auto" w:fill="FFFFFF"/>
            <w:vAlign w:val="center"/>
          </w:tcPr>
          <w:p w14:paraId="6793F91C">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17C9D232">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507A057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40A19A3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5A1CCC9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vAlign w:val="top"/>
          </w:tcPr>
          <w:p w14:paraId="502655CA">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5866C2E4">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447517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42" w:hRule="atLeast"/>
          <w:jc w:val="center"/>
        </w:trPr>
        <w:tc>
          <w:tcPr>
            <w:tcW w:w="763" w:type="dxa"/>
            <w:vMerge w:val="continue"/>
            <w:tcBorders>
              <w:tl2br w:val="nil"/>
              <w:tr2bl w:val="nil"/>
            </w:tcBorders>
            <w:shd w:val="clear" w:color="auto" w:fill="FFFFFF"/>
            <w:vAlign w:val="center"/>
          </w:tcPr>
          <w:p w14:paraId="4A59131D">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1897FA9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78B5FBA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372F65C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23091FF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vAlign w:val="top"/>
          </w:tcPr>
          <w:p w14:paraId="7AFEE3E1">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23166C8C">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2FEFF5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2" w:hRule="atLeast"/>
          <w:jc w:val="center"/>
        </w:trPr>
        <w:tc>
          <w:tcPr>
            <w:tcW w:w="763" w:type="dxa"/>
            <w:vMerge w:val="restart"/>
            <w:tcBorders>
              <w:tl2br w:val="nil"/>
              <w:tr2bl w:val="nil"/>
            </w:tcBorders>
            <w:shd w:val="clear" w:color="auto" w:fill="FFFFFF"/>
            <w:vAlign w:val="center"/>
          </w:tcPr>
          <w:p w14:paraId="5E81911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259DA0C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4774B3D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3B243F5F">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36CDEF9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vAlign w:val="top"/>
          </w:tcPr>
          <w:p w14:paraId="37ABF27E">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0B83F412">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w:t>
            </w:r>
          </w:p>
        </w:tc>
      </w:tr>
      <w:tr w14:paraId="65F70C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72" w:hRule="atLeast"/>
          <w:jc w:val="center"/>
        </w:trPr>
        <w:tc>
          <w:tcPr>
            <w:tcW w:w="763" w:type="dxa"/>
            <w:vMerge w:val="continue"/>
            <w:tcBorders>
              <w:tl2br w:val="nil"/>
              <w:tr2bl w:val="nil"/>
            </w:tcBorders>
            <w:shd w:val="clear" w:color="auto" w:fill="FFFFFF"/>
            <w:vAlign w:val="center"/>
          </w:tcPr>
          <w:p w14:paraId="47287B36">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72528A4A">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5808CFA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3FDA21B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63CE28B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vAlign w:val="top"/>
          </w:tcPr>
          <w:p w14:paraId="06F76CA7">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15</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6947039A">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w:t>
            </w:r>
          </w:p>
        </w:tc>
      </w:tr>
      <w:tr w14:paraId="638CC1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3601" w:type="dxa"/>
            <w:gridSpan w:val="5"/>
            <w:tcBorders>
              <w:tl2br w:val="nil"/>
              <w:tr2bl w:val="nil"/>
            </w:tcBorders>
            <w:shd w:val="clear" w:color="auto" w:fill="FFFFFF"/>
            <w:vAlign w:val="center"/>
          </w:tcPr>
          <w:p w14:paraId="52E0D5C9">
            <w:pPr>
              <w:widowControl/>
              <w:spacing w:line="0" w:lineRule="atLeast"/>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总计</w:t>
            </w:r>
          </w:p>
        </w:tc>
        <w:tc>
          <w:tcPr>
            <w:tcW w:w="852" w:type="dxa"/>
            <w:gridSpan w:val="3"/>
            <w:tcBorders>
              <w:top w:val="single" w:color="auto" w:sz="4" w:space="0"/>
              <w:bottom w:val="single" w:color="auto" w:sz="4" w:space="0"/>
              <w:right w:val="single" w:color="auto" w:sz="4" w:space="0"/>
            </w:tcBorders>
            <w:vAlign w:val="top"/>
          </w:tcPr>
          <w:p w14:paraId="6761FEC6">
            <w:pPr>
              <w:widowControl/>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100</w:t>
            </w:r>
          </w:p>
        </w:tc>
        <w:tc>
          <w:tcPr>
            <w:tcW w:w="922" w:type="dxa"/>
            <w:gridSpan w:val="3"/>
            <w:tcBorders>
              <w:top w:val="single" w:color="auto" w:sz="4" w:space="0"/>
              <w:left w:val="single" w:color="auto" w:sz="4" w:space="0"/>
              <w:bottom w:val="single" w:color="auto" w:sz="4" w:space="0"/>
              <w:right w:val="single" w:color="auto" w:sz="4" w:space="0"/>
            </w:tcBorders>
            <w:vAlign w:val="top"/>
          </w:tcPr>
          <w:p w14:paraId="23FDEAD1">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90</w:t>
            </w:r>
          </w:p>
        </w:tc>
      </w:tr>
    </w:tbl>
    <w:p w14:paraId="6313B848">
      <w:pPr>
        <w:pStyle w:val="2"/>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9DE84E-9FED-4267-A926-1F3B49C8A9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4E6E74B-17B9-4D61-BAC6-E3407FF7B3E3}"/>
  </w:font>
  <w:font w:name="仿宋_GB2312">
    <w:altName w:val="仿宋"/>
    <w:panose1 w:val="02010609030101010101"/>
    <w:charset w:val="86"/>
    <w:family w:val="modern"/>
    <w:pitch w:val="default"/>
    <w:sig w:usb0="00000000" w:usb1="00000000" w:usb2="00000000" w:usb3="00000000" w:csb0="00040000" w:csb1="00000000"/>
    <w:embedRegular r:id="rId3" w:fontKey="{B3784EFC-7B42-421C-9888-9A1626AB5D66}"/>
  </w:font>
  <w:font w:name="仿宋">
    <w:panose1 w:val="02010609060101010101"/>
    <w:charset w:val="86"/>
    <w:family w:val="modern"/>
    <w:pitch w:val="default"/>
    <w:sig w:usb0="800002BF" w:usb1="38CF7CFA" w:usb2="00000016" w:usb3="00000000" w:csb0="00040001" w:csb1="00000000"/>
    <w:embedRegular r:id="rId4" w:fontKey="{19988709-A36E-4145-82CB-09DE6A7986A6}"/>
  </w:font>
  <w:font w:name="方正小标宋_GBK">
    <w:panose1 w:val="02000000000000000000"/>
    <w:charset w:val="86"/>
    <w:family w:val="script"/>
    <w:pitch w:val="default"/>
    <w:sig w:usb0="A00002BF" w:usb1="38CF7CFA" w:usb2="00082016" w:usb3="00000000" w:csb0="00040001" w:csb1="00000000"/>
    <w:embedRegular r:id="rId5" w:fontKey="{689F1DBD-4AF9-4810-AD96-C8B9D1957653}"/>
  </w:font>
  <w:font w:name="华文中宋">
    <w:panose1 w:val="02010600040101010101"/>
    <w:charset w:val="86"/>
    <w:family w:val="auto"/>
    <w:pitch w:val="default"/>
    <w:sig w:usb0="00000287" w:usb1="080F0000" w:usb2="00000000" w:usb3="00000000" w:csb0="0004009F" w:csb1="DFD70000"/>
    <w:embedRegular r:id="rId6" w:fontKey="{8FB3FD0E-2654-4910-8973-D298D10E8139}"/>
  </w:font>
  <w:font w:name="方正仿宋_GBK">
    <w:panose1 w:val="02000000000000000000"/>
    <w:charset w:val="86"/>
    <w:family w:val="auto"/>
    <w:pitch w:val="default"/>
    <w:sig w:usb0="A00002BF" w:usb1="38CF7CFA" w:usb2="00082016" w:usb3="00000000" w:csb0="00040001" w:csb1="00000000"/>
    <w:embedRegular r:id="rId7" w:fontKey="{AB4BC554-D980-46F6-8C10-E31A30621C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E09E3">
    <w:pPr>
      <w:pStyle w:val="4"/>
      <w:ind w:firstLine="360"/>
      <w:jc w:val="center"/>
    </w:pPr>
    <w:r>
      <w:fldChar w:fldCharType="begin"/>
    </w:r>
    <w:r>
      <w:instrText xml:space="preserve"> PAGE   \* MERGEFORMAT </w:instrText>
    </w:r>
    <w:r>
      <w:fldChar w:fldCharType="separate"/>
    </w:r>
    <w:r>
      <w:rPr>
        <w:lang w:val="zh-CN"/>
      </w:rPr>
      <w:t>1</w:t>
    </w:r>
    <w:r>
      <w:fldChar w:fldCharType="end"/>
    </w:r>
  </w:p>
  <w:p w14:paraId="4A1FC8EE">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77785">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450DBF"/>
    <w:multiLevelType w:val="singleLevel"/>
    <w:tmpl w:val="C4450DBF"/>
    <w:lvl w:ilvl="0" w:tentative="0">
      <w:start w:val="3"/>
      <w:numFmt w:val="chineseCounting"/>
      <w:suff w:val="nothing"/>
      <w:lvlText w:val="%1、"/>
      <w:lvlJc w:val="left"/>
      <w:rPr>
        <w:rFonts w:hint="eastAsia"/>
      </w:rPr>
    </w:lvl>
  </w:abstractNum>
  <w:abstractNum w:abstractNumId="1">
    <w:nsid w:val="CBD0B4FA"/>
    <w:multiLevelType w:val="singleLevel"/>
    <w:tmpl w:val="CBD0B4FA"/>
    <w:lvl w:ilvl="0" w:tentative="0">
      <w:start w:val="6"/>
      <w:numFmt w:val="chineseCounting"/>
      <w:suff w:val="nothing"/>
      <w:lvlText w:val="%1、"/>
      <w:lvlJc w:val="left"/>
      <w:rPr>
        <w:rFonts w:hint="eastAsia"/>
      </w:rPr>
    </w:lvl>
  </w:abstractNum>
  <w:abstractNum w:abstractNumId="2">
    <w:nsid w:val="CF917EC4"/>
    <w:multiLevelType w:val="singleLevel"/>
    <w:tmpl w:val="CF917EC4"/>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B4E42"/>
    <w:rsid w:val="0014704D"/>
    <w:rsid w:val="00151407"/>
    <w:rsid w:val="0016729B"/>
    <w:rsid w:val="00190715"/>
    <w:rsid w:val="0019598E"/>
    <w:rsid w:val="00321AAF"/>
    <w:rsid w:val="0033101A"/>
    <w:rsid w:val="00350C1F"/>
    <w:rsid w:val="0035119F"/>
    <w:rsid w:val="0039215D"/>
    <w:rsid w:val="003952FC"/>
    <w:rsid w:val="003C5C58"/>
    <w:rsid w:val="003E7573"/>
    <w:rsid w:val="00402B7C"/>
    <w:rsid w:val="0043448B"/>
    <w:rsid w:val="004B2159"/>
    <w:rsid w:val="00535AC9"/>
    <w:rsid w:val="005552ED"/>
    <w:rsid w:val="005B1C5F"/>
    <w:rsid w:val="005C0B39"/>
    <w:rsid w:val="005C7A44"/>
    <w:rsid w:val="005D54D1"/>
    <w:rsid w:val="006400F0"/>
    <w:rsid w:val="00764C9C"/>
    <w:rsid w:val="007E31B2"/>
    <w:rsid w:val="0081734A"/>
    <w:rsid w:val="00835FD6"/>
    <w:rsid w:val="008B59C7"/>
    <w:rsid w:val="008C31F1"/>
    <w:rsid w:val="00917D3F"/>
    <w:rsid w:val="00922B2B"/>
    <w:rsid w:val="00950CAE"/>
    <w:rsid w:val="00A07889"/>
    <w:rsid w:val="00A26703"/>
    <w:rsid w:val="00AD4D92"/>
    <w:rsid w:val="00AE1730"/>
    <w:rsid w:val="00C044C1"/>
    <w:rsid w:val="00C27396"/>
    <w:rsid w:val="00C469BE"/>
    <w:rsid w:val="00C85141"/>
    <w:rsid w:val="00CE3A33"/>
    <w:rsid w:val="00D53C89"/>
    <w:rsid w:val="00DE2DA4"/>
    <w:rsid w:val="00DF19EB"/>
    <w:rsid w:val="00DF315A"/>
    <w:rsid w:val="00E0455F"/>
    <w:rsid w:val="00E3118B"/>
    <w:rsid w:val="00E617C1"/>
    <w:rsid w:val="00EA07C8"/>
    <w:rsid w:val="00EE0B62"/>
    <w:rsid w:val="00F0682D"/>
    <w:rsid w:val="00F76319"/>
    <w:rsid w:val="00F817B7"/>
    <w:rsid w:val="00F95698"/>
    <w:rsid w:val="011749CB"/>
    <w:rsid w:val="0139415F"/>
    <w:rsid w:val="014A49D0"/>
    <w:rsid w:val="01AC4261"/>
    <w:rsid w:val="01D178FB"/>
    <w:rsid w:val="01F70AC1"/>
    <w:rsid w:val="01FC37D5"/>
    <w:rsid w:val="03024AF6"/>
    <w:rsid w:val="03375A8C"/>
    <w:rsid w:val="03525558"/>
    <w:rsid w:val="03FC1BC9"/>
    <w:rsid w:val="05015A9B"/>
    <w:rsid w:val="05654188"/>
    <w:rsid w:val="05F726B2"/>
    <w:rsid w:val="064E6C80"/>
    <w:rsid w:val="06ED214B"/>
    <w:rsid w:val="06FD1227"/>
    <w:rsid w:val="0723510D"/>
    <w:rsid w:val="074B6142"/>
    <w:rsid w:val="07B47B3C"/>
    <w:rsid w:val="08214512"/>
    <w:rsid w:val="0884596B"/>
    <w:rsid w:val="093E7004"/>
    <w:rsid w:val="09E566FD"/>
    <w:rsid w:val="0B8C2279"/>
    <w:rsid w:val="0CDE7B4A"/>
    <w:rsid w:val="0CE6648D"/>
    <w:rsid w:val="0D6F5865"/>
    <w:rsid w:val="0E673EE8"/>
    <w:rsid w:val="0EBD52AE"/>
    <w:rsid w:val="0FA34EB2"/>
    <w:rsid w:val="102645B9"/>
    <w:rsid w:val="108158F8"/>
    <w:rsid w:val="10DF07CA"/>
    <w:rsid w:val="11017AD8"/>
    <w:rsid w:val="11662596"/>
    <w:rsid w:val="126E5C57"/>
    <w:rsid w:val="12785E97"/>
    <w:rsid w:val="12A979C4"/>
    <w:rsid w:val="135A1D14"/>
    <w:rsid w:val="13964A3D"/>
    <w:rsid w:val="13AA6222"/>
    <w:rsid w:val="1451547F"/>
    <w:rsid w:val="16072965"/>
    <w:rsid w:val="16502B41"/>
    <w:rsid w:val="17D83244"/>
    <w:rsid w:val="17FD5023"/>
    <w:rsid w:val="18077D3F"/>
    <w:rsid w:val="182F4818"/>
    <w:rsid w:val="18A13DF8"/>
    <w:rsid w:val="199D0048"/>
    <w:rsid w:val="1AA82917"/>
    <w:rsid w:val="1B171728"/>
    <w:rsid w:val="1C62169F"/>
    <w:rsid w:val="1D4B7EA9"/>
    <w:rsid w:val="1E603044"/>
    <w:rsid w:val="1F351687"/>
    <w:rsid w:val="1FD838CC"/>
    <w:rsid w:val="1FF25C60"/>
    <w:rsid w:val="200C2907"/>
    <w:rsid w:val="20223039"/>
    <w:rsid w:val="20422F5B"/>
    <w:rsid w:val="2160014E"/>
    <w:rsid w:val="21707076"/>
    <w:rsid w:val="2203120E"/>
    <w:rsid w:val="22A97F0B"/>
    <w:rsid w:val="22C913D1"/>
    <w:rsid w:val="23B46EDA"/>
    <w:rsid w:val="257E5561"/>
    <w:rsid w:val="265514B1"/>
    <w:rsid w:val="26871A7D"/>
    <w:rsid w:val="26D90A45"/>
    <w:rsid w:val="26E60F2F"/>
    <w:rsid w:val="27DF0674"/>
    <w:rsid w:val="281A1F3A"/>
    <w:rsid w:val="28770843"/>
    <w:rsid w:val="28A411C8"/>
    <w:rsid w:val="291F4EB1"/>
    <w:rsid w:val="29334176"/>
    <w:rsid w:val="296747AA"/>
    <w:rsid w:val="298A0C2B"/>
    <w:rsid w:val="2A1F34DB"/>
    <w:rsid w:val="2B3B5F8A"/>
    <w:rsid w:val="2B8A79EA"/>
    <w:rsid w:val="2CFC481C"/>
    <w:rsid w:val="2DB52644"/>
    <w:rsid w:val="2ED02E43"/>
    <w:rsid w:val="2F014C4A"/>
    <w:rsid w:val="2F035C2B"/>
    <w:rsid w:val="2F106FDF"/>
    <w:rsid w:val="2FC97CD9"/>
    <w:rsid w:val="30D039ED"/>
    <w:rsid w:val="30EF7958"/>
    <w:rsid w:val="31026771"/>
    <w:rsid w:val="321B00D7"/>
    <w:rsid w:val="322129E3"/>
    <w:rsid w:val="32213D2B"/>
    <w:rsid w:val="323976B1"/>
    <w:rsid w:val="32E14254"/>
    <w:rsid w:val="332F59EB"/>
    <w:rsid w:val="340702AC"/>
    <w:rsid w:val="3585183A"/>
    <w:rsid w:val="35AB6791"/>
    <w:rsid w:val="3655326F"/>
    <w:rsid w:val="37856703"/>
    <w:rsid w:val="38E22E9A"/>
    <w:rsid w:val="39105C9D"/>
    <w:rsid w:val="39AC60A1"/>
    <w:rsid w:val="39E1685A"/>
    <w:rsid w:val="3B8E080B"/>
    <w:rsid w:val="3C5C5181"/>
    <w:rsid w:val="3C717348"/>
    <w:rsid w:val="3DAD3418"/>
    <w:rsid w:val="3E0F0372"/>
    <w:rsid w:val="3F243522"/>
    <w:rsid w:val="3F544F9A"/>
    <w:rsid w:val="3F6F027B"/>
    <w:rsid w:val="3FAA21CD"/>
    <w:rsid w:val="3FC1302C"/>
    <w:rsid w:val="40145C30"/>
    <w:rsid w:val="4068774B"/>
    <w:rsid w:val="41690DFA"/>
    <w:rsid w:val="428C6BC6"/>
    <w:rsid w:val="42F403DA"/>
    <w:rsid w:val="43B808C0"/>
    <w:rsid w:val="43E37A9A"/>
    <w:rsid w:val="449A2502"/>
    <w:rsid w:val="450635EA"/>
    <w:rsid w:val="45256EF4"/>
    <w:rsid w:val="456413F9"/>
    <w:rsid w:val="45845A26"/>
    <w:rsid w:val="459E21EA"/>
    <w:rsid w:val="45BE0450"/>
    <w:rsid w:val="4740792C"/>
    <w:rsid w:val="474837DB"/>
    <w:rsid w:val="47A5368F"/>
    <w:rsid w:val="481C62E1"/>
    <w:rsid w:val="48E42C43"/>
    <w:rsid w:val="4D002BFD"/>
    <w:rsid w:val="4D465390"/>
    <w:rsid w:val="4DE64CE2"/>
    <w:rsid w:val="4E0D2171"/>
    <w:rsid w:val="4EC7648E"/>
    <w:rsid w:val="4EF56422"/>
    <w:rsid w:val="4F5B5250"/>
    <w:rsid w:val="4FE912CE"/>
    <w:rsid w:val="50093DE2"/>
    <w:rsid w:val="50931FD7"/>
    <w:rsid w:val="510E60B2"/>
    <w:rsid w:val="518B65E4"/>
    <w:rsid w:val="52544F7F"/>
    <w:rsid w:val="52D1051D"/>
    <w:rsid w:val="52D6799C"/>
    <w:rsid w:val="544B269D"/>
    <w:rsid w:val="54D13A3B"/>
    <w:rsid w:val="555E0DB1"/>
    <w:rsid w:val="560D657F"/>
    <w:rsid w:val="56AE022E"/>
    <w:rsid w:val="57295BFB"/>
    <w:rsid w:val="578D6BE5"/>
    <w:rsid w:val="57C0278D"/>
    <w:rsid w:val="584C78E3"/>
    <w:rsid w:val="58C57E9E"/>
    <w:rsid w:val="598A63AF"/>
    <w:rsid w:val="5A0C3A5D"/>
    <w:rsid w:val="5AF369B1"/>
    <w:rsid w:val="5B390AA1"/>
    <w:rsid w:val="5B8D2A7D"/>
    <w:rsid w:val="5BC53C0A"/>
    <w:rsid w:val="5CF8425B"/>
    <w:rsid w:val="5D0E7FA3"/>
    <w:rsid w:val="5E3A7797"/>
    <w:rsid w:val="5EAD367C"/>
    <w:rsid w:val="5ED81F0A"/>
    <w:rsid w:val="5F655D65"/>
    <w:rsid w:val="606636C9"/>
    <w:rsid w:val="60E3120A"/>
    <w:rsid w:val="61FB0B10"/>
    <w:rsid w:val="630A249D"/>
    <w:rsid w:val="63736FFB"/>
    <w:rsid w:val="65AB18A7"/>
    <w:rsid w:val="66E5334D"/>
    <w:rsid w:val="66F4592F"/>
    <w:rsid w:val="691262CC"/>
    <w:rsid w:val="6AE6648D"/>
    <w:rsid w:val="6B1565D3"/>
    <w:rsid w:val="6BBB273B"/>
    <w:rsid w:val="6BC31654"/>
    <w:rsid w:val="6C7E0546"/>
    <w:rsid w:val="6CA67CF9"/>
    <w:rsid w:val="6D885A60"/>
    <w:rsid w:val="6DA50F98"/>
    <w:rsid w:val="6E3D1EA4"/>
    <w:rsid w:val="6EA75630"/>
    <w:rsid w:val="6EC36ECB"/>
    <w:rsid w:val="6F673B4F"/>
    <w:rsid w:val="6FFE7FF4"/>
    <w:rsid w:val="701704E9"/>
    <w:rsid w:val="702039B0"/>
    <w:rsid w:val="71F10C53"/>
    <w:rsid w:val="72046A88"/>
    <w:rsid w:val="72801A82"/>
    <w:rsid w:val="72C2031F"/>
    <w:rsid w:val="73AA5ED4"/>
    <w:rsid w:val="73CE5DF5"/>
    <w:rsid w:val="749A0DA2"/>
    <w:rsid w:val="764D70A5"/>
    <w:rsid w:val="77AF7B81"/>
    <w:rsid w:val="7A3215BE"/>
    <w:rsid w:val="7BAC4C82"/>
    <w:rsid w:val="7C2F2271"/>
    <w:rsid w:val="7CF602D3"/>
    <w:rsid w:val="7D723E14"/>
    <w:rsid w:val="7D9627E1"/>
    <w:rsid w:val="7E153AFE"/>
    <w:rsid w:val="7E78146A"/>
    <w:rsid w:val="7ECC3DC3"/>
    <w:rsid w:val="7F2635A0"/>
    <w:rsid w:val="7FA33710"/>
    <w:rsid w:val="7FDA6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Strong"/>
    <w:basedOn w:val="8"/>
    <w:qFormat/>
    <w:uiPriority w:val="99"/>
    <w:rPr>
      <w:b/>
      <w:bCs/>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E85CE99-088F-4380-A1D6-53EA78F77F74}">
  <ds:schemaRefs/>
</ds:datastoreItem>
</file>

<file path=docProps/app.xml><?xml version="1.0" encoding="utf-8"?>
<Properties xmlns="http://schemas.openxmlformats.org/officeDocument/2006/extended-properties" xmlns:vt="http://schemas.openxmlformats.org/officeDocument/2006/docPropsVTypes">
  <Template>Normal</Template>
  <Pages>12</Pages>
  <Words>5994</Words>
  <Characters>6230</Characters>
  <Lines>19</Lines>
  <Paragraphs>5</Paragraphs>
  <TotalTime>4</TotalTime>
  <ScaleCrop>false</ScaleCrop>
  <LinksUpToDate>false</LinksUpToDate>
  <CharactersWithSpaces>6252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Qxb</cp:lastModifiedBy>
  <cp:lastPrinted>2020-05-11T05:19:00Z</cp:lastPrinted>
  <dcterms:modified xsi:type="dcterms:W3CDTF">2025-02-07T04:55:39Z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1A96D048591245BEA5517D1AF6AB5EE3_12</vt:lpwstr>
  </property>
</Properties>
</file>