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8FF11">
      <w:pPr>
        <w:spacing w:line="540" w:lineRule="exact"/>
        <w:jc w:val="center"/>
        <w:rPr>
          <w:rFonts w:ascii="华文中宋" w:hAnsi="华文中宋" w:eastAsia="华文中宋" w:cs="宋体"/>
          <w:b/>
          <w:kern w:val="0"/>
          <w:sz w:val="52"/>
          <w:szCs w:val="52"/>
        </w:rPr>
      </w:pPr>
    </w:p>
    <w:p w14:paraId="6EE08596">
      <w:pPr>
        <w:spacing w:line="540" w:lineRule="exact"/>
        <w:jc w:val="center"/>
        <w:rPr>
          <w:rFonts w:ascii="华文中宋" w:hAnsi="华文中宋" w:eastAsia="华文中宋" w:cs="宋体"/>
          <w:b/>
          <w:kern w:val="0"/>
          <w:sz w:val="52"/>
          <w:szCs w:val="52"/>
        </w:rPr>
      </w:pPr>
    </w:p>
    <w:p w14:paraId="77376FBD">
      <w:pPr>
        <w:spacing w:line="540" w:lineRule="exact"/>
        <w:jc w:val="center"/>
        <w:rPr>
          <w:rFonts w:ascii="华文中宋" w:hAnsi="华文中宋" w:eastAsia="华文中宋" w:cs="宋体"/>
          <w:b/>
          <w:kern w:val="0"/>
          <w:sz w:val="52"/>
          <w:szCs w:val="52"/>
        </w:rPr>
      </w:pPr>
    </w:p>
    <w:p w14:paraId="7A005AF2">
      <w:pPr>
        <w:spacing w:line="540" w:lineRule="exact"/>
        <w:jc w:val="center"/>
        <w:rPr>
          <w:rFonts w:ascii="华文中宋" w:hAnsi="华文中宋" w:eastAsia="华文中宋" w:cs="宋体"/>
          <w:b/>
          <w:kern w:val="0"/>
          <w:sz w:val="52"/>
          <w:szCs w:val="52"/>
        </w:rPr>
      </w:pPr>
    </w:p>
    <w:p w14:paraId="4E73B4B7">
      <w:pPr>
        <w:spacing w:line="540" w:lineRule="exact"/>
        <w:jc w:val="center"/>
        <w:rPr>
          <w:rFonts w:ascii="华文中宋" w:hAnsi="华文中宋" w:eastAsia="华文中宋" w:cs="宋体"/>
          <w:b/>
          <w:kern w:val="0"/>
          <w:sz w:val="52"/>
          <w:szCs w:val="52"/>
        </w:rPr>
      </w:pPr>
    </w:p>
    <w:p w14:paraId="47D94A5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巴州党委编办项目支出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172EF2E9">
      <w:pPr>
        <w:spacing w:line="540" w:lineRule="exact"/>
        <w:jc w:val="center"/>
        <w:rPr>
          <w:rFonts w:ascii="华文中宋" w:hAnsi="华文中宋" w:eastAsia="华文中宋" w:cs="宋体"/>
          <w:b/>
          <w:kern w:val="0"/>
          <w:sz w:val="52"/>
          <w:szCs w:val="52"/>
        </w:rPr>
      </w:pPr>
    </w:p>
    <w:p w14:paraId="43464286">
      <w:pPr>
        <w:spacing w:line="540" w:lineRule="exact"/>
        <w:jc w:val="center"/>
        <w:rPr>
          <w:rFonts w:ascii="华文中宋" w:hAnsi="华文中宋" w:eastAsia="华文中宋" w:cs="宋体"/>
          <w:b/>
          <w:kern w:val="0"/>
          <w:sz w:val="52"/>
          <w:szCs w:val="52"/>
        </w:rPr>
      </w:pPr>
    </w:p>
    <w:p w14:paraId="2057BE2E">
      <w:pPr>
        <w:spacing w:line="540" w:lineRule="exact"/>
        <w:jc w:val="center"/>
        <w:rPr>
          <w:rFonts w:ascii="华文中宋" w:hAnsi="华文中宋" w:eastAsia="华文中宋" w:cs="宋体"/>
          <w:b/>
          <w:kern w:val="0"/>
          <w:sz w:val="52"/>
          <w:szCs w:val="52"/>
        </w:rPr>
      </w:pPr>
    </w:p>
    <w:p w14:paraId="5CE111DC">
      <w:pPr>
        <w:spacing w:line="540" w:lineRule="exact"/>
        <w:jc w:val="center"/>
        <w:rPr>
          <w:rFonts w:hAnsi="宋体" w:cs="宋体"/>
          <w:kern w:val="0"/>
          <w:sz w:val="36"/>
          <w:szCs w:val="36"/>
        </w:rPr>
      </w:pPr>
      <w:r>
        <w:rPr>
          <w:rFonts w:hint="eastAsia" w:hAnsi="宋体" w:cs="宋体"/>
          <w:kern w:val="0"/>
          <w:sz w:val="36"/>
          <w:szCs w:val="36"/>
        </w:rPr>
        <w:t>（2019年度）</w:t>
      </w:r>
    </w:p>
    <w:p w14:paraId="6272EFB6">
      <w:pPr>
        <w:spacing w:line="540" w:lineRule="exact"/>
        <w:jc w:val="center"/>
        <w:rPr>
          <w:rFonts w:hAnsi="宋体" w:cs="宋体"/>
          <w:kern w:val="0"/>
          <w:szCs w:val="30"/>
        </w:rPr>
      </w:pPr>
    </w:p>
    <w:p w14:paraId="74352C5F">
      <w:pPr>
        <w:spacing w:line="540" w:lineRule="exact"/>
        <w:jc w:val="center"/>
        <w:rPr>
          <w:rFonts w:hAnsi="宋体" w:cs="宋体"/>
          <w:kern w:val="0"/>
          <w:szCs w:val="30"/>
        </w:rPr>
      </w:pPr>
    </w:p>
    <w:p w14:paraId="718EB2BE">
      <w:pPr>
        <w:spacing w:line="540" w:lineRule="exact"/>
        <w:jc w:val="center"/>
        <w:rPr>
          <w:rFonts w:hAnsi="宋体" w:cs="宋体"/>
          <w:kern w:val="0"/>
          <w:szCs w:val="30"/>
        </w:rPr>
      </w:pPr>
    </w:p>
    <w:p w14:paraId="09859A2A">
      <w:pPr>
        <w:spacing w:line="540" w:lineRule="exact"/>
        <w:jc w:val="center"/>
        <w:rPr>
          <w:rFonts w:hAnsi="宋体" w:cs="宋体"/>
          <w:kern w:val="0"/>
          <w:szCs w:val="30"/>
        </w:rPr>
      </w:pPr>
    </w:p>
    <w:p w14:paraId="39F2211F">
      <w:pPr>
        <w:spacing w:line="540" w:lineRule="exact"/>
        <w:jc w:val="center"/>
        <w:rPr>
          <w:rFonts w:hAnsi="宋体" w:cs="宋体"/>
          <w:kern w:val="0"/>
          <w:szCs w:val="30"/>
        </w:rPr>
      </w:pPr>
    </w:p>
    <w:p w14:paraId="19A9C831">
      <w:pPr>
        <w:spacing w:line="540" w:lineRule="exact"/>
        <w:rPr>
          <w:rFonts w:hAnsi="宋体" w:cs="宋体"/>
          <w:kern w:val="0"/>
          <w:szCs w:val="30"/>
        </w:rPr>
      </w:pPr>
    </w:p>
    <w:p w14:paraId="0C50C700">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项目名称：深化党政机构改革</w:t>
      </w:r>
    </w:p>
    <w:p w14:paraId="6B9A139A">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实施单位（公章）：巴州党委编办</w:t>
      </w:r>
      <w:r>
        <w:rPr>
          <w:rFonts w:hAnsi="宋体" w:cs="宋体"/>
          <w:kern w:val="0"/>
          <w:sz w:val="36"/>
          <w:szCs w:val="36"/>
        </w:rPr>
        <w:t xml:space="preserve"> </w:t>
      </w:r>
    </w:p>
    <w:p w14:paraId="441A1052">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主管部门（公章）巴州党委编办</w:t>
      </w:r>
    </w:p>
    <w:p w14:paraId="7F307BA9">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项目负责人（签章）：赵萌</w:t>
      </w:r>
      <w:r>
        <w:rPr>
          <w:rFonts w:hAnsi="宋体" w:cs="宋体"/>
          <w:kern w:val="0"/>
          <w:sz w:val="36"/>
          <w:szCs w:val="36"/>
        </w:rPr>
        <w:t xml:space="preserve"> </w:t>
      </w:r>
    </w:p>
    <w:p w14:paraId="4849AF90">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填报时间：2020年</w:t>
      </w:r>
      <w:r>
        <w:rPr>
          <w:rFonts w:hint="eastAsia" w:hAnsi="宋体" w:cs="宋体"/>
          <w:kern w:val="0"/>
          <w:sz w:val="36"/>
          <w:szCs w:val="36"/>
          <w:lang w:val="en-US" w:eastAsia="zh-CN"/>
        </w:rPr>
        <w:t>4</w:t>
      </w:r>
      <w:r>
        <w:rPr>
          <w:rFonts w:hint="eastAsia" w:hAnsi="宋体" w:cs="宋体"/>
          <w:kern w:val="0"/>
          <w:sz w:val="36"/>
          <w:szCs w:val="36"/>
        </w:rPr>
        <w:t xml:space="preserve">月26日  </w:t>
      </w:r>
      <w:r>
        <w:rPr>
          <w:rFonts w:hAnsi="宋体" w:cs="宋体"/>
          <w:kern w:val="0"/>
          <w:sz w:val="36"/>
          <w:szCs w:val="36"/>
        </w:rPr>
        <w:t xml:space="preserve"> </w:t>
      </w:r>
    </w:p>
    <w:p w14:paraId="40C90896">
      <w:pPr>
        <w:spacing w:line="540" w:lineRule="exact"/>
        <w:jc w:val="center"/>
        <w:rPr>
          <w:rFonts w:hAnsi="宋体" w:cs="宋体"/>
          <w:kern w:val="0"/>
          <w:szCs w:val="30"/>
        </w:rPr>
      </w:pPr>
    </w:p>
    <w:p w14:paraId="0EBB6BDA"/>
    <w:p w14:paraId="1FBC3EB7">
      <w:pPr>
        <w:jc w:val="center"/>
        <w:rPr>
          <w:rFonts w:ascii="宋体" w:hAnsi="宋体" w:eastAsia="宋体" w:cs="Arial"/>
          <w:b/>
          <w:bCs/>
          <w:sz w:val="36"/>
          <w:szCs w:val="36"/>
        </w:rPr>
      </w:pPr>
      <w:r>
        <w:rPr>
          <w:rFonts w:hint="eastAsia" w:ascii="宋体" w:hAnsi="宋体" w:eastAsia="宋体" w:cs="Arial"/>
          <w:b/>
          <w:bCs/>
          <w:sz w:val="36"/>
          <w:szCs w:val="36"/>
        </w:rPr>
        <w:t>2019年深化党政机构改革工作项目支出</w:t>
      </w:r>
    </w:p>
    <w:p w14:paraId="2533F1CA">
      <w:pPr>
        <w:jc w:val="center"/>
        <w:rPr>
          <w:rFonts w:ascii="Arial" w:hAnsi="Arial" w:eastAsia="宋体" w:cs="Arial"/>
          <w:b/>
          <w:bCs/>
          <w:sz w:val="36"/>
          <w:szCs w:val="36"/>
        </w:rPr>
      </w:pPr>
      <w:r>
        <w:rPr>
          <w:rFonts w:ascii="宋体" w:hAnsi="宋体" w:eastAsia="宋体" w:cs="Arial"/>
          <w:b/>
          <w:bCs/>
          <w:sz w:val="36"/>
          <w:szCs w:val="36"/>
        </w:rPr>
        <w:t>绩效</w:t>
      </w:r>
      <w:r>
        <w:rPr>
          <w:rFonts w:hint="eastAsia" w:ascii="宋体" w:hAnsi="宋体" w:eastAsia="宋体" w:cs="Arial"/>
          <w:b/>
          <w:bCs/>
          <w:sz w:val="36"/>
          <w:szCs w:val="36"/>
        </w:rPr>
        <w:t>评价报告</w:t>
      </w:r>
    </w:p>
    <w:p w14:paraId="248852FC">
      <w:pPr>
        <w:jc w:val="center"/>
        <w:rPr>
          <w:rFonts w:ascii="仿宋_GB2312"/>
        </w:rPr>
      </w:pPr>
    </w:p>
    <w:p w14:paraId="70E4E44C">
      <w:pPr>
        <w:jc w:val="center"/>
        <w:rPr>
          <w:rFonts w:ascii="仿宋_GB2312"/>
          <w:szCs w:val="30"/>
        </w:rPr>
      </w:pPr>
    </w:p>
    <w:p w14:paraId="57069F47">
      <w:pPr>
        <w:spacing w:line="600" w:lineRule="exact"/>
        <w:ind w:firstLine="600" w:firstLineChars="200"/>
        <w:rPr>
          <w:rFonts w:ascii="黑体" w:hAnsi="黑体" w:eastAsia="黑体"/>
        </w:rPr>
      </w:pPr>
      <w:r>
        <w:rPr>
          <w:rFonts w:hint="eastAsia" w:ascii="黑体" w:hAnsi="黑体" w:eastAsia="黑体"/>
        </w:rPr>
        <w:t>一、基本情况</w:t>
      </w:r>
    </w:p>
    <w:p w14:paraId="2759BC6F">
      <w:pPr>
        <w:spacing w:line="600" w:lineRule="exact"/>
        <w:ind w:firstLine="600" w:firstLineChars="200"/>
        <w:outlineLvl w:val="0"/>
        <w:rPr>
          <w:rFonts w:ascii="仿宋_GB2312"/>
        </w:rPr>
      </w:pPr>
      <w:r>
        <w:rPr>
          <w:rFonts w:hint="eastAsia" w:ascii="仿宋_GB2312"/>
        </w:rPr>
        <w:t>（一）项目概况。</w:t>
      </w:r>
    </w:p>
    <w:p w14:paraId="67070024">
      <w:pPr>
        <w:spacing w:line="600" w:lineRule="exact"/>
        <w:ind w:firstLine="600" w:firstLineChars="200"/>
        <w:outlineLvl w:val="0"/>
        <w:rPr>
          <w:rFonts w:ascii="仿宋_GB2312"/>
        </w:rPr>
      </w:pPr>
      <w:r>
        <w:rPr>
          <w:rFonts w:hint="eastAsia" w:ascii="仿宋_GB2312"/>
        </w:rPr>
        <w:t>1．项目背景</w:t>
      </w:r>
    </w:p>
    <w:p w14:paraId="466798C0">
      <w:pPr>
        <w:spacing w:line="600" w:lineRule="exact"/>
        <w:ind w:firstLine="600" w:firstLineChars="200"/>
        <w:rPr>
          <w:rFonts w:ascii="仿宋_GB2312"/>
        </w:rPr>
      </w:pPr>
      <w:r>
        <w:rPr>
          <w:rFonts w:hint="eastAsia" w:ascii="仿宋_GB2312"/>
        </w:rPr>
        <w:t>机构改革</w:t>
      </w:r>
      <w:r>
        <w:fldChar w:fldCharType="begin"/>
      </w:r>
      <w:r>
        <w:instrText xml:space="preserve"> HYPERLINK "https://baike.sogou.com/v66504860.htm?fromTitle=%E6%9C%BA%E6%9E%84%E6%94%B9%E9%9D%A9" \l "quote1" </w:instrText>
      </w:r>
      <w:r>
        <w:fldChar w:fldCharType="separate"/>
      </w:r>
      <w:r>
        <w:fldChar w:fldCharType="end"/>
      </w:r>
      <w:bookmarkStart w:id="0" w:name="ref_1"/>
      <w:bookmarkEnd w:id="0"/>
      <w:r>
        <w:rPr>
          <w:rFonts w:ascii="仿宋_GB2312"/>
        </w:rPr>
        <w:t>是为了适应社会政治经济发展的需要而对党政机关的管理体制、职能配置、机构设置、人员配备以及这些机构人员的组合方式、运行机制所作的较大调整和变革。</w:t>
      </w:r>
      <w:r>
        <w:rPr>
          <w:rFonts w:hint="eastAsia" w:ascii="仿宋_GB2312"/>
        </w:rPr>
        <w:t>巴州党委编办主要承担党政机构改革工作，力争在2019年3月底完成党政机构改革工作。</w:t>
      </w:r>
    </w:p>
    <w:p w14:paraId="2E8F2F07">
      <w:pPr>
        <w:spacing w:line="600" w:lineRule="exact"/>
        <w:ind w:firstLine="600" w:firstLineChars="200"/>
        <w:rPr>
          <w:rFonts w:ascii="仿宋_GB2312"/>
        </w:rPr>
      </w:pPr>
      <w:r>
        <w:rPr>
          <w:rFonts w:hint="eastAsia" w:ascii="仿宋_GB2312"/>
        </w:rPr>
        <w:t>2、项目主要内容及实施情况</w:t>
      </w:r>
    </w:p>
    <w:p w14:paraId="25AE4B7F">
      <w:pPr>
        <w:spacing w:line="600" w:lineRule="exact"/>
        <w:ind w:firstLine="600" w:firstLineChars="200"/>
        <w:rPr>
          <w:rFonts w:ascii="仿宋_GB2312"/>
        </w:rPr>
      </w:pPr>
      <w:r>
        <w:rPr>
          <w:rFonts w:hint="eastAsia" w:ascii="仿宋_GB2312"/>
        </w:rPr>
        <w:t>根据中国共产党第十九届中央委员会第三次全体会议审议通过的《中共中央关于深化党和国家机构改革的决定》，自治州成立深化党政机构改革领导小组办公室，全权负责党政机构改革工作，按照时间节点制定《巴音郭楞蒙古自治州机构改革方案》（草案）。经自治州党委审议通过报自治区深化党政机构改革领导小组审议，自治区党委、自治区人民政府批准下发《巴音郭楞蒙古自治州机构改革方案》（新党厅字〔2019〕10号）。根据《方案》，自治州党委办公室、自治州人民政府办公室印发《关于〈巴音郭楞蒙古自治州机构改革方案〉的实施意见》（巴党办发〔2019〕2号），并于2019年3月底前完成改革。</w:t>
      </w:r>
    </w:p>
    <w:p w14:paraId="2B76CAD0">
      <w:pPr>
        <w:spacing w:line="600" w:lineRule="exact"/>
        <w:ind w:firstLine="600" w:firstLineChars="200"/>
        <w:rPr>
          <w:rFonts w:ascii="仿宋_GB2312"/>
        </w:rPr>
      </w:pPr>
      <w:r>
        <w:rPr>
          <w:rFonts w:hint="eastAsia" w:ascii="仿宋_GB2312"/>
        </w:rPr>
        <w:t>3、资金投入和使用情况</w:t>
      </w:r>
    </w:p>
    <w:p w14:paraId="619649D3">
      <w:pPr>
        <w:spacing w:line="600" w:lineRule="exact"/>
        <w:ind w:firstLine="600" w:firstLineChars="200"/>
        <w:rPr>
          <w:rFonts w:ascii="仿宋_GB2312"/>
        </w:rPr>
      </w:pPr>
      <w:r>
        <w:rPr>
          <w:rFonts w:hint="eastAsia" w:ascii="仿宋_GB2312"/>
        </w:rPr>
        <w:t>2019年巴州党委编办深化党政机构改革项目支出预算4.89万元，州财政拨付经费4.89万元，实际使用资金4.89万元，预算执行率100%，州党委编办于2019年1月开始启用此笔经费，2019年12月使用完毕。2019年按照州财政要求在政府网站对2019年部门预算和</w:t>
      </w:r>
      <w:r>
        <w:rPr>
          <w:rFonts w:hint="eastAsia" w:ascii="仿宋_GB2312"/>
          <w:lang w:eastAsia="zh-CN"/>
        </w:rPr>
        <w:t>“三公”经费</w:t>
      </w:r>
      <w:bookmarkStart w:id="1" w:name="_GoBack"/>
      <w:bookmarkEnd w:id="1"/>
      <w:r>
        <w:rPr>
          <w:rFonts w:hint="eastAsia" w:ascii="仿宋_GB2312"/>
        </w:rPr>
        <w:t>进行了公开，基础数据信息和会计信息数据真实完整。</w:t>
      </w:r>
    </w:p>
    <w:p w14:paraId="14D06B98">
      <w:pPr>
        <w:spacing w:line="600" w:lineRule="exact"/>
        <w:ind w:firstLine="600" w:firstLineChars="200"/>
        <w:rPr>
          <w:rFonts w:ascii="仿宋_GB2312"/>
        </w:rPr>
      </w:pPr>
      <w:r>
        <w:rPr>
          <w:rFonts w:hint="eastAsia" w:ascii="仿宋_GB2312"/>
        </w:rPr>
        <w:t>（二）项目绩效目标。</w:t>
      </w:r>
    </w:p>
    <w:p w14:paraId="63B4A960">
      <w:pPr>
        <w:spacing w:line="600" w:lineRule="exact"/>
        <w:ind w:firstLine="600" w:firstLineChars="200"/>
        <w:rPr>
          <w:rFonts w:ascii="仿宋_GB2312"/>
        </w:rPr>
      </w:pPr>
      <w:r>
        <w:rPr>
          <w:rFonts w:hint="eastAsia" w:ascii="仿宋_GB2312"/>
        </w:rPr>
        <w:t>总体目标:</w:t>
      </w:r>
    </w:p>
    <w:p w14:paraId="3283AD21">
      <w:pPr>
        <w:spacing w:line="600" w:lineRule="exact"/>
        <w:ind w:firstLine="600" w:firstLineChars="200"/>
        <w:rPr>
          <w:rFonts w:ascii="仿宋_GB2312"/>
        </w:rPr>
      </w:pPr>
      <w:r>
        <w:rPr>
          <w:rFonts w:ascii="仿宋_GB2312"/>
        </w:rPr>
        <w:t>为了适应社会政治经济发展的需要而对党政机关的管理体制、职能配置、机构设置、人员配备以及机构人员的组合方式、运行机制</w:t>
      </w:r>
      <w:r>
        <w:rPr>
          <w:rFonts w:hint="eastAsia" w:ascii="仿宋_GB2312"/>
        </w:rPr>
        <w:t>，州党委编办根据中央、自治区工作要求，对州直及县市党政机构进行</w:t>
      </w:r>
      <w:r>
        <w:rPr>
          <w:rFonts w:ascii="仿宋_GB2312"/>
        </w:rPr>
        <w:t>调整和变革</w:t>
      </w:r>
      <w:r>
        <w:rPr>
          <w:rFonts w:hint="eastAsia" w:ascii="仿宋_GB2312"/>
        </w:rPr>
        <w:t>，上下对应</w:t>
      </w:r>
      <w:r>
        <w:rPr>
          <w:rFonts w:ascii="仿宋_GB2312"/>
        </w:rPr>
        <w:t>。</w:t>
      </w:r>
      <w:r>
        <w:rPr>
          <w:rFonts w:hint="eastAsia" w:ascii="仿宋_GB2312"/>
        </w:rPr>
        <w:t>同时对州直及县市党政机构改革完成情况进行督导检查。</w:t>
      </w:r>
    </w:p>
    <w:p w14:paraId="4E1C6A22">
      <w:pPr>
        <w:spacing w:line="600" w:lineRule="exact"/>
        <w:ind w:firstLine="600" w:firstLineChars="200"/>
        <w:rPr>
          <w:rFonts w:ascii="仿宋_GB2312"/>
        </w:rPr>
      </w:pPr>
      <w:r>
        <w:rPr>
          <w:rFonts w:hint="eastAsia" w:ascii="仿宋_GB2312"/>
        </w:rPr>
        <w:t>阶段性目标:</w:t>
      </w:r>
    </w:p>
    <w:p w14:paraId="4687DCD3">
      <w:pPr>
        <w:spacing w:line="600" w:lineRule="exact"/>
        <w:ind w:firstLine="600" w:firstLineChars="200"/>
        <w:rPr>
          <w:rFonts w:ascii="仿宋_GB2312"/>
        </w:rPr>
      </w:pPr>
      <w:r>
        <w:rPr>
          <w:rFonts w:hint="eastAsia" w:ascii="仿宋_GB2312"/>
        </w:rPr>
        <w:t>1.对县市及州直涉改单位进行调研，了解实际情况，具体问题具体对待。</w:t>
      </w:r>
    </w:p>
    <w:p w14:paraId="08F68D25">
      <w:pPr>
        <w:spacing w:line="600" w:lineRule="exact"/>
        <w:ind w:firstLine="600" w:firstLineChars="200"/>
        <w:rPr>
          <w:rFonts w:ascii="黑体" w:hAnsi="黑体" w:eastAsia="黑体"/>
        </w:rPr>
      </w:pPr>
      <w:r>
        <w:rPr>
          <w:rFonts w:hint="eastAsia" w:ascii="仿宋_GB2312"/>
        </w:rPr>
        <w:t>2.开展党政机构改革培训工作，对所有涉改单位进行业务培训，讲解改革具体措施。</w:t>
      </w:r>
    </w:p>
    <w:p w14:paraId="791471CE">
      <w:pPr>
        <w:spacing w:line="600" w:lineRule="exact"/>
        <w:ind w:firstLine="600" w:firstLineChars="200"/>
        <w:rPr>
          <w:rFonts w:ascii="黑体" w:hAnsi="黑体" w:eastAsia="黑体"/>
        </w:rPr>
      </w:pPr>
      <w:r>
        <w:rPr>
          <w:rFonts w:hint="eastAsia" w:ascii="仿宋_GB2312"/>
        </w:rPr>
        <w:t>3.制定涉改单位“三定”方案，并征求涉改单位意见建议。</w:t>
      </w:r>
    </w:p>
    <w:p w14:paraId="424E4A06">
      <w:pPr>
        <w:spacing w:line="600" w:lineRule="exact"/>
        <w:ind w:firstLine="600" w:firstLineChars="200"/>
        <w:rPr>
          <w:rFonts w:ascii="仿宋_GB2312"/>
        </w:rPr>
      </w:pPr>
      <w:r>
        <w:rPr>
          <w:rFonts w:hint="eastAsia" w:ascii="仿宋_GB2312"/>
        </w:rPr>
        <w:t>4.印发涉改单位“三定”规定，上报工作总结。</w:t>
      </w:r>
    </w:p>
    <w:p w14:paraId="4B4F09A6">
      <w:pPr>
        <w:spacing w:line="600" w:lineRule="exact"/>
        <w:ind w:firstLine="600" w:firstLineChars="200"/>
        <w:rPr>
          <w:rFonts w:ascii="仿宋_GB2312"/>
        </w:rPr>
      </w:pPr>
      <w:r>
        <w:rPr>
          <w:rFonts w:hint="eastAsia" w:ascii="仿宋_GB2312"/>
        </w:rPr>
        <w:t>5.対县市和州直单位机构改革完成情况进行督导检查。</w:t>
      </w:r>
    </w:p>
    <w:p w14:paraId="177F047A">
      <w:pPr>
        <w:spacing w:line="600" w:lineRule="exact"/>
        <w:ind w:firstLine="600" w:firstLineChars="200"/>
        <w:rPr>
          <w:rFonts w:ascii="黑体" w:hAnsi="黑体" w:eastAsia="黑体"/>
        </w:rPr>
      </w:pPr>
      <w:r>
        <w:rPr>
          <w:rFonts w:hint="eastAsia" w:ascii="黑体" w:hAnsi="黑体" w:eastAsia="黑体"/>
        </w:rPr>
        <w:t>二、绩效评价工作开展情况</w:t>
      </w:r>
    </w:p>
    <w:p w14:paraId="12C0D24B">
      <w:pPr>
        <w:spacing w:line="360" w:lineRule="auto"/>
        <w:ind w:firstLine="600" w:firstLineChars="200"/>
        <w:rPr>
          <w:rFonts w:asciiTheme="minorEastAsia" w:hAnsiTheme="minorEastAsia" w:eastAsiaTheme="minorEastAsia"/>
          <w:sz w:val="32"/>
          <w:szCs w:val="32"/>
        </w:rPr>
      </w:pPr>
      <w:r>
        <w:rPr>
          <w:rFonts w:hint="eastAsia" w:ascii="仿宋_GB2312"/>
        </w:rPr>
        <w:t>（一）绩效评价目的：本次绩效评价的目的是为了全面分析和综合评价我单位本级财政预算资金深化党政机构改革经费的使用管理情况，为切实提高财政资金使用效益，强化预算支出的责任和效率提供参考依据。</w:t>
      </w:r>
    </w:p>
    <w:p w14:paraId="6F96A32E">
      <w:pPr>
        <w:spacing w:line="600" w:lineRule="exact"/>
        <w:ind w:firstLine="600" w:firstLineChars="200"/>
        <w:rPr>
          <w:rFonts w:ascii="仿宋_GB2312"/>
        </w:rPr>
      </w:pPr>
      <w:r>
        <w:rPr>
          <w:rFonts w:hint="eastAsia" w:ascii="仿宋_GB2312"/>
        </w:rPr>
        <w:t>对象：巴州党委编办深化党政机构改革经费</w:t>
      </w:r>
    </w:p>
    <w:p w14:paraId="2D66E93F">
      <w:pPr>
        <w:spacing w:line="600" w:lineRule="exact"/>
        <w:ind w:firstLine="600" w:firstLineChars="200"/>
        <w:rPr>
          <w:rFonts w:ascii="仿宋_GB2312"/>
        </w:rPr>
      </w:pPr>
      <w:r>
        <w:rPr>
          <w:rFonts w:hint="eastAsia" w:ascii="仿宋_GB2312"/>
        </w:rPr>
        <w:t>范围：自治州及县市涉改部门。</w:t>
      </w:r>
    </w:p>
    <w:p w14:paraId="77D32B08">
      <w:pPr>
        <w:spacing w:line="600" w:lineRule="exact"/>
        <w:ind w:firstLine="600" w:firstLineChars="200"/>
        <w:rPr>
          <w:rFonts w:ascii="仿宋_GB2312"/>
        </w:rPr>
      </w:pPr>
      <w:r>
        <w:rPr>
          <w:rFonts w:hint="eastAsia" w:ascii="仿宋_GB2312"/>
        </w:rPr>
        <w:t>（二）绩效评价原则、评价指标体系（附表说明）、评价方法、评价标准等。</w:t>
      </w:r>
    </w:p>
    <w:p w14:paraId="0BBBFBBC">
      <w:pPr>
        <w:pStyle w:val="15"/>
        <w:spacing w:line="560" w:lineRule="exact"/>
        <w:ind w:firstLine="600"/>
        <w:rPr>
          <w:rFonts w:ascii="仿宋_GB2312"/>
          <w:kern w:val="2"/>
          <w:sz w:val="30"/>
          <w:szCs w:val="24"/>
        </w:rPr>
      </w:pPr>
      <w:r>
        <w:rPr>
          <w:rFonts w:hint="eastAsia" w:ascii="仿宋_GB2312"/>
          <w:kern w:val="2"/>
          <w:sz w:val="30"/>
          <w:szCs w:val="24"/>
        </w:rPr>
        <w:t>1、绩效评价原则：深化党政机构改革项目绩效评价坚持科学规范、公正公开、分级分类和绩效相关的原则, 推动党政机关治理能力现代化，坚持社会效益原则，由涉改部门及县市对此项工作进行评价。</w:t>
      </w:r>
    </w:p>
    <w:p w14:paraId="2744390E">
      <w:pPr>
        <w:pStyle w:val="15"/>
        <w:spacing w:line="560" w:lineRule="exact"/>
        <w:ind w:firstLine="600"/>
        <w:rPr>
          <w:rFonts w:ascii="仿宋_GB2312"/>
          <w:kern w:val="2"/>
          <w:sz w:val="30"/>
          <w:szCs w:val="24"/>
        </w:rPr>
      </w:pPr>
      <w:r>
        <w:rPr>
          <w:rFonts w:hint="eastAsia" w:ascii="仿宋_GB2312"/>
          <w:kern w:val="2"/>
          <w:sz w:val="30"/>
          <w:szCs w:val="24"/>
        </w:rPr>
        <w:t>2、评价指标体系：评价标准从数量指标、质量指标、时效指标和群众满意度等方面分别计分（详见下表）。</w:t>
      </w:r>
    </w:p>
    <w:p w14:paraId="5412F041">
      <w:pPr>
        <w:pStyle w:val="15"/>
        <w:spacing w:line="560" w:lineRule="exact"/>
        <w:ind w:firstLine="600"/>
        <w:rPr>
          <w:rFonts w:ascii="仿宋_GB2312"/>
          <w:kern w:val="2"/>
          <w:sz w:val="30"/>
          <w:szCs w:val="24"/>
        </w:rPr>
      </w:pPr>
      <w:r>
        <w:rPr>
          <w:rFonts w:hint="eastAsia" w:ascii="仿宋_GB2312"/>
          <w:kern w:val="2"/>
          <w:sz w:val="30"/>
          <w:szCs w:val="24"/>
        </w:rPr>
        <w:t>3、评价方法：为加强部门整体支出管理，提高资金和资产的使用效益，提高财务工作的精细化管理水平，结合我单位实际情况，本次绩效采用比较法、因素分析法。</w:t>
      </w:r>
    </w:p>
    <w:p w14:paraId="49379663">
      <w:pPr>
        <w:pStyle w:val="5"/>
        <w:widowControl/>
        <w:shd w:val="clear" w:color="auto" w:fill="FFFFFF"/>
        <w:spacing w:before="0" w:beforeAutospacing="0" w:after="0" w:afterAutospacing="0" w:line="360" w:lineRule="auto"/>
        <w:ind w:firstLine="600" w:firstLineChars="200"/>
        <w:jc w:val="both"/>
        <w:rPr>
          <w:rFonts w:ascii="仿宋_GB2312" w:hAnsi="Times New Roman" w:eastAsia="仿宋_GB2312"/>
          <w:kern w:val="2"/>
          <w:sz w:val="30"/>
        </w:rPr>
      </w:pPr>
      <w:r>
        <w:rPr>
          <w:rFonts w:hint="eastAsia" w:ascii="仿宋_GB2312" w:hAnsi="Times New Roman" w:eastAsia="仿宋_GB2312"/>
          <w:kern w:val="2"/>
          <w:sz w:val="30"/>
        </w:rPr>
        <w:t>4、评价标准：深化党政机构改革经费项目采用计划标准，其中决策指标权重20分，得分总值20分，其中立项依据充分性2.5分、项目立项规范性2.5分、绩效目标合理性5分、绩效目标明确性5分、预算编制科学性2.5分、资金分配合理性2.5分。</w:t>
      </w:r>
    </w:p>
    <w:p w14:paraId="2B997C24">
      <w:pPr>
        <w:spacing w:line="360" w:lineRule="auto"/>
        <w:ind w:firstLine="600" w:firstLineChars="200"/>
        <w:rPr>
          <w:rFonts w:ascii="仿宋_GB2312"/>
        </w:rPr>
      </w:pPr>
      <w:r>
        <w:rPr>
          <w:rFonts w:hint="eastAsia" w:ascii="仿宋_GB2312"/>
        </w:rPr>
        <w:t>（三）绩效评价工作过程。按照巴财预（2019）82号《自治州财政支出绩效评价管理暂行办法》的要求，巴州党委编办认真执行有关文件精神，稳步推进预算绩效管理工作，组织相关人员认真学习，由综合科负责牵头，各科局具体组织实施项目绩效管理，年初各科局制定2019年工作计划，明确工作目标和工作重点，综合科按照《预算法》的要求编制项目支出部门预算，并在财政大平台绩效管理系统中填报会议经费绩效目标申报，设置各项绩效指标值，按时、按季根据项目的进度以及预算执行情况向财政部门报送项目绩效监控 ，保证深化党政机构改革经费使用的最大效益。</w:t>
      </w:r>
    </w:p>
    <w:p w14:paraId="4D98B646">
      <w:pPr>
        <w:spacing w:line="600" w:lineRule="exact"/>
        <w:ind w:firstLine="600" w:firstLineChars="200"/>
        <w:rPr>
          <w:rFonts w:ascii="黑体" w:hAnsi="黑体" w:eastAsia="黑体"/>
        </w:rPr>
      </w:pPr>
      <w:r>
        <w:rPr>
          <w:rFonts w:hint="eastAsia" w:ascii="黑体" w:hAnsi="黑体" w:eastAsia="黑体"/>
        </w:rPr>
        <w:t>三、综合评价情况及评价结论</w:t>
      </w:r>
    </w:p>
    <w:p w14:paraId="43FC45DD">
      <w:pPr>
        <w:spacing w:line="360" w:lineRule="auto"/>
        <w:ind w:firstLine="600" w:firstLineChars="200"/>
        <w:rPr>
          <w:rFonts w:asciiTheme="minorEastAsia" w:hAnsiTheme="minorEastAsia" w:eastAsiaTheme="minorEastAsia"/>
          <w:spacing w:val="-4"/>
          <w:sz w:val="32"/>
          <w:szCs w:val="32"/>
        </w:rPr>
      </w:pPr>
      <w:r>
        <w:rPr>
          <w:rFonts w:hint="eastAsia" w:ascii="仿宋_GB2312"/>
        </w:rPr>
        <w:t>根据巴州财政局《自治州财政支出绩效评价管理暂行办法》的要求，巴州党委编办认真执行有关文件精神，的要求，通过财政项目支出绩效评价具体指标，对项目深化党政机构改革经费的预算和绩效完成情况进行小结自评，评价等级为“优”，自我评价得分为96分。</w:t>
      </w:r>
    </w:p>
    <w:p w14:paraId="1444160C">
      <w:pPr>
        <w:spacing w:line="600" w:lineRule="exact"/>
        <w:ind w:firstLine="600" w:firstLineChars="200"/>
        <w:rPr>
          <w:rFonts w:ascii="黑体" w:hAnsi="黑体" w:eastAsia="黑体"/>
        </w:rPr>
      </w:pPr>
      <w:r>
        <w:rPr>
          <w:rFonts w:hint="eastAsia" w:ascii="黑体" w:hAnsi="黑体" w:eastAsia="黑体"/>
        </w:rPr>
        <w:t>四、绩效评价指标分析</w:t>
      </w:r>
    </w:p>
    <w:p w14:paraId="41B3D108">
      <w:pPr>
        <w:spacing w:line="360" w:lineRule="auto"/>
        <w:ind w:firstLine="600" w:firstLineChars="200"/>
        <w:rPr>
          <w:rFonts w:ascii="仿宋_GB2312"/>
        </w:rPr>
      </w:pPr>
      <w:r>
        <w:rPr>
          <w:rFonts w:hint="eastAsia" w:ascii="仿宋_GB2312"/>
        </w:rPr>
        <w:t>按照绩效评价指标体系划分3个一级指标，细化为9个二级指标以及若干个三级指标，现针对设置的三级指标进行自评。</w:t>
      </w:r>
    </w:p>
    <w:p w14:paraId="04B0A131">
      <w:pPr>
        <w:spacing w:line="360" w:lineRule="auto"/>
        <w:ind w:firstLine="600" w:firstLineChars="200"/>
        <w:jc w:val="left"/>
        <w:outlineLvl w:val="0"/>
        <w:rPr>
          <w:rFonts w:ascii="仿宋_GB2312"/>
        </w:rPr>
      </w:pPr>
      <w:r>
        <w:rPr>
          <w:rFonts w:hint="eastAsia" w:ascii="仿宋_GB2312"/>
        </w:rPr>
        <w:t>一、项目决策情况。</w:t>
      </w:r>
    </w:p>
    <w:p w14:paraId="1B34E616">
      <w:pPr>
        <w:pStyle w:val="15"/>
        <w:ind w:firstLine="551" w:firstLineChars="196"/>
        <w:rPr>
          <w:b/>
          <w:bCs/>
        </w:rPr>
      </w:pPr>
      <w:r>
        <w:rPr>
          <w:rFonts w:hint="eastAsia"/>
          <w:b/>
          <w:bCs/>
        </w:rPr>
        <w:t>（一）项目决策情况。</w:t>
      </w:r>
    </w:p>
    <w:p w14:paraId="393A5027">
      <w:pPr>
        <w:pStyle w:val="15"/>
        <w:ind w:firstLine="600"/>
        <w:rPr>
          <w:rFonts w:ascii="仿宋_GB2312"/>
          <w:kern w:val="2"/>
          <w:sz w:val="30"/>
          <w:szCs w:val="24"/>
        </w:rPr>
      </w:pPr>
      <w:r>
        <w:rPr>
          <w:rFonts w:hint="eastAsia" w:ascii="仿宋_GB2312"/>
          <w:kern w:val="2"/>
          <w:sz w:val="30"/>
          <w:szCs w:val="24"/>
        </w:rPr>
        <w:t>项目决策指标主要从项目立项、绩效目标和资金投入三个方面来体现，三级指标有：立项依据充分性、立项程序规范性、绩效目标合理性、绩效指标明确性、预算编制科学性、资金分配合理性，共计6个具体评分点，详细得分见下表：</w:t>
      </w:r>
    </w:p>
    <w:p w14:paraId="79E8601E">
      <w:pPr>
        <w:spacing w:line="560" w:lineRule="exact"/>
        <w:jc w:val="center"/>
        <w:outlineLvl w:val="0"/>
        <w:rPr>
          <w:rFonts w:ascii="方正仿宋_GBK" w:hAnsi="方正仿宋_GBK" w:eastAsia="方正仿宋_GBK" w:cs="方正仿宋_GBK"/>
          <w:sz w:val="36"/>
          <w:szCs w:val="36"/>
        </w:rPr>
      </w:pPr>
      <w:r>
        <w:rPr>
          <w:rFonts w:hint="eastAsia" w:ascii="方正仿宋_GBK" w:hAnsi="方正仿宋_GBK" w:eastAsia="方正仿宋_GBK" w:cs="方正仿宋_GBK"/>
          <w:b/>
          <w:bCs/>
          <w:sz w:val="36"/>
          <w:szCs w:val="36"/>
        </w:rPr>
        <w:t>项目决策指标评分表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2"/>
        <w:gridCol w:w="1812"/>
        <w:gridCol w:w="1812"/>
        <w:gridCol w:w="1812"/>
      </w:tblGrid>
      <w:tr w14:paraId="47B07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14:paraId="5E89CA65">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二级指标</w:t>
            </w:r>
          </w:p>
        </w:tc>
        <w:tc>
          <w:tcPr>
            <w:tcW w:w="1812" w:type="dxa"/>
            <w:vAlign w:val="center"/>
          </w:tcPr>
          <w:p w14:paraId="3F622BA4">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三级指标</w:t>
            </w:r>
          </w:p>
        </w:tc>
        <w:tc>
          <w:tcPr>
            <w:tcW w:w="1812" w:type="dxa"/>
            <w:vAlign w:val="center"/>
          </w:tcPr>
          <w:p w14:paraId="15B72292">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标准分值</w:t>
            </w:r>
          </w:p>
        </w:tc>
        <w:tc>
          <w:tcPr>
            <w:tcW w:w="1812" w:type="dxa"/>
            <w:vAlign w:val="center"/>
          </w:tcPr>
          <w:p w14:paraId="469E0198">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实际得分</w:t>
            </w:r>
          </w:p>
        </w:tc>
        <w:tc>
          <w:tcPr>
            <w:tcW w:w="1812" w:type="dxa"/>
            <w:vAlign w:val="center"/>
          </w:tcPr>
          <w:p w14:paraId="793725B5">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得分率</w:t>
            </w:r>
          </w:p>
        </w:tc>
      </w:tr>
      <w:tr w14:paraId="66F5A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14C9CB94">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项目立项（5分）</w:t>
            </w:r>
          </w:p>
        </w:tc>
        <w:tc>
          <w:tcPr>
            <w:tcW w:w="1812" w:type="dxa"/>
            <w:vAlign w:val="center"/>
          </w:tcPr>
          <w:p w14:paraId="6C8CAE1A">
            <w:pPr>
              <w:spacing w:line="560" w:lineRule="exact"/>
              <w:ind w:firstLine="105" w:firstLineChars="50"/>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立项依据充分性</w:t>
            </w:r>
          </w:p>
        </w:tc>
        <w:tc>
          <w:tcPr>
            <w:tcW w:w="1812" w:type="dxa"/>
            <w:vAlign w:val="center"/>
          </w:tcPr>
          <w:p w14:paraId="77828A25">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636C89BA">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6924E50E">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3808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4BFC478D">
            <w:pPr>
              <w:spacing w:line="560" w:lineRule="exact"/>
              <w:ind w:firstLine="420"/>
              <w:jc w:val="center"/>
              <w:outlineLvl w:val="0"/>
              <w:rPr>
                <w:rFonts w:ascii="方正仿宋_GBK" w:hAnsi="方正仿宋_GBK" w:eastAsia="方正仿宋_GBK" w:cs="方正仿宋_GBK"/>
                <w:sz w:val="21"/>
                <w:szCs w:val="21"/>
              </w:rPr>
            </w:pPr>
          </w:p>
        </w:tc>
        <w:tc>
          <w:tcPr>
            <w:tcW w:w="1812" w:type="dxa"/>
            <w:vAlign w:val="center"/>
          </w:tcPr>
          <w:p w14:paraId="0B0B6C77">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立项程序规范性</w:t>
            </w:r>
          </w:p>
        </w:tc>
        <w:tc>
          <w:tcPr>
            <w:tcW w:w="1812" w:type="dxa"/>
            <w:vAlign w:val="center"/>
          </w:tcPr>
          <w:p w14:paraId="7822ABA3">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7CFE5267">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7D865AD3">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68A7D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0A1BDBF6">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绩效目标（10分）</w:t>
            </w:r>
          </w:p>
        </w:tc>
        <w:tc>
          <w:tcPr>
            <w:tcW w:w="1812" w:type="dxa"/>
            <w:vAlign w:val="center"/>
          </w:tcPr>
          <w:p w14:paraId="40275176">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绩效目标合理性</w:t>
            </w:r>
          </w:p>
        </w:tc>
        <w:tc>
          <w:tcPr>
            <w:tcW w:w="1812" w:type="dxa"/>
            <w:vAlign w:val="center"/>
          </w:tcPr>
          <w:p w14:paraId="0985CED6">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812" w:type="dxa"/>
            <w:vAlign w:val="center"/>
          </w:tcPr>
          <w:p w14:paraId="451B497E">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812" w:type="dxa"/>
            <w:vAlign w:val="center"/>
          </w:tcPr>
          <w:p w14:paraId="1ED50581">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6146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1BF63EEF">
            <w:pPr>
              <w:spacing w:line="560" w:lineRule="exact"/>
              <w:ind w:firstLine="420"/>
              <w:jc w:val="center"/>
              <w:outlineLvl w:val="0"/>
              <w:rPr>
                <w:rFonts w:ascii="方正仿宋_GBK" w:hAnsi="方正仿宋_GBK" w:eastAsia="方正仿宋_GBK" w:cs="方正仿宋_GBK"/>
                <w:sz w:val="21"/>
                <w:szCs w:val="21"/>
              </w:rPr>
            </w:pPr>
          </w:p>
        </w:tc>
        <w:tc>
          <w:tcPr>
            <w:tcW w:w="1812" w:type="dxa"/>
            <w:vAlign w:val="center"/>
          </w:tcPr>
          <w:p w14:paraId="0BBBFBD1">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绩效指标明确性</w:t>
            </w:r>
          </w:p>
        </w:tc>
        <w:tc>
          <w:tcPr>
            <w:tcW w:w="1812" w:type="dxa"/>
            <w:vAlign w:val="center"/>
          </w:tcPr>
          <w:p w14:paraId="2C7510A1">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812" w:type="dxa"/>
            <w:vAlign w:val="center"/>
          </w:tcPr>
          <w:p w14:paraId="52A08625">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812" w:type="dxa"/>
            <w:vAlign w:val="center"/>
          </w:tcPr>
          <w:p w14:paraId="41D03C7A">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0A570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000E88F1">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资金投入（5分）</w:t>
            </w:r>
          </w:p>
        </w:tc>
        <w:tc>
          <w:tcPr>
            <w:tcW w:w="1812" w:type="dxa"/>
            <w:vAlign w:val="center"/>
          </w:tcPr>
          <w:p w14:paraId="2F7F3021">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预算编制科学性</w:t>
            </w:r>
          </w:p>
        </w:tc>
        <w:tc>
          <w:tcPr>
            <w:tcW w:w="1812" w:type="dxa"/>
            <w:vAlign w:val="center"/>
          </w:tcPr>
          <w:p w14:paraId="71E20C56">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7FF77FFE">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53ADFC4D">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673F6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01214B38">
            <w:pPr>
              <w:spacing w:line="560" w:lineRule="exact"/>
              <w:ind w:firstLine="420"/>
              <w:jc w:val="center"/>
              <w:outlineLvl w:val="0"/>
              <w:rPr>
                <w:rFonts w:ascii="方正仿宋_GBK" w:hAnsi="方正仿宋_GBK" w:eastAsia="方正仿宋_GBK" w:cs="方正仿宋_GBK"/>
                <w:sz w:val="21"/>
                <w:szCs w:val="21"/>
              </w:rPr>
            </w:pPr>
          </w:p>
        </w:tc>
        <w:tc>
          <w:tcPr>
            <w:tcW w:w="1812" w:type="dxa"/>
            <w:vAlign w:val="center"/>
          </w:tcPr>
          <w:p w14:paraId="05F4776E">
            <w:pPr>
              <w:spacing w:line="560" w:lineRule="exact"/>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资金分配合理性</w:t>
            </w:r>
          </w:p>
        </w:tc>
        <w:tc>
          <w:tcPr>
            <w:tcW w:w="1812" w:type="dxa"/>
            <w:vAlign w:val="center"/>
          </w:tcPr>
          <w:p w14:paraId="54B08AB0">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7E87DCC4">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2.5</w:t>
            </w:r>
          </w:p>
        </w:tc>
        <w:tc>
          <w:tcPr>
            <w:tcW w:w="1812" w:type="dxa"/>
            <w:vAlign w:val="center"/>
          </w:tcPr>
          <w:p w14:paraId="5EA8D340">
            <w:pPr>
              <w:spacing w:line="560" w:lineRule="exact"/>
              <w:ind w:firstLine="420"/>
              <w:jc w:val="center"/>
              <w:outlineLvl w:val="0"/>
              <w:rPr>
                <w:rFonts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100%</w:t>
            </w:r>
          </w:p>
        </w:tc>
      </w:tr>
      <w:tr w14:paraId="41ABB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24" w:type="dxa"/>
            <w:gridSpan w:val="2"/>
            <w:vAlign w:val="center"/>
          </w:tcPr>
          <w:p w14:paraId="7F386CC5">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决策得分合计</w:t>
            </w:r>
          </w:p>
        </w:tc>
        <w:tc>
          <w:tcPr>
            <w:tcW w:w="1812" w:type="dxa"/>
            <w:vAlign w:val="center"/>
          </w:tcPr>
          <w:p w14:paraId="2643757B">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20</w:t>
            </w:r>
          </w:p>
        </w:tc>
        <w:tc>
          <w:tcPr>
            <w:tcW w:w="1812" w:type="dxa"/>
            <w:vAlign w:val="center"/>
          </w:tcPr>
          <w:p w14:paraId="787B59D9">
            <w:pPr>
              <w:spacing w:line="560" w:lineRule="exact"/>
              <w:ind w:firstLine="422"/>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20</w:t>
            </w:r>
          </w:p>
        </w:tc>
        <w:tc>
          <w:tcPr>
            <w:tcW w:w="1812" w:type="dxa"/>
            <w:vAlign w:val="center"/>
          </w:tcPr>
          <w:p w14:paraId="79045548">
            <w:pPr>
              <w:spacing w:line="560" w:lineRule="exact"/>
              <w:ind w:firstLine="420"/>
              <w:jc w:val="center"/>
              <w:outlineLvl w:val="0"/>
              <w:rPr>
                <w:rFonts w:ascii="方正仿宋_GBK" w:hAnsi="方正仿宋_GBK" w:eastAsia="方正仿宋_GBK" w:cs="方正仿宋_GBK"/>
                <w:b/>
                <w:bCs/>
                <w:sz w:val="21"/>
                <w:szCs w:val="21"/>
              </w:rPr>
            </w:pPr>
            <w:r>
              <w:rPr>
                <w:rFonts w:hint="eastAsia" w:ascii="方正仿宋_GBK" w:hAnsi="方正仿宋_GBK" w:eastAsia="方正仿宋_GBK" w:cs="方正仿宋_GBK"/>
                <w:sz w:val="21"/>
                <w:szCs w:val="21"/>
              </w:rPr>
              <w:t>100%</w:t>
            </w:r>
          </w:p>
        </w:tc>
      </w:tr>
    </w:tbl>
    <w:p w14:paraId="6011948A">
      <w:pPr>
        <w:spacing w:line="560" w:lineRule="exact"/>
        <w:ind w:firstLine="600" w:firstLineChars="200"/>
        <w:outlineLvl w:val="0"/>
      </w:pPr>
      <w:r>
        <w:rPr>
          <w:rFonts w:hint="eastAsia"/>
        </w:rPr>
        <w:t>根据本次绩效评价体系及评分标准值，2019年巴州党委编办深化党政机构改革项目，决策指标权重20分，得分总值20分，得分率100%。</w:t>
      </w:r>
    </w:p>
    <w:p w14:paraId="6D71A79B">
      <w:pPr>
        <w:pStyle w:val="16"/>
        <w:spacing w:line="560" w:lineRule="exact"/>
        <w:ind w:firstLine="600"/>
        <w:outlineLvl w:val="0"/>
      </w:pPr>
      <w:r>
        <w:rPr>
          <w:rFonts w:hint="eastAsia"/>
        </w:rPr>
        <w:t>1.立项依据充分性2.5分。该项目符合自治州党委编办年度工作要点和自治州党委对编办工作各项要求。因此，项目立项依据充分性指标得分2.5分，得分率100%。</w:t>
      </w:r>
    </w:p>
    <w:p w14:paraId="496FADC9">
      <w:pPr>
        <w:spacing w:line="560" w:lineRule="exact"/>
        <w:ind w:firstLine="600" w:firstLineChars="200"/>
        <w:outlineLvl w:val="0"/>
        <w:rPr>
          <w:rFonts w:ascii="方正仿宋_GBK" w:hAnsi="方正仿宋_GBK" w:eastAsia="方正仿宋_GBK" w:cs="方正仿宋_GBK"/>
        </w:rPr>
      </w:pPr>
      <w:r>
        <w:rPr>
          <w:rFonts w:hint="eastAsia"/>
        </w:rPr>
        <w:t>2.项目立项规范性2.5分。该项目根据自治州党委编办年度工作要点和自治州党委对编办工作各项工作部署，项目申报程序规范，符合相关要求。因此，项目立项规范性指标得分2.5分，得分率100%。</w:t>
      </w:r>
    </w:p>
    <w:p w14:paraId="27C86067">
      <w:pPr>
        <w:pStyle w:val="16"/>
        <w:spacing w:line="560" w:lineRule="exact"/>
        <w:ind w:firstLine="600"/>
        <w:outlineLvl w:val="0"/>
      </w:pPr>
      <w:r>
        <w:rPr>
          <w:rFonts w:hint="eastAsia"/>
        </w:rPr>
        <w:t>3.绩效目标合理性5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5分，得分率100%。</w:t>
      </w:r>
    </w:p>
    <w:p w14:paraId="793E4F85">
      <w:pPr>
        <w:pStyle w:val="16"/>
        <w:spacing w:line="560" w:lineRule="exact"/>
        <w:ind w:firstLine="600"/>
        <w:outlineLvl w:val="0"/>
      </w:pPr>
      <w:r>
        <w:rPr>
          <w:rFonts w:hint="eastAsia"/>
        </w:rPr>
        <w:t>4.绩效目标明确性5分。该项目设立的绩效目标清晰、可量化、可衡量、目标任务数、计划数等相对应。因此，绩效目标明确性指标得分5分，得分率100%。</w:t>
      </w:r>
    </w:p>
    <w:p w14:paraId="052D747D">
      <w:pPr>
        <w:pStyle w:val="16"/>
        <w:spacing w:line="560" w:lineRule="exact"/>
        <w:ind w:firstLine="600"/>
        <w:outlineLvl w:val="0"/>
      </w:pPr>
      <w:r>
        <w:rPr>
          <w:rFonts w:hint="eastAsia"/>
        </w:rPr>
        <w:t>5.预算编制科学性2.5分。该项目预算编制经过充分论证、预算内容与项目内容匹配，预算额度测算合力、符合行业标准，预算投资金额与计划工作量相匹配。因此，预算编制科学性指标得分2.5分，得分率100%。</w:t>
      </w:r>
    </w:p>
    <w:p w14:paraId="3491C410">
      <w:pPr>
        <w:pStyle w:val="16"/>
        <w:spacing w:line="360" w:lineRule="auto"/>
        <w:ind w:firstLine="600"/>
        <w:jc w:val="left"/>
        <w:outlineLvl w:val="0"/>
        <w:rPr>
          <w:rFonts w:ascii="仿宋_GB2312"/>
        </w:rPr>
      </w:pPr>
      <w:r>
        <w:rPr>
          <w:rFonts w:hint="eastAsia"/>
        </w:rPr>
        <w:t>6.资金分配合理性2.5分。根据财政预算下达指标，该项目总投入4.89万元，实行国库集中支付制度。截止2019年12月31日，该项目实际支出4.89万元，未支付0万元，资金执行率100%。因此，资金投入合理性指标得分2.5分，得分率100%。</w:t>
      </w:r>
    </w:p>
    <w:p w14:paraId="438686F6">
      <w:pPr>
        <w:spacing w:line="600" w:lineRule="exact"/>
        <w:ind w:firstLine="600" w:firstLineChars="200"/>
        <w:outlineLvl w:val="0"/>
        <w:rPr>
          <w:rFonts w:ascii="仿宋_GB2312"/>
        </w:rPr>
      </w:pPr>
      <w:r>
        <w:rPr>
          <w:rFonts w:hint="eastAsia" w:ascii="仿宋_GB2312"/>
        </w:rPr>
        <w:t>（二）项目过程情况。严格执行《政府会计制度》，遵守相关法律法规和业务管理规定，资金使用符合国家财经法规和财务管理制度的相关规定。经费使用按照项目计划有序进行，单位内部制定了相关的实施方案、分工安排，并积极采取了必须的控制措施，保障经费使用合规合法。</w:t>
      </w:r>
    </w:p>
    <w:p w14:paraId="13DAF8CF">
      <w:pPr>
        <w:spacing w:line="600" w:lineRule="exact"/>
        <w:ind w:firstLine="600" w:firstLineChars="200"/>
        <w:outlineLvl w:val="0"/>
        <w:rPr>
          <w:rFonts w:ascii="仿宋_GB2312"/>
        </w:rPr>
      </w:pPr>
      <w:r>
        <w:rPr>
          <w:rFonts w:hint="eastAsia" w:ascii="仿宋_GB2312"/>
        </w:rPr>
        <w:t>（三）项目产出情况。对州直及县市社该单位调研督查2次，开展党政机构改革培训8次，参加人员920人，培训覆盖率达到95%以上，并于2019年3月底前完成党政机构改革工作。</w:t>
      </w:r>
    </w:p>
    <w:p w14:paraId="6F2F6570">
      <w:pPr>
        <w:spacing w:line="600" w:lineRule="exact"/>
        <w:ind w:firstLine="600" w:firstLineChars="200"/>
        <w:outlineLvl w:val="0"/>
        <w:rPr>
          <w:rFonts w:ascii="仿宋_GB2312"/>
        </w:rPr>
      </w:pPr>
      <w:r>
        <w:rPr>
          <w:rFonts w:hint="eastAsia" w:ascii="仿宋_GB2312"/>
        </w:rPr>
        <w:t>（四）项目效益情况。通过党政机构改革，党政机关工作人员对机构改革认识有所提高，无不良反应，涉改单位对机构改革满意度达到90%以上。</w:t>
      </w:r>
    </w:p>
    <w:p w14:paraId="54D9070E">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40F33CD7">
      <w:pPr>
        <w:spacing w:line="360" w:lineRule="auto"/>
        <w:ind w:firstLine="600" w:firstLineChars="200"/>
        <w:rPr>
          <w:rFonts w:ascii="仿宋_GB2312"/>
        </w:rPr>
      </w:pPr>
      <w:r>
        <w:rPr>
          <w:rFonts w:hint="eastAsia" w:ascii="仿宋_GB2312"/>
        </w:rPr>
        <w:t>（一）</w:t>
      </w:r>
      <w:r>
        <w:rPr>
          <w:rFonts w:hint="eastAsia" w:ascii="方正仿宋_GBK" w:hAnsi="黑体" w:eastAsia="方正仿宋_GBK"/>
          <w:b/>
        </w:rPr>
        <w:t>主要经验及做法</w:t>
      </w:r>
    </w:p>
    <w:p w14:paraId="4747774B">
      <w:pPr>
        <w:spacing w:line="360" w:lineRule="auto"/>
        <w:ind w:firstLine="600" w:firstLineChars="200"/>
        <w:rPr>
          <w:rFonts w:ascii="仿宋_GB2312"/>
        </w:rPr>
      </w:pPr>
      <w:r>
        <w:rPr>
          <w:rFonts w:hint="eastAsia" w:ascii="仿宋_GB2312"/>
        </w:rPr>
        <w:t>1、完善绩效评价的评价体系及工作流程，建立规范统一的分类绩效自评体系，以便于具体操作。</w:t>
      </w:r>
    </w:p>
    <w:p w14:paraId="33DFBCC7">
      <w:pPr>
        <w:spacing w:line="360" w:lineRule="auto"/>
        <w:ind w:firstLine="600" w:firstLineChars="200"/>
        <w:rPr>
          <w:rFonts w:ascii="仿宋_GB2312"/>
        </w:rPr>
      </w:pPr>
      <w:r>
        <w:rPr>
          <w:rFonts w:hint="eastAsia" w:ascii="仿宋_GB2312"/>
        </w:rPr>
        <w:t>2、加强预算管理、严格预算执行，科学编制预算，进一步提高预算的准确性。</w:t>
      </w:r>
    </w:p>
    <w:p w14:paraId="35FC48A8">
      <w:pPr>
        <w:spacing w:line="360" w:lineRule="auto"/>
        <w:ind w:firstLine="600" w:firstLineChars="200"/>
        <w:rPr>
          <w:rFonts w:ascii="黑体" w:hAnsi="黑体" w:eastAsia="黑体"/>
        </w:rPr>
      </w:pPr>
      <w:r>
        <w:rPr>
          <w:rFonts w:hint="eastAsia" w:ascii="仿宋_GB2312"/>
        </w:rPr>
        <w:t>（二）</w:t>
      </w:r>
      <w:r>
        <w:rPr>
          <w:rFonts w:hint="eastAsia" w:ascii="方正仿宋_GBK" w:hAnsi="黑体" w:eastAsia="方正仿宋_GBK"/>
          <w:b/>
        </w:rPr>
        <w:t>存在的问题及原因分析</w:t>
      </w:r>
    </w:p>
    <w:p w14:paraId="536DBE71">
      <w:pPr>
        <w:spacing w:line="360" w:lineRule="auto"/>
        <w:ind w:firstLine="600" w:firstLineChars="200"/>
        <w:rPr>
          <w:rFonts w:ascii="仿宋_GB2312"/>
        </w:rPr>
      </w:pPr>
      <w:r>
        <w:rPr>
          <w:rFonts w:hint="eastAsia" w:ascii="仿宋_GB2312"/>
        </w:rPr>
        <w:t>无</w:t>
      </w:r>
    </w:p>
    <w:p w14:paraId="6F8DE3F0">
      <w:pPr>
        <w:spacing w:line="600" w:lineRule="exact"/>
        <w:ind w:firstLine="600" w:firstLineChars="200"/>
        <w:rPr>
          <w:rFonts w:ascii="黑体" w:hAnsi="黑体" w:eastAsia="黑体"/>
        </w:rPr>
      </w:pPr>
      <w:r>
        <w:rPr>
          <w:rFonts w:hint="eastAsia" w:ascii="黑体" w:hAnsi="黑体" w:eastAsia="黑体"/>
        </w:rPr>
        <w:t>六、有关建议</w:t>
      </w:r>
    </w:p>
    <w:p w14:paraId="076131BB">
      <w:pPr>
        <w:spacing w:line="600" w:lineRule="exact"/>
        <w:ind w:firstLine="600" w:firstLineChars="200"/>
        <w:rPr>
          <w:rFonts w:ascii="黑体" w:hAnsi="黑体" w:eastAsia="黑体"/>
        </w:rPr>
      </w:pPr>
      <w:r>
        <w:rPr>
          <w:rFonts w:hint="eastAsia" w:ascii="仿宋_GB2312"/>
        </w:rPr>
        <w:t>无</w:t>
      </w:r>
    </w:p>
    <w:p w14:paraId="28A3EAC1">
      <w:pPr>
        <w:numPr>
          <w:ilvl w:val="0"/>
          <w:numId w:val="1"/>
        </w:numPr>
        <w:spacing w:line="600" w:lineRule="exact"/>
        <w:ind w:firstLine="600" w:firstLineChars="200"/>
        <w:rPr>
          <w:rFonts w:ascii="黑体" w:hAnsi="黑体" w:eastAsia="黑体"/>
        </w:rPr>
      </w:pPr>
      <w:r>
        <w:rPr>
          <w:rFonts w:hint="eastAsia" w:ascii="黑体" w:hAnsi="黑体" w:eastAsia="黑体"/>
        </w:rPr>
        <w:t>其他需要说明的问题</w:t>
      </w:r>
    </w:p>
    <w:p w14:paraId="3F2B4953">
      <w:pPr>
        <w:spacing w:line="600" w:lineRule="exact"/>
        <w:rPr>
          <w:rFonts w:ascii="仿宋_GB2312"/>
        </w:rPr>
      </w:pPr>
      <w:r>
        <w:rPr>
          <w:rFonts w:hint="eastAsia" w:ascii="仿宋_GB2312"/>
        </w:rPr>
        <w:t xml:space="preserve">    无</w:t>
      </w:r>
    </w:p>
    <w:p w14:paraId="0BA23017">
      <w:pPr>
        <w:spacing w:line="600" w:lineRule="exact"/>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p>
    <w:p w14:paraId="733555B5">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736C6AEE">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41"/>
        <w:gridCol w:w="910"/>
        <w:gridCol w:w="12"/>
        <w:gridCol w:w="11"/>
      </w:tblGrid>
      <w:tr w14:paraId="563DE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4F1B6257">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66E0A35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56AD4EF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7CC076C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3BACBEB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tcBorders>
              <w:top w:val="single" w:color="auto" w:sz="4" w:space="0"/>
              <w:bottom w:val="single" w:color="auto" w:sz="4" w:space="0"/>
              <w:right w:val="single" w:color="auto" w:sz="4" w:space="0"/>
            </w:tcBorders>
            <w:shd w:val="clear" w:color="auto" w:fill="auto"/>
          </w:tcPr>
          <w:p w14:paraId="6C26E5DD">
            <w:pPr>
              <w:widowControl/>
              <w:spacing w:line="0" w:lineRule="atLeast"/>
              <w:rPr>
                <w:rFonts w:ascii="宋体" w:hAnsi="宋体" w:eastAsia="宋体" w:cs="宋体"/>
                <w:b/>
                <w:bCs/>
                <w:color w:val="000000"/>
                <w:kern w:val="0"/>
                <w:sz w:val="22"/>
                <w:szCs w:val="22"/>
              </w:rPr>
            </w:pPr>
          </w:p>
          <w:p w14:paraId="37BA3166">
            <w:pPr>
              <w:widowControl/>
              <w:spacing w:line="0" w:lineRule="atLeast"/>
              <w:ind w:firstLine="108" w:firstLineChars="49"/>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2E386AAE">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F159477">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05BAE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7230F68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6272DEC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40F3DC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1AC796C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5A968C3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269D3A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4BFB827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62F25F0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tcBorders>
              <w:top w:val="single" w:color="auto" w:sz="4" w:space="0"/>
              <w:bottom w:val="single" w:color="auto" w:sz="4" w:space="0"/>
              <w:right w:val="single" w:color="auto" w:sz="4" w:space="0"/>
            </w:tcBorders>
            <w:shd w:val="clear" w:color="auto" w:fill="auto"/>
          </w:tcPr>
          <w:p w14:paraId="1F0B0BB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276664E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4EB24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6805FABE">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6B0FB1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783E9E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1B25D51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4222BBC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2640634A">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tcBorders>
              <w:top w:val="single" w:color="auto" w:sz="4" w:space="0"/>
              <w:bottom w:val="single" w:color="auto" w:sz="4" w:space="0"/>
              <w:right w:val="single" w:color="auto" w:sz="4" w:space="0"/>
            </w:tcBorders>
            <w:shd w:val="clear" w:color="auto" w:fill="auto"/>
          </w:tcPr>
          <w:p w14:paraId="01DA063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88F7E7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41BF9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3D524CDD">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77CE3C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5820F6F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21372D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14E096A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48478F05">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389061B0">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tcBorders>
              <w:top w:val="single" w:color="auto" w:sz="4" w:space="0"/>
              <w:bottom w:val="single" w:color="auto" w:sz="4" w:space="0"/>
              <w:right w:val="single" w:color="auto" w:sz="4" w:space="0"/>
            </w:tcBorders>
            <w:shd w:val="clear" w:color="auto" w:fill="auto"/>
          </w:tcPr>
          <w:p w14:paraId="63B6F08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C03B8D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28CE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4D1EA73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10E0691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10BB47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0CE866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462756A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087AAF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tcBorders>
              <w:top w:val="single" w:color="auto" w:sz="4" w:space="0"/>
              <w:bottom w:val="single" w:color="auto" w:sz="4" w:space="0"/>
              <w:right w:val="single" w:color="auto" w:sz="4" w:space="0"/>
            </w:tcBorders>
            <w:shd w:val="clear" w:color="auto" w:fill="auto"/>
          </w:tcPr>
          <w:p w14:paraId="1C1AEC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074289E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75233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4D647153">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7AA6B2D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3C7B42A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C17654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05A889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11E3C75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388486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tcBorders>
              <w:top w:val="single" w:color="auto" w:sz="4" w:space="0"/>
              <w:bottom w:val="single" w:color="auto" w:sz="4" w:space="0"/>
              <w:right w:val="single" w:color="auto" w:sz="4" w:space="0"/>
            </w:tcBorders>
            <w:shd w:val="clear" w:color="auto" w:fill="auto"/>
          </w:tcPr>
          <w:p w14:paraId="7CAD4FC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2566442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3D550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3F0961E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06F3AA2">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92BDC7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02808D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5617DFA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7AE931D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tcBorders>
              <w:top w:val="single" w:color="auto" w:sz="4" w:space="0"/>
              <w:bottom w:val="single" w:color="auto" w:sz="4" w:space="0"/>
              <w:right w:val="single" w:color="auto" w:sz="4" w:space="0"/>
            </w:tcBorders>
            <w:shd w:val="clear" w:color="auto" w:fill="auto"/>
          </w:tcPr>
          <w:p w14:paraId="6B19EA6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39BF0D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2DF21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1A5A229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5454062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715BE70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290F2ED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73A2B56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7EAC60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34F8C43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tcBorders>
              <w:top w:val="single" w:color="auto" w:sz="4" w:space="0"/>
              <w:bottom w:val="single" w:color="auto" w:sz="4" w:space="0"/>
              <w:right w:val="single" w:color="auto" w:sz="4" w:space="0"/>
            </w:tcBorders>
            <w:shd w:val="clear" w:color="auto" w:fill="auto"/>
          </w:tcPr>
          <w:p w14:paraId="24FF982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9B4067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18247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793FC4DA">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2BAB0DA">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4F0030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0F6ACD4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2737CCB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tcBorders>
              <w:top w:val="single" w:color="auto" w:sz="4" w:space="0"/>
              <w:bottom w:val="single" w:color="auto" w:sz="4" w:space="0"/>
              <w:right w:val="single" w:color="auto" w:sz="4" w:space="0"/>
            </w:tcBorders>
            <w:shd w:val="clear" w:color="auto" w:fill="auto"/>
          </w:tcPr>
          <w:p w14:paraId="1B60946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14B37D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5D0CB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3E15993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FD09E7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0D580D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1844BAE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27C450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07B1E7D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364F111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41" w:type="dxa"/>
            <w:tcBorders>
              <w:top w:val="single" w:color="auto" w:sz="4" w:space="0"/>
              <w:bottom w:val="single" w:color="auto" w:sz="4" w:space="0"/>
              <w:right w:val="single" w:color="auto" w:sz="4" w:space="0"/>
            </w:tcBorders>
            <w:shd w:val="clear" w:color="auto" w:fill="auto"/>
          </w:tcPr>
          <w:p w14:paraId="374251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10" w:type="dxa"/>
            <w:tcBorders>
              <w:top w:val="single" w:color="auto" w:sz="4" w:space="0"/>
              <w:left w:val="single" w:color="auto" w:sz="4" w:space="0"/>
              <w:bottom w:val="single" w:color="auto" w:sz="4" w:space="0"/>
              <w:right w:val="single" w:color="auto" w:sz="4" w:space="0"/>
            </w:tcBorders>
            <w:shd w:val="clear" w:color="auto" w:fill="auto"/>
          </w:tcPr>
          <w:p w14:paraId="5C11B2F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1057D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12D5C284">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5F518AB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28C540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4400394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4B6F1BD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654B9CA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3BEA57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41" w:type="dxa"/>
            <w:tcBorders>
              <w:top w:val="single" w:color="auto" w:sz="4" w:space="0"/>
              <w:bottom w:val="single" w:color="auto" w:sz="4" w:space="0"/>
              <w:right w:val="single" w:color="auto" w:sz="4" w:space="0"/>
            </w:tcBorders>
            <w:shd w:val="clear" w:color="auto" w:fill="auto"/>
          </w:tcPr>
          <w:p w14:paraId="4BDE923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tcPr>
          <w:p w14:paraId="3EE4BF5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3.5</w:t>
            </w:r>
          </w:p>
        </w:tc>
      </w:tr>
      <w:tr w14:paraId="15381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407C3A97">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E9CF488">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4CD6F3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5678C3A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08AB792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3D2CBDE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41" w:type="dxa"/>
            <w:tcBorders>
              <w:top w:val="single" w:color="auto" w:sz="4" w:space="0"/>
              <w:bottom w:val="single" w:color="auto" w:sz="4" w:space="0"/>
              <w:right w:val="single" w:color="auto" w:sz="4" w:space="0"/>
            </w:tcBorders>
            <w:shd w:val="clear" w:color="auto" w:fill="auto"/>
          </w:tcPr>
          <w:p w14:paraId="0B483AF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tcPr>
          <w:p w14:paraId="1B5A8A6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55BA7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07FD386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731C3F4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5C13ED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4F17CDC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4B001A0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1" w:type="dxa"/>
            <w:tcBorders>
              <w:top w:val="single" w:color="auto" w:sz="4" w:space="0"/>
              <w:bottom w:val="single" w:color="auto" w:sz="4" w:space="0"/>
              <w:right w:val="single" w:color="auto" w:sz="4" w:space="0"/>
            </w:tcBorders>
            <w:shd w:val="clear" w:color="auto" w:fill="auto"/>
          </w:tcPr>
          <w:p w14:paraId="05D1BAF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10" w:type="dxa"/>
            <w:tcBorders>
              <w:top w:val="single" w:color="auto" w:sz="4" w:space="0"/>
              <w:left w:val="single" w:color="auto" w:sz="4" w:space="0"/>
              <w:bottom w:val="single" w:color="auto" w:sz="4" w:space="0"/>
              <w:right w:val="single" w:color="auto" w:sz="4" w:space="0"/>
            </w:tcBorders>
            <w:shd w:val="clear" w:color="auto" w:fill="auto"/>
          </w:tcPr>
          <w:p w14:paraId="615956D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866D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311ABFE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7FF1499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2C6CC24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0C17EF9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49667BE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391A8F9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tcBorders>
              <w:top w:val="single" w:color="auto" w:sz="4" w:space="0"/>
              <w:bottom w:val="single" w:color="auto" w:sz="4" w:space="0"/>
              <w:right w:val="single" w:color="auto" w:sz="4" w:space="0"/>
            </w:tcBorders>
            <w:shd w:val="clear" w:color="auto" w:fill="auto"/>
          </w:tcPr>
          <w:p w14:paraId="1ED9E4A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5C4502E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1E45A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47B3D6E7">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449424FA">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5CB23D0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61DC46D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1187A6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41" w:type="dxa"/>
            <w:tcBorders>
              <w:top w:val="single" w:color="auto" w:sz="4" w:space="0"/>
              <w:bottom w:val="single" w:color="auto" w:sz="4" w:space="0"/>
              <w:right w:val="single" w:color="auto" w:sz="4" w:space="0"/>
            </w:tcBorders>
            <w:shd w:val="clear" w:color="auto" w:fill="auto"/>
          </w:tcPr>
          <w:p w14:paraId="1A4DBF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3485630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4B68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3116DBFC">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45E51C5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0E15AD4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7AC4562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6DD3C9A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41" w:type="dxa"/>
            <w:tcBorders>
              <w:top w:val="single" w:color="auto" w:sz="4" w:space="0"/>
              <w:bottom w:val="single" w:color="auto" w:sz="4" w:space="0"/>
              <w:right w:val="single" w:color="auto" w:sz="4" w:space="0"/>
            </w:tcBorders>
            <w:shd w:val="clear" w:color="auto" w:fill="auto"/>
          </w:tcPr>
          <w:p w14:paraId="2A1AD0D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768C881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241C91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0F26020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136B27B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508A71C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547820B0">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0A1B82E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41" w:type="dxa"/>
            <w:tcBorders>
              <w:top w:val="single" w:color="auto" w:sz="4" w:space="0"/>
              <w:bottom w:val="single" w:color="auto" w:sz="4" w:space="0"/>
              <w:right w:val="single" w:color="auto" w:sz="4" w:space="0"/>
            </w:tcBorders>
            <w:shd w:val="clear" w:color="auto" w:fill="auto"/>
          </w:tcPr>
          <w:p w14:paraId="05C058D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113BE1F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r>
      <w:tr w14:paraId="13EE13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43C90EE1">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139DD5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9BCDDC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43C35AF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10B6BF4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41" w:type="dxa"/>
            <w:tcBorders>
              <w:top w:val="single" w:color="auto" w:sz="4" w:space="0"/>
              <w:bottom w:val="single" w:color="auto" w:sz="4" w:space="0"/>
              <w:right w:val="single" w:color="auto" w:sz="4" w:space="0"/>
            </w:tcBorders>
            <w:shd w:val="clear" w:color="auto" w:fill="auto"/>
          </w:tcPr>
          <w:p w14:paraId="02CDECE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49FC0A6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6E7FA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601" w:type="dxa"/>
            <w:gridSpan w:val="5"/>
            <w:tcBorders>
              <w:tl2br w:val="nil"/>
              <w:tr2bl w:val="nil"/>
            </w:tcBorders>
            <w:shd w:val="clear" w:color="auto" w:fill="FFFFFF"/>
            <w:vAlign w:val="center"/>
          </w:tcPr>
          <w:p w14:paraId="753FC78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总计</w:t>
            </w:r>
          </w:p>
        </w:tc>
        <w:tc>
          <w:tcPr>
            <w:tcW w:w="841" w:type="dxa"/>
            <w:tcBorders>
              <w:top w:val="single" w:color="auto" w:sz="4" w:space="0"/>
              <w:bottom w:val="single" w:color="auto" w:sz="4" w:space="0"/>
              <w:right w:val="single" w:color="auto" w:sz="4" w:space="0"/>
            </w:tcBorders>
            <w:shd w:val="clear" w:color="auto" w:fill="auto"/>
          </w:tcPr>
          <w:p w14:paraId="4DC2384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100分</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6D34DC8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96分</w:t>
            </w:r>
          </w:p>
        </w:tc>
      </w:tr>
    </w:tbl>
    <w:p w14:paraId="730AA035">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6E3E12E7"/>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3830A27-F753-4A3A-A690-465F3980AF49}"/>
  </w:font>
  <w:font w:name="黑体">
    <w:panose1 w:val="02010609060101010101"/>
    <w:charset w:val="86"/>
    <w:family w:val="auto"/>
    <w:pitch w:val="default"/>
    <w:sig w:usb0="800002BF" w:usb1="38CF7CFA" w:usb2="00000016" w:usb3="00000000" w:csb0="00040001" w:csb1="00000000"/>
    <w:embedRegular r:id="rId2" w:fontKey="{801A6865-C1F4-4ECF-B915-CAC51D0DF3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3" w:fontKey="{3C10FF8F-2135-4C8A-B4FC-16621B28C8C1}"/>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4" w:fontKey="{6EC46290-0E2A-4DD4-BF24-151B79453D7A}"/>
  </w:font>
  <w:font w:name="方正小标宋_GBK">
    <w:panose1 w:val="02000000000000000000"/>
    <w:charset w:val="86"/>
    <w:family w:val="script"/>
    <w:pitch w:val="default"/>
    <w:sig w:usb0="A00002BF" w:usb1="38CF7CFA" w:usb2="00082016" w:usb3="00000000" w:csb0="00040001" w:csb1="00000000"/>
    <w:embedRegular r:id="rId5" w:fontKey="{282FCD44-BAEB-4979-8900-13B4DD54582A}"/>
  </w:font>
  <w:font w:name="方正仿宋_GBK">
    <w:panose1 w:val="02000000000000000000"/>
    <w:charset w:val="86"/>
    <w:family w:val="script"/>
    <w:pitch w:val="default"/>
    <w:sig w:usb0="A00002BF" w:usb1="38CF7CFA" w:usb2="00082016" w:usb3="00000000" w:csb0="00040001" w:csb1="00000000"/>
    <w:embedRegular r:id="rId6" w:fontKey="{6539E3AC-DF4F-4060-B7C2-DC9F84AC47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E5394">
    <w:pPr>
      <w:pStyle w:val="3"/>
      <w:jc w:val="center"/>
    </w:pPr>
    <w:r>
      <w:fldChar w:fldCharType="begin"/>
    </w:r>
    <w:r>
      <w:instrText xml:space="preserve"> PAGE   \* MERGEFORMAT </w:instrText>
    </w:r>
    <w:r>
      <w:fldChar w:fldCharType="separate"/>
    </w:r>
    <w:r>
      <w:rPr>
        <w:lang w:val="zh-CN"/>
      </w:rPr>
      <w:t>4</w:t>
    </w:r>
    <w:r>
      <w:fldChar w:fldCharType="end"/>
    </w:r>
  </w:p>
  <w:p w14:paraId="2E27BCE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362A81"/>
    <w:multiLevelType w:val="singleLevel"/>
    <w:tmpl w:val="31362A81"/>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0A37C5"/>
    <w:rsid w:val="000B7755"/>
    <w:rsid w:val="00116202"/>
    <w:rsid w:val="0018238C"/>
    <w:rsid w:val="001949CD"/>
    <w:rsid w:val="001A61BB"/>
    <w:rsid w:val="00222BEC"/>
    <w:rsid w:val="00274B58"/>
    <w:rsid w:val="0036500D"/>
    <w:rsid w:val="003A727F"/>
    <w:rsid w:val="00401766"/>
    <w:rsid w:val="004A06E7"/>
    <w:rsid w:val="004C3F2C"/>
    <w:rsid w:val="004F28CB"/>
    <w:rsid w:val="006425C5"/>
    <w:rsid w:val="00675A9E"/>
    <w:rsid w:val="0076663A"/>
    <w:rsid w:val="007761A4"/>
    <w:rsid w:val="00883230"/>
    <w:rsid w:val="008D0BA2"/>
    <w:rsid w:val="008E1171"/>
    <w:rsid w:val="0093725D"/>
    <w:rsid w:val="00A85935"/>
    <w:rsid w:val="00AA789B"/>
    <w:rsid w:val="00BD33F6"/>
    <w:rsid w:val="00C34166"/>
    <w:rsid w:val="00C460D9"/>
    <w:rsid w:val="00C470BD"/>
    <w:rsid w:val="00C825B1"/>
    <w:rsid w:val="00C87FFB"/>
    <w:rsid w:val="00CA553B"/>
    <w:rsid w:val="00CC10B5"/>
    <w:rsid w:val="00D32633"/>
    <w:rsid w:val="00D917A5"/>
    <w:rsid w:val="00DB3EEB"/>
    <w:rsid w:val="00DB7016"/>
    <w:rsid w:val="00DF2FBD"/>
    <w:rsid w:val="00E15964"/>
    <w:rsid w:val="00E85520"/>
    <w:rsid w:val="00EA10FE"/>
    <w:rsid w:val="00EC14FF"/>
    <w:rsid w:val="00EE696A"/>
    <w:rsid w:val="00F21FE7"/>
    <w:rsid w:val="00F71AE7"/>
    <w:rsid w:val="00F805FB"/>
    <w:rsid w:val="00FB45E1"/>
    <w:rsid w:val="00FD3740"/>
    <w:rsid w:val="0E6A1946"/>
    <w:rsid w:val="207D2191"/>
    <w:rsid w:val="232F399E"/>
    <w:rsid w:val="2BCB3BCA"/>
    <w:rsid w:val="352E07F0"/>
    <w:rsid w:val="58B23F19"/>
    <w:rsid w:val="65C026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3"/>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uiPriority w:val="99"/>
    <w:pPr>
      <w:spacing w:before="100" w:beforeAutospacing="1" w:after="100" w:afterAutospacing="1"/>
      <w:jc w:val="left"/>
    </w:pPr>
    <w:rPr>
      <w:rFonts w:ascii="Calibri" w:hAnsi="Calibri" w:eastAsia="宋体"/>
      <w:kern w:val="0"/>
      <w:sz w:val="24"/>
    </w:rPr>
  </w:style>
  <w:style w:type="table" w:styleId="7">
    <w:name w:val="Table Grid"/>
    <w:basedOn w:val="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22"/>
    <w:rPr>
      <w:rFonts w:cs="Times New Roman"/>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4"/>
    <w:semiHidden/>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标题 2 Char"/>
    <w:basedOn w:val="8"/>
    <w:link w:val="2"/>
    <w:qFormat/>
    <w:uiPriority w:val="0"/>
    <w:rPr>
      <w:rFonts w:ascii="Arial" w:hAnsi="Arial" w:eastAsia="黑体" w:cs="Times New Roman"/>
      <w:b/>
      <w:sz w:val="32"/>
      <w:szCs w:val="24"/>
    </w:rPr>
  </w:style>
  <w:style w:type="character" w:customStyle="1" w:styleId="14">
    <w:name w:val="闻政-正文段落文字 Char"/>
    <w:link w:val="15"/>
    <w:qFormat/>
    <w:uiPriority w:val="3"/>
    <w:rPr>
      <w:rFonts w:eastAsia="仿宋_GB2312"/>
      <w:sz w:val="28"/>
      <w:szCs w:val="28"/>
    </w:rPr>
  </w:style>
  <w:style w:type="paragraph" w:customStyle="1" w:styleId="15">
    <w:name w:val="闻政-正文段落文字"/>
    <w:basedOn w:val="1"/>
    <w:link w:val="14"/>
    <w:qFormat/>
    <w:uiPriority w:val="3"/>
    <w:pPr>
      <w:spacing w:line="500" w:lineRule="exact"/>
      <w:ind w:firstLine="200" w:firstLineChars="200"/>
    </w:pPr>
    <w:rPr>
      <w:kern w:val="0"/>
      <w:sz w:val="28"/>
      <w:szCs w:val="28"/>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5509</Words>
  <Characters>5751</Characters>
  <Lines>44</Lines>
  <Paragraphs>12</Paragraphs>
  <TotalTime>65</TotalTime>
  <ScaleCrop>false</ScaleCrop>
  <LinksUpToDate>false</LinksUpToDate>
  <CharactersWithSpaces>5774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2025-02-07T04:53:33Z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78B310FB343E421D838A85E348850CC0_12</vt:lpwstr>
  </property>
</Properties>
</file>