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AD0EF6">
      <w:pPr>
        <w:spacing w:line="600" w:lineRule="exact"/>
        <w:jc w:val="center"/>
        <w:rPr>
          <w:rFonts w:ascii="方正小标宋_GBK" w:hAnsi="华文中宋" w:eastAsia="方正小标宋_GBK" w:cs="宋体"/>
          <w:bCs/>
          <w:kern w:val="0"/>
          <w:sz w:val="48"/>
          <w:szCs w:val="48"/>
        </w:rPr>
      </w:pPr>
    </w:p>
    <w:p w14:paraId="3D7C399A">
      <w:pPr>
        <w:spacing w:line="600" w:lineRule="exact"/>
        <w:jc w:val="center"/>
        <w:rPr>
          <w:rFonts w:ascii="方正小标宋_GBK" w:hAnsi="华文中宋" w:eastAsia="方正小标宋_GBK" w:cs="宋体"/>
          <w:bCs/>
          <w:kern w:val="0"/>
          <w:sz w:val="48"/>
          <w:szCs w:val="48"/>
        </w:rPr>
      </w:pPr>
    </w:p>
    <w:p w14:paraId="51E3FA8A">
      <w:pPr>
        <w:spacing w:line="600" w:lineRule="exact"/>
        <w:jc w:val="center"/>
        <w:rPr>
          <w:rFonts w:ascii="方正小标宋_GBK" w:hAnsi="华文中宋" w:eastAsia="方正小标宋_GBK" w:cs="宋体"/>
          <w:bCs/>
          <w:kern w:val="0"/>
          <w:sz w:val="48"/>
          <w:szCs w:val="48"/>
        </w:rPr>
      </w:pPr>
    </w:p>
    <w:p w14:paraId="5E51B3E2">
      <w:pPr>
        <w:spacing w:line="600" w:lineRule="exact"/>
        <w:jc w:val="center"/>
        <w:rPr>
          <w:rFonts w:ascii="方正小标宋_GBK" w:hAnsi="华文中宋" w:eastAsia="方正小标宋_GBK" w:cs="宋体"/>
          <w:bCs/>
          <w:kern w:val="0"/>
          <w:sz w:val="48"/>
          <w:szCs w:val="48"/>
        </w:rPr>
      </w:pPr>
    </w:p>
    <w:p w14:paraId="50D27B08">
      <w:pPr>
        <w:spacing w:line="600" w:lineRule="exact"/>
        <w:jc w:val="center"/>
        <w:rPr>
          <w:rFonts w:ascii="方正小标宋_GBK" w:hAnsi="华文中宋" w:eastAsia="方正小标宋_GBK" w:cs="宋体"/>
          <w:bCs/>
          <w:kern w:val="0"/>
          <w:sz w:val="48"/>
          <w:szCs w:val="48"/>
        </w:rPr>
      </w:pPr>
      <w:r>
        <w:rPr>
          <w:rFonts w:ascii="方正小标宋_GBK" w:hAnsi="华文中宋" w:eastAsia="方正小标宋_GBK" w:cs="宋体"/>
          <w:bCs/>
          <w:kern w:val="0"/>
          <w:sz w:val="48"/>
          <w:szCs w:val="48"/>
        </w:rPr>
        <w:t>巴州党委办公室</w:t>
      </w:r>
    </w:p>
    <w:p w14:paraId="2E3644FC">
      <w:pPr>
        <w:spacing w:line="600" w:lineRule="exact"/>
        <w:jc w:val="center"/>
        <w:rPr>
          <w:rFonts w:ascii="方正小标宋_GBK" w:hAnsi="华文中宋" w:eastAsia="方正小标宋_GBK" w:cs="宋体"/>
          <w:bCs/>
          <w:kern w:val="0"/>
          <w:sz w:val="48"/>
          <w:szCs w:val="48"/>
        </w:rPr>
      </w:pPr>
      <w:r>
        <w:rPr>
          <w:rFonts w:hint="eastAsia" w:ascii="方正小标宋_GBK" w:hAnsi="华文中宋" w:eastAsia="方正小标宋_GBK" w:cs="宋体"/>
          <w:bCs/>
          <w:kern w:val="0"/>
          <w:sz w:val="48"/>
          <w:szCs w:val="48"/>
        </w:rPr>
        <w:t>项目支出绩效自评报告</w:t>
      </w:r>
    </w:p>
    <w:p w14:paraId="0A123E7E">
      <w:pPr>
        <w:spacing w:line="540" w:lineRule="exact"/>
        <w:jc w:val="center"/>
        <w:rPr>
          <w:rFonts w:ascii="华文中宋" w:hAnsi="华文中宋" w:eastAsia="华文中宋" w:cs="宋体"/>
          <w:b/>
          <w:kern w:val="0"/>
          <w:sz w:val="52"/>
          <w:szCs w:val="52"/>
        </w:rPr>
      </w:pPr>
    </w:p>
    <w:p w14:paraId="65692C27">
      <w:pPr>
        <w:spacing w:line="540" w:lineRule="exact"/>
        <w:jc w:val="center"/>
        <w:rPr>
          <w:rFonts w:ascii="华文中宋" w:hAnsi="华文中宋" w:eastAsia="华文中宋" w:cs="宋体"/>
          <w:b/>
          <w:kern w:val="0"/>
          <w:sz w:val="52"/>
          <w:szCs w:val="52"/>
        </w:rPr>
      </w:pPr>
    </w:p>
    <w:p w14:paraId="5645517C">
      <w:pPr>
        <w:spacing w:line="540" w:lineRule="exact"/>
        <w:jc w:val="center"/>
        <w:rPr>
          <w:rFonts w:ascii="华文中宋" w:hAnsi="华文中宋" w:eastAsia="华文中宋" w:cs="宋体"/>
          <w:b/>
          <w:kern w:val="0"/>
          <w:sz w:val="52"/>
          <w:szCs w:val="52"/>
        </w:rPr>
      </w:pPr>
    </w:p>
    <w:p w14:paraId="0B861B49">
      <w:pPr>
        <w:spacing w:line="540" w:lineRule="exact"/>
        <w:jc w:val="center"/>
        <w:rPr>
          <w:rFonts w:hAnsi="宋体" w:cs="宋体"/>
          <w:kern w:val="0"/>
          <w:sz w:val="36"/>
          <w:szCs w:val="36"/>
        </w:rPr>
      </w:pPr>
      <w:r>
        <w:rPr>
          <w:rFonts w:hint="eastAsia" w:hAnsi="宋体" w:cs="宋体"/>
          <w:kern w:val="0"/>
          <w:sz w:val="36"/>
          <w:szCs w:val="36"/>
        </w:rPr>
        <w:t>（</w:t>
      </w:r>
      <w:r>
        <w:rPr>
          <w:rFonts w:hAnsi="宋体" w:cs="宋体"/>
          <w:kern w:val="0"/>
          <w:sz w:val="36"/>
          <w:szCs w:val="36"/>
        </w:rPr>
        <w:t>2019</w:t>
      </w:r>
      <w:r>
        <w:rPr>
          <w:rFonts w:hint="eastAsia" w:hAnsi="宋体" w:cs="宋体"/>
          <w:kern w:val="0"/>
          <w:sz w:val="36"/>
          <w:szCs w:val="36"/>
        </w:rPr>
        <w:t>年度）</w:t>
      </w:r>
    </w:p>
    <w:p w14:paraId="19565EE0">
      <w:pPr>
        <w:spacing w:line="540" w:lineRule="exact"/>
        <w:jc w:val="center"/>
        <w:rPr>
          <w:rFonts w:hAnsi="宋体" w:cs="宋体"/>
          <w:kern w:val="0"/>
          <w:szCs w:val="30"/>
        </w:rPr>
      </w:pPr>
    </w:p>
    <w:p w14:paraId="69245D83">
      <w:pPr>
        <w:spacing w:line="540" w:lineRule="exact"/>
        <w:jc w:val="center"/>
        <w:rPr>
          <w:rFonts w:hAnsi="宋体" w:cs="宋体"/>
          <w:kern w:val="0"/>
          <w:szCs w:val="30"/>
        </w:rPr>
      </w:pPr>
    </w:p>
    <w:p w14:paraId="54024ACB">
      <w:pPr>
        <w:spacing w:line="540" w:lineRule="exact"/>
        <w:jc w:val="center"/>
        <w:rPr>
          <w:rFonts w:hAnsi="宋体" w:cs="宋体"/>
          <w:kern w:val="0"/>
          <w:szCs w:val="30"/>
        </w:rPr>
      </w:pPr>
    </w:p>
    <w:p w14:paraId="212BF95A">
      <w:pPr>
        <w:spacing w:line="540" w:lineRule="exact"/>
        <w:jc w:val="both"/>
        <w:rPr>
          <w:rFonts w:hAnsi="宋体" w:cs="宋体"/>
          <w:kern w:val="0"/>
          <w:szCs w:val="30"/>
        </w:rPr>
      </w:pPr>
    </w:p>
    <w:p w14:paraId="4AD7DB16">
      <w:pPr>
        <w:spacing w:line="540" w:lineRule="exact"/>
        <w:jc w:val="center"/>
        <w:rPr>
          <w:rFonts w:hAnsi="宋体" w:cs="宋体"/>
          <w:kern w:val="0"/>
          <w:szCs w:val="30"/>
        </w:rPr>
      </w:pPr>
    </w:p>
    <w:p w14:paraId="612BCD9C">
      <w:pPr>
        <w:spacing w:line="540" w:lineRule="exact"/>
        <w:rPr>
          <w:rFonts w:hAnsi="宋体" w:cs="宋体"/>
          <w:kern w:val="0"/>
          <w:szCs w:val="30"/>
        </w:rPr>
      </w:pPr>
    </w:p>
    <w:p w14:paraId="6E0C8A4F">
      <w:pPr>
        <w:spacing w:line="700" w:lineRule="exact"/>
        <w:ind w:left="2700" w:leftChars="300" w:hanging="1800" w:hangingChars="500"/>
        <w:jc w:val="left"/>
        <w:rPr>
          <w:rFonts w:hAnsi="宋体" w:cs="宋体"/>
          <w:kern w:val="0"/>
          <w:sz w:val="36"/>
          <w:szCs w:val="36"/>
        </w:rPr>
      </w:pPr>
      <w:r>
        <w:rPr>
          <w:rFonts w:hint="eastAsia" w:hAnsi="宋体" w:cs="宋体"/>
          <w:kern w:val="0"/>
          <w:sz w:val="36"/>
          <w:szCs w:val="36"/>
        </w:rPr>
        <w:t>项目名称：州委办公室培训、会议、考察特需经费项目</w:t>
      </w:r>
    </w:p>
    <w:p w14:paraId="0CA1A22C">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w:t>
      </w:r>
      <w:r>
        <w:rPr>
          <w:rFonts w:hAnsi="宋体" w:cs="宋体"/>
          <w:kern w:val="0"/>
          <w:sz w:val="36"/>
          <w:szCs w:val="36"/>
        </w:rPr>
        <w:t xml:space="preserve"> </w:t>
      </w:r>
      <w:r>
        <w:rPr>
          <w:rFonts w:hint="eastAsia" w:hAnsi="宋体" w:cs="宋体"/>
          <w:kern w:val="0"/>
          <w:sz w:val="36"/>
          <w:szCs w:val="36"/>
        </w:rPr>
        <w:t>巴州党委办公室</w:t>
      </w:r>
    </w:p>
    <w:p w14:paraId="34ADA4B1">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 巴州党委</w:t>
      </w:r>
    </w:p>
    <w:p w14:paraId="691051B4">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w:t>
      </w:r>
      <w:r>
        <w:rPr>
          <w:rFonts w:hAnsi="宋体" w:cs="宋体"/>
          <w:kern w:val="0"/>
          <w:sz w:val="36"/>
          <w:szCs w:val="36"/>
        </w:rPr>
        <w:t xml:space="preserve"> 陈延国</w:t>
      </w:r>
    </w:p>
    <w:p w14:paraId="76112553">
      <w:pPr>
        <w:spacing w:line="700" w:lineRule="exact"/>
        <w:ind w:firstLine="849" w:firstLineChars="236"/>
        <w:jc w:val="left"/>
        <w:rPr>
          <w:rFonts w:hAnsi="宋体" w:cs="宋体"/>
          <w:kern w:val="0"/>
          <w:sz w:val="36"/>
          <w:szCs w:val="36"/>
        </w:rPr>
      </w:pPr>
      <w:r>
        <w:rPr>
          <w:rFonts w:hint="eastAsia" w:hAnsi="宋体" w:cs="宋体"/>
          <w:kern w:val="0"/>
          <w:sz w:val="36"/>
          <w:szCs w:val="36"/>
        </w:rPr>
        <w:t>填报时间：</w:t>
      </w:r>
      <w:r>
        <w:rPr>
          <w:rFonts w:hAnsi="宋体" w:cs="宋体"/>
          <w:kern w:val="0"/>
          <w:sz w:val="36"/>
          <w:szCs w:val="36"/>
        </w:rPr>
        <w:t>2020</w:t>
      </w:r>
      <w:r>
        <w:rPr>
          <w:rFonts w:hint="eastAsia" w:hAnsi="宋体" w:cs="宋体"/>
          <w:kern w:val="0"/>
          <w:sz w:val="36"/>
          <w:szCs w:val="36"/>
        </w:rPr>
        <w:t>年</w:t>
      </w:r>
      <w:r>
        <w:rPr>
          <w:rFonts w:hAnsi="宋体" w:cs="宋体"/>
          <w:kern w:val="0"/>
          <w:sz w:val="36"/>
          <w:szCs w:val="36"/>
        </w:rPr>
        <w:t>5</w:t>
      </w:r>
      <w:r>
        <w:rPr>
          <w:rFonts w:hint="eastAsia" w:hAnsi="宋体" w:cs="宋体"/>
          <w:kern w:val="0"/>
          <w:sz w:val="36"/>
          <w:szCs w:val="36"/>
        </w:rPr>
        <w:t>月</w:t>
      </w:r>
      <w:r>
        <w:rPr>
          <w:rFonts w:hAnsi="宋体" w:cs="宋体"/>
          <w:kern w:val="0"/>
          <w:sz w:val="36"/>
          <w:szCs w:val="36"/>
        </w:rPr>
        <w:t>10</w:t>
      </w:r>
      <w:r>
        <w:rPr>
          <w:rFonts w:hint="eastAsia" w:hAnsi="宋体" w:cs="宋体"/>
          <w:kern w:val="0"/>
          <w:sz w:val="36"/>
          <w:szCs w:val="36"/>
        </w:rPr>
        <w:t>日</w:t>
      </w:r>
    </w:p>
    <w:p w14:paraId="14488178">
      <w:pPr>
        <w:rPr>
          <w:rFonts w:ascii="黑体" w:hAnsi="黑体" w:eastAsia="黑体"/>
        </w:rPr>
      </w:pPr>
    </w:p>
    <w:p w14:paraId="035E615F">
      <w:pPr>
        <w:rPr>
          <w:rFonts w:ascii="黑体" w:hAnsi="黑体" w:eastAsia="黑体"/>
        </w:rPr>
      </w:pPr>
      <w:r>
        <w:rPr>
          <w:rFonts w:hint="eastAsia" w:ascii="黑体" w:hAnsi="黑体" w:eastAsia="黑体"/>
        </w:rPr>
        <w:t>附2</w:t>
      </w:r>
    </w:p>
    <w:p w14:paraId="034335A2">
      <w:pPr>
        <w:jc w:val="center"/>
        <w:rPr>
          <w:rFonts w:ascii="宋体" w:hAnsi="宋体" w:eastAsia="宋体" w:cs="Arial"/>
          <w:b/>
          <w:bCs/>
          <w:sz w:val="36"/>
          <w:szCs w:val="36"/>
        </w:rPr>
      </w:pPr>
    </w:p>
    <w:p w14:paraId="14820097">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16105002">
      <w:pPr>
        <w:spacing w:line="600" w:lineRule="exact"/>
        <w:ind w:firstLine="600" w:firstLineChars="200"/>
        <w:rPr>
          <w:rFonts w:ascii="黑体" w:hAnsi="黑体" w:eastAsia="黑体"/>
        </w:rPr>
      </w:pPr>
      <w:r>
        <w:rPr>
          <w:rFonts w:hint="eastAsia" w:ascii="黑体" w:hAnsi="黑体" w:eastAsia="黑体"/>
        </w:rPr>
        <w:t>一、基本情况</w:t>
      </w:r>
    </w:p>
    <w:p w14:paraId="5D021E7A">
      <w:pPr>
        <w:spacing w:line="600" w:lineRule="exact"/>
        <w:ind w:firstLine="600" w:firstLineChars="200"/>
        <w:outlineLvl w:val="0"/>
        <w:rPr>
          <w:rFonts w:hint="eastAsia" w:ascii="仿宋_GB2312"/>
        </w:rPr>
      </w:pPr>
      <w:r>
        <w:rPr>
          <w:rFonts w:hint="eastAsia" w:ascii="仿宋_GB2312"/>
        </w:rPr>
        <w:t>（一）项目概况。</w:t>
      </w:r>
    </w:p>
    <w:p w14:paraId="5C448E2D">
      <w:pPr>
        <w:spacing w:line="600" w:lineRule="exact"/>
        <w:ind w:firstLine="640" w:firstLineChars="200"/>
        <w:outlineLvl w:val="0"/>
        <w:rPr>
          <w:rFonts w:ascii="仿宋_GB2312"/>
        </w:rPr>
      </w:pPr>
      <w:r>
        <w:rPr>
          <w:rFonts w:hint="eastAsia" w:ascii="仿宋_GB2312"/>
          <w:sz w:val="32"/>
          <w:szCs w:val="32"/>
        </w:rPr>
        <w:t>1、项目背景</w:t>
      </w:r>
    </w:p>
    <w:p w14:paraId="3867107D">
      <w:pPr>
        <w:spacing w:line="600" w:lineRule="exact"/>
        <w:ind w:firstLine="600" w:firstLineChars="200"/>
        <w:rPr>
          <w:rFonts w:hint="eastAsia"/>
        </w:rPr>
      </w:pPr>
      <w:r>
        <w:rPr>
          <w:rFonts w:hint="eastAsia"/>
        </w:rPr>
        <w:t>州委办公室是自治州重要办事机构和综合职能部门，是自治州工作运转、承上启下、联系左右与沟通内外的枢纽，具有参与政务、处理事务、履行服务三大职能。</w:t>
      </w:r>
    </w:p>
    <w:p w14:paraId="3EE36F74">
      <w:pPr>
        <w:spacing w:line="600" w:lineRule="exact"/>
        <w:ind w:firstLine="640" w:firstLineChars="200"/>
        <w:outlineLvl w:val="0"/>
        <w:rPr>
          <w:rFonts w:ascii="仿宋_GB2312"/>
          <w:sz w:val="32"/>
          <w:szCs w:val="32"/>
        </w:rPr>
      </w:pPr>
      <w:r>
        <w:rPr>
          <w:rFonts w:hint="eastAsia" w:ascii="仿宋_GB2312"/>
          <w:sz w:val="32"/>
          <w:szCs w:val="32"/>
        </w:rPr>
        <w:t>2、项目主要内容及实施情况</w:t>
      </w:r>
    </w:p>
    <w:p w14:paraId="595B5D9F">
      <w:pPr>
        <w:spacing w:line="600" w:lineRule="exact"/>
        <w:ind w:firstLine="600" w:firstLineChars="200"/>
        <w:rPr>
          <w:rFonts w:hint="eastAsia"/>
        </w:rPr>
      </w:pPr>
      <w:r>
        <w:rPr>
          <w:rFonts w:hint="eastAsia"/>
        </w:rPr>
        <w:t>为了做好全州各类会议的组织、协调、衔接落实、保障工作；根据党委工作部署和要求，深入实际，调查研究，做好向领导传递综合信息和反馈各方面动态工作；做好对各部门、各基层党组织贯彻执行党委决议的情况及进程，做好协调、督促、检查工作；为考察调研活动的正常进行，定期做好车辆检修维护工作，定期购买油料，保证车辆安全出行；全体干部职工定期参加单位或其他部门组织的培训，通过培训提高单位干部职工政治思想素质和专业知识水平。</w:t>
      </w:r>
    </w:p>
    <w:p w14:paraId="76A6B128">
      <w:pPr>
        <w:spacing w:line="600" w:lineRule="exact"/>
        <w:ind w:firstLine="640" w:firstLineChars="200"/>
        <w:outlineLvl w:val="0"/>
        <w:rPr>
          <w:rFonts w:ascii="方正仿宋_GB2312" w:hAnsi="方正仿宋_GB2312" w:eastAsia="方正仿宋_GB2312" w:cs="方正仿宋_GB2312"/>
          <w:color w:val="000000"/>
          <w:sz w:val="32"/>
          <w:szCs w:val="32"/>
          <w:shd w:val="clear" w:color="auto" w:fill="FFFFFF"/>
        </w:rPr>
      </w:pPr>
      <w:r>
        <w:rPr>
          <w:rFonts w:hint="eastAsia" w:ascii="方正仿宋_GB2312" w:hAnsi="方正仿宋_GB2312" w:eastAsia="方正仿宋_GB2312" w:cs="方正仿宋_GB2312"/>
          <w:color w:val="000000"/>
          <w:sz w:val="32"/>
          <w:szCs w:val="32"/>
          <w:shd w:val="clear" w:color="auto" w:fill="FFFFFF"/>
        </w:rPr>
        <w:t>3、资金投入和使用情况</w:t>
      </w:r>
    </w:p>
    <w:p w14:paraId="662C85F0">
      <w:pPr>
        <w:spacing w:line="600" w:lineRule="exact"/>
        <w:ind w:firstLine="600" w:firstLineChars="200"/>
      </w:pPr>
      <w:r>
        <w:rPr>
          <w:rFonts w:hint="eastAsia"/>
        </w:rPr>
        <w:t>为更好的开展党委办公室工作，单位本级财政预算安排210万，2019年该项目预算数为210万元，实际下达预算数210万元，实际支出165.2万元。</w:t>
      </w:r>
    </w:p>
    <w:p w14:paraId="6C6A9B60">
      <w:pPr>
        <w:spacing w:line="600" w:lineRule="exact"/>
        <w:ind w:firstLine="600" w:firstLineChars="200"/>
        <w:rPr>
          <w:rFonts w:ascii="仿宋_GB2312"/>
        </w:rPr>
      </w:pPr>
      <w:r>
        <w:rPr>
          <w:rFonts w:hint="eastAsia" w:ascii="仿宋_GB2312"/>
        </w:rPr>
        <w:t>（二）项目绩效目标。</w:t>
      </w:r>
    </w:p>
    <w:p w14:paraId="635961A8">
      <w:pPr>
        <w:spacing w:line="600" w:lineRule="exact"/>
        <w:ind w:firstLine="640" w:firstLineChars="200"/>
        <w:rPr>
          <w:rFonts w:hint="eastAsia"/>
        </w:rPr>
      </w:pPr>
      <w:r>
        <w:rPr>
          <w:rFonts w:hint="eastAsia" w:ascii="方正仿宋_GB2312" w:hAnsi="方正仿宋_GB2312" w:eastAsia="方正仿宋_GB2312" w:cs="方正仿宋_GB2312"/>
          <w:color w:val="000000"/>
          <w:sz w:val="32"/>
          <w:szCs w:val="32"/>
          <w:shd w:val="clear" w:color="auto" w:fill="FFFFFF"/>
        </w:rPr>
        <w:t>1、总体目标</w:t>
      </w:r>
    </w:p>
    <w:p w14:paraId="5E002C9A">
      <w:pPr>
        <w:spacing w:line="600" w:lineRule="exact"/>
        <w:ind w:firstLine="600" w:firstLineChars="200"/>
        <w:rPr>
          <w:rFonts w:hint="eastAsia"/>
        </w:rPr>
      </w:pPr>
      <w:r>
        <w:rPr>
          <w:rFonts w:hint="eastAsia"/>
        </w:rPr>
        <w:t>州委办公室</w:t>
      </w:r>
      <w:r>
        <w:t>紧紧围绕</w:t>
      </w:r>
      <w:r>
        <w:rPr>
          <w:rFonts w:hint="eastAsia"/>
        </w:rPr>
        <w:t>党</w:t>
      </w:r>
      <w:r>
        <w:t>中央</w:t>
      </w:r>
      <w:r>
        <w:rPr>
          <w:rFonts w:hint="eastAsia"/>
        </w:rPr>
        <w:t>、</w:t>
      </w:r>
      <w:r>
        <w:t>自治区</w:t>
      </w:r>
      <w:r>
        <w:rPr>
          <w:rFonts w:hint="eastAsia"/>
        </w:rPr>
        <w:t>党委</w:t>
      </w:r>
      <w:r>
        <w:t>决策部署</w:t>
      </w:r>
      <w:r>
        <w:rPr>
          <w:rFonts w:hint="eastAsia"/>
        </w:rPr>
        <w:t>和</w:t>
      </w:r>
      <w:r>
        <w:t>自治州党委</w:t>
      </w:r>
      <w:r>
        <w:rPr>
          <w:rFonts w:hint="eastAsia"/>
        </w:rPr>
        <w:t>工作要求</w:t>
      </w:r>
      <w:r>
        <w:t>，</w:t>
      </w:r>
      <w:r>
        <w:rPr>
          <w:rFonts w:hint="eastAsia"/>
        </w:rPr>
        <w:t>坚持严谨细致、精益求精，增强服务决策的前瞻性、有效性，做好全州各类会议保障工作对重要会议，提前介入，精心谋划，强化细节落实，统筹做好会前准备、会中服务、会后落实工作，力求会议活动取得最佳效果。</w:t>
      </w:r>
    </w:p>
    <w:p w14:paraId="2EBA3286">
      <w:pPr>
        <w:spacing w:line="600" w:lineRule="exact"/>
        <w:ind w:firstLine="640" w:firstLineChars="200"/>
        <w:outlineLvl w:val="0"/>
        <w:rPr>
          <w:rFonts w:ascii="方正仿宋_GB2312" w:hAnsi="方正仿宋_GB2312" w:eastAsia="方正仿宋_GB2312" w:cs="方正仿宋_GB2312"/>
          <w:color w:val="000000"/>
          <w:sz w:val="32"/>
          <w:szCs w:val="32"/>
          <w:shd w:val="clear" w:color="auto" w:fill="FFFFFF"/>
        </w:rPr>
      </w:pPr>
      <w:r>
        <w:rPr>
          <w:rFonts w:hint="eastAsia" w:ascii="方正仿宋_GB2312" w:hAnsi="方正仿宋_GB2312" w:eastAsia="方正仿宋_GB2312" w:cs="方正仿宋_GB2312"/>
          <w:color w:val="000000"/>
          <w:sz w:val="32"/>
          <w:szCs w:val="32"/>
          <w:shd w:val="clear" w:color="auto" w:fill="FFFFFF"/>
        </w:rPr>
        <w:t>2、阶段性目标</w:t>
      </w:r>
    </w:p>
    <w:p w14:paraId="3DC52D5D">
      <w:pPr>
        <w:spacing w:line="600" w:lineRule="exact"/>
        <w:ind w:firstLine="600" w:firstLineChars="200"/>
        <w:rPr>
          <w:rFonts w:ascii="方正仿宋_GBK"/>
        </w:rPr>
      </w:pPr>
      <w:r>
        <w:rPr>
          <w:rFonts w:hint="eastAsia"/>
        </w:rPr>
        <w:t>根据州委办公室的工作职能，需考察调研各县市工作任务执行情况，为</w:t>
      </w:r>
      <w:r>
        <w:rPr>
          <w:rFonts w:hint="eastAsia" w:ascii="方正仿宋_GBK"/>
        </w:rPr>
        <w:t>保证考察调研活动正常进行，提前做好车辆的安全出行准备，例如车辆检修、油料购买等工作。 为了提高干部职工的政治思想素质和专业知识水平，定期安排大家参加培训。</w:t>
      </w:r>
    </w:p>
    <w:p w14:paraId="422A53D7">
      <w:pPr>
        <w:spacing w:line="600" w:lineRule="exact"/>
        <w:ind w:firstLine="600" w:firstLineChars="200"/>
        <w:rPr>
          <w:rFonts w:ascii="黑体" w:hAnsi="黑体" w:eastAsia="黑体"/>
        </w:rPr>
      </w:pPr>
      <w:r>
        <w:rPr>
          <w:rFonts w:hint="eastAsia" w:ascii="黑体" w:hAnsi="黑体" w:eastAsia="黑体"/>
        </w:rPr>
        <w:t>二、绩效评价工作开展情况</w:t>
      </w:r>
    </w:p>
    <w:p w14:paraId="5E08B3DD">
      <w:pPr>
        <w:spacing w:line="600" w:lineRule="exact"/>
        <w:ind w:firstLine="600" w:firstLineChars="200"/>
        <w:rPr>
          <w:rFonts w:ascii="仿宋_GB2312"/>
        </w:rPr>
      </w:pPr>
      <w:r>
        <w:rPr>
          <w:rFonts w:hint="eastAsia" w:ascii="仿宋_GB2312"/>
        </w:rPr>
        <w:t>（一）绩效评价目的、对象和范围。</w:t>
      </w:r>
    </w:p>
    <w:p w14:paraId="65FE3F92">
      <w:pPr>
        <w:spacing w:line="600" w:lineRule="exact"/>
        <w:ind w:firstLine="600" w:firstLineChars="200"/>
        <w:rPr>
          <w:rFonts w:ascii="仿宋_GB2312"/>
        </w:rPr>
      </w:pPr>
      <w:r>
        <w:rPr>
          <w:rFonts w:hint="eastAsia" w:ascii="仿宋_GB2312"/>
        </w:rPr>
        <w:t>本次绩效评价目的：采用科学、合理的绩效评价指标、评价标准和评价方法，对该项目进展情况、资金使用及执行情况和取得的成效进行评价，总结经验，发现问题，提出改进的意见和建议。</w:t>
      </w:r>
    </w:p>
    <w:p w14:paraId="40A6F995">
      <w:pPr>
        <w:spacing w:line="600" w:lineRule="exact"/>
        <w:ind w:firstLine="600" w:firstLineChars="200"/>
        <w:rPr>
          <w:rFonts w:ascii="仿宋_GB2312"/>
        </w:rPr>
      </w:pPr>
      <w:r>
        <w:rPr>
          <w:rFonts w:hint="eastAsia" w:ascii="仿宋_GB2312"/>
        </w:rPr>
        <w:t>本次绩效评价对象：巴州党委办公室组织实施的预算资金为210万元的州委办公室培训会议考察特需车辆运行等专项经费项目。</w:t>
      </w:r>
    </w:p>
    <w:p w14:paraId="7BC87CC4">
      <w:pPr>
        <w:spacing w:line="600" w:lineRule="exact"/>
        <w:ind w:firstLine="600" w:firstLineChars="200"/>
        <w:rPr>
          <w:rFonts w:ascii="仿宋_GB2312"/>
        </w:rPr>
      </w:pPr>
      <w:r>
        <w:rPr>
          <w:rFonts w:hint="eastAsia" w:ascii="仿宋_GB2312"/>
        </w:rPr>
        <w:t>本次绩效评价范围：中共巴音郭楞蒙古自治州委员会办公室对210万元培训会议考察特需车辆运行等专项经费项目申请资金、使用资金、采购流程规范、售后服务整个过程，</w:t>
      </w:r>
      <w:r>
        <w:rPr>
          <w:rFonts w:hint="eastAsia" w:ascii="方正仿宋_GB2312" w:hAnsi="方正仿宋_GB2312" w:eastAsia="方正仿宋_GB2312" w:cs="方正仿宋_GB2312"/>
          <w:color w:val="000000"/>
          <w:sz w:val="32"/>
          <w:szCs w:val="32"/>
          <w:shd w:val="clear" w:color="auto" w:fill="FFFFFF"/>
        </w:rPr>
        <w:t>是否达到预定产出和效果进行评价</w:t>
      </w:r>
      <w:r>
        <w:rPr>
          <w:rFonts w:hint="eastAsia" w:ascii="仿宋_GB2312"/>
        </w:rPr>
        <w:t>。</w:t>
      </w:r>
    </w:p>
    <w:p w14:paraId="01CD655D">
      <w:pPr>
        <w:spacing w:line="600" w:lineRule="exact"/>
        <w:ind w:firstLine="600" w:firstLineChars="200"/>
        <w:rPr>
          <w:rFonts w:ascii="仿宋_GB2312"/>
        </w:rPr>
      </w:pPr>
      <w:r>
        <w:rPr>
          <w:rFonts w:hint="eastAsia" w:ascii="仿宋_GB2312"/>
        </w:rPr>
        <w:t>（二）绩效评价原则、评价指标体系（附表说明）、评价方法、评价标准等。</w:t>
      </w:r>
    </w:p>
    <w:p w14:paraId="12924003">
      <w:pPr>
        <w:spacing w:line="600" w:lineRule="exact"/>
        <w:ind w:firstLine="600" w:firstLineChars="200"/>
        <w:rPr>
          <w:rFonts w:ascii="仿宋_GB2312"/>
        </w:rPr>
      </w:pPr>
      <w:r>
        <w:rPr>
          <w:rFonts w:hint="eastAsia" w:ascii="仿宋_GB2312"/>
        </w:rPr>
        <w:t>绩效评价原则：本着科学规范、公开公正、分级分类、绩效相关的原则，制定评价方案和评价指标体系，在形成评价结论后，按照绩效评价工作要求认真、严谨撰写绩效评价报告。</w:t>
      </w:r>
    </w:p>
    <w:p w14:paraId="705ED794">
      <w:pPr>
        <w:spacing w:line="600" w:lineRule="exact"/>
        <w:ind w:firstLine="600" w:firstLineChars="200"/>
        <w:rPr>
          <w:rFonts w:ascii="仿宋_GB2312"/>
        </w:rPr>
      </w:pPr>
      <w:r>
        <w:rPr>
          <w:rFonts w:hint="eastAsia" w:ascii="仿宋_GB2312"/>
        </w:rPr>
        <w:t>绩效评价指标体系：</w:t>
      </w:r>
      <w:r>
        <w:rPr>
          <w:rFonts w:hint="eastAsia" w:ascii="方正仿宋_GB2312" w:hAnsi="方正仿宋_GB2312" w:eastAsia="方正仿宋_GB2312" w:cs="方正仿宋_GB2312"/>
          <w:color w:val="000000"/>
          <w:sz w:val="32"/>
          <w:szCs w:val="32"/>
          <w:shd w:val="clear" w:color="auto" w:fill="FFFFFF"/>
        </w:rPr>
        <w:t>详见附表</w:t>
      </w:r>
    </w:p>
    <w:p w14:paraId="0C565D3D">
      <w:pPr>
        <w:spacing w:line="600" w:lineRule="exact"/>
        <w:ind w:firstLine="640" w:firstLineChars="200"/>
        <w:rPr>
          <w:rFonts w:ascii="仿宋_GB2312"/>
        </w:rPr>
      </w:pPr>
      <w:r>
        <w:rPr>
          <w:rFonts w:hint="eastAsia" w:ascii="仿宋_GB2312"/>
          <w:sz w:val="32"/>
          <w:szCs w:val="32"/>
        </w:rPr>
        <w:t>评价方法：主要采用指标分析法进行评价。指标分析法的应用旨在通过指标分析结果的提炼，反映对资金分配的合理性和规范性，资金使用审核和监管机制的健全性，政策和项目实施的有效性与效果的充分性。</w:t>
      </w:r>
    </w:p>
    <w:p w14:paraId="0014A7F2">
      <w:pPr>
        <w:spacing w:line="600" w:lineRule="exact"/>
        <w:ind w:firstLine="600" w:firstLineChars="200"/>
        <w:outlineLvl w:val="0"/>
        <w:rPr>
          <w:rFonts w:ascii="仿宋_GB2312"/>
        </w:rPr>
      </w:pPr>
      <w:r>
        <w:rPr>
          <w:rFonts w:hint="eastAsia" w:ascii="仿宋_GB2312"/>
        </w:rPr>
        <w:t>评价标准：</w:t>
      </w:r>
      <w:r>
        <w:rPr>
          <w:rFonts w:hint="eastAsia" w:ascii="方正仿宋_GB2312" w:hAnsi="方正仿宋_GB2312" w:eastAsia="方正仿宋_GB2312" w:cs="方正仿宋_GB2312"/>
          <w:color w:val="000000"/>
          <w:sz w:val="32"/>
          <w:szCs w:val="32"/>
          <w:shd w:val="clear" w:color="auto" w:fill="FFFFFF"/>
        </w:rPr>
        <w:t>采用计划标准，从数量指标、质量指标、时效指标和群众满意度等方面分别计分。</w:t>
      </w:r>
      <w:r>
        <w:rPr>
          <w:rFonts w:hint="eastAsia" w:ascii="仿宋_GB2312"/>
        </w:rPr>
        <w:t>采用权重总分100分，80分以上为合格，低于80分为不合格。</w:t>
      </w:r>
    </w:p>
    <w:p w14:paraId="50898B6E">
      <w:pPr>
        <w:spacing w:line="600" w:lineRule="exact"/>
        <w:ind w:firstLine="600" w:firstLineChars="200"/>
        <w:rPr>
          <w:rFonts w:ascii="仿宋_GB2312"/>
        </w:rPr>
      </w:pPr>
      <w:r>
        <w:rPr>
          <w:rFonts w:hint="eastAsia" w:ascii="仿宋_GB2312"/>
        </w:rPr>
        <w:t>（三）绩效评价工作过程。</w:t>
      </w:r>
    </w:p>
    <w:p w14:paraId="53E33621">
      <w:pPr>
        <w:spacing w:line="600" w:lineRule="exact"/>
        <w:ind w:firstLine="600" w:firstLineChars="200"/>
        <w:rPr>
          <w:rFonts w:ascii="仿宋_GB2312"/>
        </w:rPr>
      </w:pPr>
      <w:r>
        <w:rPr>
          <w:rFonts w:hint="eastAsia" w:ascii="仿宋_GB2312"/>
        </w:rPr>
        <w:t>由业务科室经办人员、财务人员按照绩效评价原则，依据评价指标体系共同草拟自评报告，分别报分管领导、主要领导审阅后报送。</w:t>
      </w:r>
    </w:p>
    <w:p w14:paraId="04F1C399">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5C172997">
      <w:pPr>
        <w:spacing w:line="600" w:lineRule="exact"/>
        <w:ind w:firstLine="600" w:firstLineChars="200"/>
        <w:rPr>
          <w:rFonts w:ascii="仿宋_GB2312"/>
        </w:rPr>
      </w:pPr>
      <w:r>
        <w:rPr>
          <w:rFonts w:hint="eastAsia" w:ascii="仿宋_GB2312"/>
        </w:rPr>
        <w:t>综合评价情况及评价结论：该项目综合评价为优秀，专项资金的使用程序规范，财务管理健全,单位干部职工通过培训提高了政治思想素质和专业水平，参会人员满意度有所提高，出差人员的差旅费及车辆运行的油料、维护费有所保障。（详见附件2、绩效评分表）</w:t>
      </w:r>
    </w:p>
    <w:p w14:paraId="43BA9DAE">
      <w:pPr>
        <w:spacing w:line="600" w:lineRule="exact"/>
        <w:ind w:firstLine="600" w:firstLineChars="200"/>
        <w:rPr>
          <w:rFonts w:ascii="黑体" w:hAnsi="黑体" w:eastAsia="黑体"/>
        </w:rPr>
      </w:pPr>
      <w:r>
        <w:rPr>
          <w:rFonts w:hint="eastAsia" w:ascii="黑体" w:hAnsi="黑体" w:eastAsia="黑体"/>
        </w:rPr>
        <w:t>四、绩效评价指标分析</w:t>
      </w:r>
    </w:p>
    <w:p w14:paraId="6713105B">
      <w:pPr>
        <w:spacing w:line="600" w:lineRule="exact"/>
        <w:ind w:firstLine="600" w:firstLineChars="200"/>
        <w:outlineLvl w:val="0"/>
        <w:rPr>
          <w:rFonts w:ascii="仿宋_GB2312"/>
        </w:rPr>
      </w:pPr>
      <w:r>
        <w:rPr>
          <w:rFonts w:hint="eastAsia" w:ascii="仿宋_GB2312"/>
        </w:rPr>
        <w:t>（一）项目决策情况。</w:t>
      </w:r>
    </w:p>
    <w:p w14:paraId="564B817B">
      <w:pPr>
        <w:spacing w:line="600" w:lineRule="exact"/>
        <w:ind w:firstLine="600" w:firstLineChars="200"/>
        <w:outlineLvl w:val="0"/>
        <w:rPr>
          <w:rFonts w:ascii="仿宋_GB2312"/>
        </w:rPr>
      </w:pPr>
      <w:r>
        <w:rPr>
          <w:rFonts w:hint="eastAsia" w:ascii="仿宋_GB2312"/>
        </w:rPr>
        <w:t>自评打分20分，分析如下：项目的立项与州党委办公室工作要求相匹配，与部门职责相适应，项目前期调研充分，立项程序规范，绩效目标设定合理，指标设定明确，预算编制合理、规范、执行率高。本项目得分较高说明项目决策方面目标明确，与自治区、自治州</w:t>
      </w:r>
      <w:r>
        <w:t>决策部署</w:t>
      </w:r>
      <w:r>
        <w:rPr>
          <w:rFonts w:hint="eastAsia"/>
        </w:rPr>
        <w:t>和工作要求高度一致，且大多数项目设置的绩效目标量化度高，明确体现了项目实施部门的中长期发展目标，有利于项目的可持续发展。</w:t>
      </w:r>
    </w:p>
    <w:p w14:paraId="37A2EFA8">
      <w:pPr>
        <w:spacing w:line="600" w:lineRule="exact"/>
        <w:ind w:firstLine="600" w:firstLineChars="200"/>
        <w:outlineLvl w:val="0"/>
        <w:rPr>
          <w:rFonts w:ascii="仿宋_GB2312"/>
        </w:rPr>
      </w:pPr>
      <w:r>
        <w:rPr>
          <w:rFonts w:hint="eastAsia" w:ascii="仿宋_GB2312"/>
        </w:rPr>
        <w:t>（二）项目过程情况。</w:t>
      </w:r>
    </w:p>
    <w:p w14:paraId="6EFE56A1">
      <w:pPr>
        <w:spacing w:line="600" w:lineRule="exact"/>
        <w:ind w:firstLine="600" w:firstLineChars="200"/>
        <w:outlineLvl w:val="0"/>
        <w:rPr>
          <w:rFonts w:ascii="仿宋_GB2312"/>
        </w:rPr>
      </w:pPr>
      <w:r>
        <w:rPr>
          <w:rFonts w:hint="eastAsia" w:ascii="仿宋_GB2312"/>
        </w:rPr>
        <w:t>自评打分20分，分析如下：项目资金严格按照预算批复的用途使用，财务管理制度健全，财务监控有效；项目管理制度健全，涉及采购项目严格执行政府采购规定，采购流程规范，符合规定。</w:t>
      </w:r>
    </w:p>
    <w:p w14:paraId="27DD5B3C">
      <w:pPr>
        <w:spacing w:line="600" w:lineRule="exact"/>
        <w:ind w:firstLine="600" w:firstLineChars="200"/>
        <w:outlineLvl w:val="0"/>
        <w:rPr>
          <w:rFonts w:ascii="仿宋_GB2312"/>
        </w:rPr>
      </w:pPr>
      <w:r>
        <w:rPr>
          <w:rFonts w:hint="eastAsia" w:ascii="仿宋_GB2312"/>
        </w:rPr>
        <w:t>（三）项目产出情况。</w:t>
      </w:r>
    </w:p>
    <w:p w14:paraId="634EEA03">
      <w:pPr>
        <w:spacing w:line="600" w:lineRule="exact"/>
        <w:ind w:firstLine="600" w:firstLineChars="200"/>
        <w:outlineLvl w:val="0"/>
        <w:rPr>
          <w:rFonts w:ascii="仿宋_GB2312"/>
        </w:rPr>
      </w:pPr>
      <w:r>
        <w:rPr>
          <w:rFonts w:hint="eastAsia" w:ascii="仿宋_GB2312"/>
        </w:rPr>
        <w:t>自评打分20分，分析如下：专项经费严格按照财务规范申请资金、使用资金，涉及采购的按流程规范采购。单位干部职工通过培训提高了政治思想素质和专业水平；全年组织协调召开次会议，参会人员满意度有所提高，会议场租费有保障；出差人员的差旅费及车辆运行的油料、维护费有保障。</w:t>
      </w:r>
    </w:p>
    <w:p w14:paraId="46420269">
      <w:pPr>
        <w:spacing w:line="600" w:lineRule="exact"/>
        <w:ind w:firstLine="600" w:firstLineChars="200"/>
        <w:outlineLvl w:val="0"/>
        <w:rPr>
          <w:rFonts w:ascii="仿宋_GB2312"/>
        </w:rPr>
      </w:pPr>
      <w:r>
        <w:rPr>
          <w:rFonts w:hint="eastAsia" w:ascii="仿宋_GB2312"/>
        </w:rPr>
        <w:t>（四）项目效益情况。</w:t>
      </w:r>
    </w:p>
    <w:p w14:paraId="23265FDE">
      <w:pPr>
        <w:spacing w:line="600" w:lineRule="exact"/>
        <w:ind w:firstLine="600" w:firstLineChars="200"/>
        <w:rPr>
          <w:rFonts w:ascii="仿宋_GB2312"/>
        </w:rPr>
      </w:pPr>
      <w:r>
        <w:rPr>
          <w:rFonts w:hint="eastAsia" w:ascii="仿宋_GB2312"/>
        </w:rPr>
        <w:t>自评打分40分，分析如下：该项目的实施为党委办公室开展各项工作提供了资金保障。保障了会议接待工作的有序开展，参会人员的满意度有所提高；通过定期对车辆的维修维护，保障了外出考察调研人员的</w:t>
      </w:r>
      <w:r>
        <w:rPr>
          <w:rFonts w:hint="eastAsia" w:ascii="仿宋_GB2312"/>
          <w:lang w:eastAsia="zh-CN"/>
        </w:rPr>
        <w:t>人身安全</w:t>
      </w:r>
      <w:bookmarkStart w:id="0" w:name="_GoBack"/>
      <w:bookmarkEnd w:id="0"/>
      <w:r>
        <w:rPr>
          <w:rFonts w:hint="eastAsia" w:ascii="仿宋_GB2312"/>
        </w:rPr>
        <w:t>；通过参加各类培训，提升了干部职工的政治思想和业务水平；在各项考察、接待、服务保障工作中，业务能力有显著提升。</w:t>
      </w:r>
    </w:p>
    <w:p w14:paraId="7CA707BE">
      <w:pPr>
        <w:spacing w:line="600" w:lineRule="exact"/>
        <w:ind w:firstLine="600" w:firstLineChars="200"/>
        <w:rPr>
          <w:color w:val="000000"/>
        </w:rPr>
      </w:pPr>
      <w:r>
        <w:rPr>
          <w:rFonts w:hint="eastAsia" w:ascii="黑体" w:hAnsi="黑体" w:eastAsia="黑体"/>
        </w:rPr>
        <w:t xml:space="preserve">五、主要经验及做法、存在的问题及原因分析 </w:t>
      </w:r>
    </w:p>
    <w:p w14:paraId="2097DD75">
      <w:pPr>
        <w:spacing w:line="600" w:lineRule="exact"/>
        <w:ind w:firstLine="600" w:firstLineChars="200"/>
        <w:rPr>
          <w:rFonts w:ascii="仿宋_GB2312"/>
        </w:rPr>
      </w:pPr>
      <w:r>
        <w:rPr>
          <w:rFonts w:hint="eastAsia" w:ascii="仿宋_GB2312"/>
        </w:rPr>
        <w:t>主要经验及做法：项目前期充分调研，严格按照预算批复的用途使用资金，健全财务管理制度，严格财务监控，健全项目管理制度，涉及采购项目严格执行政府采购规定，规范采购流程。</w:t>
      </w:r>
    </w:p>
    <w:p w14:paraId="16879B51">
      <w:pPr>
        <w:spacing w:line="600" w:lineRule="exact"/>
        <w:ind w:firstLine="600" w:firstLineChars="200"/>
        <w:rPr>
          <w:rFonts w:ascii="仿宋_GB2312"/>
        </w:rPr>
      </w:pPr>
      <w:r>
        <w:rPr>
          <w:rFonts w:hint="eastAsia" w:ascii="仿宋_GB2312"/>
        </w:rPr>
        <w:t>存在的问题及原因：无。</w:t>
      </w:r>
    </w:p>
    <w:p w14:paraId="3C652C33">
      <w:pPr>
        <w:spacing w:line="600" w:lineRule="exact"/>
        <w:ind w:firstLine="600" w:firstLineChars="200"/>
        <w:rPr>
          <w:rFonts w:ascii="黑体" w:hAnsi="黑体" w:eastAsia="黑体"/>
        </w:rPr>
      </w:pPr>
      <w:r>
        <w:rPr>
          <w:rFonts w:hint="eastAsia" w:ascii="黑体" w:hAnsi="黑体" w:eastAsia="黑体"/>
        </w:rPr>
        <w:t xml:space="preserve">六、有关建议   </w:t>
      </w:r>
    </w:p>
    <w:p w14:paraId="6324BEF3">
      <w:pPr>
        <w:spacing w:line="600" w:lineRule="exact"/>
        <w:ind w:firstLine="600" w:firstLineChars="200"/>
        <w:rPr>
          <w:rFonts w:ascii="黑体" w:hAnsi="黑体" w:eastAsia="黑体"/>
        </w:rPr>
      </w:pPr>
      <w:r>
        <w:rPr>
          <w:rFonts w:hint="eastAsia"/>
          <w:color w:val="000000"/>
        </w:rPr>
        <w:t>无</w:t>
      </w:r>
    </w:p>
    <w:p w14:paraId="60941430">
      <w:pPr>
        <w:spacing w:line="600" w:lineRule="exact"/>
        <w:ind w:firstLine="600" w:firstLineChars="200"/>
        <w:rPr>
          <w:rFonts w:ascii="黑体" w:hAnsi="黑体" w:eastAsia="黑体"/>
        </w:rPr>
      </w:pPr>
      <w:r>
        <w:rPr>
          <w:rFonts w:hint="eastAsia" w:ascii="黑体" w:hAnsi="黑体" w:eastAsia="黑体"/>
        </w:rPr>
        <w:t xml:space="preserve">七、其他需要说明的问题 </w:t>
      </w:r>
    </w:p>
    <w:p w14:paraId="3120A049">
      <w:pPr>
        <w:spacing w:line="600" w:lineRule="exact"/>
        <w:ind w:firstLine="600" w:firstLineChars="200"/>
        <w:rPr>
          <w:color w:val="000000"/>
        </w:rPr>
      </w:pPr>
      <w:r>
        <w:rPr>
          <w:rFonts w:hint="eastAsia"/>
          <w:color w:val="000000"/>
        </w:rPr>
        <w:t>无</w:t>
      </w:r>
    </w:p>
    <w:p w14:paraId="49579F03">
      <w:pPr>
        <w:spacing w:line="600" w:lineRule="exact"/>
        <w:ind w:firstLine="600" w:firstLineChars="200"/>
        <w:rPr>
          <w:color w:val="000000"/>
        </w:rPr>
      </w:pPr>
    </w:p>
    <w:p w14:paraId="07CCFCF1">
      <w:pPr>
        <w:spacing w:line="600" w:lineRule="exact"/>
        <w:ind w:firstLine="600" w:firstLineChars="200"/>
        <w:rPr>
          <w:color w:val="000000"/>
        </w:rPr>
      </w:pPr>
    </w:p>
    <w:p w14:paraId="473F9CE8">
      <w:pPr>
        <w:spacing w:line="600" w:lineRule="exact"/>
        <w:ind w:firstLine="600" w:firstLineChars="200"/>
        <w:rPr>
          <w:rFonts w:ascii="仿宋_GB2312"/>
        </w:rPr>
      </w:pPr>
    </w:p>
    <w:p w14:paraId="1902139C">
      <w:pPr>
        <w:spacing w:line="600" w:lineRule="exact"/>
        <w:ind w:firstLine="600" w:firstLineChars="200"/>
        <w:rPr>
          <w:rFonts w:ascii="仿宋_GB2312"/>
        </w:rPr>
      </w:pPr>
    </w:p>
    <w:p w14:paraId="5113B2E4">
      <w:pPr>
        <w:spacing w:line="600" w:lineRule="exact"/>
        <w:ind w:firstLine="600" w:firstLineChars="200"/>
        <w:rPr>
          <w:rFonts w:ascii="仿宋_GB2312"/>
        </w:rPr>
        <w:sectPr>
          <w:pgSz w:w="11906" w:h="16838"/>
          <w:pgMar w:top="1928" w:right="1531" w:bottom="1701" w:left="1531" w:header="737" w:footer="851" w:gutter="0"/>
          <w:cols w:space="720" w:num="1"/>
          <w:docGrid w:type="lines" w:linePitch="408" w:charSpace="0"/>
        </w:sectPr>
      </w:pPr>
    </w:p>
    <w:p w14:paraId="30089D69">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项目支出绩效评价指标体系框架（参考）</w:t>
      </w:r>
    </w:p>
    <w:p w14:paraId="11A1D647">
      <w:pPr>
        <w:pStyle w:val="2"/>
        <w:spacing w:before="0" w:after="0" w:line="240" w:lineRule="auto"/>
        <w:jc w:val="center"/>
        <w:rPr>
          <w:bCs/>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1D81C8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04B50D43">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01F2280B">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30BC878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2E20D322">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19801E5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03672DA2">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915A013">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5583B507">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224A0D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0C7C754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50879D9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077E9E4">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103CFDD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6171A4A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3A4013C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721F535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370C381E">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5644007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50C2B7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7AA1F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508F7BC7">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120F740">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A43ACD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5F3D124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4AF82F6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7C6E28CB">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339426B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D6BEF4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56D221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3C754EBE">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2096A8D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064005F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27CE979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0F629C0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0CEF0116">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5B4D423B">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636A2EC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56C7C7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493EC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097459C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0242FAF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320DEF1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B5A927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1DBCBFE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43FE667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67AE8BB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9A0330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A0A09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4B93C62C">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1C01373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24E73035">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14AB59E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35BF4B4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0D07B5B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17F2A3A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5F129BC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635155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61EDF1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0B3A608B">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3762B11">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435537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7D8A07C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7B545A3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6CA4777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5B956B8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AEC4BF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06D216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5F797113">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461732A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2D30BEF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4F620D6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5D3657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04B1339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4693435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6E15C3C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16942D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459535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2E1845F8">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68D96ECF">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7A8CAF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4C927D6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709A2CD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4E145CC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846B07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578501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57CA2EF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0FC77A9">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5B3F092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3138C8C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392C7C1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3B5D964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5439CB1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3CF286A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D7051F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2FED66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5EB1BC77">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5B1FE6A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4282245C">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31104ED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140D760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3EF9134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6FB9718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6E3A5D1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17EB75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2F3461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2CA6E93A">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7D978F8">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625DB21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55B2D98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1F413EF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5AD293E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4B82652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BA54E9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358FD2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1B7F5AB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15842D5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4706247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14D386B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58E6E4E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5E466D9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D30791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8</w:t>
            </w:r>
          </w:p>
        </w:tc>
      </w:tr>
      <w:tr w14:paraId="7DA01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17935A1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539CE19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39579A5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761F4E5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4054A50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31DC9FE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574FAF3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03AE06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5B00C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30386A0A">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177637CC">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297EEE2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5AAE6F2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23F30BD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251F357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0C6D84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540A04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14:paraId="66BD8979">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2B7CF9A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56DB309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4BEB2B5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152C4D3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338B887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3E6710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06CA21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558FF1B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7A2454B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7E2E47F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7179F1C6">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6D8F398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5204500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8CDA89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12</w:t>
            </w:r>
          </w:p>
        </w:tc>
      </w:tr>
      <w:tr w14:paraId="2F8B41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2" w:hRule="atLeast"/>
          <w:jc w:val="center"/>
        </w:trPr>
        <w:tc>
          <w:tcPr>
            <w:tcW w:w="763" w:type="dxa"/>
            <w:vMerge w:val="continue"/>
            <w:tcBorders>
              <w:tl2br w:val="nil"/>
              <w:tr2bl w:val="nil"/>
            </w:tcBorders>
            <w:shd w:val="clear" w:color="auto" w:fill="FFFFFF"/>
            <w:vAlign w:val="center"/>
          </w:tcPr>
          <w:p w14:paraId="28E99FD0">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CC3E741">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7EBCCB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6BEAA86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5708BA4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14:paraId="0D83162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A6E764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14:paraId="7459D7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2" w:hRule="atLeast"/>
          <w:jc w:val="center"/>
        </w:trPr>
        <w:tc>
          <w:tcPr>
            <w:tcW w:w="13601" w:type="dxa"/>
            <w:gridSpan w:val="5"/>
            <w:tcBorders>
              <w:tl2br w:val="nil"/>
              <w:tr2bl w:val="nil"/>
            </w:tcBorders>
            <w:shd w:val="clear" w:color="auto" w:fill="FFFFFF"/>
            <w:vAlign w:val="center"/>
          </w:tcPr>
          <w:p w14:paraId="4C932A1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合计</w:t>
            </w:r>
          </w:p>
        </w:tc>
        <w:tc>
          <w:tcPr>
            <w:tcW w:w="852" w:type="dxa"/>
            <w:gridSpan w:val="3"/>
            <w:tcBorders>
              <w:top w:val="single" w:color="auto" w:sz="4" w:space="0"/>
              <w:bottom w:val="single" w:color="auto" w:sz="4" w:space="0"/>
              <w:right w:val="single" w:color="auto" w:sz="4" w:space="0"/>
            </w:tcBorders>
            <w:shd w:val="clear" w:color="auto" w:fill="auto"/>
          </w:tcPr>
          <w:p w14:paraId="2AF3153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3F40E5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93</w:t>
            </w:r>
          </w:p>
        </w:tc>
      </w:tr>
    </w:tbl>
    <w:p w14:paraId="6DF3D782">
      <w:pPr>
        <w:spacing w:line="600" w:lineRule="exact"/>
        <w:ind w:left="300" w:leftChars="100" w:firstLine="300" w:firstLineChars="100"/>
        <w:rPr>
          <w:rFonts w:ascii="仿宋_GB2312"/>
        </w:rPr>
      </w:pPr>
      <w:r>
        <w:rPr>
          <w:rFonts w:hint="eastAsia" w:ascii="仿宋_GB2312"/>
        </w:rPr>
        <w:t xml:space="preserve">                                                                 </w:t>
      </w: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C1695E7-B60C-45F7-8899-7070D4FC3B34}"/>
  </w:font>
  <w:font w:name="黑体">
    <w:panose1 w:val="02010609060101010101"/>
    <w:charset w:val="86"/>
    <w:family w:val="auto"/>
    <w:pitch w:val="default"/>
    <w:sig w:usb0="800002BF" w:usb1="38CF7CFA" w:usb2="00000016" w:usb3="00000000" w:csb0="00040001" w:csb1="00000000"/>
    <w:embedRegular r:id="rId2" w:fontKey="{49AE8E73-AE1C-4297-8D28-71F9C303E54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F3F952C0-E310-4A6B-8D36-6018B7F74EB5}"/>
  </w:font>
  <w:font w:name="仿宋_GB2312">
    <w:panose1 w:val="02010609030101010101"/>
    <w:charset w:val="86"/>
    <w:family w:val="modern"/>
    <w:pitch w:val="default"/>
    <w:sig w:usb0="00000001" w:usb1="080E0000" w:usb2="00000000" w:usb3="00000000" w:csb0="00040000" w:csb1="00000000"/>
    <w:embedRegular r:id="rId4" w:fontKey="{4063092E-DE88-40CF-90E7-2ABB93B23375}"/>
  </w:font>
  <w:font w:name="方正小标宋_GBK">
    <w:panose1 w:val="02000000000000000000"/>
    <w:charset w:val="86"/>
    <w:family w:val="script"/>
    <w:pitch w:val="default"/>
    <w:sig w:usb0="A00002BF" w:usb1="38CF7CFA" w:usb2="00082016" w:usb3="00000000" w:csb0="00040001" w:csb1="00000000"/>
    <w:embedRegular r:id="rId5" w:fontKey="{7F2B17BB-131D-4470-BAC9-EA0EE9EDDDE5}"/>
  </w:font>
  <w:font w:name="华文中宋">
    <w:panose1 w:val="02010600040101010101"/>
    <w:charset w:val="86"/>
    <w:family w:val="auto"/>
    <w:pitch w:val="default"/>
    <w:sig w:usb0="00000287" w:usb1="080F0000" w:usb2="00000000" w:usb3="00000000" w:csb0="0004009F" w:csb1="DFD70000"/>
    <w:embedRegular r:id="rId6" w:fontKey="{8A8431A2-8DF9-4A3A-A919-EADF322C8D15}"/>
  </w:font>
  <w:font w:name="方正仿宋_GB2312">
    <w:panose1 w:val="02000000000000000000"/>
    <w:charset w:val="86"/>
    <w:family w:val="auto"/>
    <w:pitch w:val="default"/>
    <w:sig w:usb0="A00002BF" w:usb1="184F6CFA" w:usb2="00000012" w:usb3="00000000" w:csb0="00040001" w:csb1="00000000"/>
    <w:embedRegular r:id="rId7" w:fontKey="{481BBAA5-8E1A-4113-92AC-50B2F544ABD3}"/>
  </w:font>
  <w:font w:name="方正仿宋_GBK">
    <w:panose1 w:val="02000000000000000000"/>
    <w:charset w:val="86"/>
    <w:family w:val="script"/>
    <w:pitch w:val="default"/>
    <w:sig w:usb0="A00002BF" w:usb1="38CF7CFA" w:usb2="00082016" w:usb3="00000000" w:csb0="00040001" w:csb1="00000000"/>
    <w:embedRegular r:id="rId8" w:fontKey="{C07413B6-085A-4E1A-9459-3AF98D328F4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2455B"/>
    <w:rsid w:val="00027A40"/>
    <w:rsid w:val="00040515"/>
    <w:rsid w:val="00065A10"/>
    <w:rsid w:val="00066640"/>
    <w:rsid w:val="00092BB5"/>
    <w:rsid w:val="000A0EA8"/>
    <w:rsid w:val="000A6A4B"/>
    <w:rsid w:val="000B4E42"/>
    <w:rsid w:val="000D5A72"/>
    <w:rsid w:val="000F1395"/>
    <w:rsid w:val="000F13F3"/>
    <w:rsid w:val="000F563B"/>
    <w:rsid w:val="00132F9B"/>
    <w:rsid w:val="001355B6"/>
    <w:rsid w:val="001451DF"/>
    <w:rsid w:val="00154DE6"/>
    <w:rsid w:val="001613C7"/>
    <w:rsid w:val="00163D28"/>
    <w:rsid w:val="001665FA"/>
    <w:rsid w:val="001849D5"/>
    <w:rsid w:val="001C6BED"/>
    <w:rsid w:val="001E6A71"/>
    <w:rsid w:val="0021399C"/>
    <w:rsid w:val="00220CE5"/>
    <w:rsid w:val="00221A1D"/>
    <w:rsid w:val="002639A9"/>
    <w:rsid w:val="002963AB"/>
    <w:rsid w:val="002D4A5B"/>
    <w:rsid w:val="00307593"/>
    <w:rsid w:val="003154DE"/>
    <w:rsid w:val="0033046A"/>
    <w:rsid w:val="00373928"/>
    <w:rsid w:val="003B4EB5"/>
    <w:rsid w:val="003E2B2F"/>
    <w:rsid w:val="003F2B9C"/>
    <w:rsid w:val="004118B5"/>
    <w:rsid w:val="004165C6"/>
    <w:rsid w:val="00421DFF"/>
    <w:rsid w:val="00427E5E"/>
    <w:rsid w:val="0043448B"/>
    <w:rsid w:val="004633A0"/>
    <w:rsid w:val="00472300"/>
    <w:rsid w:val="00485773"/>
    <w:rsid w:val="004B2E53"/>
    <w:rsid w:val="004B774B"/>
    <w:rsid w:val="004D3712"/>
    <w:rsid w:val="00517838"/>
    <w:rsid w:val="00535AC9"/>
    <w:rsid w:val="005756BF"/>
    <w:rsid w:val="005770B8"/>
    <w:rsid w:val="005A6064"/>
    <w:rsid w:val="005B300E"/>
    <w:rsid w:val="005C57F3"/>
    <w:rsid w:val="005D683E"/>
    <w:rsid w:val="005D7E29"/>
    <w:rsid w:val="005E1078"/>
    <w:rsid w:val="005F373A"/>
    <w:rsid w:val="00604CA2"/>
    <w:rsid w:val="00667300"/>
    <w:rsid w:val="006C1A88"/>
    <w:rsid w:val="006E6293"/>
    <w:rsid w:val="0071716F"/>
    <w:rsid w:val="007363DC"/>
    <w:rsid w:val="007A7509"/>
    <w:rsid w:val="007C304D"/>
    <w:rsid w:val="007C6037"/>
    <w:rsid w:val="007D5041"/>
    <w:rsid w:val="007E0B6F"/>
    <w:rsid w:val="007F6C7F"/>
    <w:rsid w:val="00822F8B"/>
    <w:rsid w:val="00825398"/>
    <w:rsid w:val="00880189"/>
    <w:rsid w:val="008860CB"/>
    <w:rsid w:val="008946F7"/>
    <w:rsid w:val="008A327D"/>
    <w:rsid w:val="008A3B1A"/>
    <w:rsid w:val="008B715C"/>
    <w:rsid w:val="008C2546"/>
    <w:rsid w:val="008C7F11"/>
    <w:rsid w:val="008E3E46"/>
    <w:rsid w:val="008E574B"/>
    <w:rsid w:val="00902509"/>
    <w:rsid w:val="00910878"/>
    <w:rsid w:val="00930D7B"/>
    <w:rsid w:val="00942EF8"/>
    <w:rsid w:val="00947610"/>
    <w:rsid w:val="00960AF7"/>
    <w:rsid w:val="0099795D"/>
    <w:rsid w:val="009B3FA5"/>
    <w:rsid w:val="009C6CA3"/>
    <w:rsid w:val="009D1F87"/>
    <w:rsid w:val="009D7117"/>
    <w:rsid w:val="00A37378"/>
    <w:rsid w:val="00A37C7B"/>
    <w:rsid w:val="00A979B3"/>
    <w:rsid w:val="00AA0237"/>
    <w:rsid w:val="00AC4AB7"/>
    <w:rsid w:val="00AD3636"/>
    <w:rsid w:val="00AD40F4"/>
    <w:rsid w:val="00AE31AE"/>
    <w:rsid w:val="00B06C5B"/>
    <w:rsid w:val="00B26B56"/>
    <w:rsid w:val="00B7259D"/>
    <w:rsid w:val="00B72C8E"/>
    <w:rsid w:val="00B83B41"/>
    <w:rsid w:val="00B841BC"/>
    <w:rsid w:val="00B91AF8"/>
    <w:rsid w:val="00BA6732"/>
    <w:rsid w:val="00BB7486"/>
    <w:rsid w:val="00BC2EF1"/>
    <w:rsid w:val="00BC570C"/>
    <w:rsid w:val="00BD741E"/>
    <w:rsid w:val="00C101B8"/>
    <w:rsid w:val="00C2105A"/>
    <w:rsid w:val="00C23411"/>
    <w:rsid w:val="00C5135F"/>
    <w:rsid w:val="00C55E02"/>
    <w:rsid w:val="00C74009"/>
    <w:rsid w:val="00C93B99"/>
    <w:rsid w:val="00CA2092"/>
    <w:rsid w:val="00CE1A6C"/>
    <w:rsid w:val="00D02EAA"/>
    <w:rsid w:val="00D34FA5"/>
    <w:rsid w:val="00D70310"/>
    <w:rsid w:val="00DB1462"/>
    <w:rsid w:val="00DB1714"/>
    <w:rsid w:val="00DD0B66"/>
    <w:rsid w:val="00E14FA5"/>
    <w:rsid w:val="00E3118B"/>
    <w:rsid w:val="00E846C6"/>
    <w:rsid w:val="00E91748"/>
    <w:rsid w:val="00ED00C9"/>
    <w:rsid w:val="00ED25E4"/>
    <w:rsid w:val="00EF00D5"/>
    <w:rsid w:val="00F2411A"/>
    <w:rsid w:val="00F3182D"/>
    <w:rsid w:val="00F334C0"/>
    <w:rsid w:val="00F378E3"/>
    <w:rsid w:val="00F7609B"/>
    <w:rsid w:val="00F87F35"/>
    <w:rsid w:val="00FA4C3E"/>
    <w:rsid w:val="00FB48C8"/>
    <w:rsid w:val="00FC0CF3"/>
    <w:rsid w:val="00FD3183"/>
    <w:rsid w:val="00FE0B80"/>
    <w:rsid w:val="00FE0D86"/>
    <w:rsid w:val="00FF4765"/>
    <w:rsid w:val="029E6FB1"/>
    <w:rsid w:val="20530CAC"/>
    <w:rsid w:val="76230313"/>
    <w:rsid w:val="78D34A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bCs/>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Pages>
  <Words>4613</Words>
  <Characters>4685</Characters>
  <Lines>35</Lines>
  <Paragraphs>10</Paragraphs>
  <TotalTime>49</TotalTime>
  <ScaleCrop>false</ScaleCrop>
  <LinksUpToDate>false</LinksUpToDate>
  <CharactersWithSpaces>4771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Qxb</cp:lastModifiedBy>
  <dcterms:modified xsi:type="dcterms:W3CDTF">2025-02-07T04:50:02Z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4E172099796B4F2C816EF9CD534FFFD6_12</vt:lpwstr>
  </property>
</Properties>
</file>