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9DE73">
      <w:pPr>
        <w:spacing w:line="600" w:lineRule="exact"/>
        <w:rPr>
          <w:rFonts w:ascii="仿宋_GB2312" w:hAnsi="仿宋_GB2312" w:cs="仿宋_GB2312"/>
        </w:rPr>
      </w:pPr>
      <w:r>
        <w:rPr>
          <w:rFonts w:hint="eastAsia" w:ascii="仿宋_GB2312" w:hAnsi="仿宋_GB2312" w:cs="仿宋_GB2312"/>
        </w:rPr>
        <w:t>附件·2</w:t>
      </w:r>
    </w:p>
    <w:p w14:paraId="1EFDF41C">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项目支出绩效部门评价报告</w:t>
      </w:r>
    </w:p>
    <w:p w14:paraId="24B3AC9B">
      <w:pPr>
        <w:spacing w:line="540" w:lineRule="exact"/>
        <w:ind w:firstLine="1044" w:firstLineChars="200"/>
        <w:jc w:val="center"/>
        <w:rPr>
          <w:rFonts w:ascii="仿宋_GB2312" w:hAnsi="仿宋_GB2312" w:cs="仿宋_GB2312"/>
          <w:b/>
          <w:kern w:val="0"/>
          <w:sz w:val="52"/>
          <w:szCs w:val="52"/>
        </w:rPr>
      </w:pPr>
    </w:p>
    <w:p w14:paraId="58CA3790">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14:paraId="60A05F94">
      <w:pPr>
        <w:ind w:firstLine="600" w:firstLineChars="200"/>
        <w:jc w:val="center"/>
        <w:rPr>
          <w:rFonts w:ascii="仿宋_GB2312" w:hAnsi="仿宋_GB2312" w:cs="仿宋_GB2312"/>
          <w:kern w:val="0"/>
          <w:szCs w:val="30"/>
        </w:rPr>
      </w:pPr>
    </w:p>
    <w:p w14:paraId="1FD084F4">
      <w:pPr>
        <w:ind w:firstLine="600" w:firstLineChars="200"/>
        <w:jc w:val="center"/>
        <w:rPr>
          <w:rFonts w:ascii="仿宋_GB2312" w:hAnsi="仿宋_GB2312" w:cs="仿宋_GB2312"/>
          <w:kern w:val="0"/>
          <w:szCs w:val="30"/>
        </w:rPr>
      </w:pPr>
    </w:p>
    <w:p w14:paraId="44427D17">
      <w:pPr>
        <w:ind w:firstLine="600" w:firstLineChars="200"/>
        <w:jc w:val="center"/>
        <w:rPr>
          <w:rFonts w:ascii="仿宋_GB2312" w:hAnsi="仿宋_GB2312" w:cs="仿宋_GB2312"/>
          <w:kern w:val="0"/>
          <w:szCs w:val="30"/>
        </w:rPr>
      </w:pPr>
    </w:p>
    <w:p w14:paraId="02B7A5F9">
      <w:pPr>
        <w:ind w:firstLine="600" w:firstLineChars="200"/>
        <w:jc w:val="center"/>
        <w:rPr>
          <w:rFonts w:ascii="仿宋_GB2312" w:hAnsi="仿宋_GB2312" w:cs="仿宋_GB2312"/>
          <w:kern w:val="0"/>
          <w:szCs w:val="30"/>
        </w:rPr>
      </w:pPr>
    </w:p>
    <w:p w14:paraId="73CF5F21">
      <w:pPr>
        <w:ind w:firstLine="600" w:firstLineChars="200"/>
        <w:jc w:val="center"/>
        <w:rPr>
          <w:rFonts w:ascii="仿宋_GB2312" w:hAnsi="仿宋_GB2312" w:cs="仿宋_GB2312"/>
          <w:kern w:val="0"/>
          <w:szCs w:val="30"/>
        </w:rPr>
      </w:pPr>
    </w:p>
    <w:p w14:paraId="40F6F15C">
      <w:pPr>
        <w:ind w:firstLine="600" w:firstLineChars="200"/>
        <w:jc w:val="center"/>
        <w:rPr>
          <w:rFonts w:ascii="仿宋_GB2312" w:hAnsi="仿宋_GB2312" w:cs="仿宋_GB2312"/>
          <w:kern w:val="0"/>
          <w:szCs w:val="30"/>
        </w:rPr>
      </w:pPr>
    </w:p>
    <w:p w14:paraId="74166185">
      <w:pPr>
        <w:ind w:firstLine="600" w:firstLineChars="200"/>
        <w:rPr>
          <w:rFonts w:ascii="仿宋_GB2312" w:hAnsi="仿宋_GB2312" w:cs="仿宋_GB2312"/>
          <w:kern w:val="0"/>
          <w:szCs w:val="30"/>
        </w:rPr>
      </w:pPr>
    </w:p>
    <w:p w14:paraId="0C58FF7B">
      <w:pPr>
        <w:ind w:left="2520" w:leftChars="240" w:right="750" w:rightChars="250" w:hanging="1800" w:hangingChars="500"/>
        <w:outlineLvl w:val="0"/>
        <w:rPr>
          <w:rFonts w:ascii="仿宋_GB2312" w:hAnsi="仿宋_GB2312" w:cs="仿宋_GB2312"/>
          <w:kern w:val="0"/>
          <w:sz w:val="36"/>
          <w:szCs w:val="36"/>
        </w:rPr>
      </w:pPr>
      <w:r>
        <w:rPr>
          <w:rFonts w:hint="eastAsia" w:ascii="仿宋_GB2312" w:hAnsi="仿宋_GB2312" w:cs="仿宋_GB2312"/>
          <w:kern w:val="0"/>
          <w:sz w:val="36"/>
          <w:szCs w:val="36"/>
        </w:rPr>
        <w:t>项目名称：医技楼基本建设</w:t>
      </w:r>
    </w:p>
    <w:p w14:paraId="55374BF6">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实施单位（公章）：巴州人民医院</w:t>
      </w:r>
    </w:p>
    <w:p w14:paraId="1FB2BCEC">
      <w:pPr>
        <w:ind w:firstLine="720" w:firstLineChars="200"/>
        <w:jc w:val="left"/>
        <w:outlineLvl w:val="0"/>
        <w:rPr>
          <w:rFonts w:hint="eastAsia" w:ascii="仿宋_GB2312" w:hAnsi="仿宋_GB2312" w:eastAsia="仿宋_GB2312" w:cs="仿宋_GB2312"/>
          <w:kern w:val="0"/>
          <w:sz w:val="36"/>
          <w:szCs w:val="36"/>
          <w:lang w:eastAsia="zh-CN"/>
        </w:rPr>
      </w:pPr>
      <w:r>
        <w:rPr>
          <w:rFonts w:hint="eastAsia" w:ascii="仿宋_GB2312" w:hAnsi="仿宋_GB2312" w:cs="仿宋_GB2312"/>
          <w:kern w:val="0"/>
          <w:sz w:val="36"/>
          <w:szCs w:val="36"/>
        </w:rPr>
        <w:t>主管部门（公章）：巴州</w:t>
      </w:r>
      <w:r>
        <w:rPr>
          <w:rFonts w:hint="eastAsia" w:ascii="仿宋_GB2312" w:hAnsi="仿宋_GB2312" w:cs="仿宋_GB2312"/>
          <w:kern w:val="0"/>
          <w:sz w:val="36"/>
          <w:szCs w:val="36"/>
          <w:lang w:eastAsia="zh-CN"/>
        </w:rPr>
        <w:t>卫健委</w:t>
      </w:r>
    </w:p>
    <w:p w14:paraId="215508AA">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项目负责人（签章）：王成伟</w:t>
      </w:r>
    </w:p>
    <w:p w14:paraId="631AD9B6">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填报时间：2020年6月</w:t>
      </w:r>
    </w:p>
    <w:p w14:paraId="3DFF786B">
      <w:pPr>
        <w:widowControl/>
        <w:jc w:val="left"/>
        <w:rPr>
          <w:rFonts w:ascii="仿宋_GB2312" w:hAnsi="仿宋_GB2312" w:cs="仿宋_GB2312"/>
          <w:szCs w:val="30"/>
        </w:rPr>
      </w:pPr>
      <w:r>
        <w:rPr>
          <w:rFonts w:hint="eastAsia" w:ascii="仿宋_GB2312" w:hAnsi="仿宋_GB2312" w:cs="仿宋_GB2312"/>
          <w:szCs w:val="30"/>
        </w:rPr>
        <w:br w:type="page"/>
      </w:r>
    </w:p>
    <w:p w14:paraId="36E1E613">
      <w:pPr>
        <w:spacing w:line="600" w:lineRule="exact"/>
        <w:jc w:val="center"/>
        <w:rPr>
          <w:rFonts w:ascii="仿宋_GB2312" w:hAnsi="仿宋_GB2312" w:cs="仿宋_GB2312"/>
          <w:szCs w:val="30"/>
        </w:rPr>
      </w:pPr>
    </w:p>
    <w:p w14:paraId="66AAADDC">
      <w:pPr>
        <w:spacing w:line="600" w:lineRule="exact"/>
        <w:ind w:firstLine="600" w:firstLineChars="200"/>
        <w:rPr>
          <w:rFonts w:ascii="仿宋_GB2312" w:hAnsi="仿宋_GB2312" w:cs="仿宋_GB2312"/>
        </w:rPr>
      </w:pPr>
      <w:r>
        <w:rPr>
          <w:rFonts w:hint="eastAsia" w:ascii="仿宋_GB2312" w:hAnsi="仿宋_GB2312" w:cs="仿宋_GB2312"/>
        </w:rPr>
        <w:t>一、基本情况</w:t>
      </w:r>
    </w:p>
    <w:p w14:paraId="1E5447BC">
      <w:pPr>
        <w:spacing w:line="600" w:lineRule="exact"/>
        <w:ind w:firstLine="600" w:firstLineChars="200"/>
        <w:outlineLvl w:val="0"/>
        <w:rPr>
          <w:rFonts w:ascii="仿宋_GB2312" w:hAnsi="仿宋_GB2312" w:cs="仿宋_GB2312"/>
          <w:szCs w:val="30"/>
        </w:rPr>
      </w:pPr>
      <w:r>
        <w:rPr>
          <w:rFonts w:hint="eastAsia" w:ascii="仿宋_GB2312" w:hAnsi="仿宋_GB2312" w:cs="仿宋_GB2312"/>
          <w:szCs w:val="30"/>
        </w:rPr>
        <w:t>（一）项目概况</w:t>
      </w:r>
    </w:p>
    <w:p w14:paraId="723FB522">
      <w:pPr>
        <w:spacing w:line="600" w:lineRule="exact"/>
        <w:ind w:firstLine="600" w:firstLineChars="200"/>
        <w:rPr>
          <w:rFonts w:ascii="仿宋_GB2312" w:hAnsi="仿宋_GB2312" w:cs="仿宋_GB2312"/>
          <w:szCs w:val="30"/>
        </w:rPr>
      </w:pPr>
      <w:r>
        <w:rPr>
          <w:rFonts w:ascii="仿宋_GB2312" w:hAnsi="仿宋_GB2312" w:cs="仿宋_GB2312"/>
          <w:szCs w:val="30"/>
        </w:rPr>
        <w:t>1</w:t>
      </w:r>
      <w:r>
        <w:rPr>
          <w:rFonts w:hint="eastAsia" w:ascii="仿宋_GB2312" w:hAnsi="仿宋_GB2312" w:cs="仿宋_GB2312"/>
          <w:szCs w:val="30"/>
        </w:rPr>
        <w:t>、项目背景：</w:t>
      </w:r>
    </w:p>
    <w:p w14:paraId="6C2C9FA2">
      <w:pPr>
        <w:spacing w:line="600" w:lineRule="exact"/>
        <w:ind w:firstLine="600" w:firstLineChars="200"/>
        <w:rPr>
          <w:rFonts w:ascii="仿宋_GB2312" w:hAnsi="仿宋_GB2312" w:cs="仿宋_GB2312"/>
          <w:szCs w:val="30"/>
        </w:rPr>
      </w:pPr>
      <w:r>
        <w:rPr>
          <w:rFonts w:hint="eastAsia" w:ascii="仿宋_GB2312" w:hAnsi="仿宋_GB2312" w:cs="仿宋_GB2312"/>
          <w:szCs w:val="30"/>
        </w:rPr>
        <w:t>巴州人民医院医技楼基本建设为国家项目（儿科综合病房、全科医生临床培养基地和医技综合楼建设项目专项资金建设项目）。贯彻落实巴党办发[2013]13号文件、巴人防建字[2012]4号文件、新发改社会[2013]1527号文件、新发改社会[2014]758号文件、巴发改投资[2015]661号文件。</w:t>
      </w:r>
    </w:p>
    <w:p w14:paraId="2E424CA5">
      <w:pPr>
        <w:spacing w:line="600" w:lineRule="exact"/>
        <w:ind w:firstLine="600" w:firstLineChars="200"/>
        <w:rPr>
          <w:rFonts w:ascii="仿宋_GB2312" w:hAnsi="仿宋_GB2312" w:cs="仿宋_GB2312"/>
          <w:szCs w:val="30"/>
        </w:rPr>
      </w:pPr>
      <w:r>
        <w:rPr>
          <w:rFonts w:ascii="仿宋_GB2312" w:hAnsi="仿宋_GB2312" w:cs="仿宋_GB2312"/>
          <w:szCs w:val="30"/>
        </w:rPr>
        <w:t>2</w:t>
      </w:r>
      <w:r>
        <w:rPr>
          <w:rFonts w:hint="eastAsia" w:ascii="仿宋_GB2312" w:hAnsi="仿宋_GB2312" w:cs="仿宋_GB2312"/>
          <w:szCs w:val="30"/>
        </w:rPr>
        <w:t>、项目主要内容</w:t>
      </w:r>
    </w:p>
    <w:p w14:paraId="34766AC8">
      <w:pPr>
        <w:spacing w:line="600" w:lineRule="exact"/>
        <w:ind w:firstLine="600" w:firstLineChars="200"/>
        <w:rPr>
          <w:rFonts w:ascii="仿宋_GB2312" w:hAnsi="仿宋_GB2312" w:cs="仿宋_GB2312"/>
          <w:szCs w:val="30"/>
        </w:rPr>
      </w:pPr>
      <w:r>
        <w:rPr>
          <w:rFonts w:hint="eastAsia" w:ascii="仿宋_GB2312" w:hAnsi="仿宋_GB2312" w:cs="仿宋_GB2312"/>
          <w:szCs w:val="30"/>
        </w:rPr>
        <w:t>我院在建工程巴州人民医院医技综合楼（儿科综合病房、全科医生临床培养基地和医技综合楼建设项目）工程涵盖了中央预算内投资建设项目，即儿科综合病房、全科临床医生培训基地和医技综合楼建设项目医技自筹资金项目。</w:t>
      </w:r>
    </w:p>
    <w:p w14:paraId="20E1705B">
      <w:pPr>
        <w:spacing w:line="600" w:lineRule="exact"/>
        <w:ind w:firstLine="600" w:firstLineChars="200"/>
        <w:rPr>
          <w:rFonts w:ascii="仿宋_GB2312" w:hAnsi="仿宋_GB2312" w:cs="仿宋_GB2312"/>
          <w:szCs w:val="30"/>
        </w:rPr>
      </w:pPr>
      <w:r>
        <w:rPr>
          <w:rFonts w:ascii="仿宋_GB2312" w:hAnsi="仿宋_GB2312" w:cs="仿宋_GB2312"/>
          <w:szCs w:val="30"/>
        </w:rPr>
        <w:t>3</w:t>
      </w:r>
      <w:r>
        <w:rPr>
          <w:rFonts w:hint="eastAsia" w:ascii="仿宋_GB2312" w:hAnsi="仿宋_GB2312" w:cs="仿宋_GB2312"/>
          <w:szCs w:val="30"/>
        </w:rPr>
        <w:t>、项目实施情况</w:t>
      </w:r>
    </w:p>
    <w:p w14:paraId="6D84A561">
      <w:pPr>
        <w:spacing w:line="600" w:lineRule="exact"/>
        <w:rPr>
          <w:rFonts w:ascii="仿宋_GB2312" w:hAnsi="仿宋_GB2312" w:cs="仿宋_GB2312"/>
          <w:szCs w:val="30"/>
        </w:rPr>
      </w:pPr>
      <w:r>
        <w:rPr>
          <w:rFonts w:hint="eastAsia" w:ascii="仿宋_GB2312" w:hAnsi="仿宋_GB2312" w:cs="仿宋_GB2312"/>
          <w:szCs w:val="30"/>
        </w:rPr>
        <w:t>我院在建工程巴州人民医院医技综合楼（儿科综合病房、全科医生临床培养基地和医技综合楼建设项目）工程，规划建筑面积114155.44㎡，建筑高度99.95米，地下2层，地上22层，计划总投资56000万元，机构形式：框架剪力墙。</w:t>
      </w:r>
    </w:p>
    <w:p w14:paraId="6FA55832">
      <w:pPr>
        <w:numPr>
          <w:ilvl w:val="0"/>
          <w:numId w:val="1"/>
        </w:numPr>
        <w:spacing w:line="600" w:lineRule="exact"/>
        <w:ind w:left="600" w:leftChars="200"/>
        <w:rPr>
          <w:rFonts w:ascii="仿宋_GB2312" w:hAnsi="仿宋_GB2312" w:cs="仿宋_GB2312"/>
          <w:szCs w:val="30"/>
        </w:rPr>
      </w:pPr>
      <w:r>
        <w:rPr>
          <w:rFonts w:hint="eastAsia" w:ascii="仿宋_GB2312" w:hAnsi="仿宋_GB2312" w:cs="仿宋_GB2312"/>
          <w:szCs w:val="30"/>
        </w:rPr>
        <w:t>项目资金投入和使用情况</w:t>
      </w:r>
    </w:p>
    <w:p w14:paraId="650AFB5B">
      <w:pPr>
        <w:spacing w:line="600" w:lineRule="exact"/>
        <w:rPr>
          <w:rFonts w:ascii="仿宋_GB2312" w:hAnsi="仿宋_GB2312" w:cs="仿宋_GB2312"/>
          <w:szCs w:val="30"/>
        </w:rPr>
      </w:pPr>
      <w:r>
        <w:rPr>
          <w:rFonts w:hint="eastAsia" w:ascii="仿宋_GB2312" w:hAnsi="仿宋_GB2312" w:cs="仿宋_GB2312"/>
          <w:szCs w:val="30"/>
        </w:rPr>
        <w:t xml:space="preserve">    2019年拨付我院医技综合楼基本建设项目经费1000万元，已于2019年全部到位并执行完毕，此项目款已全部用于支付工程进度款</w:t>
      </w:r>
      <w:r>
        <w:rPr>
          <w:rFonts w:hint="eastAsia" w:ascii="仿宋_GB2312"/>
          <w:sz w:val="32"/>
          <w:szCs w:val="32"/>
        </w:rPr>
        <w:t>。</w:t>
      </w:r>
    </w:p>
    <w:p w14:paraId="04FC0A6C">
      <w:pPr>
        <w:numPr>
          <w:ilvl w:val="0"/>
          <w:numId w:val="2"/>
        </w:numPr>
        <w:spacing w:line="600" w:lineRule="exact"/>
        <w:ind w:firstLine="600" w:firstLineChars="200"/>
        <w:rPr>
          <w:rFonts w:ascii="仿宋_GB2312" w:hAnsi="仿宋_GB2312" w:cs="仿宋_GB2312"/>
        </w:rPr>
      </w:pPr>
      <w:r>
        <w:rPr>
          <w:rFonts w:hint="eastAsia" w:ascii="仿宋_GB2312" w:hAnsi="仿宋_GB2312" w:cs="仿宋_GB2312"/>
        </w:rPr>
        <w:t>项目绩效目标。</w:t>
      </w:r>
    </w:p>
    <w:p w14:paraId="7C1ACF2D">
      <w:pPr>
        <w:numPr>
          <w:ilvl w:val="0"/>
          <w:numId w:val="3"/>
        </w:numPr>
        <w:spacing w:line="600" w:lineRule="exact"/>
        <w:rPr>
          <w:rFonts w:ascii="仿宋_GB2312" w:hAnsi="仿宋_GB2312" w:cs="仿宋_GB2312"/>
          <w:szCs w:val="30"/>
        </w:rPr>
      </w:pPr>
      <w:r>
        <w:rPr>
          <w:rFonts w:hint="eastAsia" w:ascii="仿宋_GB2312" w:hAnsi="仿宋_GB2312" w:cs="仿宋_GB2312"/>
          <w:szCs w:val="30"/>
        </w:rPr>
        <w:t>总体目标</w:t>
      </w:r>
    </w:p>
    <w:p w14:paraId="682D5AA1">
      <w:pPr>
        <w:spacing w:line="600" w:lineRule="exact"/>
        <w:ind w:left="1050"/>
        <w:rPr>
          <w:rFonts w:ascii="仿宋_GB2312" w:hAnsi="仿宋_GB2312" w:cs="仿宋_GB2312"/>
          <w:szCs w:val="30"/>
        </w:rPr>
      </w:pPr>
      <w:r>
        <w:rPr>
          <w:rFonts w:hint="eastAsia" w:ascii="仿宋_GB2312" w:hAnsi="仿宋_GB2312" w:cs="仿宋_GB2312"/>
          <w:szCs w:val="30"/>
        </w:rPr>
        <w:t>完成医技楼基本建设。</w:t>
      </w:r>
    </w:p>
    <w:p w14:paraId="6FA469C1">
      <w:pPr>
        <w:numPr>
          <w:ilvl w:val="0"/>
          <w:numId w:val="4"/>
        </w:numPr>
        <w:spacing w:line="600" w:lineRule="exact"/>
        <w:rPr>
          <w:rFonts w:ascii="仿宋_GB2312" w:hAnsi="仿宋_GB2312" w:cs="仿宋_GB2312"/>
          <w:szCs w:val="30"/>
        </w:rPr>
      </w:pPr>
      <w:r>
        <w:rPr>
          <w:rFonts w:hint="eastAsia" w:ascii="仿宋_GB2312" w:hAnsi="仿宋_GB2312" w:cs="仿宋_GB2312"/>
          <w:szCs w:val="30"/>
        </w:rPr>
        <w:t>阶段性目标</w:t>
      </w:r>
    </w:p>
    <w:p w14:paraId="46F4FA6D">
      <w:pPr>
        <w:spacing w:line="600" w:lineRule="exact"/>
        <w:ind w:firstLine="600" w:firstLineChars="200"/>
        <w:rPr>
          <w:rFonts w:ascii="仿宋_GB2312" w:hAnsi="仿宋_GB2312" w:cs="仿宋_GB2312"/>
          <w:szCs w:val="30"/>
        </w:rPr>
      </w:pPr>
      <w:r>
        <w:rPr>
          <w:rFonts w:hint="eastAsia" w:ascii="仿宋_GB2312" w:hAnsi="仿宋_GB2312" w:cs="仿宋_GB2312"/>
          <w:szCs w:val="30"/>
        </w:rPr>
        <w:t>购置医技综合楼中央空调，消防，电梯等设施，按照工程进度完成付款计划。</w:t>
      </w:r>
    </w:p>
    <w:p w14:paraId="3DF4B70B">
      <w:pPr>
        <w:spacing w:line="600" w:lineRule="exact"/>
        <w:ind w:firstLine="600" w:firstLineChars="200"/>
        <w:rPr>
          <w:rFonts w:ascii="仿宋_GB2312" w:hAnsi="仿宋_GB2312" w:cs="仿宋_GB2312"/>
        </w:rPr>
      </w:pPr>
      <w:r>
        <w:rPr>
          <w:rFonts w:hint="eastAsia" w:ascii="仿宋_GB2312" w:hAnsi="仿宋_GB2312" w:cs="仿宋_GB2312"/>
        </w:rPr>
        <w:t>二、绩效评价工作开展情况</w:t>
      </w:r>
    </w:p>
    <w:p w14:paraId="75FA2DEA">
      <w:pPr>
        <w:spacing w:line="600" w:lineRule="exact"/>
        <w:ind w:firstLine="600" w:firstLineChars="200"/>
        <w:rPr>
          <w:rFonts w:ascii="仿宋_GB2312" w:hAnsi="仿宋_GB2312" w:cs="仿宋_GB2312"/>
        </w:rPr>
      </w:pPr>
      <w:r>
        <w:rPr>
          <w:rFonts w:hint="eastAsia" w:ascii="仿宋_GB2312" w:hAnsi="仿宋_GB2312" w:cs="仿宋_GB2312"/>
        </w:rPr>
        <w:t>（一）绩效评价目的、对象和范围。</w:t>
      </w:r>
    </w:p>
    <w:p w14:paraId="5549D7F7">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旨在通过评价改善预算部门的财政支出管理，优化资源配置及提高公共服务水平。本次绩效评价遵循《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XX项目，及时总结经验，分析存在问题及原因，切实采取有效措施进一步改进和加强财政专项资金管理，推动财政资金聚力增效，提高公共服务供给质量，增强政府公信力和执行力。</w:t>
      </w:r>
    </w:p>
    <w:p w14:paraId="4549CC92">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w:t>
      </w:r>
      <w:r>
        <w:rPr>
          <w:rFonts w:ascii="仿宋_GB2312" w:hAnsi="仿宋_GB2312" w:cs="仿宋_GB2312"/>
          <w:bCs/>
          <w:szCs w:val="30"/>
          <w:lang w:bidi="en-US"/>
        </w:rPr>
        <w:t>的对象：</w:t>
      </w:r>
      <w:r>
        <w:rPr>
          <w:rFonts w:hint="eastAsia" w:ascii="仿宋_GB2312" w:hAnsi="仿宋_GB2312" w:cs="仿宋_GB2312"/>
          <w:bCs/>
          <w:szCs w:val="30"/>
          <w:lang w:bidi="en-US"/>
        </w:rPr>
        <w:t>医技综合楼建设项目，建设单位巴州人民医院</w:t>
      </w:r>
    </w:p>
    <w:p w14:paraId="09BA254D">
      <w:pPr>
        <w:spacing w:line="600" w:lineRule="exact"/>
        <w:ind w:firstLine="600" w:firstLineChars="200"/>
        <w:rPr>
          <w:rFonts w:ascii="仿宋_GB2312"/>
        </w:rPr>
      </w:pPr>
      <w:r>
        <w:rPr>
          <w:rFonts w:hint="eastAsia" w:ascii="仿宋_GB2312" w:hAnsi="仿宋_GB2312" w:cs="仿宋_GB2312"/>
          <w:bCs/>
          <w:szCs w:val="30"/>
          <w:lang w:bidi="en-US"/>
        </w:rPr>
        <w:t>绩效评价</w:t>
      </w:r>
      <w:r>
        <w:rPr>
          <w:rFonts w:ascii="仿宋_GB2312" w:hAnsi="仿宋_GB2312" w:cs="仿宋_GB2312"/>
          <w:bCs/>
          <w:szCs w:val="30"/>
          <w:lang w:bidi="en-US"/>
        </w:rPr>
        <w:t>的范围：</w:t>
      </w:r>
      <w:r>
        <w:rPr>
          <w:rFonts w:hint="eastAsia" w:ascii="仿宋_GB2312" w:hAnsi="仿宋_GB2312" w:cs="仿宋_GB2312"/>
          <w:bCs/>
          <w:szCs w:val="30"/>
          <w:lang w:bidi="en-US"/>
        </w:rPr>
        <w:t>推进巴州人民医院医技综合楼建设进度，三个分宝工程（消防，电梯，空调）均按照施工进度稳步进行。</w:t>
      </w:r>
    </w:p>
    <w:p w14:paraId="100B4116">
      <w:pPr>
        <w:spacing w:line="600" w:lineRule="exact"/>
        <w:ind w:firstLine="602" w:firstLineChars="200"/>
        <w:rPr>
          <w:rFonts w:ascii="仿宋_GB2312" w:hAnsi="仿宋_GB2312" w:cs="仿宋_GB2312"/>
          <w:b/>
        </w:rPr>
      </w:pPr>
      <w:r>
        <w:rPr>
          <w:rFonts w:hint="eastAsia" w:ascii="仿宋_GB2312" w:hAnsi="仿宋_GB2312" w:cs="仿宋_GB2312"/>
          <w:b/>
        </w:rPr>
        <w:t>（二）绩效评价原则、评价指标体系（附表说明）、评价方法、评价标准等。</w:t>
      </w:r>
    </w:p>
    <w:p w14:paraId="0615090B">
      <w:pPr>
        <w:spacing w:line="600" w:lineRule="exact"/>
        <w:ind w:firstLine="640"/>
        <w:rPr>
          <w:rFonts w:ascii="仿宋_GB2312" w:hAnsi="仿宋_GB2312" w:cs="仿宋_GB2312"/>
          <w:bCs/>
          <w:szCs w:val="30"/>
        </w:rPr>
      </w:pPr>
      <w:r>
        <w:rPr>
          <w:rFonts w:hint="eastAsia" w:ascii="仿宋_GB2312" w:hAnsi="仿宋_GB2312" w:cs="仿宋_GB2312"/>
          <w:bCs/>
          <w:szCs w:val="30"/>
        </w:rPr>
        <w:t>1、绩效评价原则：</w:t>
      </w:r>
    </w:p>
    <w:p w14:paraId="457EF611">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（1）科学公正。绩效评价应当运用科学合理的方法，按照规范的程序，对项目绩效进行客观、公正的反映。</w:t>
      </w:r>
    </w:p>
    <w:p w14:paraId="0C3C71B0">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A651F18">
      <w:pPr>
        <w:spacing w:line="600" w:lineRule="exact"/>
        <w:ind w:firstLine="640"/>
        <w:rPr>
          <w:rFonts w:ascii="仿宋_GB2312" w:hAnsi="仿宋_GB2312" w:cs="仿宋_GB2312"/>
          <w:bCs/>
          <w:szCs w:val="30"/>
          <w:lang w:bidi="en-US"/>
        </w:rPr>
      </w:pPr>
      <w:r>
        <w:rPr>
          <w:rFonts w:hint="eastAsia" w:ascii="仿宋_GB2312" w:hAnsi="仿宋_GB2312" w:cs="仿宋_GB2312"/>
          <w:bCs/>
          <w:szCs w:val="30"/>
          <w:lang w:bidi="en-US"/>
        </w:rPr>
        <w:t>（3）激励约束。绩效评价结果应与预算安排、政策调整、改进管理实质性挂钩，体现奖优罚劣和激励相容导向，有效要安排、低效要压减、无效要问责。</w:t>
      </w:r>
    </w:p>
    <w:p w14:paraId="5F2116E6">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（4）公开透明。绩效评价结果应依法依规公开，并自觉接受社会监督。</w:t>
      </w:r>
    </w:p>
    <w:p w14:paraId="637B2F10">
      <w:pPr>
        <w:spacing w:line="600" w:lineRule="exact"/>
        <w:ind w:firstLine="600" w:firstLineChars="200"/>
        <w:rPr>
          <w:rFonts w:ascii="仿宋_GB2312" w:hAnsi="仿宋_GB2312" w:cs="仿宋_GB2312"/>
          <w:bCs/>
          <w:szCs w:val="30"/>
        </w:rPr>
      </w:pPr>
      <w:r>
        <w:rPr>
          <w:rFonts w:hint="eastAsia" w:ascii="仿宋_GB2312" w:hAnsi="仿宋_GB2312" w:cs="仿宋_GB2312"/>
          <w:bCs/>
          <w:szCs w:val="30"/>
        </w:rPr>
        <w:t>2、</w:t>
      </w:r>
      <w:r>
        <w:rPr>
          <w:rFonts w:hint="eastAsia" w:ascii="仿宋_GB2312" w:hAnsi="仿宋_GB2312" w:cs="仿宋_GB2312"/>
          <w:szCs w:val="30"/>
        </w:rPr>
        <w:t>项</w:t>
      </w:r>
      <w:r>
        <w:rPr>
          <w:rFonts w:hint="eastAsia" w:ascii="仿宋_GB2312" w:hAnsi="仿宋_GB2312" w:cs="仿宋_GB2312"/>
          <w:bCs/>
          <w:szCs w:val="30"/>
        </w:rPr>
        <w:t>支出绩效评价指标体系框架：</w:t>
      </w:r>
    </w:p>
    <w:p w14:paraId="21D8EF85">
      <w:pPr>
        <w:pStyle w:val="13"/>
        <w:spacing w:line="520" w:lineRule="exact"/>
        <w:ind w:firstLine="699" w:firstLineChars="233"/>
        <w:rPr>
          <w:rFonts w:ascii="仿宋_GB2312" w:hAnsi="仿宋_GB2312" w:eastAsia="仿宋_GB2312" w:cs="仿宋_GB2312"/>
          <w:bCs/>
          <w:color w:val="auto"/>
          <w:kern w:val="2"/>
          <w:sz w:val="30"/>
          <w:szCs w:val="30"/>
          <w:lang w:bidi="en-US"/>
        </w:rPr>
      </w:pPr>
      <w:r>
        <w:rPr>
          <w:rFonts w:hint="eastAsia" w:ascii="仿宋_GB2312" w:hAnsi="仿宋_GB2312" w:eastAsia="仿宋_GB2312" w:cs="仿宋_GB2312"/>
          <w:bCs/>
          <w:color w:val="auto"/>
          <w:kern w:val="2"/>
          <w:sz w:val="30"/>
          <w:szCs w:val="30"/>
          <w:lang w:bidi="en-US"/>
        </w:rPr>
        <w:t>公立医院改革（取消药品加成）</w:t>
      </w:r>
      <w:r>
        <w:rPr>
          <w:rFonts w:ascii="仿宋_GB2312" w:hAnsi="仿宋_GB2312" w:eastAsia="仿宋_GB2312" w:cs="仿宋_GB2312"/>
          <w:bCs/>
          <w:color w:val="auto"/>
          <w:kern w:val="2"/>
          <w:sz w:val="30"/>
          <w:szCs w:val="30"/>
          <w:lang w:bidi="en-US"/>
        </w:rPr>
        <w:t>项目绩效评价指标体系的设计参照财政部《项目支出绩效评价指标体系框架》决策和过程在此框架的基础上结合项目的特点适当进行完善，产出和效益根据项目特点进行了细化。</w:t>
      </w:r>
    </w:p>
    <w:p w14:paraId="19AAA692">
      <w:pPr>
        <w:pStyle w:val="13"/>
        <w:spacing w:line="520" w:lineRule="exact"/>
        <w:ind w:firstLine="699" w:firstLineChars="233"/>
        <w:rPr>
          <w:rFonts w:ascii="仿宋_GB2312" w:hAnsi="仿宋_GB2312" w:eastAsia="仿宋_GB2312" w:cs="仿宋_GB2312"/>
          <w:bCs/>
          <w:color w:val="auto"/>
          <w:kern w:val="2"/>
          <w:sz w:val="30"/>
          <w:szCs w:val="30"/>
          <w:lang w:bidi="en-US"/>
        </w:rPr>
      </w:pPr>
      <w:r>
        <w:rPr>
          <w:rFonts w:ascii="仿宋_GB2312" w:hAnsi="仿宋_GB2312" w:eastAsia="仿宋_GB2312" w:cs="仿宋_GB2312"/>
          <w:bCs/>
          <w:color w:val="auto"/>
          <w:kern w:val="2"/>
          <w:sz w:val="30"/>
          <w:szCs w:val="30"/>
          <w:lang w:bidi="en-US"/>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eastAsia" w:ascii="仿宋_GB2312" w:hAnsi="仿宋_GB2312" w:eastAsia="仿宋_GB2312" w:cs="仿宋_GB2312"/>
          <w:bCs/>
          <w:color w:val="auto"/>
          <w:kern w:val="2"/>
          <w:sz w:val="30"/>
          <w:szCs w:val="30"/>
          <w:lang w:bidi="en-US"/>
        </w:rPr>
        <w:t>公立医院改革（取消药品加成）</w:t>
      </w:r>
      <w:r>
        <w:rPr>
          <w:rFonts w:ascii="仿宋_GB2312" w:hAnsi="仿宋_GB2312" w:eastAsia="仿宋_GB2312" w:cs="仿宋_GB2312"/>
          <w:bCs/>
          <w:color w:val="auto"/>
          <w:kern w:val="2"/>
          <w:sz w:val="30"/>
          <w:szCs w:val="30"/>
          <w:lang w:bidi="en-US"/>
        </w:rPr>
        <w:t>项目绩效评价指标体系</w:t>
      </w:r>
      <w:r>
        <w:rPr>
          <w:rFonts w:hint="eastAsia" w:ascii="仿宋_GB2312" w:hAnsi="仿宋_GB2312" w:eastAsia="仿宋_GB2312" w:cs="仿宋_GB2312"/>
          <w:bCs/>
          <w:color w:val="auto"/>
          <w:kern w:val="2"/>
          <w:sz w:val="30"/>
          <w:szCs w:val="30"/>
          <w:lang w:bidi="en-US"/>
        </w:rPr>
        <w:t>。</w:t>
      </w:r>
    </w:p>
    <w:p w14:paraId="3AC5C7CB">
      <w:pPr>
        <w:pStyle w:val="13"/>
        <w:spacing w:line="520" w:lineRule="exact"/>
        <w:ind w:firstLine="708"/>
        <w:rPr>
          <w:rFonts w:ascii="Times New Roman" w:eastAsia="仿宋_GB2312" w:cs="Times New Roman"/>
          <w:spacing w:val="-8"/>
          <w:sz w:val="32"/>
          <w:szCs w:val="32"/>
        </w:rPr>
      </w:pPr>
      <w:r>
        <w:rPr>
          <w:rFonts w:hint="eastAsia" w:ascii="Times New Roman" w:eastAsia="仿宋_GB2312" w:cs="Times New Roman"/>
          <w:spacing w:val="-8"/>
          <w:sz w:val="32"/>
          <w:szCs w:val="32"/>
        </w:rPr>
        <w:t>3、评价方法</w:t>
      </w:r>
    </w:p>
    <w:p w14:paraId="6D901E5C">
      <w:pPr>
        <w:spacing w:line="580" w:lineRule="exact"/>
        <w:ind w:firstLine="600" w:firstLineChars="200"/>
        <w:rPr>
          <w:rFonts w:ascii="仿宋_GB2312"/>
        </w:rPr>
      </w:pPr>
      <w:r>
        <w:rPr>
          <w:rFonts w:hAnsi="仿宋"/>
          <w:color w:val="000000"/>
          <w:szCs w:val="30"/>
        </w:rPr>
        <w:t>结合本次绩效评估项目的具体情况，为确保本次绩效评估工作的真实可靠，</w:t>
      </w:r>
      <w:r>
        <w:rPr>
          <w:rFonts w:hint="eastAsia" w:ascii="仿宋_GB2312"/>
        </w:rPr>
        <w:t>我单位采用了成本效益分析法进行评价。</w:t>
      </w:r>
    </w:p>
    <w:p w14:paraId="26659280">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成本效益分析法：我单位针对该项目将决策、过程、产出及效益进行关联性分析，项目实施过程中以最小的成本产生了最大的经济和社会效益，项目的实施将推进我院</w:t>
      </w:r>
      <w:r>
        <w:rPr>
          <w:rFonts w:hint="eastAsia" w:ascii="Times New Roman" w:eastAsia="仿宋_GB2312" w:cs="Times New Roman"/>
          <w:spacing w:val="-8"/>
          <w:sz w:val="32"/>
          <w:szCs w:val="32"/>
        </w:rPr>
        <w:t>公立医院改革，大幅改善患者就医环境。</w:t>
      </w:r>
    </w:p>
    <w:p w14:paraId="6D6F9E27">
      <w:pPr>
        <w:spacing w:line="520" w:lineRule="exact"/>
        <w:ind w:firstLine="699" w:firstLineChars="233"/>
        <w:outlineLvl w:val="0"/>
        <w:rPr>
          <w:szCs w:val="32"/>
        </w:rPr>
      </w:pPr>
      <w:r>
        <w:rPr>
          <w:szCs w:val="32"/>
        </w:rPr>
        <w:t>4.绩效评价标准</w:t>
      </w:r>
    </w:p>
    <w:p w14:paraId="027D2DBA">
      <w:pPr>
        <w:pStyle w:val="13"/>
        <w:spacing w:line="520" w:lineRule="exact"/>
        <w:ind w:firstLine="600" w:firstLineChars="200"/>
        <w:rPr>
          <w:rFonts w:ascii="仿宋_GB2312" w:eastAsia="仿宋_GB2312" w:cs="Times New Roman"/>
          <w:color w:val="auto"/>
          <w:kern w:val="2"/>
          <w:sz w:val="30"/>
        </w:rPr>
      </w:pPr>
      <w:r>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hint="eastAsia" w:ascii="仿宋_GB2312" w:eastAsia="仿宋_GB2312" w:cs="Times New Roman"/>
          <w:color w:val="auto"/>
          <w:kern w:val="2"/>
          <w:sz w:val="30"/>
        </w:rPr>
        <w:t>。</w:t>
      </w:r>
    </w:p>
    <w:p w14:paraId="445CF420">
      <w:pPr>
        <w:spacing w:line="600" w:lineRule="exact"/>
        <w:ind w:firstLine="301" w:firstLineChars="100"/>
        <w:rPr>
          <w:rFonts w:ascii="仿宋_GB2312" w:hAnsi="仿宋_GB2312" w:cs="仿宋_GB2312"/>
          <w:b/>
        </w:rPr>
      </w:pPr>
      <w:r>
        <w:rPr>
          <w:rFonts w:hint="eastAsia" w:ascii="仿宋_GB2312" w:hAnsi="仿宋_GB2312" w:cs="仿宋_GB2312"/>
          <w:b/>
        </w:rPr>
        <w:t>（三）绩效评价工作过程。</w:t>
      </w:r>
    </w:p>
    <w:p w14:paraId="4A197D59">
      <w:pPr>
        <w:spacing w:line="580" w:lineRule="exact"/>
        <w:ind w:firstLine="600" w:firstLineChars="200"/>
        <w:rPr>
          <w:rFonts w:ascii="仿宋_GB2312"/>
        </w:rPr>
      </w:pPr>
      <w:r>
        <w:rPr>
          <w:rFonts w:hint="eastAsia" w:ascii="仿宋_GB2312"/>
        </w:rPr>
        <w:t>为了提高财政资金分配的科学性、有效性，加强财政专项资金管理，提高支出效益，我单位自项目下达之日高度重视，具体绩效评价工作过程如下:</w:t>
      </w:r>
    </w:p>
    <w:p w14:paraId="26C60FCB">
      <w:pPr>
        <w:spacing w:line="580" w:lineRule="exact"/>
        <w:ind w:firstLine="600" w:firstLineChars="200"/>
        <w:rPr>
          <w:rFonts w:ascii="仿宋_GB2312"/>
        </w:rPr>
      </w:pPr>
      <w:r>
        <w:rPr>
          <w:rFonts w:hint="eastAsia" w:ascii="仿宋_GB2312"/>
        </w:rPr>
        <w:t>1、确定绩效评价对象和范围</w:t>
      </w:r>
    </w:p>
    <w:p w14:paraId="0FA41315">
      <w:pPr>
        <w:spacing w:line="580" w:lineRule="exact"/>
        <w:ind w:firstLine="600" w:firstLineChars="200"/>
        <w:rPr>
          <w:rFonts w:ascii="仿宋_GB2312"/>
        </w:rPr>
      </w:pPr>
      <w:r>
        <w:rPr>
          <w:rFonts w:hint="eastAsia" w:ascii="仿宋_GB2312"/>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14:paraId="34004325">
      <w:pPr>
        <w:spacing w:line="580" w:lineRule="exact"/>
        <w:ind w:firstLine="600" w:firstLineChars="200"/>
        <w:rPr>
          <w:rFonts w:ascii="仿宋_GB2312"/>
        </w:rPr>
      </w:pPr>
      <w:r>
        <w:rPr>
          <w:rFonts w:hint="eastAsia" w:ascii="仿宋_GB2312"/>
        </w:rPr>
        <w:t>2、研究制订绩效评价工作方案</w:t>
      </w:r>
    </w:p>
    <w:p w14:paraId="649F7BE2">
      <w:pPr>
        <w:spacing w:line="580" w:lineRule="exact"/>
        <w:ind w:firstLine="600" w:firstLineChars="200"/>
        <w:rPr>
          <w:rFonts w:ascii="仿宋_GB2312"/>
        </w:rPr>
      </w:pPr>
      <w:r>
        <w:rPr>
          <w:rFonts w:hint="eastAsia" w:ascii="仿宋_GB2312"/>
        </w:rPr>
        <w:t>我单位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14:paraId="26D8F761">
      <w:pPr>
        <w:spacing w:line="580" w:lineRule="exact"/>
        <w:ind w:firstLine="600" w:firstLineChars="200"/>
        <w:rPr>
          <w:rFonts w:ascii="仿宋_GB2312"/>
        </w:rPr>
      </w:pPr>
      <w:r>
        <w:rPr>
          <w:rFonts w:hint="eastAsia" w:ascii="仿宋_GB2312"/>
        </w:rPr>
        <w:t>3、核实有关情况，分析形成初步结论</w:t>
      </w:r>
    </w:p>
    <w:p w14:paraId="6B90EEB0">
      <w:pPr>
        <w:spacing w:line="580" w:lineRule="exact"/>
        <w:ind w:firstLine="600" w:firstLineChars="200"/>
        <w:rPr>
          <w:rFonts w:ascii="仿宋_GB2312"/>
        </w:rPr>
      </w:pPr>
      <w:r>
        <w:rPr>
          <w:rFonts w:hint="eastAsia" w:ascii="仿宋_GB2312"/>
        </w:rPr>
        <w:t>对于收集的基础资料和相关数据，核实有关数据的全面性、真实性，进而整理出可供财政资金绩效评价之用的相关资料和基础数据。</w:t>
      </w:r>
    </w:p>
    <w:p w14:paraId="1A2BFD4D">
      <w:pPr>
        <w:spacing w:line="580" w:lineRule="exact"/>
        <w:ind w:firstLine="600" w:firstLineChars="200"/>
        <w:rPr>
          <w:rFonts w:ascii="仿宋_GB2312"/>
        </w:rPr>
      </w:pPr>
      <w:r>
        <w:rPr>
          <w:rFonts w:hint="eastAsia" w:ascii="仿宋_GB2312"/>
        </w:rPr>
        <w:t>4、综合分析并形成评价结论</w:t>
      </w:r>
    </w:p>
    <w:p w14:paraId="00DF3199">
      <w:pPr>
        <w:spacing w:line="580" w:lineRule="exact"/>
        <w:ind w:firstLine="600" w:firstLineChars="200"/>
        <w:rPr>
          <w:rFonts w:ascii="仿宋_GB2312"/>
        </w:rPr>
      </w:pPr>
      <w:r>
        <w:rPr>
          <w:rFonts w:hint="eastAsia" w:ascii="仿宋_GB2312"/>
        </w:rPr>
        <w:t>按照评价方案的要求进行评价工作，并作出评价的初步结论。</w:t>
      </w:r>
    </w:p>
    <w:p w14:paraId="619CA8D2">
      <w:pPr>
        <w:spacing w:line="580" w:lineRule="exact"/>
        <w:ind w:firstLine="600" w:firstLineChars="200"/>
        <w:rPr>
          <w:rFonts w:ascii="仿宋_GB2312"/>
        </w:rPr>
      </w:pPr>
      <w:r>
        <w:rPr>
          <w:rFonts w:hint="eastAsia" w:ascii="仿宋_GB2312"/>
        </w:rPr>
        <w:t>5、提交绩效评价报告</w:t>
      </w:r>
    </w:p>
    <w:p w14:paraId="687D2F7E">
      <w:pPr>
        <w:pStyle w:val="13"/>
        <w:spacing w:line="520" w:lineRule="exact"/>
        <w:ind w:firstLine="699" w:firstLineChars="233"/>
        <w:rPr>
          <w:rFonts w:ascii="仿宋_GB2312" w:hAnsi="仿宋" w:eastAsia="仿宋_GB2312" w:cs="仿宋_GB2312"/>
          <w:color w:val="auto"/>
          <w:spacing w:val="-8"/>
          <w:sz w:val="32"/>
          <w:szCs w:val="32"/>
        </w:rPr>
      </w:pPr>
      <w:r>
        <w:rPr>
          <w:rFonts w:hint="eastAsia" w:ascii="仿宋_GB2312" w:eastAsia="仿宋_GB2312" w:cs="Times New Roman"/>
          <w:color w:val="auto"/>
          <w:kern w:val="2"/>
          <w:sz w:val="30"/>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14:paraId="10C2CFF7">
      <w:pPr>
        <w:spacing w:line="600" w:lineRule="exact"/>
        <w:ind w:firstLine="301" w:firstLineChars="100"/>
        <w:rPr>
          <w:rFonts w:ascii="仿宋_GB2312" w:hAnsi="仿宋_GB2312" w:cs="仿宋_GB2312"/>
        </w:rPr>
      </w:pPr>
      <w:r>
        <w:rPr>
          <w:rFonts w:hint="eastAsia" w:ascii="仿宋_GB2312" w:hAnsi="仿宋_GB2312" w:cs="仿宋_GB2312"/>
          <w:b/>
          <w:bCs/>
        </w:rPr>
        <w:t>三、综合评价情况及评价结论</w:t>
      </w:r>
    </w:p>
    <w:p w14:paraId="466E55E4">
      <w:pPr>
        <w:spacing w:line="600" w:lineRule="exact"/>
        <w:ind w:firstLine="600" w:firstLineChars="200"/>
        <w:outlineLvl w:val="0"/>
        <w:rPr>
          <w:rFonts w:ascii="仿宋_GB2312"/>
        </w:rPr>
      </w:pPr>
      <w:r>
        <w:rPr>
          <w:rFonts w:hint="eastAsia" w:ascii="仿宋_GB2312"/>
        </w:rPr>
        <w:t>医技综合楼基本建设项目综合评价情况：2019年医技综合楼基本建设项目预算共计1000万元，已于2019年全部到位并执行完毕，此项目款已全部用于支付工程进度款。</w:t>
      </w:r>
    </w:p>
    <w:p w14:paraId="0F35ABC7">
      <w:pPr>
        <w:spacing w:line="600" w:lineRule="exact"/>
        <w:ind w:firstLine="600" w:firstLineChars="200"/>
        <w:rPr>
          <w:rFonts w:ascii="仿宋_GB2312" w:hAnsi="仿宋_GB2312" w:cs="仿宋_GB2312"/>
          <w:bCs/>
          <w:sz w:val="31"/>
          <w:szCs w:val="31"/>
        </w:rPr>
      </w:pPr>
      <w:r>
        <w:rPr>
          <w:rFonts w:hint="eastAsia" w:ascii="仿宋_GB2312" w:hAnsi="仿宋_GB2312" w:cs="仿宋_GB2312"/>
          <w:szCs w:val="30"/>
        </w:rPr>
        <w:t>我院巴州人民医院医技综合楼是自治州“十二五”期间重点民生基础建设项目，</w:t>
      </w:r>
      <w:r>
        <w:rPr>
          <w:rFonts w:hint="eastAsia" w:ascii="仿宋_GB2312" w:hAnsi="仿宋_GB2312" w:cs="仿宋_GB2312"/>
          <w:szCs w:val="30"/>
          <w:lang w:eastAsia="zh-CN"/>
        </w:rPr>
        <w:t>更好地为</w:t>
      </w:r>
      <w:bookmarkStart w:id="0" w:name="_GoBack"/>
      <w:bookmarkEnd w:id="0"/>
      <w:r>
        <w:rPr>
          <w:rFonts w:hint="eastAsia" w:ascii="仿宋_GB2312" w:hAnsi="仿宋_GB2312" w:cs="仿宋_GB2312"/>
          <w:szCs w:val="30"/>
        </w:rPr>
        <w:t>全州人民提供医疗服务。严格按照巴州人民医院各项规章制度、国家规范行业标准以及基建项目建设制度执行，建成后能使医院医疗服务能力及患者满意度得到大幅提升</w:t>
      </w:r>
      <w:r>
        <w:rPr>
          <w:rFonts w:hint="eastAsia" w:ascii="仿宋_GB2312" w:hAnsi="仿宋_GB2312" w:cs="仿宋_GB2312"/>
          <w:kern w:val="0"/>
          <w:sz w:val="31"/>
          <w:szCs w:val="31"/>
        </w:rPr>
        <w:t>。</w:t>
      </w:r>
      <w:r>
        <w:rPr>
          <w:rFonts w:hint="eastAsia"/>
          <w:spacing w:val="-8"/>
          <w:sz w:val="32"/>
          <w:szCs w:val="32"/>
        </w:rPr>
        <w:t>医技综合楼基本建设</w:t>
      </w:r>
      <w:r>
        <w:rPr>
          <w:rFonts w:hint="eastAsia" w:ascii="仿宋_GB2312" w:hAnsi="仿宋_GB2312" w:cs="仿宋_GB2312"/>
          <w:bCs/>
          <w:sz w:val="31"/>
          <w:szCs w:val="31"/>
        </w:rPr>
        <w:t>项目支出绩效评价得分95分，评价结果为优秀。</w:t>
      </w:r>
    </w:p>
    <w:p w14:paraId="68C56C11">
      <w:pPr>
        <w:spacing w:line="600" w:lineRule="exact"/>
        <w:rPr>
          <w:rFonts w:ascii="仿宋_GB2312" w:hAnsi="仿宋_GB2312" w:cs="仿宋_GB2312"/>
        </w:rPr>
      </w:pPr>
      <w:r>
        <w:rPr>
          <w:rFonts w:hint="eastAsia" w:ascii="仿宋_GB2312" w:hAnsi="仿宋_GB2312" w:cs="仿宋_GB2312"/>
        </w:rPr>
        <w:t>四、绩效评价指标分析</w:t>
      </w:r>
    </w:p>
    <w:p w14:paraId="64513166">
      <w:pPr>
        <w:spacing w:line="360" w:lineRule="auto"/>
        <w:ind w:firstLine="600" w:firstLineChars="200"/>
        <w:outlineLvl w:val="0"/>
        <w:rPr>
          <w:rFonts w:ascii="仿宋_GB2312" w:hAnsi="仿宋_GB2312" w:cs="仿宋_GB2312"/>
        </w:rPr>
      </w:pPr>
      <w:r>
        <w:rPr>
          <w:rFonts w:hint="eastAsia" w:ascii="仿宋_GB2312" w:hAnsi="仿宋_GB2312" w:cs="仿宋_GB2312"/>
          <w:szCs w:val="30"/>
        </w:rPr>
        <w:t>（</w:t>
      </w:r>
      <w:r>
        <w:rPr>
          <w:rFonts w:hint="eastAsia" w:ascii="仿宋_GB2312" w:hAnsi="仿宋_GB2312" w:cs="仿宋_GB2312"/>
        </w:rPr>
        <w:t>（一）项目决策分析</w:t>
      </w:r>
    </w:p>
    <w:p w14:paraId="5B8491A7">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项目决策分析主要是对项目立项、绩效目标及资金投入进行分析。</w:t>
      </w:r>
    </w:p>
    <w:p w14:paraId="60CDFF3A">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1、项目立项分析</w:t>
      </w:r>
    </w:p>
    <w:p w14:paraId="7DD05934">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（1）立项依据充分性</w:t>
      </w:r>
    </w:p>
    <w:p w14:paraId="6E71DBCA">
      <w:pPr>
        <w:spacing w:line="600" w:lineRule="exact"/>
        <w:ind w:firstLine="600" w:firstLineChars="200"/>
        <w:rPr>
          <w:rFonts w:ascii="仿宋_GB2312" w:hAnsi="仿宋_GB2312" w:cs="仿宋_GB2312"/>
          <w:szCs w:val="30"/>
        </w:rPr>
      </w:pPr>
      <w:r>
        <w:rPr>
          <w:rFonts w:hint="eastAsia" w:ascii="仿宋_GB2312" w:hAnsi="仿宋_GB2312" w:cs="仿宋_GB2312"/>
          <w:szCs w:val="30"/>
        </w:rPr>
        <w:t>①</w:t>
      </w:r>
      <w:r>
        <w:rPr>
          <w:rFonts w:hint="eastAsia" w:ascii="仿宋_GB2312" w:hAnsi="仿宋_GB2312" w:cs="仿宋_GB2312"/>
          <w:kern w:val="0"/>
          <w:szCs w:val="30"/>
        </w:rPr>
        <w:t>项目立项符合</w:t>
      </w:r>
      <w:r>
        <w:rPr>
          <w:rFonts w:hint="eastAsia" w:ascii="仿宋_GB2312" w:hAnsi="仿宋_GB2312" w:cs="仿宋_GB2312"/>
          <w:szCs w:val="30"/>
        </w:rPr>
        <w:t>巴州人民医院医技楼基本建设为国家项目（儿科综合病房、全科医生临床培养基地和医技综合楼建设项目专项资金建设项目）巴党办发[2013]13号文件、巴人防建字[2012]4号文件、新发改社会[2013]1527号文件、新发改社会[2014]758号文件、巴发改投资[2015]661号文件要求。</w:t>
      </w:r>
    </w:p>
    <w:p w14:paraId="45D1F7EE">
      <w:pPr>
        <w:spacing w:line="360" w:lineRule="auto"/>
        <w:ind w:firstLine="600" w:firstLineChars="200"/>
        <w:outlineLvl w:val="0"/>
        <w:rPr>
          <w:rFonts w:ascii="仿宋_GB2312" w:hAnsi="仿宋_GB2312" w:cs="仿宋_GB2312"/>
          <w:szCs w:val="30"/>
        </w:rPr>
      </w:pPr>
      <w:r>
        <w:rPr>
          <w:rFonts w:hint="eastAsia" w:ascii="仿宋_GB2312" w:hAnsi="仿宋_GB2312" w:cs="仿宋_GB2312"/>
          <w:kern w:val="0"/>
          <w:szCs w:val="30"/>
        </w:rPr>
        <w:t>②</w:t>
      </w:r>
      <w:r>
        <w:rPr>
          <w:rFonts w:hint="eastAsia" w:ascii="仿宋_GB2312" w:hAnsi="仿宋_GB2312" w:cs="仿宋_GB2312"/>
          <w:szCs w:val="30"/>
        </w:rPr>
        <w:t>项目立项与部门职责范围相符，属于部门履职所需。</w:t>
      </w:r>
    </w:p>
    <w:p w14:paraId="53743423">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（2）立项程序规范性</w:t>
      </w:r>
    </w:p>
    <w:p w14:paraId="0597355F">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项目按照规定的程序申请设立；事前已经过必要的可行性研究、专家论证、风险评估、绩效评估、集体决策。</w:t>
      </w:r>
    </w:p>
    <w:p w14:paraId="67719F1E">
      <w:pPr>
        <w:spacing w:line="360" w:lineRule="auto"/>
        <w:ind w:left="600"/>
        <w:outlineLvl w:val="0"/>
        <w:rPr>
          <w:rFonts w:ascii="仿宋_GB2312" w:hAnsi="仿宋_GB2312" w:cs="仿宋_GB2312"/>
          <w:szCs w:val="30"/>
        </w:rPr>
      </w:pPr>
      <w:r>
        <w:rPr>
          <w:rFonts w:hint="eastAsia" w:ascii="仿宋_GB2312" w:hAnsi="仿宋_GB2312" w:cs="仿宋_GB2312"/>
          <w:szCs w:val="30"/>
        </w:rPr>
        <w:t>2、绩效目标分析</w:t>
      </w:r>
    </w:p>
    <w:p w14:paraId="1E39EF31">
      <w:pPr>
        <w:spacing w:line="360" w:lineRule="auto"/>
        <w:ind w:left="600"/>
        <w:outlineLvl w:val="0"/>
        <w:rPr>
          <w:rFonts w:ascii="仿宋_GB2312" w:hAnsi="仿宋_GB2312" w:cs="仿宋_GB2312"/>
          <w:szCs w:val="30"/>
        </w:rPr>
      </w:pPr>
      <w:r>
        <w:rPr>
          <w:rFonts w:hint="eastAsia" w:ascii="仿宋_GB2312" w:hAnsi="仿宋_GB2312" w:cs="仿宋_GB2312"/>
          <w:szCs w:val="30"/>
        </w:rPr>
        <w:t>（1）绩效目标合理性</w:t>
      </w:r>
    </w:p>
    <w:p w14:paraId="098E6790">
      <w:pPr>
        <w:widowControl/>
        <w:spacing w:line="600" w:lineRule="exact"/>
        <w:ind w:left="480" w:leftChars="160"/>
        <w:jc w:val="left"/>
        <w:rPr>
          <w:rFonts w:ascii="仿宋_GB2312" w:hAnsi="仿宋_GB2312" w:cs="仿宋_GB2312"/>
          <w:kern w:val="0"/>
          <w:szCs w:val="30"/>
        </w:rPr>
      </w:pPr>
      <w:r>
        <w:rPr>
          <w:rFonts w:hint="eastAsia" w:ascii="仿宋_GB2312" w:hAnsi="仿宋_GB2312" w:cs="仿宋_GB2312"/>
          <w:kern w:val="0"/>
          <w:szCs w:val="30"/>
        </w:rPr>
        <w:t>项目有绩效目标；项目绩效目标与实际工作内容具有相关性项目预期产出效益和效果符合正常的业绩水平；与预算确定的项目投资额或资金量相匹配。</w:t>
      </w:r>
    </w:p>
    <w:p w14:paraId="26510B13">
      <w:pPr>
        <w:spacing w:line="360" w:lineRule="auto"/>
        <w:ind w:left="600"/>
        <w:outlineLvl w:val="0"/>
        <w:rPr>
          <w:rFonts w:ascii="仿宋_GB2312" w:hAnsi="仿宋_GB2312" w:cs="仿宋_GB2312"/>
          <w:szCs w:val="30"/>
        </w:rPr>
      </w:pPr>
      <w:r>
        <w:rPr>
          <w:rFonts w:hint="eastAsia" w:ascii="仿宋_GB2312" w:hAnsi="仿宋_GB2312" w:cs="仿宋_GB2312"/>
          <w:szCs w:val="30"/>
        </w:rPr>
        <w:t>（2）绩效指标明确性</w:t>
      </w:r>
    </w:p>
    <w:p w14:paraId="4C999B5B">
      <w:pPr>
        <w:spacing w:line="360" w:lineRule="auto"/>
        <w:ind w:left="600"/>
        <w:outlineLvl w:val="0"/>
        <w:rPr>
          <w:rFonts w:ascii="仿宋_GB2312" w:hAnsi="仿宋_GB2312" w:cs="仿宋_GB2312"/>
          <w:szCs w:val="30"/>
        </w:rPr>
      </w:pPr>
      <w:r>
        <w:rPr>
          <w:rFonts w:hint="eastAsia" w:ascii="仿宋_GB2312" w:hAnsi="仿宋_GB2312" w:cs="仿宋_GB2312"/>
          <w:kern w:val="0"/>
          <w:szCs w:val="30"/>
        </w:rPr>
        <w:t>将项目绩效目标细化分解为具体的绩效指标；通过清晰、可衡量的指标值予以体现；与项目目标任务数或计划数相对应。</w:t>
      </w:r>
      <w:r>
        <w:rPr>
          <w:rFonts w:hint="eastAsia" w:ascii="仿宋_GB2312" w:hAnsi="仿宋_GB2312" w:cs="仿宋_GB2312"/>
          <w:kern w:val="0"/>
          <w:szCs w:val="30"/>
        </w:rPr>
        <w:br w:type="textWrapping"/>
      </w:r>
      <w:r>
        <w:rPr>
          <w:rFonts w:hint="eastAsia" w:ascii="仿宋_GB2312" w:hAnsi="仿宋_GB2312" w:cs="仿宋_GB2312"/>
          <w:szCs w:val="30"/>
        </w:rPr>
        <w:t>3、资金投入分析</w:t>
      </w:r>
    </w:p>
    <w:p w14:paraId="7AF3F301">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（1）预算编制科学性：</w:t>
      </w:r>
    </w:p>
    <w:p w14:paraId="7F30C5FD">
      <w:pPr>
        <w:spacing w:line="360" w:lineRule="auto"/>
        <w:ind w:left="720" w:leftChars="240"/>
        <w:outlineLvl w:val="0"/>
        <w:rPr>
          <w:rFonts w:ascii="仿宋_GB2312" w:hAnsi="仿宋_GB2312" w:cs="仿宋_GB2312"/>
          <w:szCs w:val="30"/>
        </w:rPr>
      </w:pPr>
      <w:r>
        <w:rPr>
          <w:rFonts w:hint="eastAsia" w:ascii="仿宋_GB2312" w:hAnsi="仿宋_GB2312" w:cs="仿宋_GB2312"/>
          <w:kern w:val="0"/>
          <w:szCs w:val="30"/>
        </w:rPr>
        <w:t>预算编制经过科学论证；预算内容与项目内容相匹配；预算额度测算依据充分，按照标准编制；预算确定的项目投资额或资金量与工作任务相匹配。</w:t>
      </w:r>
    </w:p>
    <w:p w14:paraId="284CE8A5">
      <w:pPr>
        <w:numPr>
          <w:ilvl w:val="0"/>
          <w:numId w:val="5"/>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资金分配合理性：</w:t>
      </w:r>
    </w:p>
    <w:p w14:paraId="65003511">
      <w:pPr>
        <w:spacing w:line="360" w:lineRule="auto"/>
        <w:ind w:left="960" w:leftChars="320"/>
        <w:outlineLvl w:val="0"/>
        <w:rPr>
          <w:rFonts w:ascii="仿宋_GB2312" w:hAnsi="仿宋_GB2312" w:cs="仿宋_GB2312"/>
          <w:szCs w:val="30"/>
        </w:rPr>
      </w:pPr>
      <w:r>
        <w:rPr>
          <w:rFonts w:hint="eastAsia" w:ascii="仿宋_GB2312" w:hAnsi="仿宋_GB2312" w:cs="仿宋_GB2312"/>
          <w:kern w:val="0"/>
          <w:szCs w:val="30"/>
        </w:rPr>
        <w:t>预算资金分配依据充分；资金分配额度合理，与项目单位实际相适应。</w:t>
      </w:r>
    </w:p>
    <w:p w14:paraId="581CF272">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（二）过程情况分析</w:t>
      </w:r>
    </w:p>
    <w:p w14:paraId="50EE097C">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项目过程包括资金管理和组织实施。项目建立了比较健全的配套资金管理制度，且在项目实施过程中能够按照管理执行。</w:t>
      </w:r>
    </w:p>
    <w:p w14:paraId="699635A4">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1、资金管理分析</w:t>
      </w:r>
    </w:p>
    <w:p w14:paraId="1E11B26A">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（1）资金到位率</w:t>
      </w:r>
    </w:p>
    <w:p w14:paraId="6BAFDDF1">
      <w:pPr>
        <w:widowControl/>
        <w:spacing w:line="600" w:lineRule="exact"/>
        <w:ind w:firstLine="900" w:firstLineChars="300"/>
        <w:rPr>
          <w:rFonts w:ascii="仿宋_GB2312" w:hAnsi="仿宋_GB2312" w:cs="仿宋_GB2312"/>
          <w:kern w:val="0"/>
          <w:szCs w:val="30"/>
        </w:rPr>
      </w:pPr>
      <w:r>
        <w:rPr>
          <w:rFonts w:hint="eastAsia" w:ascii="仿宋_GB2312" w:hAnsi="仿宋_GB2312" w:cs="仿宋_GB2312"/>
          <w:kern w:val="0"/>
          <w:szCs w:val="30"/>
        </w:rPr>
        <w:t>资金到位率=100%。</w:t>
      </w:r>
    </w:p>
    <w:p w14:paraId="3D7E8009">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（2）预算执行率</w:t>
      </w:r>
    </w:p>
    <w:p w14:paraId="4ACC527B">
      <w:pPr>
        <w:spacing w:line="360" w:lineRule="auto"/>
        <w:ind w:firstLine="600" w:firstLineChars="200"/>
        <w:outlineLvl w:val="0"/>
        <w:rPr>
          <w:rFonts w:ascii="仿宋_GB2312" w:hAnsi="仿宋_GB2312" w:cs="仿宋_GB2312"/>
          <w:szCs w:val="30"/>
        </w:rPr>
      </w:pPr>
      <w:r>
        <w:rPr>
          <w:rFonts w:hint="eastAsia" w:ascii="仿宋_GB2312" w:hAnsi="仿宋_GB2312" w:cs="仿宋_GB2312"/>
          <w:kern w:val="0"/>
          <w:szCs w:val="30"/>
        </w:rPr>
        <w:t>预算执行率=100%</w:t>
      </w:r>
    </w:p>
    <w:p w14:paraId="58BD92FC">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（3）资金使用合规性</w:t>
      </w:r>
    </w:p>
    <w:p w14:paraId="71F182A3">
      <w:pPr>
        <w:spacing w:line="360" w:lineRule="auto"/>
        <w:ind w:left="480" w:leftChars="160"/>
        <w:outlineLvl w:val="0"/>
        <w:rPr>
          <w:rFonts w:ascii="仿宋_GB2312" w:hAnsi="仿宋_GB2312" w:cs="仿宋_GB2312"/>
          <w:szCs w:val="30"/>
        </w:rPr>
      </w:pPr>
      <w:r>
        <w:rPr>
          <w:rFonts w:hint="eastAsia" w:ascii="仿宋_GB2312" w:hAnsi="仿宋_GB2312" w:cs="仿宋_GB2312"/>
          <w:kern w:val="0"/>
          <w:szCs w:val="30"/>
        </w:rPr>
        <w:t>符合国家财经法规和财务管理制度以及有关专项资金管理办法的规定；资金的拨付有完整的审批程序和手续；符合项目预算批复或合同规定的用途；不存在截留、挤占、挪用、虚列支出等情况。</w:t>
      </w:r>
    </w:p>
    <w:p w14:paraId="36291944">
      <w:pPr>
        <w:spacing w:line="360" w:lineRule="auto"/>
        <w:ind w:left="600"/>
        <w:outlineLvl w:val="0"/>
        <w:rPr>
          <w:rFonts w:ascii="仿宋_GB2312" w:hAnsi="仿宋_GB2312" w:cs="仿宋_GB2312"/>
          <w:szCs w:val="30"/>
        </w:rPr>
      </w:pPr>
      <w:r>
        <w:rPr>
          <w:rFonts w:hint="eastAsia" w:ascii="仿宋_GB2312" w:hAnsi="仿宋_GB2312" w:cs="仿宋_GB2312"/>
          <w:szCs w:val="30"/>
        </w:rPr>
        <w:t>2、组织实施分析</w:t>
      </w:r>
    </w:p>
    <w:p w14:paraId="3489171A">
      <w:pPr>
        <w:spacing w:line="360" w:lineRule="auto"/>
        <w:ind w:left="600"/>
        <w:outlineLvl w:val="0"/>
        <w:rPr>
          <w:rFonts w:ascii="仿宋_GB2312" w:hAnsi="仿宋_GB2312" w:cs="仿宋_GB2312"/>
          <w:szCs w:val="30"/>
        </w:rPr>
      </w:pPr>
      <w:r>
        <w:rPr>
          <w:rFonts w:hint="eastAsia" w:ascii="仿宋_GB2312" w:hAnsi="仿宋_GB2312" w:cs="仿宋_GB2312"/>
          <w:szCs w:val="30"/>
        </w:rPr>
        <w:t>（1）管理制度健全性</w:t>
      </w:r>
    </w:p>
    <w:p w14:paraId="02611953">
      <w:pPr>
        <w:spacing w:line="360" w:lineRule="auto"/>
        <w:ind w:left="600" w:leftChars="100" w:hanging="300" w:hangingChars="100"/>
        <w:outlineLvl w:val="0"/>
        <w:rPr>
          <w:rFonts w:ascii="仿宋_GB2312" w:hAnsi="仿宋_GB2312" w:cs="仿宋_GB2312"/>
          <w:szCs w:val="30"/>
        </w:rPr>
      </w:pPr>
      <w:r>
        <w:rPr>
          <w:rFonts w:hint="eastAsia" w:ascii="仿宋_GB2312" w:hAnsi="仿宋_GB2312" w:cs="仿宋_GB2312"/>
          <w:kern w:val="0"/>
          <w:szCs w:val="30"/>
        </w:rPr>
        <w:t>具有相应的财务和业务管理制度；财务和业务管理制度合法、合规、完整。</w:t>
      </w:r>
    </w:p>
    <w:p w14:paraId="3D8ED268">
      <w:p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（2）制度执行有效性</w:t>
      </w:r>
    </w:p>
    <w:p w14:paraId="3DAC75C6">
      <w:pPr>
        <w:spacing w:line="360" w:lineRule="auto"/>
        <w:ind w:left="600" w:hanging="600" w:hangingChars="200"/>
        <w:outlineLvl w:val="0"/>
        <w:rPr>
          <w:rFonts w:ascii="仿宋_GB2312" w:hAnsi="仿宋_GB2312" w:cs="仿宋_GB2312"/>
          <w:szCs w:val="30"/>
        </w:rPr>
      </w:pPr>
      <w:r>
        <w:rPr>
          <w:rFonts w:hint="eastAsia" w:ascii="仿宋_GB2312" w:hAnsi="仿宋_GB2312" w:cs="仿宋_GB2312"/>
          <w:szCs w:val="30"/>
        </w:rPr>
        <w:tab/>
      </w:r>
      <w:r>
        <w:rPr>
          <w:rFonts w:hint="eastAsia" w:ascii="仿宋_GB2312" w:hAnsi="仿宋_GB2312" w:cs="仿宋_GB2312"/>
          <w:kern w:val="0"/>
          <w:szCs w:val="30"/>
        </w:rPr>
        <w:t>遵守相关法律法规和相关管理规定；项目调整及支出调整手续完备；项目合同书、验收报告、技术鉴定等资料齐全并及时归档；</w:t>
      </w:r>
      <w:r>
        <w:rPr>
          <w:rFonts w:hint="eastAsia" w:ascii="仿宋_GB2312" w:hAnsi="仿宋_GB2312" w:cs="仿宋_GB2312"/>
          <w:kern w:val="0"/>
          <w:szCs w:val="30"/>
        </w:rPr>
        <w:br w:type="textWrapping"/>
      </w:r>
      <w:r>
        <w:rPr>
          <w:rFonts w:hint="eastAsia" w:ascii="仿宋_GB2312" w:hAnsi="仿宋_GB2312" w:cs="仿宋_GB2312"/>
          <w:kern w:val="0"/>
          <w:szCs w:val="30"/>
        </w:rPr>
        <w:t>项目实施的人员条件、场地设备、信息支撑等落实到位。</w:t>
      </w:r>
    </w:p>
    <w:p w14:paraId="39B407FF">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（三）产出情况分析</w:t>
      </w:r>
    </w:p>
    <w:p w14:paraId="102A4BBF">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项目过程包括产出数量、产出质量、产出时效和产出成本。</w:t>
      </w:r>
    </w:p>
    <w:p w14:paraId="03971438">
      <w:pPr>
        <w:numPr>
          <w:ilvl w:val="0"/>
          <w:numId w:val="6"/>
        </w:num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产出数量分析</w:t>
      </w:r>
    </w:p>
    <w:p w14:paraId="7E61E96C">
      <w:pPr>
        <w:spacing w:line="360" w:lineRule="auto"/>
        <w:ind w:firstLine="640" w:firstLineChars="200"/>
        <w:outlineLvl w:val="0"/>
        <w:rPr>
          <w:rFonts w:ascii="仿宋_GB2312" w:hAnsi="仿宋_GB2312" w:cs="仿宋_GB2312"/>
          <w:kern w:val="0"/>
          <w:szCs w:val="30"/>
        </w:rPr>
      </w:pPr>
      <w:r>
        <w:rPr>
          <w:rFonts w:hint="eastAsia" w:ascii="仿宋_GB2312"/>
          <w:sz w:val="32"/>
          <w:szCs w:val="32"/>
        </w:rPr>
        <w:tab/>
      </w:r>
      <w:r>
        <w:rPr>
          <w:rFonts w:hint="eastAsia" w:ascii="仿宋_GB2312" w:hAnsi="仿宋_GB2312" w:cs="仿宋_GB2312"/>
          <w:kern w:val="0"/>
          <w:szCs w:val="30"/>
        </w:rPr>
        <w:t>基本建设工程量≥3个。已完成，2019年三个分包工程（消防，电梯，空调）均按照施工进度稳步进行。</w:t>
      </w:r>
    </w:p>
    <w:p w14:paraId="0780B730">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项目实际完成率100%。</w:t>
      </w:r>
    </w:p>
    <w:p w14:paraId="36D61F18">
      <w:pPr>
        <w:numPr>
          <w:ilvl w:val="0"/>
          <w:numId w:val="6"/>
        </w:numPr>
        <w:spacing w:line="360" w:lineRule="auto"/>
        <w:ind w:left="600" w:leftChars="200"/>
        <w:outlineLvl w:val="0"/>
        <w:rPr>
          <w:rFonts w:ascii="仿宋_GB2312" w:hAnsi="仿宋_GB2312" w:cs="仿宋_GB2312"/>
          <w:szCs w:val="30"/>
        </w:rPr>
      </w:pPr>
      <w:r>
        <w:rPr>
          <w:rFonts w:hint="eastAsia" w:ascii="仿宋_GB2312" w:hAnsi="仿宋_GB2312" w:cs="仿宋_GB2312"/>
          <w:szCs w:val="30"/>
        </w:rPr>
        <w:t>产出质量分析</w:t>
      </w:r>
    </w:p>
    <w:p w14:paraId="3E7E7A7C">
      <w:pPr>
        <w:spacing w:line="360" w:lineRule="auto"/>
        <w:ind w:firstLine="600" w:firstLineChars="200"/>
        <w:outlineLvl w:val="0"/>
        <w:rPr>
          <w:rFonts w:ascii="仿宋_GB2312" w:hAnsi="仿宋_GB2312" w:cs="仿宋_GB2312"/>
          <w:kern w:val="0"/>
          <w:szCs w:val="30"/>
        </w:rPr>
      </w:pPr>
      <w:r>
        <w:rPr>
          <w:rFonts w:hint="eastAsia" w:ascii="仿宋_GB2312" w:hAnsi="仿宋_GB2312" w:cs="仿宋_GB2312"/>
          <w:kern w:val="0"/>
          <w:szCs w:val="30"/>
        </w:rPr>
        <w:t>工程质量合格率≥90%。已达标，施工工程质量均有专业公司实时监管审定。</w:t>
      </w:r>
    </w:p>
    <w:p w14:paraId="3C89AD9F">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项目完成的质量达标率=100%。</w:t>
      </w:r>
    </w:p>
    <w:p w14:paraId="5F4DA8F8">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3、产出时效分析</w:t>
      </w:r>
    </w:p>
    <w:p w14:paraId="1FF12FA8">
      <w:pPr>
        <w:spacing w:line="360" w:lineRule="auto"/>
        <w:ind w:firstLine="600" w:firstLineChars="200"/>
        <w:outlineLvl w:val="0"/>
        <w:rPr>
          <w:rFonts w:ascii="仿宋_GB2312" w:hAnsi="仿宋_GB2312" w:cs="仿宋_GB2312"/>
          <w:kern w:val="0"/>
          <w:szCs w:val="30"/>
        </w:rPr>
      </w:pPr>
      <w:r>
        <w:rPr>
          <w:rFonts w:hint="eastAsia" w:ascii="仿宋_GB2312" w:hAnsi="仿宋_GB2312" w:cs="仿宋_GB2312"/>
          <w:kern w:val="0"/>
          <w:szCs w:val="30"/>
        </w:rPr>
        <w:t>施工工期2019年1月-2019年12月。已完成完成2019年巴州人民医院医技楼施工进度。</w:t>
      </w:r>
    </w:p>
    <w:p w14:paraId="5FF331C5">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ab/>
      </w:r>
      <w:r>
        <w:rPr>
          <w:rFonts w:hint="eastAsia" w:ascii="仿宋_GB2312" w:hAnsi="仿宋_GB2312" w:cs="仿宋_GB2312"/>
          <w:szCs w:val="30"/>
        </w:rPr>
        <w:t>实际完成时间：在项目进行年度内完成。</w:t>
      </w:r>
    </w:p>
    <w:p w14:paraId="1B1997F4">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4、产出成本分析</w:t>
      </w:r>
    </w:p>
    <w:p w14:paraId="37E4E5BE">
      <w:pPr>
        <w:spacing w:line="360" w:lineRule="auto"/>
        <w:ind w:firstLine="600" w:firstLineChars="200"/>
        <w:outlineLvl w:val="0"/>
        <w:rPr>
          <w:rFonts w:ascii="仿宋_GB2312" w:hAnsi="仿宋_GB2312" w:cs="仿宋_GB2312"/>
          <w:szCs w:val="30"/>
        </w:rPr>
      </w:pPr>
      <w:r>
        <w:rPr>
          <w:rFonts w:hint="eastAsia" w:ascii="仿宋_GB2312" w:hAnsi="仿宋_GB2312" w:cs="仿宋_GB2312"/>
          <w:kern w:val="0"/>
          <w:szCs w:val="30"/>
        </w:rPr>
        <w:t>工程造价≥5700万元。巴州人民医院医技楼项目总包合同价格5700万元</w:t>
      </w:r>
      <w:r>
        <w:rPr>
          <w:rFonts w:hint="eastAsia" w:ascii="仿宋_GB2312" w:hAnsi="仿宋_GB2312" w:cs="仿宋_GB2312"/>
          <w:szCs w:val="30"/>
        </w:rPr>
        <w:t>。</w:t>
      </w:r>
    </w:p>
    <w:p w14:paraId="11FAE36C">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项目完全按照资金预算执行，执行率100%。</w:t>
      </w:r>
    </w:p>
    <w:p w14:paraId="29724954">
      <w:p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（四）项目效益分析</w:t>
      </w:r>
    </w:p>
    <w:p w14:paraId="5ED09F79">
      <w:pPr>
        <w:numPr>
          <w:ilvl w:val="0"/>
          <w:numId w:val="7"/>
        </w:numPr>
        <w:spacing w:line="600" w:lineRule="exact"/>
        <w:ind w:firstLine="600" w:firstLineChars="200"/>
        <w:rPr>
          <w:rFonts w:ascii="仿宋_GB2312" w:hAnsi="仿宋_GB2312" w:cs="仿宋_GB2312"/>
          <w:szCs w:val="30"/>
        </w:rPr>
      </w:pPr>
      <w:r>
        <w:rPr>
          <w:rFonts w:hint="eastAsia" w:ascii="仿宋_GB2312" w:hAnsi="仿宋_GB2312" w:cs="仿宋_GB2312"/>
          <w:szCs w:val="30"/>
        </w:rPr>
        <w:t>项目过程包括实施效益和满意度。</w:t>
      </w:r>
    </w:p>
    <w:p w14:paraId="1B359E05">
      <w:pPr>
        <w:numPr>
          <w:ilvl w:val="0"/>
          <w:numId w:val="8"/>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实施效益</w:t>
      </w:r>
    </w:p>
    <w:p w14:paraId="6D197C69">
      <w:pPr>
        <w:spacing w:line="600" w:lineRule="exact"/>
        <w:rPr>
          <w:rFonts w:ascii="仿宋_GB2312" w:hAnsi="仿宋_GB2312" w:cs="仿宋_GB2312"/>
          <w:szCs w:val="30"/>
        </w:rPr>
      </w:pPr>
      <w:r>
        <w:rPr>
          <w:rFonts w:hint="eastAsia" w:ascii="仿宋_GB2312" w:hAnsi="仿宋_GB2312" w:cs="仿宋_GB2312"/>
          <w:szCs w:val="30"/>
        </w:rPr>
        <w:t>工程完工后住院环境舒适程度提高。巴州人民医院医技楼建设项目完工后可以大幅度改善患者就医环境。</w:t>
      </w:r>
    </w:p>
    <w:p w14:paraId="341A4D1E">
      <w:pPr>
        <w:numPr>
          <w:ilvl w:val="0"/>
          <w:numId w:val="8"/>
        </w:numPr>
        <w:spacing w:line="360" w:lineRule="auto"/>
        <w:ind w:firstLine="600" w:firstLineChars="200"/>
        <w:outlineLvl w:val="0"/>
        <w:rPr>
          <w:rFonts w:ascii="仿宋_GB2312" w:hAnsi="仿宋_GB2312" w:cs="仿宋_GB2312"/>
          <w:szCs w:val="30"/>
        </w:rPr>
      </w:pPr>
      <w:r>
        <w:rPr>
          <w:rFonts w:hint="eastAsia" w:ascii="仿宋_GB2312" w:hAnsi="仿宋_GB2312" w:cs="仿宋_GB2312"/>
          <w:szCs w:val="30"/>
        </w:rPr>
        <w:t>满意度</w:t>
      </w:r>
    </w:p>
    <w:p w14:paraId="4E5EC054">
      <w:pPr>
        <w:spacing w:line="600" w:lineRule="exact"/>
        <w:rPr>
          <w:rFonts w:ascii="仿宋_GB2312" w:hAnsi="仿宋_GB2312" w:cs="仿宋_GB2312"/>
          <w:szCs w:val="30"/>
        </w:rPr>
      </w:pPr>
      <w:r>
        <w:rPr>
          <w:rFonts w:hint="eastAsia" w:ascii="仿宋_GB2312" w:hAnsi="仿宋_GB2312" w:cs="仿宋_GB2312"/>
          <w:szCs w:val="30"/>
        </w:rPr>
        <w:t>满意度指标完成情况分析：</w:t>
      </w:r>
    </w:p>
    <w:p w14:paraId="07B1B0A7">
      <w:pPr>
        <w:spacing w:line="600" w:lineRule="exact"/>
        <w:rPr>
          <w:rFonts w:ascii="仿宋_GB2312" w:hAnsi="仿宋_GB2312" w:cs="仿宋_GB2312"/>
          <w:szCs w:val="30"/>
        </w:rPr>
      </w:pPr>
      <w:r>
        <w:rPr>
          <w:rFonts w:hint="eastAsia" w:ascii="仿宋_GB2312" w:hAnsi="仿宋_GB2312" w:cs="仿宋_GB2312"/>
          <w:szCs w:val="30"/>
        </w:rPr>
        <w:t>（1）全员干部职工满意度≥90%。巴州人民医院医技楼建设项目完工后可以大幅度改善职工工作环境，工程暂未完工。</w:t>
      </w:r>
    </w:p>
    <w:p w14:paraId="6F58AEE3">
      <w:pPr>
        <w:spacing w:line="600" w:lineRule="exact"/>
        <w:rPr>
          <w:rFonts w:ascii="仿宋_GB2312" w:hAnsi="仿宋_GB2312" w:cs="仿宋_GB2312"/>
          <w:szCs w:val="30"/>
        </w:rPr>
      </w:pPr>
      <w:r>
        <w:rPr>
          <w:rFonts w:hint="eastAsia" w:ascii="仿宋_GB2312" w:hAnsi="仿宋_GB2312" w:cs="仿宋_GB2312"/>
          <w:szCs w:val="30"/>
        </w:rPr>
        <w:t>（2）受益人群满意度</w:t>
      </w:r>
      <w:r>
        <w:rPr>
          <w:rFonts w:hint="eastAsia" w:ascii="仿宋_GB2312" w:hAnsi="仿宋_GB2312" w:cs="仿宋_GB2312"/>
          <w:szCs w:val="30"/>
        </w:rPr>
        <w:tab/>
      </w:r>
      <w:r>
        <w:rPr>
          <w:rFonts w:hint="eastAsia" w:ascii="仿宋_GB2312" w:hAnsi="仿宋_GB2312" w:cs="仿宋_GB2312"/>
          <w:szCs w:val="30"/>
        </w:rPr>
        <w:t>≥90%。巴州人民医院医技楼建设项目完工后可以大幅度提高患者就医环境，工程暂未完工。</w:t>
      </w:r>
    </w:p>
    <w:p w14:paraId="0EA17652">
      <w:pPr>
        <w:spacing w:line="360" w:lineRule="auto"/>
        <w:ind w:firstLine="600" w:firstLineChars="200"/>
        <w:rPr>
          <w:rFonts w:ascii="仿宋_GB2312" w:hAnsi="仿宋_GB2312" w:cs="仿宋_GB2312"/>
          <w:szCs w:val="30"/>
        </w:rPr>
      </w:pPr>
      <w:r>
        <w:rPr>
          <w:rFonts w:hint="eastAsia" w:ascii="仿宋_GB2312" w:hAnsi="仿宋_GB2312" w:cs="仿宋_GB2312"/>
          <w:szCs w:val="30"/>
        </w:rPr>
        <w:t>指标完成率为100%。</w:t>
      </w:r>
    </w:p>
    <w:p w14:paraId="3DCB7908">
      <w:pPr>
        <w:spacing w:line="600" w:lineRule="exact"/>
        <w:ind w:firstLine="663" w:firstLineChars="221"/>
        <w:rPr>
          <w:rFonts w:ascii="仿宋_GB2312" w:hAnsi="仿宋_GB2312" w:cs="仿宋_GB2312"/>
        </w:rPr>
      </w:pPr>
      <w:r>
        <w:rPr>
          <w:rFonts w:hint="eastAsia" w:ascii="仿宋_GB2312" w:hAnsi="仿宋_GB2312" w:cs="仿宋_GB2312"/>
        </w:rPr>
        <w:t>五、主要经验及做法、存在的问题及原因分析</w:t>
      </w:r>
    </w:p>
    <w:p w14:paraId="4B1B7A8C">
      <w:pPr>
        <w:spacing w:line="600" w:lineRule="exact"/>
        <w:rPr>
          <w:rFonts w:ascii="仿宋_GB2312" w:hAnsi="仿宋_GB2312" w:cs="仿宋_GB2312"/>
          <w:szCs w:val="30"/>
        </w:rPr>
      </w:pPr>
      <w:r>
        <w:rPr>
          <w:rFonts w:hint="eastAsia" w:ascii="仿宋_GB2312" w:hAnsi="仿宋_GB2312" w:cs="仿宋_GB2312"/>
          <w:szCs w:val="30"/>
        </w:rPr>
        <w:t>（一）、主要经验及做法</w:t>
      </w:r>
    </w:p>
    <w:p w14:paraId="76B15BA6">
      <w:pPr>
        <w:spacing w:line="600" w:lineRule="exact"/>
        <w:rPr>
          <w:rFonts w:ascii="仿宋_GB2312" w:hAnsi="仿宋_GB2312" w:cs="仿宋_GB2312"/>
          <w:szCs w:val="30"/>
        </w:rPr>
      </w:pPr>
      <w:r>
        <w:rPr>
          <w:rFonts w:hint="eastAsia" w:ascii="仿宋_GB2312" w:hAnsi="仿宋_GB2312" w:cs="仿宋_GB2312"/>
          <w:szCs w:val="30"/>
        </w:rPr>
        <w:t>为了有效开展项目，进一步提高专项资金管理水平，在内控的建立与实施过程中，紧密结合本单位工作实际，以问题为导向，有效实现了权力制衡，使单位领导从源头上规避了经济责任风险。主要做法是：</w:t>
      </w:r>
    </w:p>
    <w:p w14:paraId="797B6276">
      <w:pPr>
        <w:spacing w:line="600" w:lineRule="exact"/>
        <w:rPr>
          <w:rFonts w:ascii="仿宋_GB2312" w:hAnsi="仿宋_GB2312" w:cs="仿宋_GB2312"/>
          <w:szCs w:val="30"/>
        </w:rPr>
      </w:pPr>
      <w:r>
        <w:rPr>
          <w:rFonts w:hint="eastAsia" w:ascii="仿宋_GB2312" w:hAnsi="仿宋_GB2312" w:cs="仿宋_GB2312"/>
          <w:szCs w:val="30"/>
        </w:rPr>
        <w:t>　　1、加强内控管理</w:t>
      </w:r>
    </w:p>
    <w:p w14:paraId="65D5DF4B">
      <w:pPr>
        <w:spacing w:line="600" w:lineRule="exact"/>
        <w:ind w:firstLine="543" w:firstLineChars="181"/>
        <w:rPr>
          <w:rFonts w:ascii="仿宋_GB2312" w:hAnsi="仿宋_GB2312" w:cs="仿宋_GB2312"/>
          <w:szCs w:val="30"/>
        </w:rPr>
      </w:pPr>
      <w:r>
        <w:rPr>
          <w:rFonts w:hint="eastAsia" w:ascii="仿宋_GB2312" w:hAnsi="仿宋_GB2312" w:cs="仿宋_GB2312"/>
          <w:szCs w:val="30"/>
        </w:rPr>
        <w:t>　单位内控是一个复杂的体系，工作涉及到预算业务、收支业务、采购业务、资产管理、建设项目、合同管理、内外监督等各项经济活动，需要内部各处室的协作和配合。我院在工作中意识到单位领导重视是推动实施内控的关键。工作中与党风廉政建设密切结合，使单位领导树立起风险防控意识，为内控工作的推进奠定了基础。</w:t>
      </w:r>
    </w:p>
    <w:p w14:paraId="7A5E5C65">
      <w:pPr>
        <w:spacing w:line="600" w:lineRule="exact"/>
        <w:ind w:firstLine="543" w:firstLineChars="181"/>
        <w:rPr>
          <w:rFonts w:ascii="仿宋_GB2312" w:hAnsi="仿宋_GB2312" w:cs="仿宋_GB2312"/>
          <w:szCs w:val="30"/>
        </w:rPr>
      </w:pPr>
      <w:r>
        <w:rPr>
          <w:rFonts w:hint="eastAsia" w:ascii="仿宋_GB2312" w:hAnsi="仿宋_GB2312" w:cs="仿宋_GB2312"/>
          <w:szCs w:val="30"/>
        </w:rPr>
        <w:t>2、构建内控机制，保障内控实施</w:t>
      </w:r>
    </w:p>
    <w:p w14:paraId="295C6F68">
      <w:pPr>
        <w:spacing w:line="600" w:lineRule="exact"/>
        <w:ind w:firstLine="543" w:firstLineChars="181"/>
        <w:rPr>
          <w:rFonts w:ascii="仿宋_GB2312" w:hAnsi="仿宋_GB2312" w:cs="仿宋_GB2312"/>
          <w:szCs w:val="30"/>
        </w:rPr>
      </w:pPr>
      <w:r>
        <w:rPr>
          <w:rFonts w:hint="eastAsia" w:ascii="仿宋_GB2312" w:hAnsi="仿宋_GB2312" w:cs="仿宋_GB2312"/>
          <w:szCs w:val="30"/>
        </w:rPr>
        <w:t>建立了单位层面的内控运行制约机制。主要包括8个方面的内容：内控管理职责分工，经济活动决策机制，关键岗位责任机制，关键人员资质能力，财务信息编报要求，信息技术应用要求，经济活动风险评估，内部控制监督评价。</w:t>
      </w:r>
    </w:p>
    <w:p w14:paraId="68A6160E">
      <w:pPr>
        <w:numPr>
          <w:ilvl w:val="0"/>
          <w:numId w:val="9"/>
        </w:numPr>
        <w:spacing w:line="600" w:lineRule="exact"/>
        <w:ind w:firstLine="543" w:firstLineChars="181"/>
        <w:rPr>
          <w:rFonts w:ascii="仿宋_GB2312" w:hAnsi="仿宋_GB2312" w:cs="仿宋_GB2312"/>
          <w:szCs w:val="30"/>
        </w:rPr>
      </w:pPr>
      <w:r>
        <w:rPr>
          <w:rFonts w:hint="eastAsia" w:ascii="仿宋_GB2312" w:hAnsi="仿宋_GB2312" w:cs="仿宋_GB2312"/>
          <w:szCs w:val="30"/>
        </w:rPr>
        <w:t>存在问题及原因</w:t>
      </w:r>
    </w:p>
    <w:p w14:paraId="60434FA9">
      <w:pPr>
        <w:spacing w:line="600" w:lineRule="exact"/>
        <w:ind w:firstLine="600" w:firstLineChars="200"/>
        <w:rPr>
          <w:rFonts w:ascii="仿宋_GB2312" w:hAnsi="仿宋_GB2312" w:cs="仿宋_GB2312"/>
          <w:szCs w:val="30"/>
        </w:rPr>
      </w:pPr>
      <w:r>
        <w:rPr>
          <w:rFonts w:hint="eastAsia" w:ascii="仿宋_GB2312" w:hAnsi="仿宋_GB2312" w:cs="仿宋_GB2312"/>
          <w:szCs w:val="30"/>
        </w:rPr>
        <w:t>无</w:t>
      </w:r>
    </w:p>
    <w:p w14:paraId="0C88423C">
      <w:pPr>
        <w:spacing w:line="600" w:lineRule="exact"/>
        <w:ind w:firstLine="600" w:firstLineChars="200"/>
        <w:rPr>
          <w:rFonts w:ascii="仿宋_GB2312" w:hAnsi="仿宋_GB2312" w:cs="仿宋_GB2312"/>
        </w:rPr>
      </w:pPr>
      <w:r>
        <w:rPr>
          <w:rFonts w:hint="eastAsia" w:ascii="仿宋_GB2312" w:hAnsi="仿宋_GB2312" w:cs="仿宋_GB2312"/>
        </w:rPr>
        <w:t>六、有关建议</w:t>
      </w:r>
    </w:p>
    <w:p w14:paraId="585D6385">
      <w:pPr>
        <w:spacing w:line="600" w:lineRule="exact"/>
        <w:ind w:firstLine="528" w:firstLineChars="181"/>
        <w:rPr>
          <w:rStyle w:val="9"/>
          <w:rFonts w:ascii="仿宋_GB2312" w:hAnsi="仿宋_GB2312" w:cs="仿宋_GB2312"/>
          <w:b w:val="0"/>
          <w:spacing w:val="-4"/>
          <w:szCs w:val="30"/>
        </w:rPr>
      </w:pPr>
      <w:r>
        <w:rPr>
          <w:rStyle w:val="9"/>
          <w:rFonts w:hint="eastAsia" w:ascii="仿宋_GB2312" w:hAnsi="仿宋_GB2312" w:cs="仿宋_GB2312"/>
          <w:b w:val="0"/>
          <w:spacing w:val="-4"/>
          <w:szCs w:val="30"/>
        </w:rPr>
        <w:t>1、加强项目资金的预算管理，认真准确及时编制单位部门项目资金预算计划，在执行过程中加强监督管理，细化项目实施过程，分时段拨付资金。</w:t>
      </w:r>
    </w:p>
    <w:p w14:paraId="170E7F7E">
      <w:pPr>
        <w:spacing w:line="600" w:lineRule="exact"/>
        <w:ind w:firstLine="528" w:firstLineChars="181"/>
        <w:rPr>
          <w:rFonts w:ascii="仿宋_GB2312" w:hAnsi="仿宋_GB2312" w:cs="仿宋_GB2312"/>
          <w:szCs w:val="30"/>
        </w:rPr>
      </w:pPr>
      <w:r>
        <w:rPr>
          <w:rStyle w:val="9"/>
          <w:rFonts w:hint="eastAsia" w:ascii="仿宋_GB2312" w:hAnsi="仿宋_GB2312" w:cs="仿宋_GB2312"/>
          <w:b w:val="0"/>
          <w:spacing w:val="-4"/>
          <w:szCs w:val="30"/>
        </w:rPr>
        <w:t>2、</w:t>
      </w:r>
      <w:r>
        <w:rPr>
          <w:rFonts w:hint="eastAsia" w:ascii="仿宋_GB2312" w:hAnsi="仿宋_GB2312" w:cs="仿宋_GB2312"/>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14:paraId="2E4A0030">
      <w:pPr>
        <w:spacing w:line="600" w:lineRule="exact"/>
        <w:ind w:firstLine="543" w:firstLineChars="181"/>
        <w:rPr>
          <w:rFonts w:ascii="仿宋_GB2312" w:hAnsi="仿宋_GB2312" w:cs="仿宋_GB2312"/>
        </w:rPr>
      </w:pPr>
      <w:r>
        <w:rPr>
          <w:rFonts w:hint="eastAsia" w:ascii="仿宋_GB2312" w:hAnsi="仿宋_GB2312" w:cs="仿宋_GB2312"/>
        </w:rPr>
        <w:t>七、其他需要说明的问题</w:t>
      </w:r>
    </w:p>
    <w:p w14:paraId="6215BAB0">
      <w:pPr>
        <w:pStyle w:val="6"/>
        <w:shd w:val="clear" w:color="auto" w:fill="FFFFFF"/>
        <w:spacing w:before="0" w:beforeAutospacing="0" w:after="120" w:afterAutospacing="0" w:line="320" w:lineRule="atLeast"/>
        <w:ind w:firstLine="480"/>
        <w:jc w:val="both"/>
        <w:rPr>
          <w:rFonts w:ascii="仿宋_GB2312" w:hAnsi="仿宋_GB2312" w:cs="仿宋_GB2312"/>
          <w:sz w:val="32"/>
          <w:szCs w:val="32"/>
        </w:rPr>
        <w:sectPr>
          <w:footerReference r:id="rId3" w:type="default"/>
          <w:pgSz w:w="11906" w:h="16838"/>
          <w:pgMar w:top="1928" w:right="1531" w:bottom="1701" w:left="1531" w:header="737" w:footer="851" w:gutter="0"/>
          <w:cols w:space="720" w:num="1"/>
          <w:docGrid w:type="lines" w:linePitch="408" w:charSpace="0"/>
        </w:sectPr>
      </w:pPr>
      <w:r>
        <w:rPr>
          <w:rFonts w:hint="eastAsia" w:ascii="仿宋_GB2312" w:hAnsi="仿宋_GB2312" w:cs="仿宋_GB2312"/>
          <w:sz w:val="32"/>
          <w:szCs w:val="32"/>
        </w:rPr>
        <w:t>无</w:t>
      </w:r>
    </w:p>
    <w:p w14:paraId="3706C182">
      <w:pPr>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1C0BCBD4">
      <w:pPr>
        <w:pStyle w:val="2"/>
        <w:spacing w:before="0" w:after="0" w:line="240" w:lineRule="auto"/>
        <w:jc w:val="center"/>
        <w:rPr>
          <w:bCs/>
          <w:color w:val="000000"/>
        </w:rPr>
      </w:pP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27ADC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640CF1F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6B1770F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26BABCC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4FDFDC4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1A0274D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2B007C1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031DC888">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3A4F0F1">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6CD57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648C40C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232F80A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D8441F1">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2E0DEC2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71A027D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1B700A1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3F6F7B1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项目立项符合法律法规、相关政策、发展规划以及部门职责。</w:t>
            </w:r>
          </w:p>
        </w:tc>
        <w:tc>
          <w:tcPr>
            <w:tcW w:w="7341" w:type="dxa"/>
            <w:tcBorders>
              <w:bottom w:val="single" w:color="auto" w:sz="4" w:space="0"/>
              <w:tl2br w:val="nil"/>
              <w:tr2bl w:val="nil"/>
            </w:tcBorders>
            <w:shd w:val="clear" w:color="auto" w:fill="FFFFFF"/>
            <w:vAlign w:val="center"/>
          </w:tcPr>
          <w:p w14:paraId="0A541C5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④项目属于公共财政支持范围，符合中央、地方事权支出责任划分原则；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⑤项目与相关部门同类项目或部门内部相关项目不重复。</w:t>
            </w:r>
          </w:p>
        </w:tc>
        <w:tc>
          <w:tcPr>
            <w:tcW w:w="841" w:type="dxa"/>
            <w:gridSpan w:val="2"/>
            <w:tcBorders>
              <w:top w:val="single" w:color="auto" w:sz="4" w:space="0"/>
              <w:bottom w:val="single" w:color="auto" w:sz="4" w:space="0"/>
              <w:right w:val="single" w:color="auto" w:sz="4" w:space="0"/>
            </w:tcBorders>
          </w:tcPr>
          <w:p w14:paraId="26F68F0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12837B5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72DF52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650FFB02">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3C0C87E">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10ECD7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6174668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01889FD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项目申请、设立过程符合相关要求。</w:t>
            </w:r>
          </w:p>
        </w:tc>
        <w:tc>
          <w:tcPr>
            <w:tcW w:w="7341" w:type="dxa"/>
            <w:tcBorders>
              <w:tl2br w:val="nil"/>
              <w:tr2bl w:val="nil"/>
            </w:tcBorders>
            <w:shd w:val="clear" w:color="auto" w:fill="FFFFFF"/>
            <w:vAlign w:val="center"/>
          </w:tcPr>
          <w:p w14:paraId="62A74688">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14:paraId="68FB60F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0122EE0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7B00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4350DC0A">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C4F752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383235D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3CCD9E8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20E6F05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项目所设定的绩效目标依据充分，符合客观实际。</w:t>
            </w:r>
          </w:p>
        </w:tc>
        <w:tc>
          <w:tcPr>
            <w:tcW w:w="7341" w:type="dxa"/>
            <w:tcBorders>
              <w:tl2br w:val="nil"/>
              <w:tr2bl w:val="nil"/>
            </w:tcBorders>
            <w:shd w:val="clear" w:color="000000" w:fill="FFFFFF"/>
            <w:vAlign w:val="center"/>
          </w:tcPr>
          <w:p w14:paraId="2ED67A7E">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③项目预期产出效益和效果符合正常的业绩水平；</w:t>
            </w:r>
          </w:p>
          <w:p w14:paraId="67B71514">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④与预算确定的项目投资额或资金量相匹配。</w:t>
            </w:r>
          </w:p>
        </w:tc>
        <w:tc>
          <w:tcPr>
            <w:tcW w:w="841" w:type="dxa"/>
            <w:gridSpan w:val="2"/>
            <w:tcBorders>
              <w:top w:val="single" w:color="auto" w:sz="4" w:space="0"/>
              <w:bottom w:val="single" w:color="auto" w:sz="4" w:space="0"/>
              <w:right w:val="single" w:color="auto" w:sz="4" w:space="0"/>
            </w:tcBorders>
          </w:tcPr>
          <w:p w14:paraId="5CB8CC0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0278EC0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903F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79912E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08ACEE5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136811F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4D8F8E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2153B37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依据绩效目标设定的绩效指标清晰、细化、可衡量等。</w:t>
            </w:r>
          </w:p>
        </w:tc>
        <w:tc>
          <w:tcPr>
            <w:tcW w:w="7341" w:type="dxa"/>
            <w:tcBorders>
              <w:tl2br w:val="nil"/>
              <w:tr2bl w:val="nil"/>
            </w:tcBorders>
            <w:shd w:val="clear" w:color="000000" w:fill="FFFFFF"/>
            <w:vAlign w:val="center"/>
          </w:tcPr>
          <w:p w14:paraId="73C05FB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14:paraId="2CFDB7E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5955DC6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081D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6BF413C7">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10C8BD6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6F55D79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53D930F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FF5B7B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77EE21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项目预算编制经过科学论证、有明确标准，资金额度与年度目标相适应。</w:t>
            </w:r>
          </w:p>
        </w:tc>
        <w:tc>
          <w:tcPr>
            <w:tcW w:w="7341" w:type="dxa"/>
            <w:tcBorders>
              <w:tl2br w:val="nil"/>
              <w:tr2bl w:val="nil"/>
            </w:tcBorders>
            <w:shd w:val="clear" w:color="auto" w:fill="FFFFFF"/>
            <w:vAlign w:val="center"/>
          </w:tcPr>
          <w:p w14:paraId="0AF9CA1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③预算额度测算依据充分，按照标准编制；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④预算确定的项目投资额或资金量与工作任务相匹配。</w:t>
            </w:r>
          </w:p>
        </w:tc>
        <w:tc>
          <w:tcPr>
            <w:tcW w:w="841" w:type="dxa"/>
            <w:gridSpan w:val="2"/>
            <w:tcBorders>
              <w:top w:val="single" w:color="auto" w:sz="4" w:space="0"/>
              <w:bottom w:val="single" w:color="auto" w:sz="4" w:space="0"/>
              <w:right w:val="single" w:color="auto" w:sz="4" w:space="0"/>
            </w:tcBorders>
          </w:tcPr>
          <w:p w14:paraId="3E1F884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017FEC2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72D5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78FC5686">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96C5B5D">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888D1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2CA2B85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035CA14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项目预算资金分配有测算依据，与补助单位或地方实际相适应。</w:t>
            </w:r>
          </w:p>
        </w:tc>
        <w:tc>
          <w:tcPr>
            <w:tcW w:w="7341" w:type="dxa"/>
            <w:tcBorders>
              <w:bottom w:val="single" w:color="auto" w:sz="4" w:space="0"/>
              <w:tl2br w:val="nil"/>
              <w:tr2bl w:val="nil"/>
            </w:tcBorders>
            <w:shd w:val="clear" w:color="auto" w:fill="FFFFFF"/>
            <w:vAlign w:val="center"/>
          </w:tcPr>
          <w:p w14:paraId="02A23B0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②资金分配额度合理，与项目单位或地方实际相适应。</w:t>
            </w:r>
          </w:p>
        </w:tc>
        <w:tc>
          <w:tcPr>
            <w:tcW w:w="841" w:type="dxa"/>
            <w:gridSpan w:val="2"/>
            <w:tcBorders>
              <w:top w:val="single" w:color="auto" w:sz="4" w:space="0"/>
              <w:bottom w:val="single" w:color="auto" w:sz="4" w:space="0"/>
              <w:right w:val="single" w:color="auto" w:sz="4" w:space="0"/>
            </w:tcBorders>
          </w:tcPr>
          <w:p w14:paraId="381BCF5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6EAE2B9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E27D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7966E62E">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5E3F9F2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4A1E07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083A9AD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718CA1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7DF14E7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665D987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14:paraId="56761B6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41831E1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73517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11C3D8ED">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DB1BEE3">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3BBC1D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2374DCE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项目预算资金按照计划执行。</w:t>
            </w:r>
          </w:p>
        </w:tc>
        <w:tc>
          <w:tcPr>
            <w:tcW w:w="7341" w:type="dxa"/>
            <w:tcBorders>
              <w:tl2br w:val="nil"/>
              <w:tr2bl w:val="nil"/>
            </w:tcBorders>
            <w:shd w:val="clear" w:color="auto" w:fill="FFFFFF"/>
            <w:vAlign w:val="center"/>
          </w:tcPr>
          <w:p w14:paraId="1911DFF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14:paraId="654C4FF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250F5E3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4D8B0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32A08B5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E71595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197BD4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273DAA9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18DCD2A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47FFD8D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项目资金使用符合相关的财务管理制度规定。</w:t>
            </w:r>
          </w:p>
        </w:tc>
        <w:tc>
          <w:tcPr>
            <w:tcW w:w="7341" w:type="dxa"/>
            <w:tcBorders>
              <w:bottom w:val="single" w:color="auto" w:sz="4" w:space="0"/>
              <w:tl2br w:val="nil"/>
              <w:tr2bl w:val="nil"/>
            </w:tcBorders>
            <w:shd w:val="clear" w:color="000000" w:fill="FFFFFF"/>
            <w:vAlign w:val="center"/>
          </w:tcPr>
          <w:p w14:paraId="22C5323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④不存在截留、挤占、挪用、虚列支出等情况。</w:t>
            </w:r>
          </w:p>
        </w:tc>
        <w:tc>
          <w:tcPr>
            <w:tcW w:w="829" w:type="dxa"/>
            <w:tcBorders>
              <w:top w:val="single" w:color="auto" w:sz="4" w:space="0"/>
              <w:bottom w:val="single" w:color="auto" w:sz="4" w:space="0"/>
              <w:right w:val="single" w:color="auto" w:sz="4" w:space="0"/>
            </w:tcBorders>
          </w:tcPr>
          <w:p w14:paraId="2E63D6B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504EE4A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20AEA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6A350095">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2A42E1C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D8360E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37E31B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3A382BF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1C81B07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项目实施单位的财务和业务管理制度健全。</w:t>
            </w:r>
          </w:p>
        </w:tc>
        <w:tc>
          <w:tcPr>
            <w:tcW w:w="7341" w:type="dxa"/>
            <w:tcBorders>
              <w:tl2br w:val="nil"/>
              <w:tr2bl w:val="nil"/>
            </w:tcBorders>
            <w:shd w:val="clear" w:color="000000" w:fill="FFFFFF"/>
            <w:vAlign w:val="center"/>
          </w:tcPr>
          <w:p w14:paraId="57739CC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②财务和业务管理制度合法、合规、完整。</w:t>
            </w:r>
          </w:p>
        </w:tc>
        <w:tc>
          <w:tcPr>
            <w:tcW w:w="829" w:type="dxa"/>
            <w:tcBorders>
              <w:top w:val="single" w:color="auto" w:sz="4" w:space="0"/>
              <w:bottom w:val="single" w:color="auto" w:sz="4" w:space="0"/>
              <w:right w:val="single" w:color="auto" w:sz="4" w:space="0"/>
            </w:tcBorders>
          </w:tcPr>
          <w:p w14:paraId="3A84303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4C03C85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3D46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2034E09E">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AEFC79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F2F588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09DCE4D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0EC52BD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项目实施符合相关管理规定，用以反映和考核相关管理制度的有效执行情况。</w:t>
            </w:r>
          </w:p>
        </w:tc>
        <w:tc>
          <w:tcPr>
            <w:tcW w:w="7341" w:type="dxa"/>
            <w:tcBorders>
              <w:tl2br w:val="nil"/>
              <w:tr2bl w:val="nil"/>
            </w:tcBorders>
            <w:shd w:val="clear" w:color="000000" w:fill="FFFFFF"/>
            <w:vAlign w:val="center"/>
          </w:tcPr>
          <w:p w14:paraId="4963CE9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④项目实施的人员条件、场地设备、信息支撑等落实到位。</w:t>
            </w:r>
          </w:p>
        </w:tc>
        <w:tc>
          <w:tcPr>
            <w:tcW w:w="829" w:type="dxa"/>
            <w:tcBorders>
              <w:top w:val="single" w:color="auto" w:sz="4" w:space="0"/>
              <w:bottom w:val="single" w:color="auto" w:sz="4" w:space="0"/>
              <w:right w:val="single" w:color="auto" w:sz="4" w:space="0"/>
            </w:tcBorders>
          </w:tcPr>
          <w:p w14:paraId="0D54890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6CE99A1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59E4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0AA03D9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1A80494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4FB227E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0785879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7E76D56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14:paraId="7BB4DCD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27BC2C7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3D71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748D12B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D37123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165BAC4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2721E7D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18878C8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2EDAC8B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14:paraId="5C97F09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505E4A1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6477D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7049D165">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072E077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028AA2B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2719318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4066279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14:paraId="355F446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3C088B8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452C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5B10B100">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997C69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27591DE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2EDE165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6B75058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14:paraId="724A53B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0559267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D6FA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3B2FDA3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09A5399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639815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34B69D24">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585EFF2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14:paraId="6BE646B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7A5EFA4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6D92CF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5F3B6FDF">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D7C8A9C">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F934E5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23DCFC3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0E74D30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14:paraId="3B721BD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290D9DE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p w14:paraId="7CE41787"/>
    <w:p w14:paraId="231A4AF6"/>
    <w:p w14:paraId="00CD72C0">
      <w:pPr>
        <w:pStyle w:val="6"/>
        <w:shd w:val="clear" w:color="auto" w:fill="FFFFFF"/>
        <w:spacing w:before="0" w:beforeAutospacing="0" w:after="120" w:afterAutospacing="0" w:line="320" w:lineRule="atLeast"/>
        <w:ind w:firstLine="480"/>
        <w:jc w:val="both"/>
        <w:rPr>
          <w:rFonts w:ascii="仿宋_GB2312" w:hAnsi="仿宋_GB2312" w:cs="仿宋_GB2312"/>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w..">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0FAD7">
    <w:pPr>
      <w:pStyle w:val="4"/>
      <w:jc w:val="center"/>
    </w:pPr>
    <w:r>
      <w:fldChar w:fldCharType="begin"/>
    </w:r>
    <w:r>
      <w:instrText xml:space="preserve"> PAGE   \* MERGEFORMAT </w:instrText>
    </w:r>
    <w:r>
      <w:fldChar w:fldCharType="separate"/>
    </w:r>
    <w:r>
      <w:rPr>
        <w:lang w:val="zh-CN"/>
      </w:rPr>
      <w:t>13</w:t>
    </w:r>
    <w:r>
      <w:fldChar w:fldCharType="end"/>
    </w:r>
  </w:p>
  <w:p w14:paraId="76192CD3">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C6ED1"/>
    <w:multiLevelType w:val="singleLevel"/>
    <w:tmpl w:val="985C6ED1"/>
    <w:lvl w:ilvl="0" w:tentative="0">
      <w:start w:val="1"/>
      <w:numFmt w:val="decimal"/>
      <w:suff w:val="nothing"/>
      <w:lvlText w:val="%1、"/>
      <w:lvlJc w:val="left"/>
      <w:pPr>
        <w:ind w:left="1050" w:firstLine="0"/>
      </w:pPr>
    </w:lvl>
  </w:abstractNum>
  <w:abstractNum w:abstractNumId="1">
    <w:nsid w:val="A04E20D0"/>
    <w:multiLevelType w:val="singleLevel"/>
    <w:tmpl w:val="A04E20D0"/>
    <w:lvl w:ilvl="0" w:tentative="0">
      <w:start w:val="2"/>
      <w:numFmt w:val="decimal"/>
      <w:suff w:val="nothing"/>
      <w:lvlText w:val="（%1）"/>
      <w:lvlJc w:val="left"/>
    </w:lvl>
  </w:abstractNum>
  <w:abstractNum w:abstractNumId="2">
    <w:nsid w:val="A21D4563"/>
    <w:multiLevelType w:val="singleLevel"/>
    <w:tmpl w:val="A21D4563"/>
    <w:lvl w:ilvl="0" w:tentative="0">
      <w:start w:val="1"/>
      <w:numFmt w:val="decimal"/>
      <w:suff w:val="nothing"/>
      <w:lvlText w:val="%1、"/>
      <w:lvlJc w:val="left"/>
    </w:lvl>
  </w:abstractNum>
  <w:abstractNum w:abstractNumId="3">
    <w:nsid w:val="DD61B141"/>
    <w:multiLevelType w:val="singleLevel"/>
    <w:tmpl w:val="DD61B141"/>
    <w:lvl w:ilvl="0" w:tentative="0">
      <w:start w:val="4"/>
      <w:numFmt w:val="decimal"/>
      <w:suff w:val="nothing"/>
      <w:lvlText w:val="%1、"/>
      <w:lvlJc w:val="left"/>
    </w:lvl>
  </w:abstractNum>
  <w:abstractNum w:abstractNumId="4">
    <w:nsid w:val="F2116444"/>
    <w:multiLevelType w:val="singleLevel"/>
    <w:tmpl w:val="F2116444"/>
    <w:lvl w:ilvl="0" w:tentative="0">
      <w:start w:val="2"/>
      <w:numFmt w:val="decimal"/>
      <w:suff w:val="nothing"/>
      <w:lvlText w:val="%1、"/>
      <w:lvlJc w:val="left"/>
      <w:pPr>
        <w:ind w:left="1050" w:firstLine="0"/>
      </w:pPr>
    </w:lvl>
  </w:abstractNum>
  <w:abstractNum w:abstractNumId="5">
    <w:nsid w:val="1B6B3BC6"/>
    <w:multiLevelType w:val="singleLevel"/>
    <w:tmpl w:val="1B6B3BC6"/>
    <w:lvl w:ilvl="0" w:tentative="0">
      <w:start w:val="2"/>
      <w:numFmt w:val="chineseCounting"/>
      <w:suff w:val="nothing"/>
      <w:lvlText w:val="%1、"/>
      <w:lvlJc w:val="left"/>
      <w:rPr>
        <w:rFonts w:hint="eastAsia"/>
      </w:rPr>
    </w:lvl>
  </w:abstractNum>
  <w:abstractNum w:abstractNumId="6">
    <w:nsid w:val="41199EE3"/>
    <w:multiLevelType w:val="singleLevel"/>
    <w:tmpl w:val="41199EE3"/>
    <w:lvl w:ilvl="0" w:tentative="0">
      <w:start w:val="2"/>
      <w:numFmt w:val="chineseCounting"/>
      <w:suff w:val="nothing"/>
      <w:lvlText w:val="（%1）"/>
      <w:lvlJc w:val="left"/>
      <w:rPr>
        <w:rFonts w:hint="eastAsia"/>
      </w:rPr>
    </w:lvl>
  </w:abstractNum>
  <w:abstractNum w:abstractNumId="7">
    <w:nsid w:val="5248631E"/>
    <w:multiLevelType w:val="singleLevel"/>
    <w:tmpl w:val="5248631E"/>
    <w:lvl w:ilvl="0" w:tentative="0">
      <w:start w:val="1"/>
      <w:numFmt w:val="decimal"/>
      <w:suff w:val="nothing"/>
      <w:lvlText w:val="%1、"/>
      <w:lvlJc w:val="left"/>
    </w:lvl>
  </w:abstractNum>
  <w:abstractNum w:abstractNumId="8">
    <w:nsid w:val="5EAA99D9"/>
    <w:multiLevelType w:val="singleLevel"/>
    <w:tmpl w:val="5EAA99D9"/>
    <w:lvl w:ilvl="0" w:tentative="0">
      <w:start w:val="2"/>
      <w:numFmt w:val="decimal"/>
      <w:suff w:val="nothing"/>
      <w:lvlText w:val="（%1）"/>
      <w:lvlJc w:val="left"/>
    </w:lvl>
  </w:abstractNum>
  <w:num w:numId="1">
    <w:abstractNumId w:val="3"/>
  </w:num>
  <w:num w:numId="2">
    <w:abstractNumId w:val="6"/>
  </w:num>
  <w:num w:numId="3">
    <w:abstractNumId w:val="0"/>
  </w:num>
  <w:num w:numId="4">
    <w:abstractNumId w:val="4"/>
  </w:num>
  <w:num w:numId="5">
    <w:abstractNumId w:val="1"/>
  </w:num>
  <w:num w:numId="6">
    <w:abstractNumId w:val="7"/>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124208"/>
    <w:rsid w:val="00001C17"/>
    <w:rsid w:val="00124208"/>
    <w:rsid w:val="00834352"/>
    <w:rsid w:val="00870B02"/>
    <w:rsid w:val="00996002"/>
    <w:rsid w:val="00D53398"/>
    <w:rsid w:val="00F87820"/>
    <w:rsid w:val="22AA2BB9"/>
    <w:rsid w:val="618416D4"/>
    <w:rsid w:val="652C11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4"/>
    <w:unhideWhenUsed/>
    <w:qFormat/>
    <w:uiPriority w:val="99"/>
    <w:pPr>
      <w:shd w:val="clear" w:color="auto" w:fill="000080"/>
    </w:pPr>
    <w:rPr>
      <w:rFonts w:ascii="仿宋_GB2312" w:hAnsi="新宋体"/>
      <w:sz w:val="3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0"/>
    <w:rPr>
      <w:rFonts w:ascii="Arial" w:hAnsi="Arial" w:eastAsia="黑体" w:cs="Times New Roman"/>
      <w:b/>
      <w:sz w:val="32"/>
      <w:szCs w:val="24"/>
    </w:rPr>
  </w:style>
  <w:style w:type="paragraph" w:customStyle="1" w:styleId="13">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 w:type="character" w:customStyle="1" w:styleId="14">
    <w:name w:val="文档结构图 Char"/>
    <w:basedOn w:val="8"/>
    <w:link w:val="3"/>
    <w:qFormat/>
    <w:uiPriority w:val="99"/>
    <w:rPr>
      <w:rFonts w:ascii="仿宋_GB2312" w:hAnsi="新宋体" w:eastAsia="仿宋_GB2312" w:cs="Times New Roman"/>
      <w:kern w:val="2"/>
      <w:sz w:val="32"/>
      <w:szCs w:val="24"/>
      <w:shd w:val="clear" w:color="auto" w:fill="00008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17</Pages>
  <Words>6654</Words>
  <Characters>6883</Characters>
  <Lines>51</Lines>
  <Paragraphs>14</Paragraphs>
  <TotalTime>10</TotalTime>
  <ScaleCrop>false</ScaleCrop>
  <LinksUpToDate>false</LinksUpToDate>
  <CharactersWithSpaces>6906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2020-06-02T18:52:00Z</dcterms:created>
  <dc:creator>CurUserName</dc:creator>
  <cp:lastModifiedBy>Qxb</cp:lastModifiedBy>
  <cp:lastPrinted>2020-04-16T02:27:00Z</cp:lastPrinted>
  <dcterms:modified xsi:type="dcterms:W3CDTF">2025-02-07T04:19:06Z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9220ACAC2B6F450EAF78BCF96C53FAE3_12</vt:lpwstr>
  </property>
  <property fmtid="{D5CDD505-2E9C-101B-9397-08002B2CF9AE}" pid="4" name="KSOTemplateDocerSaveRecord">
    <vt:lpwstr>eyJoZGlkIjoiNjhiMzgzMWJiNDVmMjc4YmZhYzYxZmZlMGEwZTI0MDIiLCJ1c2VySWQiOiIxMDczMzg0NjQwIn0=</vt:lpwstr>
  </property>
</Properties>
</file>