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hAnsi="仿宋_GB2312" w:cs="仿宋_GB2312"/>
        </w:rPr>
      </w:pPr>
      <w:r>
        <w:rPr>
          <w:rFonts w:hint="eastAsia" w:ascii="仿宋_GB2312" w:hAnsi="仿宋_GB2312" w:cs="仿宋_GB2312"/>
        </w:rPr>
        <w:t>附件·2</w:t>
      </w:r>
    </w:p>
    <w:p>
      <w:pPr>
        <w:spacing w:line="540" w:lineRule="exact"/>
        <w:jc w:val="center"/>
        <w:rPr>
          <w:rFonts w:ascii="仿宋_GB2312" w:hAnsi="仿宋_GB2312" w:cs="仿宋_GB2312"/>
          <w:b/>
          <w:kern w:val="0"/>
          <w:sz w:val="48"/>
          <w:szCs w:val="48"/>
        </w:rPr>
      </w:pPr>
      <w:r>
        <w:rPr>
          <w:rFonts w:hint="eastAsia" w:ascii="仿宋_GB2312" w:hAnsi="仿宋_GB2312" w:cs="仿宋_GB2312"/>
          <w:b/>
          <w:kern w:val="0"/>
          <w:sz w:val="48"/>
          <w:szCs w:val="48"/>
        </w:rPr>
        <w:t>项目支出绩效部门评价报告</w:t>
      </w:r>
    </w:p>
    <w:p>
      <w:pPr>
        <w:spacing w:line="540" w:lineRule="exact"/>
        <w:ind w:firstLine="1044" w:firstLineChars="200"/>
        <w:jc w:val="center"/>
        <w:rPr>
          <w:rFonts w:ascii="仿宋_GB2312" w:hAnsi="仿宋_GB2312" w:cs="仿宋_GB2312"/>
          <w:b/>
          <w:kern w:val="0"/>
          <w:sz w:val="52"/>
          <w:szCs w:val="52"/>
        </w:rPr>
      </w:pPr>
    </w:p>
    <w:p>
      <w:pPr>
        <w:spacing w:line="540" w:lineRule="exact"/>
        <w:jc w:val="center"/>
        <w:rPr>
          <w:rFonts w:ascii="仿宋_GB2312" w:hAnsi="仿宋_GB2312" w:cs="仿宋_GB2312"/>
          <w:kern w:val="0"/>
          <w:sz w:val="36"/>
          <w:szCs w:val="36"/>
        </w:rPr>
      </w:pPr>
      <w:r>
        <w:rPr>
          <w:rFonts w:hint="eastAsia" w:ascii="仿宋_GB2312" w:hAnsi="仿宋_GB2312" w:cs="仿宋_GB2312"/>
          <w:kern w:val="0"/>
          <w:sz w:val="36"/>
          <w:szCs w:val="36"/>
        </w:rPr>
        <w:t>（2019年度）</w:t>
      </w: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rPr>
          <w:rFonts w:ascii="仿宋_GB2312" w:hAnsi="仿宋_GB2312" w:cs="仿宋_GB2312"/>
          <w:kern w:val="0"/>
          <w:szCs w:val="30"/>
        </w:rPr>
      </w:pPr>
    </w:p>
    <w:p>
      <w:pPr>
        <w:ind w:left="2520" w:leftChars="240" w:right="750" w:rightChars="250" w:hanging="1800" w:hangingChars="500"/>
        <w:outlineLvl w:val="0"/>
        <w:rPr>
          <w:rFonts w:ascii="仿宋_GB2312" w:hAnsi="仿宋_GB2312" w:cs="仿宋_GB2312"/>
          <w:kern w:val="0"/>
          <w:sz w:val="36"/>
          <w:szCs w:val="36"/>
        </w:rPr>
      </w:pPr>
      <w:r>
        <w:rPr>
          <w:rFonts w:hint="eastAsia" w:ascii="仿宋_GB2312" w:hAnsi="仿宋_GB2312" w:cs="仿宋_GB2312"/>
          <w:kern w:val="0"/>
          <w:sz w:val="36"/>
          <w:szCs w:val="36"/>
        </w:rPr>
        <w:t>项目名称：公立医院改革（取消药品加成）</w:t>
      </w:r>
    </w:p>
    <w:p>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实施单位（公章）：巴州人民医院</w:t>
      </w:r>
    </w:p>
    <w:p>
      <w:pPr>
        <w:ind w:firstLine="720" w:firstLineChars="200"/>
        <w:jc w:val="left"/>
        <w:outlineLvl w:val="0"/>
        <w:rPr>
          <w:rFonts w:hint="eastAsia" w:ascii="仿宋_GB2312" w:hAnsi="仿宋_GB2312" w:eastAsia="仿宋_GB2312" w:cs="仿宋_GB2312"/>
          <w:kern w:val="0"/>
          <w:sz w:val="36"/>
          <w:szCs w:val="36"/>
          <w:lang w:eastAsia="zh-CN"/>
        </w:rPr>
      </w:pPr>
      <w:r>
        <w:rPr>
          <w:rFonts w:hint="eastAsia" w:ascii="仿宋_GB2312" w:hAnsi="仿宋_GB2312" w:cs="仿宋_GB2312"/>
          <w:kern w:val="0"/>
          <w:sz w:val="36"/>
          <w:szCs w:val="36"/>
        </w:rPr>
        <w:t>主管部门（公章）：巴州</w:t>
      </w:r>
      <w:r>
        <w:rPr>
          <w:rFonts w:hint="eastAsia" w:ascii="仿宋_GB2312" w:hAnsi="仿宋_GB2312" w:cs="仿宋_GB2312"/>
          <w:kern w:val="0"/>
          <w:sz w:val="36"/>
          <w:szCs w:val="36"/>
          <w:lang w:eastAsia="zh-CN"/>
        </w:rPr>
        <w:t>卫健委</w:t>
      </w:r>
      <w:bookmarkStart w:id="1" w:name="_GoBack"/>
      <w:bookmarkEnd w:id="1"/>
    </w:p>
    <w:p>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项目负责人（签章）：王成伟</w:t>
      </w:r>
    </w:p>
    <w:p>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填报时间：2020年6月</w:t>
      </w:r>
    </w:p>
    <w:p>
      <w:pPr>
        <w:widowControl/>
        <w:jc w:val="left"/>
        <w:rPr>
          <w:rFonts w:ascii="仿宋_GB2312" w:hAnsi="仿宋_GB2312" w:cs="仿宋_GB2312"/>
          <w:szCs w:val="30"/>
        </w:rPr>
      </w:pPr>
      <w:r>
        <w:rPr>
          <w:rFonts w:hint="eastAsia" w:ascii="仿宋_GB2312" w:hAnsi="仿宋_GB2312" w:cs="仿宋_GB2312"/>
          <w:szCs w:val="30"/>
        </w:rPr>
        <w:br w:type="page"/>
      </w:r>
    </w:p>
    <w:p>
      <w:pPr>
        <w:spacing w:line="600" w:lineRule="exact"/>
        <w:jc w:val="center"/>
        <w:rPr>
          <w:rFonts w:ascii="仿宋_GB2312" w:hAnsi="仿宋_GB2312" w:cs="仿宋_GB2312"/>
          <w:szCs w:val="30"/>
        </w:rPr>
      </w:pPr>
    </w:p>
    <w:p>
      <w:pPr>
        <w:spacing w:line="600" w:lineRule="exact"/>
        <w:ind w:firstLine="600" w:firstLineChars="200"/>
        <w:rPr>
          <w:rFonts w:ascii="仿宋_GB2312" w:hAnsi="仿宋_GB2312" w:cs="仿宋_GB2312"/>
        </w:rPr>
      </w:pPr>
      <w:r>
        <w:rPr>
          <w:rFonts w:hint="eastAsia" w:ascii="仿宋_GB2312" w:hAnsi="仿宋_GB2312" w:cs="仿宋_GB2312"/>
        </w:rPr>
        <w:t>一、基本情况</w:t>
      </w:r>
    </w:p>
    <w:p>
      <w:pPr>
        <w:spacing w:line="600" w:lineRule="exact"/>
        <w:ind w:firstLine="600" w:firstLineChars="200"/>
        <w:outlineLvl w:val="0"/>
        <w:rPr>
          <w:rFonts w:ascii="仿宋_GB2312" w:hAnsi="仿宋_GB2312" w:cs="仿宋_GB2312"/>
          <w:szCs w:val="30"/>
        </w:rPr>
      </w:pPr>
      <w:r>
        <w:rPr>
          <w:rFonts w:hint="eastAsia" w:ascii="仿宋_GB2312" w:hAnsi="仿宋_GB2312" w:cs="仿宋_GB2312"/>
          <w:szCs w:val="30"/>
        </w:rPr>
        <w:t>（一）项目概况</w:t>
      </w:r>
    </w:p>
    <w:p>
      <w:pPr>
        <w:spacing w:line="600" w:lineRule="exact"/>
        <w:ind w:firstLine="600" w:firstLineChars="200"/>
        <w:rPr>
          <w:rFonts w:ascii="仿宋_GB2312" w:hAnsi="仿宋_GB2312" w:cs="仿宋_GB2312"/>
          <w:szCs w:val="30"/>
        </w:rPr>
      </w:pPr>
      <w:r>
        <w:rPr>
          <w:rFonts w:ascii="仿宋_GB2312" w:hAnsi="仿宋_GB2312" w:cs="仿宋_GB2312"/>
          <w:szCs w:val="30"/>
        </w:rPr>
        <w:t>1</w:t>
      </w:r>
      <w:r>
        <w:rPr>
          <w:rFonts w:hint="eastAsia" w:ascii="仿宋_GB2312" w:hAnsi="仿宋_GB2312" w:cs="仿宋_GB2312"/>
          <w:szCs w:val="30"/>
        </w:rPr>
        <w:t>、项目背景：</w:t>
      </w:r>
    </w:p>
    <w:p>
      <w:pPr>
        <w:spacing w:line="600" w:lineRule="exact"/>
        <w:ind w:firstLine="600" w:firstLineChars="200"/>
        <w:rPr>
          <w:rFonts w:ascii="仿宋_GB2312" w:hAnsi="仿宋_GB2312" w:cs="仿宋_GB2312"/>
          <w:szCs w:val="30"/>
        </w:rPr>
      </w:pPr>
      <w:r>
        <w:rPr>
          <w:rFonts w:hint="eastAsia" w:ascii="仿宋_GB2312" w:hAnsi="仿宋_GB2312" w:cs="仿宋_GB2312"/>
          <w:szCs w:val="30"/>
        </w:rPr>
        <w:t>贯彻落实《国务院办公厅关于全面推开县级公立医院综合改革的实施意见》（国办发【2015】33号）、《关于巩固破除药补医成果持续深化公立医院综合改革的通知》（国卫体改发【2018】4号）、《国务院办公厅关于印发深化医药卫生体制改革2018年下半年重点工作任务的通知》（国办发【2018】83号）文件。作为医疗卫生服务终端的公立医院，集各种矛盾和问题于一身，成为医改绕不开的"堡垒"。</w:t>
      </w:r>
    </w:p>
    <w:p>
      <w:pPr>
        <w:spacing w:line="600" w:lineRule="exact"/>
        <w:ind w:firstLine="600" w:firstLineChars="200"/>
        <w:rPr>
          <w:rFonts w:ascii="仿宋_GB2312" w:hAnsi="仿宋_GB2312" w:cs="仿宋_GB2312"/>
          <w:szCs w:val="30"/>
        </w:rPr>
      </w:pPr>
      <w:r>
        <w:rPr>
          <w:rFonts w:ascii="仿宋_GB2312" w:hAnsi="仿宋_GB2312" w:cs="仿宋_GB2312"/>
          <w:szCs w:val="30"/>
        </w:rPr>
        <w:t>2</w:t>
      </w:r>
      <w:r>
        <w:rPr>
          <w:rFonts w:hint="eastAsia" w:ascii="仿宋_GB2312" w:hAnsi="仿宋_GB2312" w:cs="仿宋_GB2312"/>
          <w:szCs w:val="30"/>
        </w:rPr>
        <w:t>、项目主要内容</w:t>
      </w:r>
    </w:p>
    <w:p>
      <w:pPr>
        <w:spacing w:line="600" w:lineRule="exact"/>
        <w:ind w:firstLine="600" w:firstLineChars="200"/>
        <w:rPr>
          <w:rFonts w:ascii="仿宋_GB2312" w:hAnsi="仿宋_GB2312" w:cs="仿宋_GB2312"/>
          <w:szCs w:val="30"/>
        </w:rPr>
      </w:pPr>
      <w:r>
        <w:rPr>
          <w:rFonts w:hint="eastAsia" w:ascii="仿宋_GB2312" w:hAnsi="仿宋_GB2312" w:cs="仿宋_GB2312"/>
          <w:szCs w:val="30"/>
        </w:rPr>
        <w:t>公立医院综合改革，破除公立医院逐利机制，落实政府的领导责任、保障责任、管理责任、监督责任，构建起布局合理、分工协作的医疗服务体系和分级诊疗就医格局，有效缓解群众看病难、看病贵问题。</w:t>
      </w:r>
    </w:p>
    <w:p>
      <w:pPr>
        <w:spacing w:line="600" w:lineRule="exact"/>
        <w:ind w:firstLine="600" w:firstLineChars="200"/>
        <w:rPr>
          <w:rFonts w:ascii="仿宋_GB2312" w:hAnsi="仿宋_GB2312" w:cs="仿宋_GB2312"/>
          <w:szCs w:val="30"/>
        </w:rPr>
      </w:pPr>
      <w:r>
        <w:rPr>
          <w:rFonts w:ascii="仿宋_GB2312" w:hAnsi="仿宋_GB2312" w:cs="仿宋_GB2312"/>
          <w:szCs w:val="30"/>
        </w:rPr>
        <w:t>3</w:t>
      </w:r>
      <w:r>
        <w:rPr>
          <w:rFonts w:hint="eastAsia" w:ascii="仿宋_GB2312" w:hAnsi="仿宋_GB2312" w:cs="仿宋_GB2312"/>
          <w:szCs w:val="30"/>
        </w:rPr>
        <w:t>、项目实施情况</w:t>
      </w:r>
    </w:p>
    <w:p>
      <w:pPr>
        <w:spacing w:line="600" w:lineRule="exact"/>
        <w:rPr>
          <w:rFonts w:ascii="仿宋_GB2312" w:hAnsi="仿宋_GB2312" w:cs="仿宋_GB2312"/>
          <w:szCs w:val="30"/>
        </w:rPr>
      </w:pPr>
      <w:r>
        <w:rPr>
          <w:rFonts w:hint="eastAsia" w:ascii="仿宋_GB2312" w:hAnsi="仿宋_GB2312" w:cs="仿宋_GB2312"/>
          <w:szCs w:val="30"/>
        </w:rPr>
        <w:t>破除以药补医，取消药品加成，降低医用耗材和大型医用设备检查检验价格，提高诊疗、手术、护理等体现医务人员技术劳务价值的项目价格;完善公立医院管理体制，实行政事分开和管办分开，逐步取消公立医院行政级别;建立规范高效的运行机制，建立符合医疗卫生行业特点的人事薪酬制度，做到多劳多得、优绩优酬;建立以质量为核心、公益性为导向的医院考评机制;控制公立医院医疗费用不合理增长。</w:t>
      </w:r>
    </w:p>
    <w:p>
      <w:pPr>
        <w:numPr>
          <w:ilvl w:val="0"/>
          <w:numId w:val="1"/>
        </w:numPr>
        <w:spacing w:line="600" w:lineRule="exact"/>
        <w:ind w:left="600" w:leftChars="200"/>
        <w:rPr>
          <w:rFonts w:ascii="仿宋_GB2312" w:hAnsi="仿宋_GB2312" w:cs="仿宋_GB2312"/>
          <w:szCs w:val="30"/>
        </w:rPr>
      </w:pPr>
      <w:r>
        <w:rPr>
          <w:rFonts w:hint="eastAsia" w:ascii="仿宋_GB2312" w:hAnsi="仿宋_GB2312" w:cs="仿宋_GB2312"/>
          <w:szCs w:val="30"/>
        </w:rPr>
        <w:t>项目资金投入和使用情况</w:t>
      </w:r>
    </w:p>
    <w:p>
      <w:pPr>
        <w:spacing w:line="600" w:lineRule="exact"/>
        <w:rPr>
          <w:rFonts w:ascii="仿宋_GB2312" w:hAnsi="仿宋_GB2312" w:cs="仿宋_GB2312"/>
          <w:szCs w:val="30"/>
        </w:rPr>
      </w:pPr>
      <w:r>
        <w:rPr>
          <w:rFonts w:hint="eastAsia" w:ascii="仿宋_GB2312" w:hAnsi="仿宋_GB2312" w:cs="仿宋_GB2312"/>
          <w:szCs w:val="30"/>
        </w:rPr>
        <w:t xml:space="preserve">    2019年拨付我院公立医院改革（取消药品加成）项目经费950万元，已于2019年全部到位并执行完毕，此项目款为公立医院综合改革取消药品加成的政策性补亏，经费已全部用于支付医院药品款。</w:t>
      </w:r>
    </w:p>
    <w:p>
      <w:pPr>
        <w:numPr>
          <w:ilvl w:val="0"/>
          <w:numId w:val="2"/>
        </w:numPr>
        <w:spacing w:line="600" w:lineRule="exact"/>
        <w:ind w:firstLine="600" w:firstLineChars="200"/>
        <w:rPr>
          <w:rFonts w:ascii="仿宋_GB2312" w:hAnsi="仿宋_GB2312" w:cs="仿宋_GB2312"/>
        </w:rPr>
      </w:pPr>
      <w:r>
        <w:rPr>
          <w:rFonts w:hint="eastAsia" w:ascii="仿宋_GB2312" w:hAnsi="仿宋_GB2312" w:cs="仿宋_GB2312"/>
        </w:rPr>
        <w:t>项目绩效目标。</w:t>
      </w:r>
    </w:p>
    <w:p>
      <w:pPr>
        <w:numPr>
          <w:ilvl w:val="0"/>
          <w:numId w:val="3"/>
        </w:numPr>
        <w:spacing w:line="600" w:lineRule="exact"/>
        <w:rPr>
          <w:rFonts w:ascii="仿宋_GB2312" w:hAnsi="仿宋_GB2312" w:cs="仿宋_GB2312"/>
          <w:szCs w:val="30"/>
        </w:rPr>
      </w:pPr>
      <w:r>
        <w:rPr>
          <w:rFonts w:hint="eastAsia" w:ascii="仿宋_GB2312" w:hAnsi="仿宋_GB2312" w:cs="仿宋_GB2312"/>
          <w:szCs w:val="30"/>
        </w:rPr>
        <w:t>总体目标</w:t>
      </w:r>
    </w:p>
    <w:p>
      <w:pPr>
        <w:spacing w:line="600" w:lineRule="exact"/>
        <w:ind w:firstLine="600" w:firstLineChars="200"/>
        <w:rPr>
          <w:rFonts w:ascii="仿宋_GB2312" w:hAnsi="仿宋_GB2312" w:cs="仿宋_GB2312"/>
          <w:szCs w:val="30"/>
        </w:rPr>
      </w:pPr>
      <w:r>
        <w:rPr>
          <w:rFonts w:hint="eastAsia" w:ascii="仿宋_GB2312" w:hAnsi="仿宋_GB2312" w:cs="仿宋_GB2312"/>
          <w:szCs w:val="30"/>
        </w:rPr>
        <w:t>着力推进公立医院管理体制、补偿机制、价格机制、人事编制、收入分配、医疗监管等体制改革。加快建立健全科学合理的分级诊疗制度。通过建立健全分级诊疗制度和发展医联体，以家庭医生签约服务为重要手段，结合实际推行多种形式的分级诊疗模式，促进基层首诊、双向转诊、急慢分治、上下联动的就医新秩序，为各族群众提供综合、连续、协同的基本医疗卫生服务，增强各族群众的获得感。</w:t>
      </w:r>
    </w:p>
    <w:p>
      <w:pPr>
        <w:numPr>
          <w:ilvl w:val="0"/>
          <w:numId w:val="4"/>
        </w:numPr>
        <w:spacing w:line="600" w:lineRule="exact"/>
        <w:rPr>
          <w:rFonts w:ascii="仿宋_GB2312" w:hAnsi="仿宋_GB2312" w:cs="仿宋_GB2312"/>
          <w:szCs w:val="30"/>
        </w:rPr>
      </w:pPr>
      <w:r>
        <w:rPr>
          <w:rFonts w:hint="eastAsia" w:ascii="仿宋_GB2312" w:hAnsi="仿宋_GB2312" w:cs="仿宋_GB2312"/>
          <w:szCs w:val="30"/>
        </w:rPr>
        <w:t>阶段性目标</w:t>
      </w:r>
    </w:p>
    <w:p>
      <w:pPr>
        <w:spacing w:line="600" w:lineRule="exact"/>
        <w:ind w:firstLine="600" w:firstLineChars="200"/>
        <w:rPr>
          <w:rFonts w:ascii="仿宋_GB2312" w:hAnsi="仿宋_GB2312" w:cs="仿宋_GB2312"/>
          <w:szCs w:val="30"/>
        </w:rPr>
      </w:pPr>
      <w:r>
        <w:rPr>
          <w:rFonts w:hint="eastAsia" w:ascii="仿宋_GB2312" w:hAnsi="仿宋_GB2312" w:cs="仿宋_GB2312"/>
          <w:szCs w:val="30"/>
        </w:rPr>
        <w:t>破除以药补医，取消药品加成，降低医用耗材和大型医用设备检查检验价格，提高诊疗、手术、护理等体现医务人员技术劳务价值的项目价格。</w:t>
      </w:r>
    </w:p>
    <w:p>
      <w:pPr>
        <w:spacing w:line="600" w:lineRule="exact"/>
        <w:ind w:firstLine="600" w:firstLineChars="200"/>
        <w:rPr>
          <w:rFonts w:ascii="仿宋_GB2312" w:hAnsi="仿宋_GB2312" w:cs="仿宋_GB2312"/>
        </w:rPr>
      </w:pPr>
      <w:r>
        <w:rPr>
          <w:rFonts w:hint="eastAsia" w:ascii="仿宋_GB2312" w:hAnsi="仿宋_GB2312" w:cs="仿宋_GB2312"/>
        </w:rPr>
        <w:t>二、绩效评价工作开展情况</w:t>
      </w:r>
    </w:p>
    <w:p>
      <w:pPr>
        <w:spacing w:line="600" w:lineRule="exact"/>
        <w:ind w:firstLine="600" w:firstLineChars="200"/>
        <w:rPr>
          <w:rFonts w:ascii="仿宋_GB2312" w:hAnsi="仿宋_GB2312" w:cs="仿宋_GB2312"/>
        </w:rPr>
      </w:pPr>
      <w:r>
        <w:rPr>
          <w:rFonts w:hint="eastAsia" w:ascii="仿宋_GB2312" w:hAnsi="仿宋_GB2312" w:cs="仿宋_GB2312"/>
        </w:rPr>
        <w:t>（一）绩效评价目的、对象和范围。</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旨在通过评价改善预算部门的财政支出管理，优化资源配置及提高公共服务水平。本次绩效评价遵循《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XX项目，及时总结经验，分析存在问题及原因，切实采取有效措施进一步改进和加强财政专项资金管理，推动财政资金聚力增效，提高公共服务供给质量，增强政府公信力和执行力。</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w:t>
      </w:r>
      <w:r>
        <w:rPr>
          <w:rFonts w:ascii="仿宋_GB2312" w:hAnsi="仿宋_GB2312" w:cs="仿宋_GB2312"/>
          <w:bCs/>
          <w:szCs w:val="30"/>
          <w:lang w:bidi="en-US"/>
        </w:rPr>
        <w:t>的对象：</w:t>
      </w:r>
      <w:r>
        <w:rPr>
          <w:rFonts w:hint="eastAsia" w:ascii="仿宋_GB2312" w:hAnsi="仿宋_GB2312" w:cs="仿宋_GB2312"/>
          <w:bCs/>
          <w:szCs w:val="30"/>
          <w:lang w:bidi="en-US"/>
        </w:rPr>
        <w:t>公立医院改革（取消药品加成）项目，实施单位巴州人民医院。</w:t>
      </w:r>
    </w:p>
    <w:p>
      <w:pPr>
        <w:spacing w:line="600" w:lineRule="exact"/>
        <w:ind w:firstLine="600" w:firstLineChars="200"/>
        <w:rPr>
          <w:rFonts w:ascii="仿宋_GB2312"/>
        </w:rPr>
      </w:pPr>
      <w:r>
        <w:rPr>
          <w:rFonts w:hint="eastAsia" w:ascii="仿宋_GB2312" w:hAnsi="仿宋_GB2312" w:cs="仿宋_GB2312"/>
          <w:bCs/>
          <w:szCs w:val="30"/>
          <w:lang w:bidi="en-US"/>
        </w:rPr>
        <w:t>绩效评价</w:t>
      </w:r>
      <w:r>
        <w:rPr>
          <w:rFonts w:ascii="仿宋_GB2312" w:hAnsi="仿宋_GB2312" w:cs="仿宋_GB2312"/>
          <w:bCs/>
          <w:szCs w:val="30"/>
          <w:lang w:bidi="en-US"/>
        </w:rPr>
        <w:t>的范围：</w:t>
      </w:r>
      <w:r>
        <w:rPr>
          <w:rFonts w:hint="eastAsia" w:ascii="仿宋_GB2312" w:hAnsi="仿宋_GB2312" w:cs="仿宋_GB2312"/>
          <w:bCs/>
          <w:szCs w:val="30"/>
          <w:lang w:bidi="en-US"/>
        </w:rPr>
        <w:t>医院深入开展公立医院改革工作，取消药品加成，加快建立现代医院管理制度的成效。</w:t>
      </w:r>
    </w:p>
    <w:p>
      <w:pPr>
        <w:spacing w:line="600" w:lineRule="exact"/>
        <w:ind w:firstLine="602" w:firstLineChars="200"/>
        <w:rPr>
          <w:rFonts w:ascii="仿宋_GB2312" w:hAnsi="仿宋_GB2312" w:cs="仿宋_GB2312"/>
          <w:b/>
        </w:rPr>
      </w:pPr>
      <w:r>
        <w:rPr>
          <w:rFonts w:hint="eastAsia" w:ascii="仿宋_GB2312" w:hAnsi="仿宋_GB2312" w:cs="仿宋_GB2312"/>
          <w:b/>
        </w:rPr>
        <w:t>（二）绩效评价原则、评价指标体系（附表说明）、评价方法、评价标准等。</w:t>
      </w:r>
    </w:p>
    <w:p>
      <w:pPr>
        <w:spacing w:line="600" w:lineRule="exact"/>
        <w:ind w:firstLine="640"/>
        <w:rPr>
          <w:rFonts w:ascii="仿宋_GB2312" w:hAnsi="仿宋_GB2312" w:cs="仿宋_GB2312"/>
          <w:bCs/>
          <w:szCs w:val="30"/>
        </w:rPr>
      </w:pPr>
      <w:r>
        <w:rPr>
          <w:rFonts w:hint="eastAsia" w:ascii="仿宋_GB2312" w:hAnsi="仿宋_GB2312" w:cs="仿宋_GB2312"/>
          <w:bCs/>
          <w:szCs w:val="30"/>
        </w:rPr>
        <w:t>1、绩效评价原则：</w:t>
      </w:r>
    </w:p>
    <w:p>
      <w:pPr>
        <w:spacing w:line="600" w:lineRule="exact"/>
        <w:ind w:firstLine="640"/>
        <w:rPr>
          <w:rFonts w:ascii="仿宋_GB2312" w:hAnsi="仿宋_GB2312" w:cs="仿宋_GB2312"/>
          <w:bCs/>
          <w:szCs w:val="30"/>
          <w:lang w:bidi="en-US"/>
        </w:rPr>
      </w:pPr>
      <w:r>
        <w:rPr>
          <w:rFonts w:hint="eastAsia" w:ascii="仿宋_GB2312" w:hAnsi="仿宋_GB2312" w:cs="仿宋_GB2312"/>
          <w:bCs/>
          <w:szCs w:val="30"/>
          <w:lang w:bidi="en-US"/>
        </w:rPr>
        <w:t>（1）科学公正。绩效评价应当运用科学合理的方法，按照规范的程序，对项目绩效进行客观、公正的反映。</w:t>
      </w:r>
    </w:p>
    <w:p>
      <w:pPr>
        <w:spacing w:line="600" w:lineRule="exact"/>
        <w:ind w:firstLine="640"/>
        <w:rPr>
          <w:rFonts w:ascii="仿宋_GB2312" w:hAnsi="仿宋_GB2312" w:cs="仿宋_GB2312"/>
          <w:bCs/>
          <w:szCs w:val="30"/>
          <w:lang w:bidi="en-US"/>
        </w:rPr>
      </w:pPr>
      <w:r>
        <w:rPr>
          <w:rFonts w:hint="eastAsia" w:ascii="仿宋_GB2312" w:hAnsi="仿宋_GB2312" w:cs="仿宋_GB2312"/>
          <w:bCs/>
          <w:szCs w:val="30"/>
          <w:lang w:bidi="en-US"/>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hAnsi="仿宋_GB2312" w:cs="仿宋_GB2312"/>
          <w:bCs/>
          <w:szCs w:val="30"/>
          <w:lang w:bidi="en-US"/>
        </w:rPr>
      </w:pPr>
      <w:r>
        <w:rPr>
          <w:rFonts w:hint="eastAsia" w:ascii="仿宋_GB2312" w:hAnsi="仿宋_GB2312" w:cs="仿宋_GB2312"/>
          <w:bCs/>
          <w:szCs w:val="30"/>
          <w:lang w:bidi="en-US"/>
        </w:rPr>
        <w:t>（3）激励约束。绩效评价结果应与预算安排、政策调整、改进管理实质性挂钩，体现奖优罚劣和激励相容导向，有效要安排、低效要压减、无效要问责。</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（4）公开透明。绩效评价结果应依法依规公开，并自觉接受社会监督。</w:t>
      </w:r>
    </w:p>
    <w:p>
      <w:pPr>
        <w:spacing w:line="600" w:lineRule="exact"/>
        <w:ind w:firstLine="600" w:firstLineChars="200"/>
        <w:rPr>
          <w:rFonts w:ascii="仿宋_GB2312" w:hAnsi="仿宋_GB2312" w:cs="仿宋_GB2312"/>
          <w:bCs/>
          <w:szCs w:val="30"/>
        </w:rPr>
      </w:pPr>
      <w:r>
        <w:rPr>
          <w:rFonts w:hint="eastAsia" w:ascii="仿宋_GB2312" w:hAnsi="仿宋_GB2312" w:cs="仿宋_GB2312"/>
          <w:bCs/>
          <w:szCs w:val="30"/>
        </w:rPr>
        <w:t>2、</w:t>
      </w:r>
      <w:r>
        <w:rPr>
          <w:rFonts w:hint="eastAsia" w:ascii="仿宋_GB2312" w:hAnsi="仿宋_GB2312" w:cs="仿宋_GB2312"/>
          <w:szCs w:val="30"/>
        </w:rPr>
        <w:t>项</w:t>
      </w:r>
      <w:r>
        <w:rPr>
          <w:rFonts w:hint="eastAsia" w:ascii="仿宋_GB2312" w:hAnsi="仿宋_GB2312" w:cs="仿宋_GB2312"/>
          <w:bCs/>
          <w:szCs w:val="30"/>
        </w:rPr>
        <w:t>支出绩效评价指标体系框架：</w:t>
      </w:r>
    </w:p>
    <w:p>
      <w:pPr>
        <w:pStyle w:val="13"/>
        <w:spacing w:line="520" w:lineRule="exact"/>
        <w:ind w:firstLine="699" w:firstLineChars="233"/>
        <w:rPr>
          <w:rFonts w:ascii="仿宋_GB2312" w:hAnsi="仿宋_GB2312" w:eastAsia="仿宋_GB2312" w:cs="仿宋_GB2312"/>
          <w:bCs/>
          <w:color w:val="auto"/>
          <w:kern w:val="2"/>
          <w:sz w:val="30"/>
          <w:szCs w:val="30"/>
          <w:lang w:bidi="en-US"/>
        </w:rPr>
      </w:pPr>
      <w:r>
        <w:rPr>
          <w:rFonts w:hint="eastAsia" w:ascii="仿宋_GB2312" w:hAnsi="仿宋_GB2312" w:eastAsia="仿宋_GB2312" w:cs="仿宋_GB2312"/>
          <w:bCs/>
          <w:color w:val="auto"/>
          <w:kern w:val="2"/>
          <w:sz w:val="30"/>
          <w:szCs w:val="30"/>
          <w:lang w:bidi="en-US"/>
        </w:rPr>
        <w:t>公立医院改革（取消药品加成）</w:t>
      </w:r>
      <w:r>
        <w:rPr>
          <w:rFonts w:ascii="仿宋_GB2312" w:hAnsi="仿宋_GB2312" w:eastAsia="仿宋_GB2312" w:cs="仿宋_GB2312"/>
          <w:bCs/>
          <w:color w:val="auto"/>
          <w:kern w:val="2"/>
          <w:sz w:val="30"/>
          <w:szCs w:val="30"/>
          <w:lang w:bidi="en-US"/>
        </w:rPr>
        <w:t>项目绩效评价指标体系的设计参照财政部《项目支出绩效评价指标体系框架》决策和过程在此框架的基础上结合项目的特点适当进行完善，产出和效益根据项目特点进行了细化。</w:t>
      </w:r>
    </w:p>
    <w:p>
      <w:pPr>
        <w:pStyle w:val="13"/>
        <w:spacing w:line="520" w:lineRule="exact"/>
        <w:ind w:firstLine="699" w:firstLineChars="233"/>
        <w:rPr>
          <w:rFonts w:ascii="仿宋_GB2312" w:hAnsi="仿宋_GB2312" w:eastAsia="仿宋_GB2312" w:cs="仿宋_GB2312"/>
          <w:bCs/>
          <w:color w:val="auto"/>
          <w:kern w:val="2"/>
          <w:sz w:val="30"/>
          <w:szCs w:val="30"/>
          <w:lang w:bidi="en-US"/>
        </w:rPr>
      </w:pPr>
      <w:r>
        <w:rPr>
          <w:rFonts w:ascii="仿宋_GB2312" w:hAnsi="仿宋_GB2312" w:eastAsia="仿宋_GB2312" w:cs="仿宋_GB2312"/>
          <w:bCs/>
          <w:color w:val="auto"/>
          <w:kern w:val="2"/>
          <w:sz w:val="30"/>
          <w:szCs w:val="30"/>
          <w:lang w:bidi="en-US"/>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hint="eastAsia" w:ascii="仿宋_GB2312" w:hAnsi="仿宋_GB2312" w:eastAsia="仿宋_GB2312" w:cs="仿宋_GB2312"/>
          <w:bCs/>
          <w:color w:val="auto"/>
          <w:kern w:val="2"/>
          <w:sz w:val="30"/>
          <w:szCs w:val="30"/>
          <w:lang w:bidi="en-US"/>
        </w:rPr>
        <w:t>公立医院改革（取消药品加成）</w:t>
      </w:r>
      <w:r>
        <w:rPr>
          <w:rFonts w:ascii="仿宋_GB2312" w:hAnsi="仿宋_GB2312" w:eastAsia="仿宋_GB2312" w:cs="仿宋_GB2312"/>
          <w:bCs/>
          <w:color w:val="auto"/>
          <w:kern w:val="2"/>
          <w:sz w:val="30"/>
          <w:szCs w:val="30"/>
          <w:lang w:bidi="en-US"/>
        </w:rPr>
        <w:t>项目绩效评价指标体系</w:t>
      </w:r>
    </w:p>
    <w:p>
      <w:pPr>
        <w:pStyle w:val="13"/>
        <w:spacing w:line="520" w:lineRule="exact"/>
        <w:ind w:firstLine="708"/>
        <w:rPr>
          <w:rFonts w:ascii="Times New Roman" w:eastAsia="仿宋_GB2312" w:cs="Times New Roman"/>
          <w:spacing w:val="-8"/>
          <w:sz w:val="32"/>
          <w:szCs w:val="32"/>
        </w:rPr>
      </w:pPr>
      <w:r>
        <w:rPr>
          <w:rFonts w:hint="eastAsia" w:ascii="Times New Roman" w:eastAsia="仿宋_GB2312" w:cs="Times New Roman"/>
          <w:spacing w:val="-8"/>
          <w:sz w:val="32"/>
          <w:szCs w:val="32"/>
        </w:rPr>
        <w:t>3、评价方法</w:t>
      </w:r>
    </w:p>
    <w:p>
      <w:pPr>
        <w:spacing w:line="580" w:lineRule="exact"/>
        <w:ind w:firstLine="600" w:firstLineChars="200"/>
        <w:rPr>
          <w:rFonts w:ascii="仿宋_GB2312"/>
        </w:rPr>
      </w:pPr>
      <w:r>
        <w:rPr>
          <w:rFonts w:hAnsi="仿宋"/>
          <w:color w:val="000000"/>
          <w:szCs w:val="30"/>
        </w:rPr>
        <w:t>结合本次绩效评估项目的具体情况，为确保本次绩效评估工作的真实可靠，</w:t>
      </w:r>
      <w:r>
        <w:rPr>
          <w:rFonts w:hint="eastAsia" w:ascii="仿宋_GB2312"/>
        </w:rPr>
        <w:t>我单位采用了成本效益分析法进行评价。</w:t>
      </w:r>
    </w:p>
    <w:p>
      <w:pPr>
        <w:spacing w:line="580" w:lineRule="exact"/>
        <w:ind w:firstLine="600" w:firstLineChars="200"/>
        <w:rPr>
          <w:rFonts w:ascii="仿宋_GB2312"/>
        </w:rPr>
      </w:pPr>
      <w:r>
        <w:rPr>
          <w:rFonts w:hint="eastAsia" w:ascii="仿宋_GB2312"/>
        </w:rPr>
        <w:t>成本效益分析法：我单位针对该项目将决策、过程、产出及效益进行关联性分析，项目实施过程中以最小的成本产生了最大的经济和社会效益，项目的实施促进了我院</w:t>
      </w:r>
      <w:r>
        <w:rPr>
          <w:rFonts w:hint="eastAsia"/>
          <w:spacing w:val="-8"/>
          <w:sz w:val="32"/>
          <w:szCs w:val="32"/>
        </w:rPr>
        <w:t>公立医院改革工作的推进。</w:t>
      </w:r>
    </w:p>
    <w:p>
      <w:pPr>
        <w:spacing w:line="520" w:lineRule="exact"/>
        <w:ind w:firstLine="699" w:firstLineChars="233"/>
        <w:outlineLvl w:val="0"/>
        <w:rPr>
          <w:szCs w:val="32"/>
        </w:rPr>
      </w:pPr>
      <w:r>
        <w:rPr>
          <w:szCs w:val="32"/>
        </w:rPr>
        <w:t>4.绩效评价标准</w:t>
      </w:r>
    </w:p>
    <w:p>
      <w:pPr>
        <w:pStyle w:val="13"/>
        <w:spacing w:line="520" w:lineRule="exact"/>
        <w:ind w:firstLine="600" w:firstLineChars="200"/>
        <w:rPr>
          <w:rFonts w:ascii="仿宋_GB2312" w:eastAsia="仿宋_GB2312" w:cs="Times New Roman"/>
          <w:color w:val="auto"/>
          <w:kern w:val="2"/>
          <w:sz w:val="30"/>
        </w:rPr>
      </w:pPr>
      <w:r>
        <w:rPr>
          <w:rFonts w:ascii="仿宋_GB2312" w:eastAsia="仿宋_GB2312" w:cs="Times New Roman"/>
          <w:color w:val="auto"/>
          <w:kern w:val="2"/>
          <w:sz w:val="30"/>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r>
        <w:rPr>
          <w:rFonts w:hint="eastAsia" w:ascii="仿宋_GB2312" w:eastAsia="仿宋_GB2312" w:cs="Times New Roman"/>
          <w:color w:val="auto"/>
          <w:kern w:val="2"/>
          <w:sz w:val="30"/>
        </w:rPr>
        <w:t>。</w:t>
      </w:r>
    </w:p>
    <w:p>
      <w:pPr>
        <w:spacing w:line="600" w:lineRule="exact"/>
        <w:ind w:firstLine="301" w:firstLineChars="100"/>
        <w:rPr>
          <w:rFonts w:ascii="仿宋_GB2312" w:hAnsi="仿宋_GB2312" w:cs="仿宋_GB2312"/>
          <w:b/>
        </w:rPr>
      </w:pPr>
      <w:r>
        <w:rPr>
          <w:rFonts w:hint="eastAsia" w:ascii="仿宋_GB2312" w:hAnsi="仿宋_GB2312" w:cs="仿宋_GB2312"/>
          <w:b/>
        </w:rPr>
        <w:t>（三）绩效评价工作过程。</w:t>
      </w:r>
    </w:p>
    <w:p>
      <w:pPr>
        <w:pStyle w:val="13"/>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1、前期准备工作</w:t>
      </w:r>
    </w:p>
    <w:p>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pPr>
        <w:pStyle w:val="13"/>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2、组织实施过程内容</w:t>
      </w:r>
    </w:p>
    <w:p>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一是收集了项目决策、过程、产出及效益相关资料。</w:t>
      </w:r>
    </w:p>
    <w:p>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二是通过与项目实施人员、财务人员进行座谈听取取得的成果和存在的问题，针对存在的问题进行探讨，给出相关建议。</w:t>
      </w:r>
    </w:p>
    <w:p>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三是查阅账本、凭证，包括单位的总账、明细账及辅助账等进行核查，对项目的资金来源及去向进行分类整理。</w:t>
      </w:r>
    </w:p>
    <w:p>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四是查阅项目档案,包括项目的分析报告等文件。</w:t>
      </w:r>
    </w:p>
    <w:p>
      <w:pPr>
        <w:pStyle w:val="13"/>
        <w:spacing w:line="520" w:lineRule="exact"/>
        <w:ind w:firstLine="699" w:firstLineChars="233"/>
        <w:rPr>
          <w:rFonts w:ascii="仿宋_GB2312" w:eastAsia="仿宋_GB2312" w:cs="Times New Roman"/>
          <w:color w:val="auto"/>
          <w:kern w:val="2"/>
          <w:sz w:val="30"/>
        </w:rPr>
      </w:pPr>
      <w:bookmarkStart w:id="0" w:name="_Toc403599257"/>
      <w:r>
        <w:rPr>
          <w:rFonts w:hint="eastAsia" w:ascii="仿宋_GB2312" w:eastAsia="仿宋_GB2312" w:cs="Times New Roman"/>
          <w:color w:val="auto"/>
          <w:kern w:val="2"/>
          <w:sz w:val="30"/>
        </w:rPr>
        <w:t>3、绩效评价分析阶段</w:t>
      </w:r>
      <w:bookmarkEnd w:id="0"/>
    </w:p>
    <w:p>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经过对收集到的资料进行比对和交叉验证后，确定用于继续分析和评价的证据，通过比较指标的实际情况与预期数据对应程度，最终确认评价结果。</w:t>
      </w:r>
    </w:p>
    <w:p>
      <w:pPr>
        <w:spacing w:line="600" w:lineRule="exact"/>
        <w:ind w:firstLine="301" w:firstLineChars="100"/>
        <w:rPr>
          <w:rFonts w:ascii="仿宋_GB2312" w:hAnsi="仿宋_GB2312" w:cs="仿宋_GB2312"/>
        </w:rPr>
      </w:pPr>
      <w:r>
        <w:rPr>
          <w:rFonts w:hint="eastAsia" w:ascii="仿宋_GB2312" w:hAnsi="仿宋_GB2312" w:cs="仿宋_GB2312"/>
          <w:b/>
          <w:bCs/>
        </w:rPr>
        <w:t>三、综合评价情况及评价结论</w:t>
      </w:r>
    </w:p>
    <w:p>
      <w:pPr>
        <w:spacing w:line="600" w:lineRule="exact"/>
        <w:ind w:firstLine="600" w:firstLineChars="200"/>
        <w:outlineLvl w:val="0"/>
        <w:rPr>
          <w:rFonts w:ascii="仿宋_GB2312"/>
        </w:rPr>
      </w:pPr>
      <w:r>
        <w:rPr>
          <w:rFonts w:hint="eastAsia" w:ascii="仿宋_GB2312"/>
        </w:rPr>
        <w:t>公立医院改革（取消药品加成）项目综合评价情况：2019年公立医院改革项目预算共计950万元，已于2019年全部到位并执行完毕，此项目款为公立医院综合改革取消药品加成的政策性补亏，经费已全部用于支付医院药品款。</w:t>
      </w:r>
    </w:p>
    <w:p>
      <w:pPr>
        <w:spacing w:line="600" w:lineRule="exact"/>
        <w:ind w:firstLine="600" w:firstLineChars="200"/>
        <w:rPr>
          <w:rFonts w:ascii="仿宋_GB2312" w:hAnsi="仿宋_GB2312" w:cs="仿宋_GB2312"/>
          <w:bCs/>
          <w:sz w:val="31"/>
          <w:szCs w:val="31"/>
        </w:rPr>
      </w:pPr>
      <w:r>
        <w:rPr>
          <w:rFonts w:hint="eastAsia" w:ascii="仿宋_GB2312" w:hAnsi="仿宋_GB2312" w:cs="仿宋_GB2312"/>
          <w:szCs w:val="30"/>
        </w:rPr>
        <w:t>我院为综合改革机构主体，服务人口数约11万人，公立医院综合改革床位数1400床，药品加成覆盖率预计达到80%以上，公立医院医疗服务能力及患者满意度得到大幅提升</w:t>
      </w:r>
      <w:r>
        <w:rPr>
          <w:rFonts w:hint="eastAsia" w:ascii="仿宋_GB2312" w:hAnsi="仿宋_GB2312" w:cs="仿宋_GB2312"/>
          <w:kern w:val="0"/>
          <w:sz w:val="31"/>
          <w:szCs w:val="31"/>
        </w:rPr>
        <w:t>。</w:t>
      </w:r>
      <w:r>
        <w:rPr>
          <w:rFonts w:hint="eastAsia"/>
          <w:spacing w:val="-8"/>
          <w:sz w:val="32"/>
          <w:szCs w:val="32"/>
        </w:rPr>
        <w:t>公立医院改革（取消药品加成）</w:t>
      </w:r>
      <w:r>
        <w:rPr>
          <w:rFonts w:hint="eastAsia" w:ascii="仿宋_GB2312" w:hAnsi="仿宋_GB2312" w:cs="仿宋_GB2312"/>
          <w:bCs/>
          <w:sz w:val="31"/>
          <w:szCs w:val="31"/>
        </w:rPr>
        <w:t>项目支出绩效评价得分95分，评价结果为优秀。</w:t>
      </w:r>
    </w:p>
    <w:p>
      <w:pPr>
        <w:spacing w:line="600" w:lineRule="exact"/>
        <w:rPr>
          <w:rFonts w:ascii="仿宋_GB2312" w:hAnsi="仿宋_GB2312" w:cs="仿宋_GB2312"/>
        </w:rPr>
      </w:pPr>
      <w:r>
        <w:rPr>
          <w:rFonts w:hint="eastAsia" w:ascii="仿宋_GB2312" w:hAnsi="仿宋_GB2312" w:cs="仿宋_GB2312"/>
        </w:rPr>
        <w:t>四、绩效评价指标分析</w:t>
      </w:r>
    </w:p>
    <w:p>
      <w:pPr>
        <w:spacing w:line="360" w:lineRule="auto"/>
        <w:ind w:firstLine="600" w:firstLineChars="200"/>
        <w:outlineLvl w:val="0"/>
        <w:rPr>
          <w:rFonts w:ascii="仿宋_GB2312" w:hAnsi="仿宋_GB2312" w:cs="仿宋_GB2312"/>
        </w:rPr>
      </w:pPr>
      <w:r>
        <w:rPr>
          <w:rFonts w:hint="eastAsia" w:ascii="仿宋_GB2312" w:hAnsi="仿宋_GB2312" w:cs="仿宋_GB2312"/>
          <w:szCs w:val="30"/>
        </w:rPr>
        <w:t>（</w:t>
      </w:r>
      <w:r>
        <w:rPr>
          <w:rFonts w:hint="eastAsia" w:ascii="仿宋_GB2312" w:hAnsi="仿宋_GB2312" w:cs="仿宋_GB2312"/>
        </w:rPr>
        <w:t>（一）项目决策分析</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项目决策分析主要是对项目立项、绩效目标及资金投入进行分析。</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1、项目立项分析</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（1）立项依据充分性</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①</w:t>
      </w:r>
      <w:r>
        <w:rPr>
          <w:rFonts w:hint="eastAsia" w:ascii="仿宋_GB2312" w:hAnsi="仿宋_GB2312" w:cs="仿宋_GB2312"/>
          <w:kern w:val="0"/>
          <w:szCs w:val="30"/>
        </w:rPr>
        <w:t>项目立项符合</w:t>
      </w:r>
      <w:r>
        <w:rPr>
          <w:rFonts w:hint="eastAsia" w:ascii="仿宋_GB2312" w:hAnsi="仿宋_GB2312" w:cs="仿宋_GB2312"/>
          <w:szCs w:val="30"/>
        </w:rPr>
        <w:t>《国务院办公厅关于全面推开县级公立医院综合改革的实施意见》（国办发【2015】33号）、《关于巩固破除药补医成果持续深化公立医院综合改革的通知》（国卫体改发【2018】4号）、《国务院办公厅关于印发深化医药卫生体制改革2018年下半年重点工作任务的通知》（国办发【2018】83号）文件要求。</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kern w:val="0"/>
          <w:szCs w:val="30"/>
        </w:rPr>
        <w:t>②</w:t>
      </w:r>
      <w:r>
        <w:rPr>
          <w:rFonts w:hint="eastAsia" w:ascii="仿宋_GB2312" w:hAnsi="仿宋_GB2312" w:cs="仿宋_GB2312"/>
          <w:szCs w:val="30"/>
        </w:rPr>
        <w:t>项目立项与部门职责范围相符，属于部门履职所需。</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（2）立项程序规范性</w:t>
      </w:r>
    </w:p>
    <w:p>
      <w:pPr>
        <w:spacing w:line="360" w:lineRule="auto"/>
        <w:ind w:left="1020" w:leftChars="240" w:hanging="300" w:hangingChars="100"/>
        <w:outlineLvl w:val="0"/>
        <w:rPr>
          <w:rFonts w:ascii="仿宋_GB2312" w:hAnsi="仿宋_GB2312" w:cs="仿宋_GB2312"/>
          <w:kern w:val="0"/>
          <w:szCs w:val="30"/>
        </w:rPr>
      </w:pPr>
      <w:r>
        <w:rPr>
          <w:rFonts w:hint="eastAsia" w:ascii="仿宋_GB2312" w:hAnsi="仿宋_GB2312" w:cs="仿宋_GB2312"/>
          <w:kern w:val="0"/>
          <w:szCs w:val="30"/>
        </w:rPr>
        <w:t>①项目按照规定的程序申请设立；</w:t>
      </w:r>
    </w:p>
    <w:p>
      <w:pPr>
        <w:spacing w:line="360" w:lineRule="auto"/>
        <w:ind w:left="1020" w:leftChars="240" w:hanging="300" w:hangingChars="100"/>
        <w:outlineLvl w:val="0"/>
        <w:rPr>
          <w:rFonts w:ascii="仿宋_GB2312" w:hAnsi="仿宋_GB2312" w:cs="仿宋_GB2312"/>
          <w:szCs w:val="30"/>
        </w:rPr>
      </w:pPr>
      <w:r>
        <w:rPr>
          <w:rFonts w:hint="eastAsia" w:ascii="仿宋_GB2312" w:hAnsi="仿宋_GB2312" w:cs="仿宋_GB2312"/>
          <w:kern w:val="0"/>
          <w:szCs w:val="30"/>
        </w:rPr>
        <w:t>②事前已经过必要的可行性研究、专家论证、风险评估、绩效评估、集体决策。</w:t>
      </w:r>
    </w:p>
    <w:p>
      <w:pPr>
        <w:spacing w:line="360" w:lineRule="auto"/>
        <w:ind w:left="600"/>
        <w:outlineLvl w:val="0"/>
        <w:rPr>
          <w:rFonts w:ascii="仿宋_GB2312" w:hAnsi="仿宋_GB2312" w:cs="仿宋_GB2312"/>
          <w:szCs w:val="30"/>
        </w:rPr>
      </w:pPr>
      <w:r>
        <w:rPr>
          <w:rFonts w:hint="eastAsia" w:ascii="仿宋_GB2312" w:hAnsi="仿宋_GB2312" w:cs="仿宋_GB2312"/>
          <w:szCs w:val="30"/>
        </w:rPr>
        <w:t>2、绩效目标分析</w:t>
      </w:r>
    </w:p>
    <w:p>
      <w:pPr>
        <w:spacing w:line="360" w:lineRule="auto"/>
        <w:ind w:left="600"/>
        <w:outlineLvl w:val="0"/>
        <w:rPr>
          <w:rFonts w:ascii="仿宋_GB2312" w:hAnsi="仿宋_GB2312" w:cs="仿宋_GB2312"/>
          <w:szCs w:val="30"/>
        </w:rPr>
      </w:pPr>
      <w:r>
        <w:rPr>
          <w:rFonts w:hint="eastAsia" w:ascii="仿宋_GB2312" w:hAnsi="仿宋_GB2312" w:cs="仿宋_GB2312"/>
          <w:szCs w:val="30"/>
        </w:rPr>
        <w:t>（1）绩效目标合理性</w:t>
      </w:r>
    </w:p>
    <w:p>
      <w:pPr>
        <w:widowControl/>
        <w:spacing w:line="600" w:lineRule="exact"/>
        <w:ind w:left="480" w:leftChars="160"/>
        <w:jc w:val="left"/>
        <w:rPr>
          <w:rFonts w:ascii="仿宋_GB2312" w:hAnsi="仿宋_GB2312" w:cs="仿宋_GB2312"/>
          <w:kern w:val="0"/>
          <w:szCs w:val="30"/>
        </w:rPr>
      </w:pPr>
      <w:r>
        <w:rPr>
          <w:rFonts w:hint="eastAsia" w:ascii="仿宋_GB2312" w:hAnsi="仿宋_GB2312" w:cs="仿宋_GB2312"/>
          <w:kern w:val="0"/>
          <w:szCs w:val="30"/>
        </w:rPr>
        <w:t>项目有绩效目标；项目绩效目标与实际工作内容具有相关性；项目预期产出效益和效果符合正常的业绩水平；与预算确定的项目投资额或资金量相匹配。</w:t>
      </w:r>
    </w:p>
    <w:p>
      <w:pPr>
        <w:spacing w:line="360" w:lineRule="auto"/>
        <w:ind w:left="600"/>
        <w:outlineLvl w:val="0"/>
        <w:rPr>
          <w:rFonts w:ascii="仿宋_GB2312" w:hAnsi="仿宋_GB2312" w:cs="仿宋_GB2312"/>
          <w:szCs w:val="30"/>
        </w:rPr>
      </w:pPr>
      <w:r>
        <w:rPr>
          <w:rFonts w:hint="eastAsia" w:ascii="仿宋_GB2312" w:hAnsi="仿宋_GB2312" w:cs="仿宋_GB2312"/>
          <w:szCs w:val="30"/>
        </w:rPr>
        <w:t>（2）绩效指标明确性</w:t>
      </w:r>
    </w:p>
    <w:p>
      <w:pPr>
        <w:spacing w:line="360" w:lineRule="auto"/>
        <w:ind w:left="600"/>
        <w:outlineLvl w:val="0"/>
        <w:rPr>
          <w:rFonts w:ascii="仿宋_GB2312" w:hAnsi="仿宋_GB2312" w:cs="仿宋_GB2312"/>
          <w:szCs w:val="30"/>
        </w:rPr>
      </w:pPr>
      <w:r>
        <w:rPr>
          <w:rFonts w:hint="eastAsia" w:ascii="仿宋_GB2312" w:hAnsi="仿宋_GB2312" w:cs="仿宋_GB2312"/>
          <w:kern w:val="0"/>
          <w:szCs w:val="30"/>
        </w:rPr>
        <w:t>将项目绩效目标细化分解为具体的绩效指标；通过清晰、可衡量的指标值予以体现；与项目目标任务数或计划数相对应。</w:t>
      </w:r>
      <w:r>
        <w:rPr>
          <w:rFonts w:hint="eastAsia" w:ascii="仿宋_GB2312" w:hAnsi="仿宋_GB2312" w:cs="仿宋_GB2312"/>
          <w:kern w:val="0"/>
          <w:szCs w:val="30"/>
        </w:rPr>
        <w:br w:type="textWrapping"/>
      </w:r>
      <w:r>
        <w:rPr>
          <w:rFonts w:hint="eastAsia" w:ascii="仿宋_GB2312" w:hAnsi="仿宋_GB2312" w:cs="仿宋_GB2312"/>
          <w:szCs w:val="30"/>
        </w:rPr>
        <w:t>3、资金投入分析</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（1）预算编制科学性：</w:t>
      </w:r>
    </w:p>
    <w:p>
      <w:pPr>
        <w:spacing w:line="360" w:lineRule="auto"/>
        <w:ind w:left="720" w:leftChars="240"/>
        <w:outlineLvl w:val="0"/>
        <w:rPr>
          <w:rFonts w:ascii="仿宋_GB2312" w:hAnsi="仿宋_GB2312" w:cs="仿宋_GB2312"/>
          <w:szCs w:val="30"/>
        </w:rPr>
      </w:pPr>
      <w:r>
        <w:rPr>
          <w:rFonts w:hint="eastAsia" w:ascii="仿宋_GB2312" w:hAnsi="仿宋_GB2312" w:cs="仿宋_GB2312"/>
          <w:kern w:val="0"/>
          <w:szCs w:val="30"/>
        </w:rPr>
        <w:t>预算编制经过科学论证；预算内容与项目内容匹配；预算额度测算依据充分，按照标准编制；预算确定的项目投资额或资金量与工作任务相匹配。</w:t>
      </w:r>
    </w:p>
    <w:p>
      <w:pPr>
        <w:numPr>
          <w:ilvl w:val="0"/>
          <w:numId w:val="5"/>
        </w:num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资金分配合理性：</w:t>
      </w:r>
    </w:p>
    <w:p>
      <w:pPr>
        <w:spacing w:line="360" w:lineRule="auto"/>
        <w:ind w:left="960" w:leftChars="320"/>
        <w:outlineLvl w:val="0"/>
        <w:rPr>
          <w:rFonts w:ascii="仿宋_GB2312" w:hAnsi="仿宋_GB2312" w:cs="仿宋_GB2312"/>
          <w:szCs w:val="30"/>
        </w:rPr>
      </w:pPr>
      <w:r>
        <w:rPr>
          <w:rFonts w:hint="eastAsia" w:ascii="仿宋_GB2312" w:hAnsi="仿宋_GB2312" w:cs="仿宋_GB2312"/>
          <w:kern w:val="0"/>
          <w:szCs w:val="30"/>
        </w:rPr>
        <w:t>预算资金分配依据充分；资金分配额度合理，与项目单位或地方实际相适应。</w:t>
      </w:r>
    </w:p>
    <w:p>
      <w:p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（二）过程情况分析</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项目过程包括资金管理和组织实施。项目建立了比较健全的配套资金管理制度，且在项目实施过程中能够按照管理执行。</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1、资金管理分析</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（1）资金到位率</w:t>
      </w:r>
    </w:p>
    <w:p>
      <w:pPr>
        <w:widowControl/>
        <w:spacing w:line="600" w:lineRule="exact"/>
        <w:ind w:firstLine="900" w:firstLineChars="300"/>
        <w:rPr>
          <w:rFonts w:ascii="仿宋_GB2312" w:hAnsi="仿宋_GB2312" w:cs="仿宋_GB2312"/>
          <w:kern w:val="0"/>
          <w:szCs w:val="30"/>
        </w:rPr>
      </w:pPr>
      <w:r>
        <w:rPr>
          <w:rFonts w:hint="eastAsia" w:ascii="仿宋_GB2312" w:hAnsi="仿宋_GB2312" w:cs="仿宋_GB2312"/>
          <w:kern w:val="0"/>
          <w:szCs w:val="30"/>
        </w:rPr>
        <w:t>资金到位率=100%。</w:t>
      </w:r>
    </w:p>
    <w:p>
      <w:p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（2）预算执行率（得分0.8分）</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kern w:val="0"/>
          <w:szCs w:val="30"/>
        </w:rPr>
        <w:t>预算执行率=100%</w:t>
      </w:r>
    </w:p>
    <w:p>
      <w:p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（3）资金使用合规性</w:t>
      </w:r>
    </w:p>
    <w:p>
      <w:pPr>
        <w:spacing w:line="360" w:lineRule="auto"/>
        <w:ind w:left="480" w:leftChars="160"/>
        <w:outlineLvl w:val="0"/>
        <w:rPr>
          <w:rFonts w:ascii="仿宋_GB2312" w:hAnsi="仿宋_GB2312" w:cs="仿宋_GB2312"/>
          <w:szCs w:val="30"/>
        </w:rPr>
      </w:pPr>
      <w:r>
        <w:rPr>
          <w:rFonts w:hint="eastAsia" w:ascii="仿宋_GB2312" w:hAnsi="仿宋_GB2312" w:cs="仿宋_GB2312"/>
          <w:kern w:val="0"/>
          <w:szCs w:val="30"/>
        </w:rPr>
        <w:t>符合国家财经法规和财务管理制度以及有关专项资金管理办法的规定；资金的拨付有完整的审批程序和手续；符合项目预算批复或合同规定的用途；不存在截留、挤占、挪用、虚列支出等情况。</w:t>
      </w:r>
    </w:p>
    <w:p>
      <w:pPr>
        <w:spacing w:line="360" w:lineRule="auto"/>
        <w:ind w:left="600"/>
        <w:outlineLvl w:val="0"/>
        <w:rPr>
          <w:rFonts w:ascii="仿宋_GB2312" w:hAnsi="仿宋_GB2312" w:cs="仿宋_GB2312"/>
          <w:szCs w:val="30"/>
        </w:rPr>
      </w:pPr>
      <w:r>
        <w:rPr>
          <w:rFonts w:hint="eastAsia" w:ascii="仿宋_GB2312" w:hAnsi="仿宋_GB2312" w:cs="仿宋_GB2312"/>
          <w:szCs w:val="30"/>
        </w:rPr>
        <w:t>2、组织实施分析</w:t>
      </w:r>
    </w:p>
    <w:p>
      <w:pPr>
        <w:spacing w:line="360" w:lineRule="auto"/>
        <w:ind w:left="600"/>
        <w:outlineLvl w:val="0"/>
        <w:rPr>
          <w:rFonts w:ascii="仿宋_GB2312" w:hAnsi="仿宋_GB2312" w:cs="仿宋_GB2312"/>
          <w:szCs w:val="30"/>
        </w:rPr>
      </w:pPr>
      <w:r>
        <w:rPr>
          <w:rFonts w:hint="eastAsia" w:ascii="仿宋_GB2312" w:hAnsi="仿宋_GB2312" w:cs="仿宋_GB2312"/>
          <w:szCs w:val="30"/>
        </w:rPr>
        <w:t>（1）管理制度健全性</w:t>
      </w:r>
    </w:p>
    <w:p>
      <w:pPr>
        <w:spacing w:line="360" w:lineRule="auto"/>
        <w:ind w:left="600" w:leftChars="100" w:hanging="300" w:hangingChars="100"/>
        <w:outlineLvl w:val="0"/>
        <w:rPr>
          <w:rFonts w:ascii="仿宋_GB2312" w:hAnsi="仿宋_GB2312" w:cs="仿宋_GB2312"/>
          <w:szCs w:val="30"/>
        </w:rPr>
      </w:pPr>
      <w:r>
        <w:rPr>
          <w:rFonts w:hint="eastAsia" w:ascii="仿宋_GB2312" w:hAnsi="仿宋_GB2312" w:cs="仿宋_GB2312"/>
          <w:kern w:val="0"/>
          <w:szCs w:val="30"/>
        </w:rPr>
        <w:t>具有相应的财务和业务管理制度；财务和业务管理制度合法、合规、完整。</w:t>
      </w:r>
    </w:p>
    <w:p>
      <w:p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（2）制度执行有效性</w:t>
      </w:r>
    </w:p>
    <w:p>
      <w:pPr>
        <w:spacing w:line="360" w:lineRule="auto"/>
        <w:ind w:left="600" w:hanging="600" w:hangingChars="200"/>
        <w:outlineLvl w:val="0"/>
        <w:rPr>
          <w:rFonts w:ascii="仿宋_GB2312" w:hAnsi="仿宋_GB2312" w:cs="仿宋_GB2312"/>
          <w:szCs w:val="30"/>
        </w:rPr>
      </w:pPr>
      <w:r>
        <w:rPr>
          <w:rFonts w:hint="eastAsia" w:ascii="仿宋_GB2312" w:hAnsi="仿宋_GB2312" w:cs="仿宋_GB2312"/>
          <w:szCs w:val="30"/>
        </w:rPr>
        <w:tab/>
      </w:r>
      <w:r>
        <w:rPr>
          <w:rFonts w:hint="eastAsia" w:ascii="仿宋_GB2312" w:hAnsi="仿宋_GB2312" w:cs="仿宋_GB2312"/>
          <w:kern w:val="0"/>
          <w:szCs w:val="30"/>
        </w:rPr>
        <w:t>遵守相关法律法规和相关管理规定；项目调整及支出调整手续完备；项目合同书、验收报告、技术鉴定等资料齐全并及时归档；</w:t>
      </w:r>
      <w:r>
        <w:rPr>
          <w:rFonts w:hint="eastAsia" w:ascii="仿宋_GB2312" w:hAnsi="仿宋_GB2312" w:cs="仿宋_GB2312"/>
          <w:kern w:val="0"/>
          <w:szCs w:val="30"/>
        </w:rPr>
        <w:br w:type="textWrapping"/>
      </w:r>
      <w:r>
        <w:rPr>
          <w:rFonts w:hint="eastAsia" w:ascii="仿宋_GB2312" w:hAnsi="仿宋_GB2312" w:cs="仿宋_GB2312"/>
          <w:kern w:val="0"/>
          <w:szCs w:val="30"/>
        </w:rPr>
        <w:t>项目实施的人员条件、场地设备、信息支撑等落实到位。</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（三）产出情况分析</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项目过程包括产出数量、产出质量、产出时效和产出成本。</w:t>
      </w:r>
    </w:p>
    <w:p>
      <w:pPr>
        <w:numPr>
          <w:ilvl w:val="0"/>
          <w:numId w:val="6"/>
        </w:num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产出数量分析</w:t>
      </w:r>
    </w:p>
    <w:p>
      <w:pPr>
        <w:spacing w:line="600" w:lineRule="exact"/>
        <w:ind w:firstLine="600" w:firstLineChars="200"/>
        <w:rPr>
          <w:rFonts w:ascii="仿宋_GB2312" w:hAnsi="仿宋_GB2312" w:cs="仿宋_GB2312"/>
          <w:kern w:val="0"/>
          <w:szCs w:val="30"/>
        </w:rPr>
      </w:pPr>
      <w:r>
        <w:rPr>
          <w:rFonts w:hint="eastAsia" w:ascii="仿宋_GB2312" w:hAnsi="仿宋_GB2312" w:cs="仿宋_GB2312"/>
          <w:kern w:val="0"/>
          <w:szCs w:val="30"/>
        </w:rPr>
        <w:t>公立医院综合改革机构数</w:t>
      </w:r>
      <w:r>
        <w:rPr>
          <w:rFonts w:hint="eastAsia" w:ascii="仿宋_GB2312" w:hAnsi="仿宋_GB2312" w:cs="仿宋_GB2312"/>
          <w:kern w:val="0"/>
          <w:szCs w:val="30"/>
        </w:rPr>
        <w:tab/>
      </w:r>
      <w:r>
        <w:rPr>
          <w:rFonts w:hint="eastAsia" w:ascii="仿宋_GB2312" w:hAnsi="仿宋_GB2312" w:cs="仿宋_GB2312"/>
          <w:kern w:val="0"/>
          <w:szCs w:val="30"/>
        </w:rPr>
        <w:t>1个，巴州人民医院为改革机构主体。</w:t>
      </w:r>
    </w:p>
    <w:p>
      <w:pPr>
        <w:spacing w:line="600" w:lineRule="exact"/>
        <w:rPr>
          <w:rFonts w:ascii="仿宋_GB2312" w:hAnsi="仿宋_GB2312" w:cs="仿宋_GB2312"/>
          <w:kern w:val="0"/>
          <w:szCs w:val="30"/>
        </w:rPr>
      </w:pPr>
      <w:r>
        <w:rPr>
          <w:rFonts w:hint="eastAsia" w:ascii="仿宋_GB2312" w:hAnsi="仿宋_GB2312" w:cs="仿宋_GB2312"/>
          <w:kern w:val="0"/>
          <w:szCs w:val="30"/>
        </w:rPr>
        <w:t>公立医院综合改革床位数</w:t>
      </w:r>
      <w:r>
        <w:rPr>
          <w:rFonts w:hint="eastAsia" w:ascii="仿宋_GB2312" w:hAnsi="仿宋_GB2312" w:cs="仿宋_GB2312"/>
          <w:kern w:val="0"/>
          <w:szCs w:val="30"/>
        </w:rPr>
        <w:tab/>
      </w:r>
      <w:r>
        <w:rPr>
          <w:rFonts w:hint="eastAsia" w:ascii="仿宋_GB2312" w:hAnsi="仿宋_GB2312" w:cs="仿宋_GB2312"/>
          <w:kern w:val="0"/>
          <w:szCs w:val="30"/>
        </w:rPr>
        <w:t>≥1400床，医院编制床位为1400床。</w:t>
      </w:r>
    </w:p>
    <w:p>
      <w:pPr>
        <w:spacing w:line="360" w:lineRule="auto"/>
        <w:ind w:firstLine="600" w:firstLineChars="200"/>
        <w:outlineLvl w:val="0"/>
        <w:rPr>
          <w:rFonts w:ascii="仿宋_GB2312" w:hAnsi="仿宋_GB2312" w:cs="仿宋_GB2312"/>
          <w:kern w:val="0"/>
          <w:szCs w:val="30"/>
        </w:rPr>
      </w:pPr>
      <w:r>
        <w:rPr>
          <w:rFonts w:hint="eastAsia" w:ascii="仿宋_GB2312" w:hAnsi="仿宋_GB2312" w:cs="仿宋_GB2312"/>
          <w:kern w:val="0"/>
          <w:szCs w:val="30"/>
        </w:rPr>
        <w:t>服务人口数≥114196人，巴州人口114196人，巴州人民医院服务全州人民。</w:t>
      </w:r>
    </w:p>
    <w:p>
      <w:pPr>
        <w:spacing w:line="360" w:lineRule="auto"/>
        <w:ind w:firstLine="600" w:firstLineChars="200"/>
        <w:outlineLvl w:val="0"/>
        <w:rPr>
          <w:rFonts w:ascii="仿宋_GB2312" w:hAnsi="仿宋_GB2312" w:cs="仿宋_GB2312"/>
          <w:kern w:val="0"/>
          <w:szCs w:val="30"/>
        </w:rPr>
      </w:pPr>
      <w:r>
        <w:rPr>
          <w:rFonts w:hint="eastAsia" w:ascii="仿宋_GB2312" w:hAnsi="仿宋_GB2312" w:cs="仿宋_GB2312"/>
          <w:kern w:val="0"/>
          <w:szCs w:val="30"/>
        </w:rPr>
        <w:t>项目实际完成率100%。</w:t>
      </w:r>
    </w:p>
    <w:p>
      <w:pPr>
        <w:numPr>
          <w:ilvl w:val="0"/>
          <w:numId w:val="6"/>
        </w:num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产出质量分析</w:t>
      </w:r>
    </w:p>
    <w:p>
      <w:pPr>
        <w:spacing w:line="600" w:lineRule="exact"/>
        <w:ind w:firstLine="600" w:firstLineChars="200"/>
        <w:rPr>
          <w:rFonts w:ascii="仿宋_GB2312" w:hAnsi="仿宋_GB2312" w:cs="仿宋_GB2312"/>
          <w:kern w:val="0"/>
          <w:szCs w:val="30"/>
        </w:rPr>
      </w:pPr>
      <w:r>
        <w:rPr>
          <w:rFonts w:hint="eastAsia" w:ascii="仿宋_GB2312" w:hAnsi="仿宋_GB2312" w:cs="仿宋_GB2312"/>
          <w:kern w:val="0"/>
          <w:szCs w:val="30"/>
        </w:rPr>
        <w:t>药品加成覆盖率≥80%，已达到指标标准</w:t>
      </w:r>
    </w:p>
    <w:p>
      <w:pPr>
        <w:spacing w:line="600" w:lineRule="exact"/>
        <w:ind w:firstLine="600" w:firstLineChars="200"/>
        <w:rPr>
          <w:rFonts w:ascii="仿宋_GB2312" w:hAnsi="仿宋_GB2312" w:cs="仿宋_GB2312"/>
          <w:kern w:val="0"/>
          <w:szCs w:val="30"/>
        </w:rPr>
      </w:pPr>
      <w:r>
        <w:rPr>
          <w:rFonts w:hint="eastAsia" w:ascii="仿宋_GB2312" w:hAnsi="仿宋_GB2312" w:cs="仿宋_GB2312"/>
          <w:kern w:val="0"/>
          <w:szCs w:val="30"/>
        </w:rPr>
        <w:t>项目完成的质量达标率=100%。</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3、产出时效分析</w:t>
      </w:r>
    </w:p>
    <w:p>
      <w:pPr>
        <w:spacing w:line="600" w:lineRule="exact"/>
        <w:ind w:firstLine="600" w:firstLineChars="200"/>
        <w:rPr>
          <w:rFonts w:ascii="仿宋_GB2312" w:hAnsi="仿宋_GB2312" w:cs="仿宋_GB2312"/>
          <w:kern w:val="0"/>
          <w:szCs w:val="30"/>
        </w:rPr>
      </w:pPr>
      <w:r>
        <w:rPr>
          <w:rFonts w:hint="eastAsia" w:ascii="仿宋_GB2312" w:hAnsi="仿宋_GB2312" w:cs="仿宋_GB2312"/>
          <w:kern w:val="0"/>
          <w:szCs w:val="30"/>
        </w:rPr>
        <w:t>公立医院改革时间段</w:t>
      </w:r>
      <w:r>
        <w:rPr>
          <w:rFonts w:hint="eastAsia" w:ascii="仿宋_GB2312" w:hAnsi="仿宋_GB2312" w:cs="仿宋_GB2312"/>
          <w:kern w:val="0"/>
          <w:szCs w:val="30"/>
        </w:rPr>
        <w:tab/>
      </w:r>
      <w:r>
        <w:rPr>
          <w:rFonts w:hint="eastAsia" w:ascii="仿宋_GB2312" w:hAnsi="仿宋_GB2312" w:cs="仿宋_GB2312"/>
          <w:kern w:val="0"/>
          <w:szCs w:val="30"/>
        </w:rPr>
        <w:t>2019年1月-2019年12月，已完成2019年公立医院综合改革工作。</w:t>
      </w:r>
    </w:p>
    <w:p>
      <w:pPr>
        <w:spacing w:line="600" w:lineRule="exact"/>
        <w:ind w:firstLine="600" w:firstLineChars="200"/>
        <w:rPr>
          <w:rFonts w:ascii="仿宋_GB2312" w:hAnsi="仿宋_GB2312" w:cs="仿宋_GB2312"/>
          <w:szCs w:val="30"/>
        </w:rPr>
      </w:pPr>
      <w:r>
        <w:rPr>
          <w:rFonts w:hint="eastAsia" w:ascii="仿宋_GB2312" w:hAnsi="仿宋_GB2312" w:cs="仿宋_GB2312"/>
          <w:kern w:val="0"/>
          <w:szCs w:val="30"/>
        </w:rPr>
        <w:t>实际完成时间：在项目进行年度内完成</w:t>
      </w:r>
      <w:r>
        <w:rPr>
          <w:rFonts w:hint="eastAsia" w:ascii="仿宋_GB2312" w:hAnsi="仿宋_GB2312" w:cs="仿宋_GB2312"/>
          <w:szCs w:val="30"/>
        </w:rPr>
        <w:t>。</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4、产出成本分析</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成本节约率：</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项目完全按照资金预算执行，执行率100%。</w:t>
      </w:r>
    </w:p>
    <w:p>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（四）项目效益分析</w:t>
      </w:r>
    </w:p>
    <w:p>
      <w:pPr>
        <w:numPr>
          <w:ilvl w:val="0"/>
          <w:numId w:val="7"/>
        </w:numPr>
        <w:spacing w:line="600" w:lineRule="exact"/>
        <w:ind w:firstLine="600" w:firstLineChars="200"/>
        <w:rPr>
          <w:rFonts w:ascii="仿宋_GB2312" w:hAnsi="仿宋_GB2312" w:cs="仿宋_GB2312"/>
          <w:szCs w:val="30"/>
        </w:rPr>
      </w:pPr>
      <w:r>
        <w:rPr>
          <w:rFonts w:hint="eastAsia" w:ascii="仿宋_GB2312" w:hAnsi="仿宋_GB2312" w:cs="仿宋_GB2312"/>
          <w:szCs w:val="30"/>
        </w:rPr>
        <w:t>项目过程包括实施效益和满意度。</w:t>
      </w:r>
    </w:p>
    <w:p>
      <w:pPr>
        <w:numPr>
          <w:ilvl w:val="0"/>
          <w:numId w:val="8"/>
        </w:num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实施效益</w:t>
      </w:r>
    </w:p>
    <w:p>
      <w:pPr>
        <w:spacing w:line="600" w:lineRule="exact"/>
        <w:ind w:firstLine="450" w:firstLineChars="150"/>
        <w:rPr>
          <w:rFonts w:ascii="仿宋_GB2312" w:hAnsi="仿宋_GB2312" w:cs="仿宋_GB2312"/>
          <w:szCs w:val="30"/>
        </w:rPr>
      </w:pPr>
      <w:r>
        <w:rPr>
          <w:rFonts w:hint="eastAsia" w:ascii="仿宋_GB2312" w:hAnsi="仿宋_GB2312" w:cs="仿宋_GB2312"/>
          <w:szCs w:val="30"/>
        </w:rPr>
        <w:t>项目产生的社会效益：公立医院医疗服务能力得到提升。</w:t>
      </w:r>
    </w:p>
    <w:p>
      <w:pPr>
        <w:numPr>
          <w:ilvl w:val="0"/>
          <w:numId w:val="8"/>
        </w:num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满意度</w:t>
      </w:r>
    </w:p>
    <w:p>
      <w:pPr>
        <w:spacing w:line="360" w:lineRule="auto"/>
        <w:ind w:firstLine="600" w:firstLineChars="200"/>
        <w:rPr>
          <w:rFonts w:ascii="仿宋_GB2312" w:hAnsi="仿宋_GB2312" w:cs="仿宋_GB2312"/>
          <w:szCs w:val="30"/>
        </w:rPr>
      </w:pPr>
      <w:r>
        <w:rPr>
          <w:rFonts w:hint="eastAsia" w:ascii="仿宋_GB2312" w:hAnsi="仿宋_GB2312" w:cs="仿宋_GB2312"/>
          <w:szCs w:val="30"/>
        </w:rPr>
        <w:t>满意度指标完成情况分析：公立医院患者满意度≥80%，指标完成率为100%。</w:t>
      </w:r>
    </w:p>
    <w:p>
      <w:pPr>
        <w:spacing w:line="600" w:lineRule="exact"/>
        <w:ind w:firstLine="663" w:firstLineChars="221"/>
        <w:rPr>
          <w:rFonts w:ascii="仿宋_GB2312" w:hAnsi="仿宋_GB2312" w:cs="仿宋_GB2312"/>
        </w:rPr>
      </w:pPr>
      <w:r>
        <w:rPr>
          <w:rFonts w:hint="eastAsia" w:ascii="仿宋_GB2312" w:hAnsi="仿宋_GB2312" w:cs="仿宋_GB2312"/>
        </w:rPr>
        <w:t>五、主要经验及做法、存在的问题及原因分析</w:t>
      </w:r>
    </w:p>
    <w:p>
      <w:pPr>
        <w:spacing w:line="600" w:lineRule="exact"/>
        <w:ind w:firstLine="543" w:firstLineChars="181"/>
        <w:rPr>
          <w:rFonts w:ascii="仿宋_GB2312" w:hAnsi="仿宋_GB2312" w:cs="仿宋_GB2312"/>
          <w:szCs w:val="30"/>
        </w:rPr>
      </w:pPr>
      <w:r>
        <w:rPr>
          <w:rFonts w:hint="eastAsia" w:ascii="仿宋_GB2312" w:hAnsi="仿宋_GB2312" w:cs="仿宋_GB2312"/>
          <w:szCs w:val="30"/>
        </w:rPr>
        <w:t>（一）、主要经验及做法</w:t>
      </w:r>
    </w:p>
    <w:p>
      <w:pPr>
        <w:spacing w:line="600" w:lineRule="exact"/>
        <w:ind w:firstLine="600" w:firstLineChars="200"/>
        <w:rPr>
          <w:rFonts w:ascii="仿宋_GB2312" w:hAnsi="仿宋_GB2312" w:cs="仿宋_GB2312"/>
          <w:szCs w:val="30"/>
        </w:rPr>
      </w:pPr>
      <w:r>
        <w:rPr>
          <w:rFonts w:hint="eastAsia" w:ascii="仿宋_GB2312" w:hAnsi="仿宋_GB2312" w:cs="仿宋_GB2312"/>
          <w:szCs w:val="30"/>
        </w:rPr>
        <w:t>为了有效开展项目，进一步提高专项资金管理水平，在内控的建立与实施过程中，紧密结合本单位工作实际，以问题为导向，有效实现了权力制衡，使单位领导从源头上规避了经济责任风险。主要做法是：</w:t>
      </w:r>
    </w:p>
    <w:p>
      <w:pPr>
        <w:spacing w:line="600" w:lineRule="exact"/>
        <w:rPr>
          <w:rFonts w:ascii="仿宋_GB2312" w:hAnsi="仿宋_GB2312" w:cs="仿宋_GB2312"/>
          <w:szCs w:val="30"/>
        </w:rPr>
      </w:pPr>
      <w:r>
        <w:rPr>
          <w:rFonts w:hint="eastAsia" w:ascii="仿宋_GB2312" w:hAnsi="仿宋_GB2312" w:cs="仿宋_GB2312"/>
          <w:szCs w:val="30"/>
        </w:rPr>
        <w:t>　　1、组建领导小组，作为内控抓手</w:t>
      </w:r>
    </w:p>
    <w:p>
      <w:pPr>
        <w:spacing w:line="600" w:lineRule="exact"/>
        <w:ind w:firstLine="543" w:firstLineChars="181"/>
        <w:rPr>
          <w:rFonts w:ascii="仿宋_GB2312" w:hAnsi="仿宋_GB2312" w:cs="仿宋_GB2312"/>
          <w:szCs w:val="30"/>
        </w:rPr>
      </w:pPr>
      <w:r>
        <w:rPr>
          <w:rFonts w:hint="eastAsia" w:ascii="仿宋_GB2312" w:hAnsi="仿宋_GB2312" w:cs="仿宋_GB2312"/>
          <w:szCs w:val="30"/>
        </w:rPr>
        <w:t>　单位内控是一个复杂的体系，工作涉及到预算业务、收支业务、采购业务、资产管理、建设项目、合同管理、内外监督等各项经济活动，需要内部各处室的协作和配合。我院在工作中意识到单位领导重视是推动实施内控的关键。工作中与党风廉政建设密切结合，使单位领导树立起风险防控意识，为内控工作的推进奠定了基础。</w:t>
      </w:r>
    </w:p>
    <w:p>
      <w:pPr>
        <w:spacing w:line="600" w:lineRule="exact"/>
        <w:ind w:firstLine="543" w:firstLineChars="181"/>
        <w:rPr>
          <w:rFonts w:ascii="仿宋_GB2312" w:hAnsi="仿宋_GB2312" w:cs="仿宋_GB2312"/>
          <w:szCs w:val="30"/>
        </w:rPr>
      </w:pPr>
      <w:r>
        <w:rPr>
          <w:rFonts w:hint="eastAsia" w:ascii="仿宋_GB2312" w:hAnsi="仿宋_GB2312" w:cs="仿宋_GB2312"/>
          <w:szCs w:val="30"/>
        </w:rPr>
        <w:t>2、构建内控机制，保障内控实施</w:t>
      </w:r>
    </w:p>
    <w:p>
      <w:pPr>
        <w:spacing w:line="600" w:lineRule="exact"/>
        <w:ind w:firstLine="543" w:firstLineChars="181"/>
        <w:rPr>
          <w:rFonts w:ascii="仿宋_GB2312" w:hAnsi="仿宋_GB2312" w:cs="仿宋_GB2312"/>
          <w:szCs w:val="30"/>
        </w:rPr>
      </w:pPr>
      <w:r>
        <w:rPr>
          <w:rFonts w:hint="eastAsia" w:ascii="仿宋_GB2312" w:hAnsi="仿宋_GB2312" w:cs="仿宋_GB2312"/>
          <w:szCs w:val="30"/>
        </w:rPr>
        <w:t>建立了单位层面的内控运行制约机制。主要包括8个方面的内容：内控管理职责分工，经济活动决策机制，关键岗位责任机制，关键人员资质能力，财务信息编报要求，信息技术应用要求，经济活动风险评估，内部控制监督评价。</w:t>
      </w:r>
    </w:p>
    <w:p>
      <w:pPr>
        <w:numPr>
          <w:ilvl w:val="0"/>
          <w:numId w:val="9"/>
        </w:numPr>
        <w:spacing w:line="600" w:lineRule="exact"/>
        <w:ind w:firstLine="543" w:firstLineChars="181"/>
        <w:rPr>
          <w:rFonts w:ascii="仿宋_GB2312" w:hAnsi="仿宋_GB2312" w:cs="仿宋_GB2312"/>
          <w:szCs w:val="30"/>
        </w:rPr>
      </w:pPr>
      <w:r>
        <w:rPr>
          <w:rFonts w:hint="eastAsia" w:ascii="仿宋_GB2312" w:hAnsi="仿宋_GB2312" w:cs="仿宋_GB2312"/>
          <w:szCs w:val="30"/>
        </w:rPr>
        <w:t>存在问题及原因</w:t>
      </w:r>
    </w:p>
    <w:p>
      <w:pPr>
        <w:spacing w:line="600" w:lineRule="exact"/>
        <w:ind w:firstLine="600" w:firstLineChars="200"/>
        <w:rPr>
          <w:rFonts w:ascii="仿宋_GB2312" w:hAnsi="仿宋_GB2312" w:cs="仿宋_GB2312"/>
          <w:szCs w:val="30"/>
        </w:rPr>
      </w:pPr>
      <w:r>
        <w:rPr>
          <w:rFonts w:hint="eastAsia" w:ascii="仿宋_GB2312" w:hAnsi="仿宋_GB2312" w:cs="仿宋_GB2312"/>
          <w:szCs w:val="30"/>
        </w:rPr>
        <w:t>无</w:t>
      </w:r>
    </w:p>
    <w:p>
      <w:pPr>
        <w:spacing w:line="600" w:lineRule="exact"/>
        <w:ind w:firstLine="600" w:firstLineChars="200"/>
        <w:rPr>
          <w:rFonts w:ascii="仿宋_GB2312" w:hAnsi="仿宋_GB2312" w:cs="仿宋_GB2312"/>
        </w:rPr>
      </w:pPr>
      <w:r>
        <w:rPr>
          <w:rFonts w:hint="eastAsia" w:ascii="仿宋_GB2312" w:hAnsi="仿宋_GB2312" w:cs="仿宋_GB2312"/>
        </w:rPr>
        <w:t>六、有关建议</w:t>
      </w:r>
    </w:p>
    <w:p>
      <w:pPr>
        <w:spacing w:line="600" w:lineRule="exact"/>
        <w:ind w:firstLine="528" w:firstLineChars="181"/>
        <w:rPr>
          <w:rStyle w:val="9"/>
          <w:rFonts w:ascii="仿宋_GB2312" w:hAnsi="仿宋_GB2312" w:cs="仿宋_GB2312"/>
          <w:b w:val="0"/>
          <w:spacing w:val="-4"/>
          <w:szCs w:val="30"/>
        </w:rPr>
      </w:pPr>
      <w:r>
        <w:rPr>
          <w:rStyle w:val="9"/>
          <w:rFonts w:hint="eastAsia" w:ascii="仿宋_GB2312" w:hAnsi="仿宋_GB2312" w:cs="仿宋_GB2312"/>
          <w:b w:val="0"/>
          <w:spacing w:val="-4"/>
          <w:szCs w:val="30"/>
        </w:rPr>
        <w:t>1、加强项目资金的预算管理，认真准确及时编制单位部门项目资金预算计划，在执行过程中加强监督管理，细化项目实施过程，分时段拨付资金。</w:t>
      </w:r>
    </w:p>
    <w:p>
      <w:pPr>
        <w:spacing w:line="600" w:lineRule="exact"/>
        <w:ind w:firstLine="528" w:firstLineChars="181"/>
        <w:rPr>
          <w:rFonts w:ascii="仿宋_GB2312" w:hAnsi="仿宋_GB2312" w:cs="仿宋_GB2312"/>
          <w:szCs w:val="30"/>
        </w:rPr>
      </w:pPr>
      <w:r>
        <w:rPr>
          <w:rStyle w:val="9"/>
          <w:rFonts w:hint="eastAsia" w:ascii="仿宋_GB2312" w:hAnsi="仿宋_GB2312" w:cs="仿宋_GB2312"/>
          <w:b w:val="0"/>
          <w:spacing w:val="-4"/>
          <w:szCs w:val="30"/>
        </w:rPr>
        <w:t>2、</w:t>
      </w:r>
      <w:r>
        <w:rPr>
          <w:rFonts w:hint="eastAsia" w:ascii="仿宋_GB2312" w:hAnsi="仿宋_GB2312" w:cs="仿宋_GB2312"/>
          <w:szCs w:val="30"/>
        </w:rPr>
        <w:t>以现有职责范围内的项目业务活动为基础，根据现有工作制度和业务内容进行全面梳理，依据相关法律法规、监管要求，进一步完善项目业务流程，形成规范的项目业务流程目录。同时，在流程梳理的基础上，按照绩效评价指标体系，结合管理现状，开展项目活动的绩效评价工作，年终形成项目支出绩效评价自评报告。</w:t>
      </w:r>
    </w:p>
    <w:p>
      <w:pPr>
        <w:spacing w:line="600" w:lineRule="exact"/>
        <w:ind w:firstLine="543" w:firstLineChars="181"/>
        <w:rPr>
          <w:rFonts w:ascii="仿宋_GB2312" w:hAnsi="仿宋_GB2312" w:cs="仿宋_GB2312"/>
        </w:rPr>
      </w:pPr>
      <w:r>
        <w:rPr>
          <w:rFonts w:hint="eastAsia" w:ascii="仿宋_GB2312" w:hAnsi="仿宋_GB2312" w:cs="仿宋_GB2312"/>
        </w:rPr>
        <w:t>七、其他需要说明的问题</w:t>
      </w:r>
    </w:p>
    <w:p>
      <w:pPr>
        <w:pStyle w:val="6"/>
        <w:shd w:val="clear" w:color="auto" w:fill="FFFFFF"/>
        <w:spacing w:before="0" w:beforeAutospacing="0" w:after="120" w:afterAutospacing="0" w:line="320" w:lineRule="atLeast"/>
        <w:ind w:firstLine="480"/>
        <w:jc w:val="both"/>
        <w:rPr>
          <w:rFonts w:ascii="仿宋_GB2312" w:hAnsi="仿宋_GB2312" w:cs="仿宋_GB2312"/>
          <w:sz w:val="32"/>
          <w:szCs w:val="32"/>
        </w:rPr>
        <w:sectPr>
          <w:footerReference r:id="rId3" w:type="default"/>
          <w:pgSz w:w="11906" w:h="16838"/>
          <w:pgMar w:top="1928" w:right="1531" w:bottom="1701" w:left="1531" w:header="737" w:footer="851" w:gutter="0"/>
          <w:cols w:space="720" w:num="1"/>
          <w:docGrid w:type="lines" w:linePitch="408" w:charSpace="0"/>
        </w:sectPr>
      </w:pPr>
      <w:r>
        <w:rPr>
          <w:rFonts w:hint="eastAsia" w:ascii="仿宋_GB2312" w:hAnsi="仿宋_GB2312" w:cs="仿宋_GB2312"/>
          <w:sz w:val="32"/>
          <w:szCs w:val="32"/>
        </w:rPr>
        <w:t>无</w:t>
      </w:r>
    </w:p>
    <w:p>
      <w:pPr>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pPr>
        <w:pStyle w:val="2"/>
        <w:spacing w:before="0" w:after="0" w:line="240" w:lineRule="auto"/>
        <w:jc w:val="center"/>
        <w:rPr>
          <w:bCs/>
          <w:color w:val="000000"/>
        </w:rPr>
      </w:pPr>
    </w:p>
    <w:tbl>
      <w:tblPr>
        <w:tblStyle w:val="7"/>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项目立项符合法律法规、相关政策、发展规划以及部门职责。</w:t>
            </w:r>
          </w:p>
        </w:tc>
        <w:tc>
          <w:tcPr>
            <w:tcW w:w="7341" w:type="dxa"/>
            <w:tcBorders>
              <w:bottom w:val="single" w:color="auto" w:sz="4" w:space="0"/>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④项目属于公共财政支持范围，符合中央、地方事权支出责任划分原则；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⑤项目与相关部门同类项目或部门内部相关项目不重复。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项目申请、设立过程符合相关要求。</w:t>
            </w:r>
          </w:p>
        </w:tc>
        <w:tc>
          <w:tcPr>
            <w:tcW w:w="7341"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项目所设定的绩效目标依据充分，符合客观实际。</w:t>
            </w:r>
          </w:p>
        </w:tc>
        <w:tc>
          <w:tcPr>
            <w:tcW w:w="7341" w:type="dxa"/>
            <w:tcBorders>
              <w:tl2br w:val="nil"/>
              <w:tr2bl w:val="nil"/>
            </w:tcBorders>
            <w:shd w:val="clear" w:color="000000"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③项目预期产出效益和效果符合正常的业绩水平；</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④与预算确定的项目投资额或资金量相匹配。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依据绩效目标设定的绩效指标清晰、细化、可衡量等。</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项目预算编制经过科学论证、有明确标准，资金额度与年度目标相适应。</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③预算额度测算依据充分，按照标准编制；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④预算确定的项目投资额或资金量与工作任务相匹配。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项目预算资金分配有测算依据，与补助单位或地方实际相适应。</w:t>
            </w:r>
          </w:p>
        </w:tc>
        <w:tc>
          <w:tcPr>
            <w:tcW w:w="7341" w:type="dxa"/>
            <w:tcBorders>
              <w:bottom w:val="single" w:color="auto" w:sz="4" w:space="0"/>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②资金分配额度合理，与项目单位或地方实际相适应。</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项目预算资金按照计划执行。</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项目资金使用符合相关的财务管理制度规定。</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④不存在截留、挤占、挪用、虚列支出等情况。</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项目实施单位的财务和业务管理制度健全。</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②财务和业务管理制度合法、合规、完整。</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④项目实施的人员条件、场地设备、信息支撑等落实到位。</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bl>
    <w:p/>
    <w:p/>
    <w:p>
      <w:pPr>
        <w:pStyle w:val="6"/>
        <w:shd w:val="clear" w:color="auto" w:fill="FFFFFF"/>
        <w:spacing w:before="0" w:beforeAutospacing="0" w:after="120" w:afterAutospacing="0" w:line="320" w:lineRule="atLeast"/>
        <w:ind w:firstLine="480"/>
        <w:jc w:val="both"/>
        <w:rPr>
          <w:rFonts w:ascii="仿宋_GB2312" w:hAnsi="仿宋_GB2312" w:cs="仿宋_GB2312"/>
          <w:sz w:val="32"/>
          <w:szCs w:val="32"/>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新宋体">
    <w:panose1 w:val="02010609030101010101"/>
    <w:charset w:val="86"/>
    <w:family w:val="modern"/>
    <w:pitch w:val="default"/>
    <w:sig w:usb0="00000203" w:usb1="288F0000" w:usb2="00000006" w:usb3="00000000" w:csb0="00040001"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12</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5C6ED1"/>
    <w:multiLevelType w:val="singleLevel"/>
    <w:tmpl w:val="985C6ED1"/>
    <w:lvl w:ilvl="0" w:tentative="0">
      <w:start w:val="1"/>
      <w:numFmt w:val="decimal"/>
      <w:suff w:val="nothing"/>
      <w:lvlText w:val="%1、"/>
      <w:lvlJc w:val="left"/>
      <w:pPr>
        <w:ind w:left="1050" w:firstLine="0"/>
      </w:pPr>
    </w:lvl>
  </w:abstractNum>
  <w:abstractNum w:abstractNumId="1">
    <w:nsid w:val="A04E20D0"/>
    <w:multiLevelType w:val="singleLevel"/>
    <w:tmpl w:val="A04E20D0"/>
    <w:lvl w:ilvl="0" w:tentative="0">
      <w:start w:val="2"/>
      <w:numFmt w:val="decimal"/>
      <w:suff w:val="nothing"/>
      <w:lvlText w:val="（%1）"/>
      <w:lvlJc w:val="left"/>
    </w:lvl>
  </w:abstractNum>
  <w:abstractNum w:abstractNumId="2">
    <w:nsid w:val="A21D4563"/>
    <w:multiLevelType w:val="singleLevel"/>
    <w:tmpl w:val="A21D4563"/>
    <w:lvl w:ilvl="0" w:tentative="0">
      <w:start w:val="1"/>
      <w:numFmt w:val="decimal"/>
      <w:suff w:val="nothing"/>
      <w:lvlText w:val="%1、"/>
      <w:lvlJc w:val="left"/>
    </w:lvl>
  </w:abstractNum>
  <w:abstractNum w:abstractNumId="3">
    <w:nsid w:val="DD61B141"/>
    <w:multiLevelType w:val="singleLevel"/>
    <w:tmpl w:val="DD61B141"/>
    <w:lvl w:ilvl="0" w:tentative="0">
      <w:start w:val="4"/>
      <w:numFmt w:val="decimal"/>
      <w:suff w:val="nothing"/>
      <w:lvlText w:val="%1、"/>
      <w:lvlJc w:val="left"/>
    </w:lvl>
  </w:abstractNum>
  <w:abstractNum w:abstractNumId="4">
    <w:nsid w:val="F2116444"/>
    <w:multiLevelType w:val="singleLevel"/>
    <w:tmpl w:val="F2116444"/>
    <w:lvl w:ilvl="0" w:tentative="0">
      <w:start w:val="2"/>
      <w:numFmt w:val="decimal"/>
      <w:suff w:val="nothing"/>
      <w:lvlText w:val="%1、"/>
      <w:lvlJc w:val="left"/>
      <w:pPr>
        <w:ind w:left="1050" w:firstLine="0"/>
      </w:pPr>
    </w:lvl>
  </w:abstractNum>
  <w:abstractNum w:abstractNumId="5">
    <w:nsid w:val="1B6B3BC6"/>
    <w:multiLevelType w:val="singleLevel"/>
    <w:tmpl w:val="1B6B3BC6"/>
    <w:lvl w:ilvl="0" w:tentative="0">
      <w:start w:val="2"/>
      <w:numFmt w:val="chineseCounting"/>
      <w:suff w:val="nothing"/>
      <w:lvlText w:val="%1、"/>
      <w:lvlJc w:val="left"/>
      <w:rPr>
        <w:rFonts w:hint="eastAsia"/>
      </w:rPr>
    </w:lvl>
  </w:abstractNum>
  <w:abstractNum w:abstractNumId="6">
    <w:nsid w:val="41199EE3"/>
    <w:multiLevelType w:val="singleLevel"/>
    <w:tmpl w:val="41199EE3"/>
    <w:lvl w:ilvl="0" w:tentative="0">
      <w:start w:val="2"/>
      <w:numFmt w:val="chineseCounting"/>
      <w:suff w:val="nothing"/>
      <w:lvlText w:val="（%1）"/>
      <w:lvlJc w:val="left"/>
      <w:rPr>
        <w:rFonts w:hint="eastAsia"/>
      </w:rPr>
    </w:lvl>
  </w:abstractNum>
  <w:abstractNum w:abstractNumId="7">
    <w:nsid w:val="5248631E"/>
    <w:multiLevelType w:val="singleLevel"/>
    <w:tmpl w:val="5248631E"/>
    <w:lvl w:ilvl="0" w:tentative="0">
      <w:start w:val="1"/>
      <w:numFmt w:val="decimal"/>
      <w:suff w:val="nothing"/>
      <w:lvlText w:val="%1、"/>
      <w:lvlJc w:val="left"/>
    </w:lvl>
  </w:abstractNum>
  <w:abstractNum w:abstractNumId="8">
    <w:nsid w:val="5EAA99D9"/>
    <w:multiLevelType w:val="singleLevel"/>
    <w:tmpl w:val="5EAA99D9"/>
    <w:lvl w:ilvl="0" w:tentative="0">
      <w:start w:val="2"/>
      <w:numFmt w:val="decimal"/>
      <w:suff w:val="nothing"/>
      <w:lvlText w:val="（%1）"/>
      <w:lvlJc w:val="left"/>
    </w:lvl>
  </w:abstractNum>
  <w:num w:numId="1">
    <w:abstractNumId w:val="3"/>
  </w:num>
  <w:num w:numId="2">
    <w:abstractNumId w:val="6"/>
  </w:num>
  <w:num w:numId="3">
    <w:abstractNumId w:val="0"/>
  </w:num>
  <w:num w:numId="4">
    <w:abstractNumId w:val="4"/>
  </w:num>
  <w:num w:numId="5">
    <w:abstractNumId w:val="1"/>
  </w:num>
  <w:num w:numId="6">
    <w:abstractNumId w:val="7"/>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845E31"/>
    <w:rsid w:val="0007138F"/>
    <w:rsid w:val="004D0627"/>
    <w:rsid w:val="006370DC"/>
    <w:rsid w:val="00845E31"/>
    <w:rsid w:val="0084774C"/>
    <w:rsid w:val="00DE36D2"/>
    <w:rsid w:val="40AD6E47"/>
    <w:rsid w:val="76901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4"/>
    <w:unhideWhenUsed/>
    <w:qFormat/>
    <w:uiPriority w:val="99"/>
    <w:pPr>
      <w:shd w:val="clear" w:color="auto" w:fill="000080"/>
    </w:pPr>
    <w:rPr>
      <w:rFonts w:ascii="仿宋_GB2312" w:hAnsi="新宋体"/>
      <w:sz w:val="32"/>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bCs/>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2"/>
    <w:qFormat/>
    <w:uiPriority w:val="0"/>
    <w:rPr>
      <w:rFonts w:ascii="Arial" w:hAnsi="Arial" w:eastAsia="黑体" w:cs="Times New Roman"/>
      <w:b/>
      <w:sz w:val="32"/>
      <w:szCs w:val="24"/>
    </w:rPr>
  </w:style>
  <w:style w:type="paragraph" w:customStyle="1" w:styleId="13">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 w:type="character" w:customStyle="1" w:styleId="14">
    <w:name w:val="文档结构图 Char"/>
    <w:basedOn w:val="8"/>
    <w:link w:val="3"/>
    <w:qFormat/>
    <w:uiPriority w:val="99"/>
    <w:rPr>
      <w:rFonts w:ascii="仿宋_GB2312" w:hAnsi="新宋体" w:eastAsia="仿宋_GB2312" w:cs="Times New Roman"/>
      <w:kern w:val="2"/>
      <w:sz w:val="32"/>
      <w:szCs w:val="24"/>
      <w:shd w:val="clear" w:color="auto" w:fill="00008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17</Pages>
  <Words>6994</Words>
  <Characters>7169</Characters>
  <Lines>53</Lines>
  <Paragraphs>15</Paragraphs>
  <TotalTime>5</TotalTime>
  <ScaleCrop>false</ScaleCrop>
  <LinksUpToDate>false</LinksUpToDate>
  <CharactersWithSpaces>7192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2020-06-02T18:52:00Z</dcterms:created>
  <dc:creator>CurUserName</dc:creator>
  <cp:lastModifiedBy>Qxb</cp:lastModifiedBy>
  <cp:lastPrinted>2020-04-16T02:27:00Z</cp:lastPrinted>
  <dcterms:modified xsi:type="dcterms:W3CDTF">2023-07-14T11:17:54Z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E3041DDDEC53422CA61A84790D8E9F26_12</vt:lpwstr>
  </property>
</Properties>
</file>