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0212C0">
      <w:pPr>
        <w:spacing w:line="540" w:lineRule="exact"/>
        <w:jc w:val="center"/>
        <w:rPr>
          <w:rFonts w:hint="eastAsia" w:ascii="方正小标宋_GBK" w:hAnsi="华文中宋" w:eastAsia="方正小标宋_GBK" w:cs="宋体"/>
          <w:b/>
          <w:kern w:val="0"/>
          <w:sz w:val="48"/>
          <w:szCs w:val="48"/>
        </w:rPr>
      </w:pPr>
    </w:p>
    <w:p w14:paraId="23E30D13">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巴州产品质量检验所</w:t>
      </w:r>
    </w:p>
    <w:p w14:paraId="73255F7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14:paraId="2AED0A44">
      <w:pPr>
        <w:spacing w:line="540" w:lineRule="exact"/>
        <w:jc w:val="center"/>
        <w:rPr>
          <w:rFonts w:ascii="华文中宋" w:hAnsi="华文中宋" w:eastAsia="华文中宋" w:cs="宋体"/>
          <w:b/>
          <w:kern w:val="0"/>
          <w:sz w:val="52"/>
          <w:szCs w:val="52"/>
        </w:rPr>
      </w:pPr>
    </w:p>
    <w:p w14:paraId="13937880">
      <w:pPr>
        <w:spacing w:line="540" w:lineRule="exact"/>
        <w:jc w:val="center"/>
        <w:rPr>
          <w:rFonts w:ascii="华文中宋" w:hAnsi="华文中宋" w:eastAsia="华文中宋" w:cs="宋体"/>
          <w:b/>
          <w:kern w:val="0"/>
          <w:sz w:val="52"/>
          <w:szCs w:val="52"/>
        </w:rPr>
      </w:pPr>
    </w:p>
    <w:p w14:paraId="47877FFE">
      <w:pPr>
        <w:spacing w:line="540" w:lineRule="exact"/>
        <w:jc w:val="center"/>
        <w:rPr>
          <w:rFonts w:ascii="华文中宋" w:hAnsi="华文中宋" w:eastAsia="华文中宋" w:cs="宋体"/>
          <w:b/>
          <w:kern w:val="0"/>
          <w:sz w:val="52"/>
          <w:szCs w:val="52"/>
        </w:rPr>
      </w:pPr>
    </w:p>
    <w:p w14:paraId="7CFF2031">
      <w:pPr>
        <w:spacing w:line="540" w:lineRule="exact"/>
        <w:jc w:val="center"/>
        <w:rPr>
          <w:rFonts w:hAnsi="宋体" w:cs="宋体"/>
          <w:kern w:val="0"/>
          <w:sz w:val="36"/>
          <w:szCs w:val="36"/>
        </w:rPr>
      </w:pPr>
      <w:r>
        <w:rPr>
          <w:rFonts w:hint="eastAsia" w:hAnsi="宋体" w:cs="宋体"/>
          <w:kern w:val="0"/>
          <w:sz w:val="36"/>
          <w:szCs w:val="36"/>
        </w:rPr>
        <w:t>（2019年度）</w:t>
      </w:r>
    </w:p>
    <w:p w14:paraId="3F4F5F49">
      <w:pPr>
        <w:spacing w:line="540" w:lineRule="exact"/>
        <w:jc w:val="center"/>
        <w:rPr>
          <w:rFonts w:hAnsi="宋体" w:cs="宋体"/>
          <w:kern w:val="0"/>
          <w:szCs w:val="30"/>
        </w:rPr>
      </w:pPr>
    </w:p>
    <w:p w14:paraId="0D29E147">
      <w:pPr>
        <w:spacing w:line="540" w:lineRule="exact"/>
        <w:jc w:val="center"/>
        <w:rPr>
          <w:rFonts w:hAnsi="宋体" w:cs="宋体"/>
          <w:kern w:val="0"/>
          <w:szCs w:val="30"/>
        </w:rPr>
      </w:pPr>
    </w:p>
    <w:p w14:paraId="6904C7E6">
      <w:pPr>
        <w:spacing w:line="540" w:lineRule="exact"/>
        <w:jc w:val="center"/>
        <w:rPr>
          <w:rFonts w:hAnsi="宋体" w:cs="宋体"/>
          <w:kern w:val="0"/>
          <w:szCs w:val="30"/>
        </w:rPr>
      </w:pPr>
    </w:p>
    <w:p w14:paraId="3EED9E78">
      <w:pPr>
        <w:spacing w:line="540" w:lineRule="exact"/>
        <w:jc w:val="center"/>
        <w:rPr>
          <w:rFonts w:hAnsi="宋体" w:cs="宋体"/>
          <w:kern w:val="0"/>
          <w:szCs w:val="30"/>
        </w:rPr>
      </w:pPr>
    </w:p>
    <w:p w14:paraId="50F7C6DC">
      <w:pPr>
        <w:spacing w:line="540" w:lineRule="exact"/>
        <w:jc w:val="center"/>
        <w:rPr>
          <w:rFonts w:hAnsi="宋体" w:cs="宋体"/>
          <w:kern w:val="0"/>
          <w:szCs w:val="30"/>
        </w:rPr>
      </w:pPr>
    </w:p>
    <w:p w14:paraId="317D4E32">
      <w:pPr>
        <w:spacing w:line="540" w:lineRule="exact"/>
        <w:rPr>
          <w:rFonts w:hAnsi="宋体" w:cs="宋体"/>
          <w:kern w:val="0"/>
          <w:szCs w:val="30"/>
        </w:rPr>
      </w:pPr>
    </w:p>
    <w:p w14:paraId="677267B2">
      <w:pPr>
        <w:spacing w:line="700" w:lineRule="exact"/>
        <w:ind w:firstLine="900" w:firstLineChars="250"/>
        <w:jc w:val="left"/>
        <w:rPr>
          <w:rFonts w:hAnsi="宋体" w:cs="宋体"/>
          <w:kern w:val="0"/>
          <w:sz w:val="36"/>
          <w:szCs w:val="36"/>
        </w:rPr>
      </w:pPr>
      <w:r>
        <w:rPr>
          <w:rFonts w:hint="eastAsia" w:hAnsi="宋体" w:cs="宋体"/>
          <w:kern w:val="0"/>
          <w:sz w:val="36"/>
          <w:szCs w:val="36"/>
        </w:rPr>
        <w:t>项目名称：检验检测工作经费</w:t>
      </w:r>
    </w:p>
    <w:p w14:paraId="698E928B">
      <w:pPr>
        <w:spacing w:line="700" w:lineRule="exact"/>
        <w:ind w:firstLine="900" w:firstLineChars="250"/>
        <w:jc w:val="left"/>
        <w:rPr>
          <w:rFonts w:hAnsi="宋体" w:cs="宋体"/>
          <w:kern w:val="0"/>
          <w:sz w:val="36"/>
          <w:szCs w:val="36"/>
        </w:rPr>
      </w:pPr>
      <w:r>
        <w:rPr>
          <w:rFonts w:hint="eastAsia" w:hAnsi="宋体" w:cs="宋体"/>
          <w:kern w:val="0"/>
          <w:sz w:val="36"/>
          <w:szCs w:val="36"/>
        </w:rPr>
        <w:t>实施单位（公章）：</w:t>
      </w:r>
      <w:r>
        <w:rPr>
          <w:rFonts w:hAnsi="宋体" w:cs="宋体"/>
          <w:kern w:val="0"/>
          <w:sz w:val="36"/>
          <w:szCs w:val="36"/>
        </w:rPr>
        <w:t xml:space="preserve"> </w:t>
      </w:r>
      <w:r>
        <w:rPr>
          <w:rFonts w:hint="eastAsia" w:hAnsi="宋体" w:cs="宋体"/>
          <w:kern w:val="0"/>
          <w:sz w:val="36"/>
          <w:szCs w:val="36"/>
        </w:rPr>
        <w:t>巴州产品质量检验所</w:t>
      </w:r>
    </w:p>
    <w:p w14:paraId="197632FA">
      <w:pPr>
        <w:spacing w:line="700" w:lineRule="exact"/>
        <w:ind w:firstLine="900" w:firstLineChars="250"/>
        <w:jc w:val="left"/>
        <w:rPr>
          <w:rFonts w:hAnsi="宋体" w:cs="宋体"/>
          <w:kern w:val="0"/>
          <w:sz w:val="36"/>
          <w:szCs w:val="36"/>
        </w:rPr>
      </w:pPr>
      <w:r>
        <w:rPr>
          <w:rFonts w:hint="eastAsia" w:hAnsi="宋体" w:cs="宋体"/>
          <w:kern w:val="0"/>
          <w:sz w:val="36"/>
          <w:szCs w:val="36"/>
        </w:rPr>
        <w:t>主管部门（公章）：巴州产品质量检验所</w:t>
      </w:r>
    </w:p>
    <w:p w14:paraId="30622866">
      <w:pPr>
        <w:spacing w:line="700" w:lineRule="exact"/>
        <w:ind w:firstLine="849" w:firstLineChars="236"/>
        <w:jc w:val="left"/>
        <w:rPr>
          <w:rFonts w:hAnsi="宋体" w:cs="宋体"/>
          <w:kern w:val="0"/>
          <w:sz w:val="36"/>
          <w:szCs w:val="36"/>
        </w:rPr>
      </w:pPr>
      <w:r>
        <w:rPr>
          <w:rFonts w:hint="eastAsia" w:hAnsi="宋体" w:cs="宋体"/>
          <w:kern w:val="0"/>
          <w:sz w:val="36"/>
          <w:szCs w:val="36"/>
        </w:rPr>
        <w:t>项目负责人（签章）：陈智江</w:t>
      </w:r>
      <w:r>
        <w:rPr>
          <w:rFonts w:hAnsi="宋体" w:cs="宋体"/>
          <w:kern w:val="0"/>
          <w:sz w:val="36"/>
          <w:szCs w:val="36"/>
        </w:rPr>
        <w:t xml:space="preserve"> </w:t>
      </w:r>
    </w:p>
    <w:p w14:paraId="343D9B64">
      <w:pPr>
        <w:spacing w:line="700" w:lineRule="exact"/>
        <w:ind w:firstLine="849" w:firstLineChars="236"/>
        <w:jc w:val="left"/>
        <w:rPr>
          <w:rFonts w:hAnsi="宋体" w:cs="宋体"/>
          <w:kern w:val="0"/>
          <w:sz w:val="36"/>
          <w:szCs w:val="36"/>
        </w:rPr>
      </w:pPr>
      <w:r>
        <w:rPr>
          <w:rFonts w:hint="eastAsia" w:hAnsi="宋体" w:cs="宋体"/>
          <w:kern w:val="0"/>
          <w:sz w:val="36"/>
          <w:szCs w:val="36"/>
        </w:rPr>
        <w:t xml:space="preserve">填报时间：  </w:t>
      </w:r>
      <w:r>
        <w:rPr>
          <w:rFonts w:hAnsi="宋体" w:cs="宋体"/>
          <w:kern w:val="0"/>
          <w:sz w:val="36"/>
          <w:szCs w:val="36"/>
        </w:rPr>
        <w:t xml:space="preserve"> 2020</w:t>
      </w:r>
      <w:r>
        <w:rPr>
          <w:rFonts w:hint="eastAsia" w:hAnsi="宋体" w:cs="宋体"/>
          <w:kern w:val="0"/>
          <w:sz w:val="36"/>
          <w:szCs w:val="36"/>
        </w:rPr>
        <w:t xml:space="preserve">年4月20日 </w:t>
      </w:r>
    </w:p>
    <w:p w14:paraId="5B8D3848">
      <w:pPr>
        <w:spacing w:line="540" w:lineRule="exact"/>
        <w:jc w:val="center"/>
        <w:rPr>
          <w:rFonts w:hAnsi="宋体" w:cs="宋体"/>
          <w:kern w:val="0"/>
          <w:szCs w:val="30"/>
        </w:rPr>
      </w:pPr>
    </w:p>
    <w:p w14:paraId="4F9B4EA4">
      <w:pPr>
        <w:jc w:val="center"/>
        <w:rPr>
          <w:rFonts w:hint="eastAsia" w:ascii="宋体" w:hAnsi="宋体" w:eastAsia="宋体" w:cs="Arial"/>
          <w:b/>
          <w:bCs/>
          <w:sz w:val="36"/>
          <w:szCs w:val="36"/>
        </w:rPr>
      </w:pPr>
    </w:p>
    <w:p w14:paraId="65E0D9C2">
      <w:pPr>
        <w:jc w:val="center"/>
        <w:rPr>
          <w:rFonts w:hint="eastAsia" w:ascii="宋体" w:hAnsi="宋体" w:eastAsia="宋体" w:cs="Arial"/>
          <w:b/>
          <w:bCs/>
          <w:sz w:val="36"/>
          <w:szCs w:val="36"/>
        </w:rPr>
      </w:pPr>
    </w:p>
    <w:p w14:paraId="3B317F28">
      <w:pPr>
        <w:jc w:val="center"/>
        <w:rPr>
          <w:rFonts w:ascii="Arial" w:hAnsi="Arial" w:eastAsia="宋体" w:cs="Arial"/>
          <w:b/>
          <w:bCs/>
          <w:sz w:val="36"/>
          <w:szCs w:val="36"/>
        </w:rPr>
      </w:pPr>
      <w:r>
        <w:rPr>
          <w:rFonts w:hint="eastAsia" w:ascii="宋体" w:hAnsi="宋体" w:eastAsia="宋体" w:cs="Arial"/>
          <w:b/>
          <w:bCs/>
          <w:sz w:val="36"/>
          <w:szCs w:val="36"/>
        </w:rPr>
        <w:t>项目支出绩效评价报告</w:t>
      </w:r>
    </w:p>
    <w:p w14:paraId="1A94466C">
      <w:pPr>
        <w:jc w:val="center"/>
        <w:rPr>
          <w:rFonts w:ascii="仿宋_GB2312"/>
          <w:szCs w:val="30"/>
        </w:rPr>
      </w:pPr>
    </w:p>
    <w:p w14:paraId="6DD1E423">
      <w:pPr>
        <w:spacing w:line="600" w:lineRule="exact"/>
        <w:ind w:firstLine="600" w:firstLineChars="200"/>
        <w:rPr>
          <w:rFonts w:ascii="黑体" w:hAnsi="黑体" w:eastAsia="黑体"/>
        </w:rPr>
      </w:pPr>
      <w:r>
        <w:rPr>
          <w:rFonts w:hint="eastAsia" w:ascii="黑体" w:hAnsi="黑体" w:eastAsia="黑体"/>
        </w:rPr>
        <w:t>一、基本情况</w:t>
      </w:r>
    </w:p>
    <w:p w14:paraId="0842B0CD">
      <w:pPr>
        <w:spacing w:line="600" w:lineRule="exact"/>
        <w:ind w:firstLine="600" w:firstLineChars="200"/>
        <w:outlineLvl w:val="0"/>
        <w:rPr>
          <w:rFonts w:hint="eastAsia" w:ascii="仿宋_GB2312"/>
        </w:rPr>
      </w:pPr>
      <w:r>
        <w:rPr>
          <w:rFonts w:hint="eastAsia" w:ascii="仿宋_GB2312"/>
        </w:rPr>
        <w:t>（一）项目概况</w:t>
      </w:r>
    </w:p>
    <w:p w14:paraId="5488FD52">
      <w:pPr>
        <w:spacing w:line="600" w:lineRule="exact"/>
        <w:ind w:firstLine="600" w:firstLineChars="200"/>
        <w:outlineLvl w:val="0"/>
        <w:rPr>
          <w:rFonts w:ascii="仿宋_GB2312"/>
        </w:rPr>
      </w:pPr>
      <w:r>
        <w:rPr>
          <w:rFonts w:hint="eastAsia" w:ascii="仿宋_GB2312"/>
        </w:rPr>
        <w:t>1.项目背景</w:t>
      </w:r>
    </w:p>
    <w:p w14:paraId="22B279B3">
      <w:pPr>
        <w:spacing w:line="600" w:lineRule="exact"/>
        <w:ind w:firstLine="600" w:firstLineChars="200"/>
        <w:outlineLvl w:val="0"/>
        <w:rPr>
          <w:rFonts w:ascii="仿宋_GB2312"/>
        </w:rPr>
      </w:pPr>
      <w:r>
        <w:rPr>
          <w:rFonts w:hint="eastAsia" w:ascii="仿宋_GB2312"/>
        </w:rPr>
        <w:t>巴州产品质量检验所是依法设置的地区级的第三方产品质量检验机构，为社会公益性非盈利的技术性事业单位。主要任务是承担国家及自治区下达的统检、监督抽查、定期监督检验、新产品的标准验证、企业与消费者的委托检验、产品质量纠纷的仲裁检验等。</w:t>
      </w:r>
    </w:p>
    <w:p w14:paraId="677617E7">
      <w:pPr>
        <w:spacing w:line="600" w:lineRule="exact"/>
        <w:ind w:firstLine="600" w:firstLineChars="200"/>
        <w:outlineLvl w:val="0"/>
        <w:rPr>
          <w:rFonts w:hint="eastAsia" w:ascii="仿宋_GB2312"/>
        </w:rPr>
      </w:pPr>
      <w:r>
        <w:rPr>
          <w:rFonts w:hint="eastAsia" w:ascii="仿宋_GB2312"/>
        </w:rPr>
        <w:t>十四五期间我所将根据自治州行业优势及特色产业开拓新的检验项目，重点提升石油天然气相关产品的检验能力，能够取得天然气、汽油、柴油、机油等产品的全项检验资质，开展防雷电检测、</w:t>
      </w:r>
      <w:r>
        <w:rPr>
          <w:rFonts w:ascii="仿宋_GB2312"/>
        </w:rPr>
        <w:t>PE</w:t>
      </w:r>
      <w:r>
        <w:rPr>
          <w:rFonts w:hint="eastAsia" w:ascii="仿宋_GB2312"/>
        </w:rPr>
        <w:t>软带、纸杯纸碗、井盖等产品的检验工作，</w:t>
      </w:r>
      <w:r>
        <w:rPr>
          <w:rFonts w:hint="eastAsia" w:ascii="仿宋_GB2312"/>
          <w:lang w:eastAsia="zh-CN"/>
        </w:rPr>
        <w:t>更好地为</w:t>
      </w:r>
      <w:bookmarkStart w:id="1" w:name="_GoBack"/>
      <w:bookmarkEnd w:id="1"/>
      <w:r>
        <w:rPr>
          <w:rFonts w:hint="eastAsia" w:ascii="仿宋_GB2312"/>
        </w:rPr>
        <w:t>政府、企业提供相关技术支撑。</w:t>
      </w:r>
    </w:p>
    <w:p w14:paraId="5643B084">
      <w:pPr>
        <w:spacing w:line="600" w:lineRule="exact"/>
        <w:ind w:firstLine="600" w:firstLineChars="200"/>
        <w:outlineLvl w:val="0"/>
        <w:rPr>
          <w:rFonts w:ascii="仿宋_GB2312"/>
        </w:rPr>
      </w:pPr>
      <w:r>
        <w:rPr>
          <w:rFonts w:hint="eastAsia" w:ascii="仿宋_GB2312"/>
        </w:rPr>
        <w:t>2.项目主要内容及实施情况</w:t>
      </w:r>
    </w:p>
    <w:p w14:paraId="7001A63E">
      <w:pPr>
        <w:spacing w:line="600" w:lineRule="exact"/>
        <w:ind w:firstLine="600" w:firstLineChars="200"/>
        <w:outlineLvl w:val="0"/>
        <w:rPr>
          <w:rFonts w:ascii="仿宋_GB2312"/>
        </w:rPr>
      </w:pPr>
      <w:r>
        <w:rPr>
          <w:rFonts w:hint="eastAsia" w:ascii="仿宋_GB2312"/>
        </w:rPr>
        <w:t>按照我所工作计划，</w:t>
      </w:r>
      <w:r>
        <w:rPr>
          <w:rFonts w:ascii="仿宋_GB2312"/>
        </w:rPr>
        <w:t>7</w:t>
      </w:r>
      <w:r>
        <w:rPr>
          <w:rFonts w:hint="eastAsia" w:ascii="仿宋_GB2312"/>
        </w:rPr>
        <w:t>月组织人员对我所各项工作进行了内部审核，对发现的问题及时进行了纠正和整改。积极安排人员参加了中国检验检疫科学研究院测试评价中心组织的葡萄酒总二氧化硫的测定能力验证，开展了保温材料导热系数测定、金属材料拉伸性能测试这两个外部实验室比对工作。</w:t>
      </w:r>
    </w:p>
    <w:p w14:paraId="52D50FD1">
      <w:pPr>
        <w:spacing w:line="600" w:lineRule="exact"/>
        <w:ind w:firstLine="600" w:firstLineChars="200"/>
        <w:outlineLvl w:val="0"/>
        <w:rPr>
          <w:rFonts w:ascii="仿宋_GB2312"/>
        </w:rPr>
      </w:pPr>
      <w:r>
        <w:rPr>
          <w:rFonts w:ascii="仿宋_GB2312"/>
        </w:rPr>
        <w:t>2019</w:t>
      </w:r>
      <w:r>
        <w:rPr>
          <w:rFonts w:hint="eastAsia" w:ascii="仿宋_GB2312"/>
        </w:rPr>
        <w:t>年我所积极协助配合州局稽查科、两反科、食品安全监督执法支队，各县市局、市公安局、市刑侦支队等部门开展的食品、化肥、地膜、烧结砖、硬聚氯乙烯管材、钢材的抽检工作，共抽检检验样品</w:t>
      </w:r>
      <w:r>
        <w:rPr>
          <w:rFonts w:ascii="仿宋_GB2312"/>
        </w:rPr>
        <w:t>15</w:t>
      </w:r>
      <w:r>
        <w:rPr>
          <w:rFonts w:hint="eastAsia" w:ascii="仿宋_GB2312"/>
        </w:rPr>
        <w:t>批次，参与人员</w:t>
      </w:r>
      <w:r>
        <w:rPr>
          <w:rFonts w:ascii="仿宋_GB2312"/>
        </w:rPr>
        <w:t>12</w:t>
      </w:r>
      <w:r>
        <w:rPr>
          <w:rFonts w:hint="eastAsia" w:ascii="仿宋_GB2312"/>
        </w:rPr>
        <w:t>人次。积珠宝玉器检验中心为州纪委、焉耆县公安局免费检验黄金、玉石</w:t>
      </w:r>
      <w:r>
        <w:rPr>
          <w:rFonts w:ascii="仿宋_GB2312"/>
        </w:rPr>
        <w:t>423</w:t>
      </w:r>
      <w:r>
        <w:rPr>
          <w:rFonts w:hint="eastAsia" w:ascii="仿宋_GB2312"/>
        </w:rPr>
        <w:t>批次，免收检验费用合计金额</w:t>
      </w:r>
      <w:r>
        <w:rPr>
          <w:rFonts w:ascii="仿宋_GB2312"/>
        </w:rPr>
        <w:t xml:space="preserve">181850 </w:t>
      </w:r>
      <w:r>
        <w:rPr>
          <w:rFonts w:hint="eastAsia" w:ascii="仿宋_GB2312"/>
        </w:rPr>
        <w:t>元。极开展“实验室开放日”活动，积极向全社会宣传质检工作。今年我所邀请了我州特人大代表、企业负责人、新闻媒体、群众代表</w:t>
      </w:r>
      <w:r>
        <w:rPr>
          <w:rFonts w:ascii="仿宋_GB2312"/>
        </w:rPr>
        <w:t>20</w:t>
      </w:r>
      <w:r>
        <w:rPr>
          <w:rFonts w:hint="eastAsia" w:ascii="仿宋_GB2312"/>
        </w:rPr>
        <w:t>余人实地参观了巴州产品质量检验所实验室，并与他们进行了面对面的交谈。使他们了解巴州质检所开展产品检验的领域以及产品检验工作、产品质量的相关知识。顺利通过了板材、纸制品、管材、滴灌带、珠宝等</w:t>
      </w:r>
      <w:r>
        <w:rPr>
          <w:rFonts w:ascii="仿宋_GB2312"/>
        </w:rPr>
        <w:t>4</w:t>
      </w:r>
      <w:r>
        <w:rPr>
          <w:rFonts w:hint="eastAsia" w:ascii="仿宋_GB2312"/>
        </w:rPr>
        <w:t>大类，</w:t>
      </w:r>
      <w:r>
        <w:rPr>
          <w:rFonts w:ascii="仿宋_GB2312"/>
        </w:rPr>
        <w:t>12</w:t>
      </w:r>
      <w:r>
        <w:rPr>
          <w:rFonts w:hint="eastAsia" w:ascii="仿宋_GB2312"/>
        </w:rPr>
        <w:t>项</w:t>
      </w:r>
      <w:r>
        <w:rPr>
          <w:rFonts w:ascii="仿宋_GB2312"/>
        </w:rPr>
        <w:t>61</w:t>
      </w:r>
      <w:r>
        <w:rPr>
          <w:rFonts w:hint="eastAsia" w:ascii="仿宋_GB2312"/>
        </w:rPr>
        <w:t>个参数的扩项评审工作。</w:t>
      </w:r>
    </w:p>
    <w:p w14:paraId="0826425C">
      <w:pPr>
        <w:spacing w:line="600" w:lineRule="exact"/>
        <w:ind w:firstLine="600" w:firstLineChars="200"/>
        <w:outlineLvl w:val="0"/>
        <w:rPr>
          <w:rFonts w:ascii="仿宋_GB2312"/>
        </w:rPr>
      </w:pPr>
      <w:r>
        <w:rPr>
          <w:rFonts w:ascii="仿宋_GB2312"/>
        </w:rPr>
        <w:t>3.</w:t>
      </w:r>
      <w:r>
        <w:rPr>
          <w:rFonts w:hint="eastAsia" w:ascii="仿宋_GB2312"/>
        </w:rPr>
        <w:t>资金投入和使用情况</w:t>
      </w:r>
    </w:p>
    <w:p w14:paraId="5EDD4354">
      <w:pPr>
        <w:spacing w:line="600" w:lineRule="exact"/>
        <w:ind w:firstLine="600" w:firstLineChars="200"/>
        <w:outlineLvl w:val="0"/>
        <w:rPr>
          <w:rFonts w:ascii="仿宋_GB2312"/>
        </w:rPr>
      </w:pPr>
      <w:r>
        <w:rPr>
          <w:rFonts w:ascii="仿宋_GB2312"/>
        </w:rPr>
        <w:t>2019</w:t>
      </w:r>
      <w:r>
        <w:rPr>
          <w:rFonts w:hint="eastAsia" w:ascii="仿宋_GB2312"/>
        </w:rPr>
        <w:t>年我所产品质量检验检测工作项目经费</w:t>
      </w:r>
      <w:r>
        <w:rPr>
          <w:rFonts w:ascii="仿宋_GB2312"/>
        </w:rPr>
        <w:t>116.88</w:t>
      </w:r>
      <w:r>
        <w:rPr>
          <w:rFonts w:hint="eastAsia" w:ascii="仿宋_GB2312"/>
        </w:rPr>
        <w:t>万元，资金来源为公共预算财政拨款。</w:t>
      </w:r>
      <w:r>
        <w:rPr>
          <w:rFonts w:ascii="仿宋_GB2312"/>
        </w:rPr>
        <w:t>2019</w:t>
      </w:r>
      <w:r>
        <w:rPr>
          <w:rFonts w:hint="eastAsia" w:ascii="仿宋_GB2312"/>
        </w:rPr>
        <w:t>年到位资金</w:t>
      </w:r>
      <w:r>
        <w:rPr>
          <w:rFonts w:ascii="仿宋_GB2312"/>
        </w:rPr>
        <w:t>116.88</w:t>
      </w:r>
      <w:r>
        <w:rPr>
          <w:rFonts w:hint="eastAsia" w:ascii="仿宋_GB2312"/>
        </w:rPr>
        <w:t>万元，实际支出</w:t>
      </w:r>
      <w:r>
        <w:rPr>
          <w:rFonts w:ascii="仿宋_GB2312"/>
        </w:rPr>
        <w:t>116.88</w:t>
      </w:r>
      <w:r>
        <w:rPr>
          <w:rFonts w:hint="eastAsia" w:ascii="仿宋_GB2312"/>
        </w:rPr>
        <w:t>万元，预算执行率</w:t>
      </w:r>
      <w:r>
        <w:rPr>
          <w:rFonts w:ascii="仿宋_GB2312"/>
        </w:rPr>
        <w:t>100%</w:t>
      </w:r>
      <w:r>
        <w:rPr>
          <w:rFonts w:hint="eastAsia" w:ascii="仿宋_GB2312"/>
        </w:rPr>
        <w:t>。项目资金主要用于检验检测设备的维（修）护费用、检验用专用材料支出以及聘用人员工资等。该项目资金实行专款专用，项目资金由国库支付，资金的支付执行了完整的审批程序，项目支出符合项目预算批复用途，未发现截留、挤占、挪用、虚列支出等情况。</w:t>
      </w:r>
    </w:p>
    <w:p w14:paraId="5FA3DBB7">
      <w:pPr>
        <w:spacing w:line="600" w:lineRule="exact"/>
        <w:ind w:firstLine="600" w:firstLineChars="200"/>
        <w:rPr>
          <w:rFonts w:hint="eastAsia" w:ascii="仿宋_GB2312"/>
        </w:rPr>
      </w:pPr>
      <w:r>
        <w:rPr>
          <w:rFonts w:hint="eastAsia" w:ascii="仿宋_GB2312"/>
        </w:rPr>
        <w:t>（二）项目绩效目标。包括总体目标和阶段性目标。</w:t>
      </w:r>
    </w:p>
    <w:p w14:paraId="2B21FBC5">
      <w:pPr>
        <w:spacing w:line="600" w:lineRule="exact"/>
        <w:ind w:firstLine="600" w:firstLineChars="200"/>
        <w:rPr>
          <w:rFonts w:ascii="仿宋_GB2312"/>
        </w:rPr>
      </w:pPr>
      <w:r>
        <w:rPr>
          <w:rFonts w:hint="eastAsia" w:ascii="仿宋_GB2312"/>
        </w:rPr>
        <w:t>1.总体目标</w:t>
      </w:r>
    </w:p>
    <w:p w14:paraId="77361AE3">
      <w:pPr>
        <w:spacing w:line="600" w:lineRule="exact"/>
        <w:ind w:firstLine="600" w:firstLineChars="200"/>
        <w:rPr>
          <w:rFonts w:hint="eastAsia" w:ascii="仿宋_GB2312"/>
        </w:rPr>
      </w:pPr>
      <w:r>
        <w:rPr>
          <w:rFonts w:hint="eastAsia" w:ascii="仿宋_GB2312"/>
        </w:rPr>
        <w:t>通过本项目的实施，对生产企业监督有了较大成效，企业对产品质量把控意识逐步增强，对生产工艺及原材料质量把关力度不断加强；有针对性地开展质量帮扶，为生产企业提供技术服务及技术支撑，帮助企业不断提升产品品质及出厂合格率。</w:t>
      </w:r>
    </w:p>
    <w:p w14:paraId="777B67B6">
      <w:pPr>
        <w:spacing w:line="600" w:lineRule="exact"/>
        <w:ind w:firstLine="600" w:firstLineChars="200"/>
        <w:rPr>
          <w:rFonts w:ascii="仿宋_GB2312"/>
        </w:rPr>
      </w:pPr>
      <w:r>
        <w:rPr>
          <w:rFonts w:hint="eastAsia" w:ascii="仿宋_GB2312"/>
        </w:rPr>
        <w:t>2.阶段性目标</w:t>
      </w:r>
    </w:p>
    <w:p w14:paraId="752736AE">
      <w:pPr>
        <w:snapToGrid w:val="0"/>
        <w:spacing w:line="600" w:lineRule="exact"/>
        <w:ind w:firstLine="720"/>
        <w:rPr>
          <w:rFonts w:ascii="仿宋_GB2312"/>
        </w:rPr>
      </w:pPr>
      <w:r>
        <w:rPr>
          <w:rFonts w:hint="eastAsia" w:ascii="仿宋_GB2312"/>
        </w:rPr>
        <w:t>通过对危险化学品、危险化学品包装容器、滴灌带、农膜、化肥、电线电缆、人造板、纸巾纸、卫生纸、自治州监督抽查、生产企业生产条件现场检查，进一步了解巴州地区重点产品企业的质量状况</w:t>
      </w:r>
      <w:r>
        <w:rPr>
          <w:rFonts w:ascii="仿宋_GB2312"/>
        </w:rPr>
        <w:t>,</w:t>
      </w:r>
      <w:r>
        <w:rPr>
          <w:rFonts w:hint="eastAsia" w:ascii="仿宋_GB2312"/>
        </w:rPr>
        <w:t>为监管部门有的放矢的监管提供依据。引导消费选购，提振消费信心。</w:t>
      </w:r>
    </w:p>
    <w:p w14:paraId="03D74E4D">
      <w:pPr>
        <w:spacing w:line="600" w:lineRule="exact"/>
        <w:ind w:firstLine="600" w:firstLineChars="200"/>
        <w:rPr>
          <w:rFonts w:ascii="黑体" w:hAnsi="黑体" w:eastAsia="黑体"/>
        </w:rPr>
      </w:pPr>
      <w:r>
        <w:rPr>
          <w:rFonts w:hint="eastAsia" w:ascii="黑体" w:hAnsi="黑体" w:eastAsia="黑体"/>
        </w:rPr>
        <w:t>二、绩效评价工作开展情况</w:t>
      </w:r>
    </w:p>
    <w:p w14:paraId="3F241A66">
      <w:pPr>
        <w:spacing w:line="600" w:lineRule="exact"/>
        <w:ind w:firstLine="600" w:firstLineChars="200"/>
        <w:rPr>
          <w:rFonts w:hint="eastAsia" w:ascii="仿宋_GB2312"/>
        </w:rPr>
      </w:pPr>
      <w:r>
        <w:rPr>
          <w:rFonts w:hint="eastAsia" w:ascii="仿宋_GB2312"/>
        </w:rPr>
        <w:t>（一）绩效评价目的、对象和范围。</w:t>
      </w:r>
    </w:p>
    <w:p w14:paraId="03834761">
      <w:pPr>
        <w:snapToGrid w:val="0"/>
        <w:spacing w:line="600" w:lineRule="exact"/>
        <w:ind w:firstLine="720"/>
        <w:rPr>
          <w:rFonts w:hint="eastAsia" w:ascii="仿宋_GB2312"/>
        </w:rPr>
      </w:pPr>
      <w:r>
        <w:rPr>
          <w:rFonts w:hint="eastAsia" w:ascii="仿宋_GB2312"/>
        </w:rPr>
        <w:t>1.绩效评价目的</w:t>
      </w:r>
    </w:p>
    <w:p w14:paraId="0971768A">
      <w:pPr>
        <w:snapToGrid w:val="0"/>
        <w:spacing w:line="600" w:lineRule="exact"/>
        <w:ind w:firstLine="720"/>
        <w:rPr>
          <w:rFonts w:hint="eastAsia" w:ascii="仿宋_GB2312"/>
        </w:rPr>
      </w:pPr>
      <w:r>
        <w:rPr>
          <w:rFonts w:hint="eastAsia" w:ascii="仿宋_GB2312"/>
        </w:rPr>
        <w:t>一是根据绩效目标，客观公正地评价项目资金使用的合理性和有效性，总结经验发现问题，为今后优化专项资金的分配和使用提供意见和建议；二是通过评价，进一步优化绩效评价指标体系，进一步加强和规范质检经费预算和支出管理工作，为完成</w:t>
      </w:r>
      <w:r>
        <w:rPr>
          <w:rFonts w:ascii="仿宋_GB2312"/>
        </w:rPr>
        <w:t xml:space="preserve">2020 </w:t>
      </w:r>
      <w:r>
        <w:rPr>
          <w:rFonts w:hint="eastAsia" w:ascii="仿宋_GB2312"/>
        </w:rPr>
        <w:t>年度预算的绩效目标编制提供参考和依据，为今后开展预算绩效管理提供经验和借鉴。</w:t>
      </w:r>
    </w:p>
    <w:p w14:paraId="541CFAB7">
      <w:pPr>
        <w:snapToGrid w:val="0"/>
        <w:spacing w:line="600" w:lineRule="exact"/>
        <w:ind w:firstLine="720"/>
        <w:rPr>
          <w:rFonts w:hint="eastAsia" w:ascii="仿宋_GB2312"/>
        </w:rPr>
      </w:pPr>
      <w:r>
        <w:rPr>
          <w:rFonts w:hint="eastAsia" w:ascii="仿宋_GB2312"/>
        </w:rPr>
        <w:t>2.绩效评价对象</w:t>
      </w:r>
    </w:p>
    <w:p w14:paraId="62959B6E">
      <w:pPr>
        <w:snapToGrid w:val="0"/>
        <w:spacing w:line="600" w:lineRule="exact"/>
        <w:ind w:firstLine="720"/>
        <w:rPr>
          <w:rFonts w:hint="eastAsia" w:ascii="仿宋_GB2312"/>
        </w:rPr>
      </w:pPr>
      <w:r>
        <w:rPr>
          <w:rFonts w:hint="eastAsia" w:ascii="仿宋_GB2312"/>
        </w:rPr>
        <w:t>2019年财政支出项目绩效评价对象为检验检测工作经费。</w:t>
      </w:r>
    </w:p>
    <w:p w14:paraId="108ADB06">
      <w:pPr>
        <w:snapToGrid w:val="0"/>
        <w:spacing w:line="600" w:lineRule="exact"/>
        <w:ind w:firstLine="720"/>
        <w:rPr>
          <w:rFonts w:hint="eastAsia" w:ascii="仿宋_GB2312"/>
        </w:rPr>
      </w:pPr>
      <w:r>
        <w:rPr>
          <w:rFonts w:hint="eastAsia" w:ascii="仿宋_GB2312"/>
        </w:rPr>
        <w:t>3.绩效评价范围</w:t>
      </w:r>
    </w:p>
    <w:p w14:paraId="1F27C7BB">
      <w:pPr>
        <w:snapToGrid w:val="0"/>
        <w:spacing w:line="600" w:lineRule="exact"/>
        <w:ind w:firstLine="720"/>
        <w:rPr>
          <w:rFonts w:ascii="仿宋_GB2312"/>
        </w:rPr>
      </w:pPr>
      <w:r>
        <w:rPr>
          <w:rFonts w:hint="eastAsia" w:ascii="仿宋_GB2312"/>
        </w:rPr>
        <w:t>项目涉及州质检所负责人和业务科室技术人员对2019年检验检测工作经费项目在决策、产出、效果全过程绩效情况进行的评价。</w:t>
      </w:r>
    </w:p>
    <w:p w14:paraId="037969CB">
      <w:pPr>
        <w:spacing w:line="600" w:lineRule="exact"/>
        <w:ind w:firstLine="600" w:firstLineChars="200"/>
        <w:rPr>
          <w:rFonts w:ascii="仿宋_GB2312"/>
        </w:rPr>
      </w:pPr>
      <w:r>
        <w:rPr>
          <w:rFonts w:hint="eastAsia" w:ascii="仿宋_GB2312"/>
        </w:rPr>
        <w:t>（二）绩效评价原则、评价指标体系（附表说明）、评价方法、评价标准等。</w:t>
      </w:r>
    </w:p>
    <w:p w14:paraId="16D730CB">
      <w:pPr>
        <w:spacing w:line="600" w:lineRule="exact"/>
        <w:ind w:firstLine="750" w:firstLineChars="250"/>
        <w:rPr>
          <w:rFonts w:ascii="仿宋_GB2312"/>
        </w:rPr>
      </w:pPr>
      <w:r>
        <w:rPr>
          <w:rFonts w:ascii="仿宋_GB2312"/>
        </w:rPr>
        <w:t>1.</w:t>
      </w:r>
      <w:r>
        <w:rPr>
          <w:rFonts w:hint="eastAsia" w:ascii="仿宋_GB2312"/>
        </w:rPr>
        <w:t>绩效评价原则</w:t>
      </w:r>
    </w:p>
    <w:p w14:paraId="0709B837">
      <w:pPr>
        <w:snapToGrid w:val="0"/>
        <w:spacing w:line="600" w:lineRule="exact"/>
        <w:ind w:firstLine="450" w:firstLineChars="150"/>
        <w:rPr>
          <w:rFonts w:ascii="仿宋_GB2312"/>
        </w:rPr>
      </w:pPr>
      <w:r>
        <w:rPr>
          <w:rFonts w:hint="eastAsia" w:ascii="仿宋_GB2312"/>
        </w:rPr>
        <w:t>（</w:t>
      </w:r>
      <w:r>
        <w:rPr>
          <w:rFonts w:ascii="仿宋_GB2312"/>
        </w:rPr>
        <w:t>1</w:t>
      </w:r>
      <w:r>
        <w:rPr>
          <w:rFonts w:hint="eastAsia" w:ascii="仿宋_GB2312"/>
        </w:rPr>
        <w:t>）重要性原则。在开展绩效评价工作时，抓住项目的特点，反映项目要求的核心内容。</w:t>
      </w:r>
    </w:p>
    <w:p w14:paraId="0ACC6B12">
      <w:pPr>
        <w:snapToGrid w:val="0"/>
        <w:spacing w:line="600" w:lineRule="exact"/>
        <w:ind w:firstLine="450" w:firstLineChars="150"/>
        <w:rPr>
          <w:rFonts w:ascii="仿宋_GB2312"/>
        </w:rPr>
      </w:pPr>
      <w:r>
        <w:rPr>
          <w:rFonts w:hint="eastAsia" w:ascii="仿宋_GB2312"/>
        </w:rPr>
        <w:t>（</w:t>
      </w:r>
      <w:r>
        <w:rPr>
          <w:rFonts w:ascii="仿宋_GB2312"/>
        </w:rPr>
        <w:t>2</w:t>
      </w:r>
      <w:r>
        <w:rPr>
          <w:rFonts w:hint="eastAsia" w:ascii="仿宋_GB2312"/>
        </w:rPr>
        <w:t>）系统性原则。评价时应当将定量指标与定性指标相结合，定量指标应量化，定性指标可衡量，系统反映财政支出所产生的社会效益、可持续影响等。</w:t>
      </w:r>
    </w:p>
    <w:p w14:paraId="69B8118D">
      <w:pPr>
        <w:snapToGrid w:val="0"/>
        <w:spacing w:line="600" w:lineRule="exact"/>
        <w:ind w:firstLine="300" w:firstLineChars="100"/>
        <w:rPr>
          <w:rFonts w:ascii="仿宋_GB2312"/>
        </w:rPr>
      </w:pPr>
      <w:r>
        <w:rPr>
          <w:rFonts w:hint="eastAsia" w:ascii="仿宋_GB2312"/>
        </w:rPr>
        <w:t>（</w:t>
      </w:r>
      <w:r>
        <w:rPr>
          <w:rFonts w:ascii="仿宋_GB2312"/>
        </w:rPr>
        <w:t>3</w:t>
      </w:r>
      <w:r>
        <w:rPr>
          <w:rFonts w:hint="eastAsia" w:ascii="仿宋_GB2312"/>
        </w:rPr>
        <w:t>）经济性原则。评价工作考虑现实条件和可操作性，符合成本效益原则。能够恰当反映目标的实现程度</w:t>
      </w:r>
      <w:r>
        <w:rPr>
          <w:rFonts w:ascii="仿宋_GB2312"/>
        </w:rPr>
        <w:t>.</w:t>
      </w:r>
    </w:p>
    <w:p w14:paraId="176A999E">
      <w:pPr>
        <w:pStyle w:val="10"/>
        <w:spacing w:line="560" w:lineRule="exact"/>
        <w:ind w:firstLine="750" w:firstLineChars="250"/>
        <w:rPr>
          <w:rFonts w:ascii="仿宋_GB2312" w:eastAsia="仿宋_GB2312" w:cs="Times New Roman"/>
          <w:color w:val="auto"/>
          <w:kern w:val="2"/>
          <w:sz w:val="30"/>
        </w:rPr>
      </w:pPr>
      <w:r>
        <w:rPr>
          <w:rFonts w:ascii="仿宋_GB2312" w:eastAsia="仿宋_GB2312" w:cs="Times New Roman"/>
          <w:color w:val="auto"/>
          <w:kern w:val="2"/>
          <w:sz w:val="30"/>
        </w:rPr>
        <w:t>2</w:t>
      </w:r>
      <w:r>
        <w:rPr>
          <w:rFonts w:hint="eastAsia" w:ascii="仿宋_GB2312" w:eastAsia="仿宋_GB2312" w:cs="Times New Roman"/>
          <w:color w:val="auto"/>
          <w:kern w:val="2"/>
          <w:sz w:val="30"/>
        </w:rPr>
        <w:t>、绩效评价指标体系</w:t>
      </w:r>
    </w:p>
    <w:p w14:paraId="00A63BDE">
      <w:pPr>
        <w:snapToGrid w:val="0"/>
        <w:spacing w:line="600" w:lineRule="exact"/>
        <w:ind w:firstLine="720"/>
        <w:rPr>
          <w:rFonts w:ascii="仿宋_GB2312"/>
        </w:rPr>
      </w:pPr>
      <w:r>
        <w:rPr>
          <w:rFonts w:hint="eastAsia" w:ascii="仿宋_GB2312"/>
        </w:rPr>
        <w:t>（</w:t>
      </w:r>
      <w:r>
        <w:rPr>
          <w:rFonts w:ascii="仿宋_GB2312"/>
        </w:rPr>
        <w:t>1</w:t>
      </w:r>
      <w:r>
        <w:rPr>
          <w:rFonts w:hint="eastAsia" w:ascii="仿宋_GB2312"/>
        </w:rPr>
        <w:t>）评价指标</w:t>
      </w:r>
    </w:p>
    <w:p w14:paraId="180737F3">
      <w:pPr>
        <w:snapToGrid w:val="0"/>
        <w:spacing w:line="600" w:lineRule="exact"/>
        <w:ind w:firstLine="720"/>
        <w:rPr>
          <w:rFonts w:ascii="仿宋_GB2312"/>
        </w:rPr>
      </w:pPr>
      <w:r>
        <w:rPr>
          <w:rFonts w:hint="eastAsia" w:ascii="仿宋_GB2312"/>
        </w:rPr>
        <w:t>采用层次分析法，建立评价指标库。绩效评价将指标分为决策、过程、产出和效益四个层次，最终形成一个由多个相互联系的指标组成的多层次指标体系；采用集体决策法，确定评价指标。评价指标体系建立后，质检所绩效评价小组对指标库中的指标进行分析、权衡、补充、选择，最后确定评价指标。在些基础上最终形成提升项目绩效评价指标体系。</w:t>
      </w:r>
    </w:p>
    <w:p w14:paraId="41A02F2D">
      <w:pPr>
        <w:pStyle w:val="10"/>
        <w:spacing w:line="560" w:lineRule="exact"/>
        <w:ind w:firstLine="600" w:firstLineChars="200"/>
        <w:rPr>
          <w:rFonts w:ascii="仿宋_GB2312" w:eastAsia="仿宋_GB2312" w:cs="Times New Roman"/>
          <w:color w:val="auto"/>
          <w:kern w:val="2"/>
          <w:sz w:val="30"/>
        </w:rPr>
      </w:pPr>
      <w:r>
        <w:rPr>
          <w:rFonts w:ascii="仿宋_GB2312" w:eastAsia="仿宋_GB2312" w:cs="Times New Roman"/>
          <w:color w:val="auto"/>
          <w:kern w:val="2"/>
          <w:sz w:val="30"/>
        </w:rPr>
        <w:t>3</w:t>
      </w:r>
      <w:r>
        <w:rPr>
          <w:rFonts w:hint="eastAsia" w:ascii="仿宋_GB2312" w:eastAsia="仿宋_GB2312" w:cs="Times New Roman"/>
          <w:color w:val="auto"/>
          <w:kern w:val="2"/>
          <w:sz w:val="30"/>
        </w:rPr>
        <w:t>．评价方法</w:t>
      </w:r>
      <w:r>
        <w:rPr>
          <w:rFonts w:ascii="仿宋_GB2312" w:eastAsia="仿宋_GB2312" w:cs="Times New Roman"/>
          <w:color w:val="auto"/>
          <w:kern w:val="2"/>
          <w:sz w:val="30"/>
        </w:rPr>
        <w:t xml:space="preserve"> </w:t>
      </w:r>
    </w:p>
    <w:p w14:paraId="71F9912A">
      <w:pPr>
        <w:snapToGrid w:val="0"/>
        <w:spacing w:line="600" w:lineRule="exact"/>
        <w:ind w:firstLine="720"/>
        <w:rPr>
          <w:rFonts w:ascii="仿宋_GB2312"/>
        </w:rPr>
      </w:pPr>
      <w:r>
        <w:rPr>
          <w:rFonts w:hint="eastAsia" w:ascii="仿宋_GB2312"/>
        </w:rPr>
        <w:t>项目组综合运用了现场勘查、文档整理、资料对比分析、数据分析、问卷调查、座谈访谈、制度核查、案卷研究等方法开展绩效评价工作</w:t>
      </w:r>
    </w:p>
    <w:p w14:paraId="0983F3B9">
      <w:pPr>
        <w:snapToGrid w:val="0"/>
        <w:spacing w:line="600" w:lineRule="exact"/>
        <w:ind w:firstLine="720"/>
        <w:rPr>
          <w:rFonts w:ascii="仿宋_GB2312"/>
        </w:rPr>
      </w:pPr>
      <w:r>
        <w:rPr>
          <w:rFonts w:hint="eastAsia" w:ascii="仿宋_GB2312"/>
        </w:rPr>
        <w:t>基于项目的特点，在评价过程中我们采用了如下方法：</w:t>
      </w:r>
    </w:p>
    <w:p w14:paraId="619E1D67">
      <w:pPr>
        <w:snapToGrid w:val="0"/>
        <w:spacing w:line="600" w:lineRule="exact"/>
        <w:ind w:firstLine="720"/>
        <w:rPr>
          <w:rFonts w:ascii="仿宋_GB2312"/>
        </w:rPr>
      </w:pPr>
      <w:r>
        <w:rPr>
          <w:rFonts w:hint="eastAsia" w:ascii="仿宋_GB2312"/>
        </w:rPr>
        <w:t>（</w:t>
      </w:r>
      <w:r>
        <w:rPr>
          <w:rFonts w:ascii="仿宋_GB2312"/>
        </w:rPr>
        <w:t>1</w:t>
      </w:r>
      <w:r>
        <w:rPr>
          <w:rFonts w:hint="eastAsia" w:ascii="仿宋_GB2312"/>
        </w:rPr>
        <w:t>）绩效指标打分法。</w:t>
      </w:r>
      <w:r>
        <w:rPr>
          <w:rFonts w:ascii="仿宋_GB2312"/>
        </w:rPr>
        <w:t xml:space="preserve"> </w:t>
      </w:r>
      <w:r>
        <w:rPr>
          <w:rFonts w:hint="eastAsia" w:ascii="仿宋_GB2312"/>
        </w:rPr>
        <w:t>评价小组根据财政支出绩效评价指标体系框架，结合项目的现实特点，构造部分特性指标，再在项目以前年度绩效评价的基础上合理调整指标权重，进而根据项目特点进行打分，最后得出分值所处的等级，形成绩效评价结果。</w:t>
      </w:r>
    </w:p>
    <w:p w14:paraId="62BA2A06">
      <w:pPr>
        <w:snapToGrid w:val="0"/>
        <w:spacing w:line="600" w:lineRule="exact"/>
        <w:ind w:firstLine="720"/>
        <w:rPr>
          <w:rFonts w:ascii="仿宋_GB2312"/>
        </w:rPr>
      </w:pPr>
      <w:r>
        <w:rPr>
          <w:rFonts w:hint="eastAsia" w:ascii="仿宋_GB2312"/>
        </w:rPr>
        <w:t>（</w:t>
      </w:r>
      <w:r>
        <w:rPr>
          <w:rFonts w:ascii="仿宋_GB2312"/>
        </w:rPr>
        <w:t>2</w:t>
      </w:r>
      <w:r>
        <w:rPr>
          <w:rFonts w:hint="eastAsia" w:ascii="仿宋_GB2312"/>
        </w:rPr>
        <w:t>）现场评价法。本次现场评价主要采取座谈、询查、复核等方式，对项目的有关情况进行核实，并对所掌握的有关信息资料进行分类、整理和分析，提出考评意见。</w:t>
      </w:r>
    </w:p>
    <w:p w14:paraId="7295479A">
      <w:pPr>
        <w:snapToGrid w:val="0"/>
        <w:spacing w:line="600" w:lineRule="exact"/>
        <w:ind w:firstLine="720"/>
        <w:rPr>
          <w:rFonts w:ascii="仿宋_GB2312"/>
        </w:rPr>
      </w:pPr>
      <w:r>
        <w:rPr>
          <w:rFonts w:hint="eastAsia" w:ascii="仿宋_GB2312"/>
        </w:rPr>
        <w:t>（</w:t>
      </w:r>
      <w:r>
        <w:rPr>
          <w:rFonts w:ascii="仿宋_GB2312"/>
        </w:rPr>
        <w:t>3</w:t>
      </w:r>
      <w:r>
        <w:rPr>
          <w:rFonts w:hint="eastAsia" w:ascii="仿宋_GB2312"/>
        </w:rPr>
        <w:t>）财务分析法。评价小组对质检工作经费收支明细账进行分析，了解项目经费收支情况和资金使用的合规性，描述分析其各项明细投入、过程管理情况，对项目资金的财务状况进行评价。</w:t>
      </w:r>
    </w:p>
    <w:p w14:paraId="326A7B79">
      <w:pPr>
        <w:pStyle w:val="10"/>
        <w:spacing w:line="560" w:lineRule="exact"/>
        <w:rPr>
          <w:rFonts w:ascii="仿宋_GB2312" w:eastAsia="仿宋_GB2312" w:cs="Times New Roman"/>
          <w:color w:val="auto"/>
          <w:kern w:val="2"/>
          <w:sz w:val="30"/>
        </w:rPr>
      </w:pPr>
      <w:r>
        <w:rPr>
          <w:rFonts w:ascii="仿宋_GB2312" w:eastAsia="仿宋_GB2312" w:cs="Times New Roman"/>
          <w:color w:val="auto"/>
          <w:kern w:val="2"/>
          <w:sz w:val="30"/>
        </w:rPr>
        <w:t>4.</w:t>
      </w:r>
      <w:r>
        <w:rPr>
          <w:rFonts w:hint="eastAsia" w:ascii="仿宋_GB2312" w:eastAsia="仿宋_GB2312" w:cs="Times New Roman"/>
          <w:color w:val="auto"/>
          <w:kern w:val="2"/>
          <w:sz w:val="30"/>
        </w:rPr>
        <w:t>绩效评价标准</w:t>
      </w:r>
    </w:p>
    <w:p w14:paraId="1ACE501B">
      <w:pPr>
        <w:snapToGrid w:val="0"/>
        <w:spacing w:line="600" w:lineRule="exact"/>
        <w:ind w:firstLine="720"/>
        <w:rPr>
          <w:rFonts w:ascii="仿宋_GB2312"/>
        </w:rPr>
      </w:pPr>
      <w:r>
        <w:rPr>
          <w:rFonts w:hint="eastAsia" w:ascii="仿宋_GB2312"/>
        </w:rPr>
        <w:t>财政项目资金绩效评价，是以结果为导向的财政支出管理模式，绩效评价标准主要有计划标准、历史标准、其他标准等，结合项目的特点，确定此次绩效评价指标标准为计划标准。计划标准共涉及4个二级指标，12个三级指标，设置年度指标值总分100分，等级分为4档：90（含）-100分为优；80（含）-90分为良；80-60（含）分为中；60分以下为差。</w:t>
      </w:r>
    </w:p>
    <w:p w14:paraId="75A6B8C3">
      <w:pPr>
        <w:spacing w:line="600" w:lineRule="exact"/>
        <w:rPr>
          <w:rFonts w:ascii="仿宋_GB2312"/>
        </w:rPr>
      </w:pPr>
      <w:r>
        <w:rPr>
          <w:rFonts w:hint="eastAsia" w:ascii="仿宋_GB2312"/>
        </w:rPr>
        <w:t>（三）绩效评价工作过程。</w:t>
      </w:r>
    </w:p>
    <w:p w14:paraId="17589BBC">
      <w:pPr>
        <w:pStyle w:val="10"/>
        <w:spacing w:line="560" w:lineRule="exact"/>
        <w:ind w:firstLine="450" w:firstLineChars="150"/>
        <w:rPr>
          <w:rFonts w:ascii="仿宋_GB2312" w:eastAsia="仿宋_GB2312" w:cs="Times New Roman"/>
          <w:color w:val="auto"/>
          <w:kern w:val="2"/>
          <w:sz w:val="30"/>
        </w:rPr>
      </w:pPr>
      <w:r>
        <w:rPr>
          <w:rFonts w:ascii="仿宋_GB2312" w:eastAsia="仿宋_GB2312" w:cs="Times New Roman"/>
          <w:color w:val="auto"/>
          <w:kern w:val="2"/>
          <w:sz w:val="30"/>
        </w:rPr>
        <w:t>1</w:t>
      </w:r>
      <w:r>
        <w:rPr>
          <w:rFonts w:hint="eastAsia" w:ascii="仿宋_GB2312" w:eastAsia="仿宋_GB2312" w:cs="Times New Roman"/>
          <w:color w:val="auto"/>
          <w:kern w:val="2"/>
          <w:sz w:val="30"/>
        </w:rPr>
        <w:t>、前期准备工作</w:t>
      </w:r>
    </w:p>
    <w:p w14:paraId="0B0DD392">
      <w:pPr>
        <w:pStyle w:val="10"/>
        <w:spacing w:line="560" w:lineRule="exact"/>
        <w:ind w:firstLine="300" w:firstLineChars="100"/>
        <w:rPr>
          <w:rFonts w:ascii="仿宋_GB2312" w:eastAsia="仿宋_GB2312" w:cs="Times New Roman"/>
          <w:color w:val="auto"/>
          <w:kern w:val="2"/>
          <w:sz w:val="30"/>
        </w:rPr>
      </w:pPr>
      <w:r>
        <w:rPr>
          <w:rFonts w:hint="eastAsia" w:ascii="仿宋_GB2312" w:eastAsia="仿宋_GB2312" w:cs="Times New Roman"/>
          <w:color w:val="auto"/>
          <w:kern w:val="2"/>
          <w:sz w:val="30"/>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14:paraId="53879545">
      <w:pPr>
        <w:pStyle w:val="10"/>
        <w:spacing w:line="560" w:lineRule="exact"/>
        <w:rPr>
          <w:rFonts w:ascii="仿宋_GB2312" w:eastAsia="仿宋_GB2312" w:cs="Times New Roman"/>
          <w:color w:val="auto"/>
          <w:kern w:val="2"/>
          <w:sz w:val="30"/>
        </w:rPr>
      </w:pPr>
      <w:r>
        <w:rPr>
          <w:rFonts w:hint="eastAsia" w:ascii="仿宋_GB2312" w:eastAsia="仿宋_GB2312" w:cs="Times New Roman"/>
          <w:color w:val="auto"/>
          <w:kern w:val="2"/>
          <w:sz w:val="30"/>
        </w:rPr>
        <w:t>评价小组收集了项目预算资金材料、项目工作总结，完成了项目基础信息表并形成绩效评价框架，指导具体的绩效评价工作。</w:t>
      </w:r>
    </w:p>
    <w:p w14:paraId="31027550">
      <w:pPr>
        <w:pStyle w:val="10"/>
        <w:spacing w:line="560" w:lineRule="exact"/>
        <w:ind w:firstLine="450" w:firstLineChars="150"/>
        <w:rPr>
          <w:rFonts w:ascii="仿宋_GB2312" w:eastAsia="仿宋_GB2312" w:cs="Times New Roman"/>
          <w:color w:val="auto"/>
          <w:kern w:val="2"/>
          <w:sz w:val="30"/>
        </w:rPr>
      </w:pPr>
      <w:r>
        <w:rPr>
          <w:rFonts w:ascii="仿宋_GB2312" w:eastAsia="仿宋_GB2312" w:cs="Times New Roman"/>
          <w:color w:val="auto"/>
          <w:kern w:val="2"/>
          <w:sz w:val="30"/>
        </w:rPr>
        <w:t>2</w:t>
      </w:r>
      <w:r>
        <w:rPr>
          <w:rFonts w:hint="eastAsia" w:ascii="仿宋_GB2312" w:eastAsia="仿宋_GB2312" w:cs="Times New Roman"/>
          <w:color w:val="auto"/>
          <w:kern w:val="2"/>
          <w:sz w:val="30"/>
        </w:rPr>
        <w:t>、组织实施过程内容</w:t>
      </w:r>
    </w:p>
    <w:p w14:paraId="54F65AC3">
      <w:pPr>
        <w:pStyle w:val="10"/>
        <w:spacing w:line="560" w:lineRule="exact"/>
        <w:ind w:firstLine="450" w:firstLineChars="150"/>
        <w:rPr>
          <w:rFonts w:ascii="仿宋_GB2312" w:eastAsia="仿宋_GB2312" w:cs="Times New Roman"/>
          <w:color w:val="auto"/>
          <w:kern w:val="2"/>
          <w:sz w:val="30"/>
        </w:rPr>
      </w:pPr>
      <w:r>
        <w:rPr>
          <w:rFonts w:hint="eastAsia" w:ascii="仿宋_GB2312" w:eastAsia="仿宋_GB2312" w:cs="Times New Roman"/>
          <w:color w:val="auto"/>
          <w:kern w:val="2"/>
          <w:sz w:val="30"/>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14:paraId="73F74DCE">
      <w:pPr>
        <w:pStyle w:val="10"/>
        <w:spacing w:line="560" w:lineRule="exact"/>
        <w:ind w:firstLine="600" w:firstLineChars="200"/>
        <w:rPr>
          <w:rFonts w:ascii="仿宋_GB2312" w:eastAsia="仿宋_GB2312" w:cs="Times New Roman"/>
          <w:color w:val="auto"/>
          <w:kern w:val="2"/>
          <w:sz w:val="30"/>
        </w:rPr>
      </w:pPr>
      <w:r>
        <w:rPr>
          <w:rFonts w:hint="eastAsia" w:ascii="仿宋_GB2312" w:eastAsia="仿宋_GB2312" w:cs="Times New Roman"/>
          <w:color w:val="auto"/>
          <w:kern w:val="2"/>
          <w:sz w:val="30"/>
        </w:rPr>
        <w:t>一是收集了项目决策、过程、产出及效益相关资料。二是通过与项目实施人员、财务人员进行座谈听取取得的成果和存在的问题，针对存在的问题进行探讨，给出相关建议。三是查阅账本、凭证，包括单位的总账、明细账及辅助账等进行核查，对项目的资金来源及去向进行分类整理。四是查阅项目档案</w:t>
      </w:r>
      <w:r>
        <w:rPr>
          <w:rFonts w:ascii="仿宋_GB2312" w:eastAsia="仿宋_GB2312" w:cs="Times New Roman"/>
          <w:color w:val="auto"/>
          <w:kern w:val="2"/>
          <w:sz w:val="30"/>
        </w:rPr>
        <w:t>,</w:t>
      </w:r>
      <w:r>
        <w:rPr>
          <w:rFonts w:hint="eastAsia" w:ascii="仿宋_GB2312" w:eastAsia="仿宋_GB2312" w:cs="Times New Roman"/>
          <w:color w:val="auto"/>
          <w:kern w:val="2"/>
          <w:sz w:val="30"/>
        </w:rPr>
        <w:t>包括项目的分析报告等文件。</w:t>
      </w:r>
    </w:p>
    <w:p w14:paraId="6D5B9403">
      <w:pPr>
        <w:pStyle w:val="10"/>
        <w:spacing w:line="560" w:lineRule="exact"/>
        <w:ind w:firstLine="450" w:firstLineChars="150"/>
        <w:rPr>
          <w:rFonts w:ascii="仿宋_GB2312" w:eastAsia="仿宋_GB2312" w:cs="Times New Roman"/>
          <w:color w:val="auto"/>
          <w:kern w:val="2"/>
          <w:sz w:val="30"/>
        </w:rPr>
      </w:pPr>
      <w:bookmarkStart w:id="0" w:name="_Toc403599257"/>
      <w:r>
        <w:rPr>
          <w:rFonts w:ascii="仿宋_GB2312" w:eastAsia="仿宋_GB2312" w:cs="Times New Roman"/>
          <w:color w:val="auto"/>
          <w:kern w:val="2"/>
          <w:sz w:val="30"/>
        </w:rPr>
        <w:t>3</w:t>
      </w:r>
      <w:r>
        <w:rPr>
          <w:rFonts w:hint="eastAsia" w:ascii="仿宋_GB2312" w:eastAsia="仿宋_GB2312" w:cs="Times New Roman"/>
          <w:color w:val="auto"/>
          <w:kern w:val="2"/>
          <w:sz w:val="30"/>
        </w:rPr>
        <w:t>、绩效评价分析阶段</w:t>
      </w:r>
      <w:bookmarkEnd w:id="0"/>
    </w:p>
    <w:p w14:paraId="489DB18D">
      <w:pPr>
        <w:pStyle w:val="10"/>
        <w:spacing w:line="560" w:lineRule="exact"/>
        <w:ind w:firstLine="450" w:firstLineChars="150"/>
        <w:rPr>
          <w:rFonts w:ascii="仿宋_GB2312" w:eastAsia="仿宋_GB2312" w:cs="Times New Roman"/>
          <w:color w:val="auto"/>
          <w:kern w:val="2"/>
          <w:sz w:val="30"/>
        </w:rPr>
      </w:pPr>
      <w:r>
        <w:rPr>
          <w:rFonts w:hint="eastAsia" w:ascii="仿宋_GB2312" w:eastAsia="仿宋_GB2312" w:cs="Times New Roman"/>
          <w:color w:val="auto"/>
          <w:kern w:val="2"/>
          <w:sz w:val="30"/>
        </w:rPr>
        <w:t>经过对收集到的资料进行比对和交叉验证后，确定用于继续分析和评价的证据，通过比较指标的实际情况与预期数据对应程度，最终确认评价结果。</w:t>
      </w:r>
    </w:p>
    <w:p w14:paraId="0827F90B">
      <w:pPr>
        <w:spacing w:line="600" w:lineRule="exact"/>
        <w:ind w:firstLine="600" w:firstLineChars="200"/>
        <w:rPr>
          <w:rFonts w:ascii="仿宋_GB2312"/>
        </w:rPr>
      </w:pPr>
      <w:r>
        <w:rPr>
          <w:rFonts w:hint="eastAsia" w:ascii="黑体" w:hAnsi="黑体" w:eastAsia="黑体"/>
        </w:rPr>
        <w:t>三、综合评价情况及评价结论</w:t>
      </w:r>
      <w:r>
        <w:rPr>
          <w:rFonts w:hint="eastAsia" w:ascii="仿宋_GB2312"/>
        </w:rPr>
        <w:t>（附相关评分表）</w:t>
      </w:r>
    </w:p>
    <w:p w14:paraId="7907FC55">
      <w:pPr>
        <w:pStyle w:val="10"/>
        <w:spacing w:line="560" w:lineRule="exact"/>
        <w:ind w:firstLine="560" w:firstLineChars="200"/>
        <w:rPr>
          <w:rFonts w:ascii="仿宋_GB2312" w:eastAsia="仿宋_GB2312" w:cs="Times New Roman"/>
          <w:color w:val="auto"/>
          <w:kern w:val="2"/>
          <w:sz w:val="30"/>
        </w:rPr>
      </w:pPr>
      <w:r>
        <w:rPr>
          <w:rFonts w:hint="eastAsia" w:ascii="宋体" w:hAnsi="宋体" w:eastAsia="宋体"/>
          <w:sz w:val="28"/>
          <w:szCs w:val="28"/>
        </w:rPr>
        <w:t>（</w:t>
      </w:r>
      <w:r>
        <w:rPr>
          <w:rFonts w:hint="eastAsia" w:ascii="仿宋_GB2312" w:eastAsia="仿宋_GB2312" w:cs="Times New Roman"/>
          <w:color w:val="auto"/>
          <w:kern w:val="2"/>
          <w:sz w:val="30"/>
        </w:rPr>
        <w:t>一）项目总体评价结论</w:t>
      </w:r>
    </w:p>
    <w:p w14:paraId="30ED3CA6">
      <w:pPr>
        <w:pStyle w:val="10"/>
        <w:spacing w:line="560" w:lineRule="exact"/>
        <w:ind w:firstLine="750" w:firstLineChars="250"/>
        <w:rPr>
          <w:rFonts w:ascii="仿宋_GB2312" w:eastAsia="仿宋_GB2312" w:cs="Times New Roman"/>
          <w:color w:val="auto"/>
          <w:kern w:val="2"/>
          <w:sz w:val="30"/>
        </w:rPr>
      </w:pPr>
      <w:r>
        <w:rPr>
          <w:rFonts w:ascii="仿宋_GB2312" w:eastAsia="仿宋_GB2312" w:cs="Times New Roman"/>
          <w:color w:val="auto"/>
          <w:kern w:val="2"/>
          <w:sz w:val="30"/>
        </w:rPr>
        <w:t>2019</w:t>
      </w:r>
      <w:r>
        <w:rPr>
          <w:rFonts w:hint="eastAsia" w:ascii="仿宋_GB2312" w:eastAsia="仿宋_GB2312" w:cs="Times New Roman"/>
          <w:color w:val="auto"/>
          <w:kern w:val="2"/>
          <w:sz w:val="30"/>
        </w:rPr>
        <w:t>年我所以绩效评价指标体系为基础，根据已核实准确的资料计算各指标的实际值和得分，并汇总得出</w:t>
      </w:r>
      <w:r>
        <w:rPr>
          <w:rFonts w:ascii="仿宋_GB2312" w:eastAsia="仿宋_GB2312" w:cs="Times New Roman"/>
          <w:color w:val="auto"/>
          <w:kern w:val="2"/>
          <w:sz w:val="30"/>
        </w:rPr>
        <w:t>2019</w:t>
      </w:r>
      <w:r>
        <w:rPr>
          <w:rFonts w:hint="eastAsia" w:ascii="仿宋_GB2312" w:eastAsia="仿宋_GB2312" w:cs="Times New Roman"/>
          <w:color w:val="auto"/>
          <w:kern w:val="2"/>
          <w:sz w:val="30"/>
        </w:rPr>
        <w:t>年巴州本级财政专项资金支出进行自评。绩效自评得分</w:t>
      </w:r>
      <w:r>
        <w:rPr>
          <w:rFonts w:ascii="仿宋_GB2312" w:eastAsia="仿宋_GB2312" w:cs="Times New Roman"/>
          <w:color w:val="auto"/>
          <w:kern w:val="2"/>
          <w:sz w:val="30"/>
        </w:rPr>
        <w:t>80</w:t>
      </w:r>
      <w:r>
        <w:rPr>
          <w:rFonts w:hint="eastAsia" w:ascii="仿宋_GB2312" w:eastAsia="仿宋_GB2312" w:cs="Times New Roman"/>
          <w:color w:val="auto"/>
          <w:kern w:val="2"/>
          <w:sz w:val="30"/>
        </w:rPr>
        <w:t>分，绩效等级为良好。</w:t>
      </w:r>
    </w:p>
    <w:p w14:paraId="180ACF32">
      <w:pPr>
        <w:pStyle w:val="10"/>
        <w:spacing w:line="560" w:lineRule="exact"/>
        <w:ind w:firstLine="450" w:firstLineChars="150"/>
        <w:rPr>
          <w:rFonts w:ascii="仿宋_GB2312" w:eastAsia="仿宋_GB2312" w:cs="Times New Roman"/>
          <w:color w:val="auto"/>
          <w:kern w:val="2"/>
          <w:sz w:val="30"/>
        </w:rPr>
      </w:pPr>
      <w:r>
        <w:rPr>
          <w:rFonts w:hint="eastAsia" w:ascii="仿宋_GB2312" w:eastAsia="仿宋_GB2312" w:cs="Times New Roman"/>
          <w:color w:val="auto"/>
          <w:kern w:val="2"/>
          <w:sz w:val="30"/>
        </w:rPr>
        <w:t>（二）项目评价结果</w:t>
      </w:r>
    </w:p>
    <w:p w14:paraId="32FF8419">
      <w:pPr>
        <w:pStyle w:val="10"/>
        <w:spacing w:line="560" w:lineRule="exact"/>
        <w:ind w:firstLine="600" w:firstLineChars="200"/>
        <w:rPr>
          <w:rFonts w:ascii="仿宋_GB2312" w:eastAsia="仿宋_GB2312" w:cs="Times New Roman"/>
          <w:color w:val="auto"/>
          <w:kern w:val="2"/>
          <w:sz w:val="30"/>
        </w:rPr>
      </w:pPr>
      <w:r>
        <w:rPr>
          <w:rFonts w:hint="eastAsia" w:ascii="仿宋_GB2312" w:eastAsia="仿宋_GB2312" w:cs="Times New Roman"/>
          <w:color w:val="auto"/>
          <w:kern w:val="2"/>
          <w:sz w:val="30"/>
        </w:rPr>
        <w:t>经过综合评定，本项目基本完成既定的各项目标。主要考察项目立项</w:t>
      </w:r>
      <w:r>
        <w:rPr>
          <w:rFonts w:hint="eastAsia" w:ascii="仿宋_GB2312" w:eastAsia="仿宋_GB2312" w:cs="Times New Roman"/>
          <w:color w:val="auto"/>
          <w:kern w:val="2"/>
          <w:sz w:val="30"/>
          <w:lang w:eastAsia="zh-CN"/>
        </w:rPr>
        <w:t>的</w:t>
      </w:r>
      <w:r>
        <w:rPr>
          <w:rFonts w:hint="eastAsia" w:ascii="仿宋_GB2312" w:eastAsia="仿宋_GB2312" w:cs="Times New Roman"/>
          <w:color w:val="auto"/>
          <w:kern w:val="2"/>
          <w:sz w:val="30"/>
        </w:rPr>
        <w:t>论证决策是否充分，绩效目标制定的完整性、合理性与可衡量性，以及组织、制度的保障措施；资金落实是否到位与及时，资金分配是否合理等。</w:t>
      </w:r>
    </w:p>
    <w:p w14:paraId="47D9A6BB">
      <w:pPr>
        <w:spacing w:line="600" w:lineRule="exact"/>
        <w:ind w:firstLine="600" w:firstLineChars="200"/>
        <w:rPr>
          <w:rFonts w:ascii="仿宋_GB2312"/>
        </w:rPr>
      </w:pPr>
      <w:r>
        <w:rPr>
          <w:rFonts w:hint="eastAsia" w:ascii="仿宋_GB2312"/>
        </w:rPr>
        <w:t>四、绩效评价指标分析</w:t>
      </w:r>
    </w:p>
    <w:p w14:paraId="5E45744D">
      <w:pPr>
        <w:spacing w:line="600" w:lineRule="exact"/>
        <w:ind w:firstLine="600" w:firstLineChars="200"/>
        <w:outlineLvl w:val="0"/>
        <w:rPr>
          <w:rFonts w:ascii="仿宋_GB2312"/>
        </w:rPr>
      </w:pPr>
      <w:r>
        <w:rPr>
          <w:rFonts w:hint="eastAsia" w:ascii="仿宋_GB2312"/>
        </w:rPr>
        <w:t>（一）项目决策情况。</w:t>
      </w:r>
    </w:p>
    <w:p w14:paraId="7D89D6FE">
      <w:pPr>
        <w:pStyle w:val="10"/>
        <w:spacing w:line="560" w:lineRule="exact"/>
        <w:ind w:firstLine="600" w:firstLineChars="200"/>
        <w:rPr>
          <w:rFonts w:ascii="仿宋_GB2312" w:eastAsia="仿宋_GB2312" w:cs="Times New Roman"/>
          <w:color w:val="auto"/>
          <w:kern w:val="2"/>
          <w:sz w:val="30"/>
        </w:rPr>
      </w:pPr>
      <w:r>
        <w:rPr>
          <w:rFonts w:hint="eastAsia" w:ascii="仿宋_GB2312" w:eastAsia="仿宋_GB2312" w:cs="Times New Roman"/>
          <w:color w:val="auto"/>
          <w:kern w:val="2"/>
          <w:sz w:val="30"/>
        </w:rPr>
        <w:t>项目决策是从决策层面质检工作专项经费，主要从项目立项和绩效目标两个维度去评价。该项一级指标满分值</w:t>
      </w:r>
      <w:r>
        <w:rPr>
          <w:rFonts w:ascii="仿宋_GB2312" w:eastAsia="仿宋_GB2312" w:cs="Times New Roman"/>
          <w:color w:val="auto"/>
          <w:kern w:val="2"/>
          <w:sz w:val="30"/>
        </w:rPr>
        <w:t xml:space="preserve"> 20 </w:t>
      </w:r>
      <w:r>
        <w:rPr>
          <w:rFonts w:hint="eastAsia" w:ascii="仿宋_GB2312" w:eastAsia="仿宋_GB2312" w:cs="Times New Roman"/>
          <w:color w:val="auto"/>
          <w:kern w:val="2"/>
          <w:sz w:val="30"/>
        </w:rPr>
        <w:t>分，专项得分值</w:t>
      </w:r>
      <w:r>
        <w:rPr>
          <w:rFonts w:ascii="仿宋_GB2312" w:eastAsia="仿宋_GB2312" w:cs="Times New Roman"/>
          <w:color w:val="auto"/>
          <w:kern w:val="2"/>
          <w:sz w:val="30"/>
        </w:rPr>
        <w:t xml:space="preserve"> 19 </w:t>
      </w:r>
      <w:r>
        <w:rPr>
          <w:rFonts w:hint="eastAsia" w:ascii="仿宋_GB2312" w:eastAsia="仿宋_GB2312" w:cs="Times New Roman"/>
          <w:color w:val="auto"/>
          <w:kern w:val="2"/>
          <w:sz w:val="30"/>
        </w:rPr>
        <w:t>分。立项依据充分，立项程序规范化，绩效目标设置合理。</w:t>
      </w:r>
    </w:p>
    <w:p w14:paraId="7816075E">
      <w:pPr>
        <w:spacing w:line="600" w:lineRule="exact"/>
        <w:ind w:firstLine="600" w:firstLineChars="200"/>
        <w:outlineLvl w:val="0"/>
        <w:rPr>
          <w:rFonts w:ascii="仿宋_GB2312"/>
        </w:rPr>
      </w:pPr>
      <w:r>
        <w:rPr>
          <w:rFonts w:hint="eastAsia" w:ascii="仿宋_GB2312"/>
        </w:rPr>
        <w:t>（二）项目过程情况。</w:t>
      </w:r>
    </w:p>
    <w:p w14:paraId="53FEB0F1">
      <w:pPr>
        <w:spacing w:line="600" w:lineRule="exact"/>
        <w:ind w:firstLine="600" w:firstLineChars="200"/>
        <w:outlineLvl w:val="0"/>
        <w:rPr>
          <w:rFonts w:ascii="仿宋_GB2312"/>
        </w:rPr>
      </w:pPr>
      <w:r>
        <w:rPr>
          <w:rFonts w:hint="eastAsia" w:ascii="仿宋_GB2312"/>
        </w:rPr>
        <w:t>过程指标主要从资金管理和组织实施两个维度去评价，满分值</w:t>
      </w:r>
      <w:r>
        <w:rPr>
          <w:rFonts w:ascii="仿宋_GB2312"/>
        </w:rPr>
        <w:t xml:space="preserve"> 20 </w:t>
      </w:r>
      <w:r>
        <w:rPr>
          <w:rFonts w:hint="eastAsia" w:ascii="仿宋_GB2312"/>
        </w:rPr>
        <w:t>分，专项得分值</w:t>
      </w:r>
      <w:r>
        <w:rPr>
          <w:rFonts w:ascii="仿宋_GB2312"/>
        </w:rPr>
        <w:t xml:space="preserve"> 20 </w:t>
      </w:r>
      <w:r>
        <w:rPr>
          <w:rFonts w:hint="eastAsia" w:ascii="仿宋_GB2312"/>
        </w:rPr>
        <w:t>分</w:t>
      </w:r>
      <w:r>
        <w:rPr>
          <w:rFonts w:ascii="仿宋_GB2312"/>
        </w:rPr>
        <w:t>。</w:t>
      </w:r>
      <w:r>
        <w:rPr>
          <w:rFonts w:hint="eastAsia" w:ascii="仿宋_GB2312"/>
        </w:rPr>
        <w:t>实际到位资金与预算资金金额一致，执行率100%，财务支出按照相应的财务和业务管理制度办理。</w:t>
      </w:r>
    </w:p>
    <w:p w14:paraId="56F66115">
      <w:pPr>
        <w:spacing w:line="600" w:lineRule="exact"/>
        <w:ind w:firstLine="600" w:firstLineChars="200"/>
        <w:outlineLvl w:val="0"/>
        <w:rPr>
          <w:rFonts w:ascii="仿宋_GB2312"/>
        </w:rPr>
      </w:pPr>
      <w:r>
        <w:rPr>
          <w:rFonts w:hint="eastAsia" w:ascii="仿宋_GB2312"/>
        </w:rPr>
        <w:t>（三）项目产出情况。</w:t>
      </w:r>
    </w:p>
    <w:p w14:paraId="73DB16D8">
      <w:pPr>
        <w:spacing w:line="600" w:lineRule="exact"/>
        <w:ind w:firstLine="600" w:firstLineChars="200"/>
        <w:outlineLvl w:val="0"/>
        <w:rPr>
          <w:rFonts w:ascii="仿宋_GB2312"/>
        </w:rPr>
      </w:pPr>
      <w:r>
        <w:rPr>
          <w:rFonts w:hint="eastAsia" w:ascii="仿宋_GB2312"/>
        </w:rPr>
        <w:t>产出指标主要从产出数量、产出质量、产出时效和产出成本四个维度去评价，满分值</w:t>
      </w:r>
      <w:r>
        <w:rPr>
          <w:rFonts w:ascii="仿宋_GB2312"/>
        </w:rPr>
        <w:t xml:space="preserve"> 30 </w:t>
      </w:r>
      <w:r>
        <w:rPr>
          <w:rFonts w:hint="eastAsia" w:ascii="仿宋_GB2312"/>
        </w:rPr>
        <w:t>分，专项得分值</w:t>
      </w:r>
      <w:r>
        <w:rPr>
          <w:rFonts w:ascii="仿宋_GB2312"/>
        </w:rPr>
        <w:t xml:space="preserve"> 24 </w:t>
      </w:r>
      <w:r>
        <w:rPr>
          <w:rFonts w:hint="eastAsia" w:ascii="仿宋_GB2312"/>
        </w:rPr>
        <w:t>分</w:t>
      </w:r>
      <w:r>
        <w:rPr>
          <w:rFonts w:ascii="仿宋_GB2312"/>
        </w:rPr>
        <w:t>。</w:t>
      </w:r>
      <w:r>
        <w:rPr>
          <w:rFonts w:hint="eastAsia" w:ascii="仿宋_GB2312"/>
        </w:rPr>
        <w:t>项目实施的实际产出数与计划产出数一致，质量达标率基本合格。项目实际完成实际与计划时间一致。</w:t>
      </w:r>
    </w:p>
    <w:p w14:paraId="0688E998">
      <w:pPr>
        <w:spacing w:line="600" w:lineRule="exact"/>
        <w:ind w:firstLine="600" w:firstLineChars="200"/>
        <w:outlineLvl w:val="0"/>
        <w:rPr>
          <w:rFonts w:ascii="仿宋_GB2312"/>
        </w:rPr>
      </w:pPr>
      <w:r>
        <w:rPr>
          <w:rFonts w:hint="eastAsia" w:ascii="仿宋_GB2312"/>
        </w:rPr>
        <w:t>（四）项目效益情况。</w:t>
      </w:r>
    </w:p>
    <w:p w14:paraId="38DD3CB6">
      <w:pPr>
        <w:spacing w:line="600" w:lineRule="exact"/>
        <w:ind w:firstLine="600" w:firstLineChars="200"/>
        <w:outlineLvl w:val="0"/>
        <w:rPr>
          <w:rFonts w:ascii="仿宋_GB2312"/>
        </w:rPr>
      </w:pPr>
      <w:r>
        <w:rPr>
          <w:rFonts w:hint="eastAsia" w:ascii="仿宋_GB2312"/>
        </w:rPr>
        <w:t>效益指标满分值</w:t>
      </w:r>
      <w:r>
        <w:rPr>
          <w:rFonts w:ascii="仿宋_GB2312"/>
        </w:rPr>
        <w:t xml:space="preserve">30 </w:t>
      </w:r>
      <w:r>
        <w:rPr>
          <w:rFonts w:hint="eastAsia" w:ascii="仿宋_GB2312"/>
        </w:rPr>
        <w:t>分，实施效益和满意度共计得分值</w:t>
      </w:r>
      <w:r>
        <w:rPr>
          <w:rFonts w:ascii="仿宋_GB2312"/>
        </w:rPr>
        <w:t xml:space="preserve">27 </w:t>
      </w:r>
      <w:r>
        <w:rPr>
          <w:rFonts w:hint="eastAsia" w:ascii="仿宋_GB2312"/>
        </w:rPr>
        <w:t>分</w:t>
      </w:r>
      <w:r>
        <w:rPr>
          <w:rFonts w:ascii="仿宋_GB2312"/>
        </w:rPr>
        <w:t>。</w:t>
      </w:r>
      <w:r>
        <w:rPr>
          <w:rFonts w:hint="eastAsia" w:ascii="仿宋_GB2312"/>
        </w:rPr>
        <w:t>该项目的实施旨在保护消费者的合法权益，为政府监管提供技术支持和服务，提高单位、个人以及社会团体的满意度。</w:t>
      </w:r>
    </w:p>
    <w:p w14:paraId="10DA75D8">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14:paraId="5E626E36">
      <w:pPr>
        <w:spacing w:line="600" w:lineRule="exact"/>
        <w:ind w:firstLine="600" w:firstLineChars="200"/>
        <w:outlineLvl w:val="0"/>
        <w:rPr>
          <w:rFonts w:ascii="仿宋_GB2312"/>
        </w:rPr>
      </w:pPr>
      <w:r>
        <w:rPr>
          <w:rFonts w:hint="eastAsia" w:ascii="仿宋_GB2312"/>
        </w:rPr>
        <w:t>（</w:t>
      </w:r>
      <w:r>
        <w:rPr>
          <w:rFonts w:ascii="仿宋_GB2312"/>
        </w:rPr>
        <w:t>1</w:t>
      </w:r>
      <w:r>
        <w:rPr>
          <w:rFonts w:hint="eastAsia" w:ascii="仿宋_GB2312"/>
        </w:rPr>
        <w:t>）人员综合素质参差不齐、专业技术人员业务培训难，自治区专业人员培训程序复杂，培训经费不足。</w:t>
      </w:r>
    </w:p>
    <w:p w14:paraId="2C34F9B0">
      <w:pPr>
        <w:spacing w:line="600" w:lineRule="exact"/>
        <w:ind w:firstLine="600" w:firstLineChars="200"/>
        <w:outlineLvl w:val="0"/>
        <w:rPr>
          <w:rFonts w:ascii="仿宋_GB2312"/>
        </w:rPr>
      </w:pPr>
      <w:r>
        <w:rPr>
          <w:rFonts w:ascii="仿宋_GB2312"/>
        </w:rPr>
        <w:t>(2)</w:t>
      </w:r>
      <w:r>
        <w:rPr>
          <w:rFonts w:hint="eastAsia" w:ascii="仿宋_GB2312"/>
        </w:rPr>
        <w:t>现有检验设备陈旧老化，现已经无法满足检验工作的需要；因检验标准变更等原因，设备无法及时更新，无法正常开展检验检测业务。</w:t>
      </w:r>
    </w:p>
    <w:p w14:paraId="44FBE361">
      <w:pPr>
        <w:spacing w:line="600" w:lineRule="exact"/>
        <w:ind w:firstLine="600" w:firstLineChars="200"/>
        <w:rPr>
          <w:rFonts w:ascii="黑体" w:hAnsi="黑体" w:eastAsia="黑体"/>
        </w:rPr>
      </w:pPr>
      <w:r>
        <w:rPr>
          <w:rFonts w:hint="eastAsia" w:ascii="黑体" w:hAnsi="黑体" w:eastAsia="黑体"/>
        </w:rPr>
        <w:t>六、有关建议</w:t>
      </w:r>
    </w:p>
    <w:p w14:paraId="3017DCD0">
      <w:pPr>
        <w:spacing w:line="600" w:lineRule="exact"/>
        <w:ind w:firstLine="600" w:firstLineChars="200"/>
        <w:rPr>
          <w:rFonts w:ascii="仿宋_GB2312"/>
        </w:rPr>
      </w:pPr>
      <w:r>
        <w:rPr>
          <w:rFonts w:hint="eastAsia" w:ascii="仿宋_GB2312"/>
        </w:rPr>
        <w:t>增加财政拨款，更新检测设备及培训专业技术人员。</w:t>
      </w:r>
    </w:p>
    <w:p w14:paraId="2038601E">
      <w:pPr>
        <w:spacing w:line="600" w:lineRule="exact"/>
        <w:ind w:firstLine="600" w:firstLineChars="200"/>
        <w:rPr>
          <w:rFonts w:ascii="黑体" w:hAnsi="黑体" w:eastAsia="黑体"/>
        </w:rPr>
        <w:sectPr>
          <w:footerReference r:id="rId3" w:type="default"/>
          <w:pgSz w:w="11906" w:h="16838"/>
          <w:pgMar w:top="1928" w:right="1531" w:bottom="1701" w:left="1531" w:header="737" w:footer="851" w:gutter="0"/>
          <w:cols w:space="720" w:num="1"/>
          <w:docGrid w:type="lines" w:linePitch="408" w:charSpace="0"/>
        </w:sectPr>
      </w:pPr>
      <w:r>
        <w:rPr>
          <w:rFonts w:hint="eastAsia" w:ascii="黑体" w:hAnsi="黑体" w:eastAsia="黑体"/>
        </w:rPr>
        <w:t>七、其他需要说明的问题</w:t>
      </w:r>
      <w:r>
        <w:rPr>
          <w:rFonts w:ascii="黑体" w:hAnsi="黑体" w:eastAsia="黑体"/>
        </w:rPr>
        <w:t xml:space="preserve">  </w:t>
      </w:r>
      <w:r>
        <w:rPr>
          <w:rFonts w:hint="eastAsia" w:ascii="黑体" w:hAnsi="黑体" w:eastAsia="黑体"/>
        </w:rPr>
        <w:t>无</w:t>
      </w:r>
    </w:p>
    <w:tbl>
      <w:tblPr>
        <w:tblStyle w:val="5"/>
        <w:tblpPr w:leftFromText="180" w:rightFromText="180" w:vertAnchor="text" w:horzAnchor="margin" w:tblpXSpec="center" w:tblpY="158"/>
        <w:tblW w:w="1537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72D1C8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trPr>
        <w:tc>
          <w:tcPr>
            <w:tcW w:w="763" w:type="dxa"/>
            <w:shd w:val="clear" w:color="auto" w:fill="FFFFFF"/>
            <w:vAlign w:val="center"/>
          </w:tcPr>
          <w:p w14:paraId="3A520A92">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shd w:val="clear" w:color="auto" w:fill="FFFFFF"/>
            <w:vAlign w:val="center"/>
          </w:tcPr>
          <w:p w14:paraId="02139063">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shd w:val="clear" w:color="auto" w:fill="FFFFFF"/>
            <w:vAlign w:val="center"/>
          </w:tcPr>
          <w:p w14:paraId="60A9D894">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shd w:val="clear" w:color="auto" w:fill="FFFFFF"/>
            <w:vAlign w:val="center"/>
          </w:tcPr>
          <w:p w14:paraId="388D917A">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shd w:val="clear" w:color="auto" w:fill="FFFFFF"/>
            <w:vAlign w:val="center"/>
          </w:tcPr>
          <w:p w14:paraId="6BB3AE0B">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tcPr>
          <w:p w14:paraId="2CD6859B">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tcPr>
          <w:p w14:paraId="6F6FA24D">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1E0DF9E9">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7064FA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trPr>
        <w:tc>
          <w:tcPr>
            <w:tcW w:w="763" w:type="dxa"/>
            <w:vMerge w:val="restart"/>
            <w:shd w:val="clear" w:color="auto" w:fill="FFFFFF"/>
            <w:vAlign w:val="center"/>
          </w:tcPr>
          <w:p w14:paraId="7FFB4F7C">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　</w:t>
            </w:r>
          </w:p>
          <w:p w14:paraId="723E1C84">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042139A8">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shd w:val="clear" w:color="auto" w:fill="FFFFFF"/>
            <w:vAlign w:val="center"/>
          </w:tcPr>
          <w:p w14:paraId="2E67543D">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　</w:t>
            </w:r>
          </w:p>
        </w:tc>
        <w:tc>
          <w:tcPr>
            <w:tcW w:w="1411" w:type="dxa"/>
            <w:shd w:val="clear" w:color="auto" w:fill="FFFFFF"/>
            <w:vAlign w:val="center"/>
          </w:tcPr>
          <w:p w14:paraId="79E37A1A">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6C63546D">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shd w:val="clear" w:color="auto" w:fill="FFFFFF"/>
            <w:vAlign w:val="center"/>
          </w:tcPr>
          <w:p w14:paraId="12C445C7">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cBorders>
            <w:shd w:val="clear" w:color="auto" w:fill="FFFFFF"/>
            <w:vAlign w:val="center"/>
          </w:tcPr>
          <w:p w14:paraId="4F30E37B">
            <w:pPr>
              <w:widowControl/>
              <w:spacing w:line="24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tcPr>
          <w:p w14:paraId="1D2744D9">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14:paraId="06F19FB4">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14:paraId="6A3536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trPr>
        <w:tc>
          <w:tcPr>
            <w:tcW w:w="763" w:type="dxa"/>
            <w:vMerge w:val="continue"/>
            <w:shd w:val="clear" w:color="auto" w:fill="FFFFFF"/>
            <w:vAlign w:val="center"/>
          </w:tcPr>
          <w:p w14:paraId="72185665">
            <w:pPr>
              <w:spacing w:line="240" w:lineRule="atLeast"/>
              <w:jc w:val="center"/>
              <w:rPr>
                <w:rFonts w:ascii="宋体" w:hAnsi="宋体" w:eastAsia="宋体" w:cs="宋体"/>
                <w:color w:val="000000"/>
                <w:kern w:val="0"/>
                <w:sz w:val="22"/>
                <w:szCs w:val="22"/>
              </w:rPr>
            </w:pPr>
          </w:p>
        </w:tc>
        <w:tc>
          <w:tcPr>
            <w:tcW w:w="1297" w:type="dxa"/>
            <w:vMerge w:val="continue"/>
            <w:shd w:val="clear" w:color="auto" w:fill="FFFFFF"/>
            <w:vAlign w:val="center"/>
          </w:tcPr>
          <w:p w14:paraId="69F99A18">
            <w:pPr>
              <w:widowControl/>
              <w:spacing w:line="240" w:lineRule="atLeast"/>
              <w:jc w:val="center"/>
              <w:rPr>
                <w:rFonts w:ascii="宋体" w:hAnsi="宋体" w:eastAsia="宋体" w:cs="宋体"/>
                <w:color w:val="000000"/>
                <w:kern w:val="0"/>
                <w:sz w:val="22"/>
                <w:szCs w:val="22"/>
              </w:rPr>
            </w:pPr>
          </w:p>
        </w:tc>
        <w:tc>
          <w:tcPr>
            <w:tcW w:w="1411" w:type="dxa"/>
            <w:shd w:val="clear" w:color="auto" w:fill="FFFFFF"/>
            <w:vAlign w:val="center"/>
          </w:tcPr>
          <w:p w14:paraId="3B5F360B">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5D327390">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shd w:val="clear" w:color="auto" w:fill="FFFFFF"/>
            <w:vAlign w:val="center"/>
          </w:tcPr>
          <w:p w14:paraId="259659FA">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shd w:val="clear" w:color="auto" w:fill="FFFFFF"/>
            <w:vAlign w:val="center"/>
          </w:tcPr>
          <w:p w14:paraId="35DE263A">
            <w:pPr>
              <w:widowControl/>
              <w:spacing w:line="24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tcPr>
          <w:p w14:paraId="712A522A">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14:paraId="72E77659">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r>
      <w:tr w14:paraId="6B9FFC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trPr>
        <w:tc>
          <w:tcPr>
            <w:tcW w:w="763" w:type="dxa"/>
            <w:vMerge w:val="continue"/>
            <w:shd w:val="clear" w:color="auto" w:fill="FFFFFF"/>
            <w:vAlign w:val="center"/>
          </w:tcPr>
          <w:p w14:paraId="0601DB5A">
            <w:pPr>
              <w:spacing w:line="240" w:lineRule="atLeast"/>
              <w:jc w:val="center"/>
              <w:rPr>
                <w:rFonts w:ascii="宋体" w:hAnsi="宋体" w:eastAsia="宋体" w:cs="宋体"/>
                <w:color w:val="000000"/>
                <w:kern w:val="0"/>
                <w:sz w:val="22"/>
                <w:szCs w:val="22"/>
              </w:rPr>
            </w:pPr>
          </w:p>
        </w:tc>
        <w:tc>
          <w:tcPr>
            <w:tcW w:w="1297" w:type="dxa"/>
            <w:shd w:val="clear" w:color="auto" w:fill="FFFFFF"/>
            <w:vAlign w:val="center"/>
          </w:tcPr>
          <w:p w14:paraId="5D51C102">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　</w:t>
            </w:r>
          </w:p>
        </w:tc>
        <w:tc>
          <w:tcPr>
            <w:tcW w:w="1411" w:type="dxa"/>
            <w:shd w:val="clear" w:color="auto" w:fill="FFFFFF"/>
            <w:vAlign w:val="center"/>
          </w:tcPr>
          <w:p w14:paraId="3B8A3ADC">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0D41D8DE">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shd w:val="clear" w:color="000000" w:fill="FFFFFF"/>
            <w:vAlign w:val="center"/>
          </w:tcPr>
          <w:p w14:paraId="709BE03E">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shd w:val="clear" w:color="000000" w:fill="FFFFFF"/>
            <w:vAlign w:val="center"/>
          </w:tcPr>
          <w:p w14:paraId="300890E3">
            <w:pPr>
              <w:widowControl/>
              <w:spacing w:line="24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073A539B">
            <w:pPr>
              <w:widowControl/>
              <w:spacing w:line="24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tcPr>
          <w:p w14:paraId="5CA6ECB8">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w:t>
            </w:r>
          </w:p>
        </w:tc>
        <w:tc>
          <w:tcPr>
            <w:tcW w:w="922" w:type="dxa"/>
            <w:gridSpan w:val="3"/>
            <w:tcBorders>
              <w:top w:val="single" w:color="auto" w:sz="4" w:space="0"/>
              <w:left w:val="single" w:color="auto" w:sz="4" w:space="0"/>
              <w:bottom w:val="single" w:color="auto" w:sz="4" w:space="0"/>
              <w:right w:val="single" w:color="auto" w:sz="4" w:space="0"/>
            </w:tcBorders>
          </w:tcPr>
          <w:p w14:paraId="276688A6">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7</w:t>
            </w:r>
          </w:p>
        </w:tc>
      </w:tr>
      <w:tr w14:paraId="7E1DA6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trPr>
        <w:tc>
          <w:tcPr>
            <w:tcW w:w="763" w:type="dxa"/>
            <w:vMerge w:val="restart"/>
            <w:shd w:val="clear" w:color="auto" w:fill="FFFFFF"/>
            <w:vAlign w:val="center"/>
          </w:tcPr>
          <w:p w14:paraId="2F9B49DF">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　</w:t>
            </w:r>
          </w:p>
        </w:tc>
        <w:tc>
          <w:tcPr>
            <w:tcW w:w="1297" w:type="dxa"/>
            <w:shd w:val="clear" w:color="auto" w:fill="FFFFFF"/>
            <w:vAlign w:val="center"/>
          </w:tcPr>
          <w:p w14:paraId="2364A252">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shd w:val="clear" w:color="auto" w:fill="FFFFFF"/>
            <w:vAlign w:val="center"/>
          </w:tcPr>
          <w:p w14:paraId="270DC1E9">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044B3019">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shd w:val="clear" w:color="000000" w:fill="FFFFFF"/>
            <w:vAlign w:val="center"/>
          </w:tcPr>
          <w:p w14:paraId="59C22015">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shd w:val="clear" w:color="000000" w:fill="FFFFFF"/>
            <w:vAlign w:val="center"/>
          </w:tcPr>
          <w:p w14:paraId="1C2D311C">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tcPr>
          <w:p w14:paraId="5D90D32B">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14:paraId="7BEF018B">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r>
      <w:tr w14:paraId="1FBB40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trPr>
        <w:tc>
          <w:tcPr>
            <w:tcW w:w="763" w:type="dxa"/>
            <w:vMerge w:val="continue"/>
            <w:shd w:val="clear" w:color="auto" w:fill="FFFFFF"/>
            <w:vAlign w:val="center"/>
          </w:tcPr>
          <w:p w14:paraId="4154A5EB">
            <w:pPr>
              <w:spacing w:line="240" w:lineRule="atLeast"/>
              <w:jc w:val="center"/>
              <w:rPr>
                <w:rFonts w:ascii="宋体" w:hAnsi="宋体" w:eastAsia="宋体" w:cs="宋体"/>
                <w:color w:val="000000"/>
                <w:kern w:val="0"/>
                <w:sz w:val="22"/>
                <w:szCs w:val="22"/>
              </w:rPr>
            </w:pPr>
          </w:p>
        </w:tc>
        <w:tc>
          <w:tcPr>
            <w:tcW w:w="1297" w:type="dxa"/>
            <w:vMerge w:val="restart"/>
            <w:shd w:val="clear" w:color="auto" w:fill="FFFFFF"/>
            <w:vAlign w:val="center"/>
          </w:tcPr>
          <w:p w14:paraId="1B92E8FB">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w:t>
            </w:r>
          </w:p>
          <w:p w14:paraId="02D0E04D">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shd w:val="clear" w:color="auto" w:fill="FFFFFF"/>
            <w:vAlign w:val="center"/>
          </w:tcPr>
          <w:p w14:paraId="008214F4">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45C22C12">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shd w:val="clear" w:color="auto" w:fill="FFFFFF"/>
            <w:vAlign w:val="center"/>
          </w:tcPr>
          <w:p w14:paraId="4D0EEDE0">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14:paraId="7E45366C">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tcPr>
          <w:p w14:paraId="4C3ACCA8">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p w14:paraId="453E8469">
            <w:pPr>
              <w:widowControl/>
              <w:jc w:val="left"/>
              <w:rPr>
                <w:rFonts w:ascii="宋体" w:hAnsi="宋体" w:eastAsia="宋体" w:cs="宋体"/>
                <w:color w:val="000000"/>
                <w:kern w:val="0"/>
                <w:sz w:val="22"/>
                <w:szCs w:val="22"/>
              </w:rPr>
            </w:pPr>
          </w:p>
        </w:tc>
        <w:tc>
          <w:tcPr>
            <w:tcW w:w="922" w:type="dxa"/>
            <w:gridSpan w:val="3"/>
            <w:tcBorders>
              <w:top w:val="single" w:color="auto" w:sz="4" w:space="0"/>
              <w:left w:val="single" w:color="auto" w:sz="4" w:space="0"/>
              <w:bottom w:val="single" w:color="auto" w:sz="4" w:space="0"/>
              <w:right w:val="single" w:color="auto" w:sz="4" w:space="0"/>
            </w:tcBorders>
          </w:tcPr>
          <w:p w14:paraId="356057BB">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14:paraId="252815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trPr>
        <w:tc>
          <w:tcPr>
            <w:tcW w:w="763" w:type="dxa"/>
            <w:vMerge w:val="continue"/>
            <w:shd w:val="clear" w:color="auto" w:fill="FFFFFF"/>
            <w:vAlign w:val="center"/>
          </w:tcPr>
          <w:p w14:paraId="61A7627A">
            <w:pPr>
              <w:widowControl/>
              <w:spacing w:line="240" w:lineRule="atLeast"/>
              <w:jc w:val="center"/>
              <w:rPr>
                <w:rFonts w:ascii="宋体" w:hAnsi="宋体" w:eastAsia="宋体" w:cs="宋体"/>
                <w:color w:val="000000"/>
                <w:kern w:val="0"/>
                <w:sz w:val="22"/>
                <w:szCs w:val="22"/>
              </w:rPr>
            </w:pPr>
          </w:p>
        </w:tc>
        <w:tc>
          <w:tcPr>
            <w:tcW w:w="1297" w:type="dxa"/>
            <w:vMerge w:val="continue"/>
            <w:shd w:val="clear" w:color="auto" w:fill="FFFFFF"/>
            <w:vAlign w:val="center"/>
          </w:tcPr>
          <w:p w14:paraId="1070C948">
            <w:pPr>
              <w:widowControl/>
              <w:spacing w:line="240" w:lineRule="atLeast"/>
              <w:jc w:val="center"/>
              <w:rPr>
                <w:rFonts w:ascii="宋体" w:hAnsi="宋体" w:eastAsia="宋体" w:cs="宋体"/>
                <w:color w:val="000000"/>
                <w:kern w:val="0"/>
                <w:sz w:val="22"/>
                <w:szCs w:val="22"/>
              </w:rPr>
            </w:pPr>
          </w:p>
        </w:tc>
        <w:tc>
          <w:tcPr>
            <w:tcW w:w="1411" w:type="dxa"/>
            <w:shd w:val="clear" w:color="auto" w:fill="FFFFFF"/>
            <w:vAlign w:val="center"/>
          </w:tcPr>
          <w:p w14:paraId="704AB1CC">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743C3C5C">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shd w:val="clear" w:color="auto" w:fill="FFFFFF"/>
            <w:vAlign w:val="center"/>
          </w:tcPr>
          <w:p w14:paraId="69DE8A73">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cBorders>
            <w:shd w:val="clear" w:color="auto" w:fill="FFFFFF"/>
            <w:vAlign w:val="center"/>
          </w:tcPr>
          <w:p w14:paraId="368FA60A">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tcPr>
          <w:p w14:paraId="70A9015E">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14:paraId="6C33F518">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r>
      <w:tr w14:paraId="10293C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trPr>
        <w:tc>
          <w:tcPr>
            <w:tcW w:w="763" w:type="dxa"/>
            <w:vMerge w:val="restart"/>
            <w:shd w:val="clear" w:color="auto" w:fill="FFFFFF"/>
            <w:vAlign w:val="center"/>
          </w:tcPr>
          <w:p w14:paraId="02CE8449">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w:t>
            </w:r>
          </w:p>
        </w:tc>
        <w:tc>
          <w:tcPr>
            <w:tcW w:w="1297" w:type="dxa"/>
            <w:vMerge w:val="restart"/>
            <w:shd w:val="clear" w:color="auto" w:fill="FFFFFF"/>
            <w:vAlign w:val="center"/>
          </w:tcPr>
          <w:p w14:paraId="22B62F95">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w:t>
            </w:r>
          </w:p>
        </w:tc>
        <w:tc>
          <w:tcPr>
            <w:tcW w:w="1411" w:type="dxa"/>
            <w:shd w:val="clear" w:color="auto" w:fill="FFFFFF"/>
            <w:vAlign w:val="center"/>
          </w:tcPr>
          <w:p w14:paraId="5E16113D">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shd w:val="clear" w:color="000000" w:fill="FFFFFF"/>
            <w:vAlign w:val="center"/>
          </w:tcPr>
          <w:p w14:paraId="0B2994FD">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shd w:val="clear" w:color="000000" w:fill="FFFFFF"/>
            <w:vAlign w:val="center"/>
          </w:tcPr>
          <w:p w14:paraId="19AC4937">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（实际到位资金</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预算资金）×</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p>
          <w:p w14:paraId="7DF3FB64">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01265F66">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tcPr>
          <w:p w14:paraId="5EFF96A3">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4298C813">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14:paraId="411A56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trPr>
        <w:tc>
          <w:tcPr>
            <w:tcW w:w="763" w:type="dxa"/>
            <w:vMerge w:val="continue"/>
            <w:shd w:val="clear" w:color="auto" w:fill="FFFFFF"/>
            <w:vAlign w:val="center"/>
          </w:tcPr>
          <w:p w14:paraId="76C26567">
            <w:pPr>
              <w:spacing w:line="240" w:lineRule="atLeast"/>
              <w:jc w:val="center"/>
              <w:rPr>
                <w:rFonts w:ascii="宋体" w:hAnsi="宋体" w:eastAsia="宋体" w:cs="宋体"/>
                <w:color w:val="000000"/>
                <w:kern w:val="0"/>
                <w:sz w:val="22"/>
                <w:szCs w:val="22"/>
              </w:rPr>
            </w:pPr>
          </w:p>
        </w:tc>
        <w:tc>
          <w:tcPr>
            <w:tcW w:w="1297" w:type="dxa"/>
            <w:vMerge w:val="continue"/>
            <w:shd w:val="clear" w:color="auto" w:fill="FFFFFF"/>
            <w:vAlign w:val="center"/>
          </w:tcPr>
          <w:p w14:paraId="11CFE382">
            <w:pPr>
              <w:spacing w:line="240" w:lineRule="atLeast"/>
              <w:jc w:val="center"/>
              <w:rPr>
                <w:rFonts w:ascii="宋体" w:hAnsi="宋体" w:eastAsia="宋体" w:cs="宋体"/>
                <w:color w:val="000000"/>
                <w:kern w:val="0"/>
                <w:sz w:val="22"/>
                <w:szCs w:val="22"/>
              </w:rPr>
            </w:pPr>
          </w:p>
        </w:tc>
        <w:tc>
          <w:tcPr>
            <w:tcW w:w="1411" w:type="dxa"/>
            <w:shd w:val="clear" w:color="auto" w:fill="FFFFFF"/>
            <w:vAlign w:val="center"/>
          </w:tcPr>
          <w:p w14:paraId="2F08D7EE">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shd w:val="clear" w:color="auto" w:fill="FFFFFF"/>
            <w:vAlign w:val="center"/>
          </w:tcPr>
          <w:p w14:paraId="48B71CD1">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shd w:val="clear" w:color="auto" w:fill="FFFFFF"/>
            <w:vAlign w:val="center"/>
          </w:tcPr>
          <w:p w14:paraId="510DB932">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（实际支出资金</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实际到位资金）×</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tcPr>
          <w:p w14:paraId="598F9BC1">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14:paraId="20FD055B">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14:paraId="54309C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trPr>
        <w:tc>
          <w:tcPr>
            <w:tcW w:w="763" w:type="dxa"/>
            <w:vMerge w:val="restart"/>
            <w:shd w:val="clear" w:color="auto" w:fill="FFFFFF"/>
            <w:vAlign w:val="center"/>
          </w:tcPr>
          <w:p w14:paraId="6827EB32">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0AF65A6E">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　</w:t>
            </w:r>
          </w:p>
        </w:tc>
        <w:tc>
          <w:tcPr>
            <w:tcW w:w="1297" w:type="dxa"/>
            <w:shd w:val="clear" w:color="auto" w:fill="FFFFFF"/>
            <w:vAlign w:val="center"/>
          </w:tcPr>
          <w:p w14:paraId="2071A12F">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shd w:val="clear" w:color="auto" w:fill="FFFFFF"/>
            <w:vAlign w:val="center"/>
          </w:tcPr>
          <w:p w14:paraId="27BB58AD">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497401C3">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shd w:val="clear" w:color="000000" w:fill="FFFFFF"/>
            <w:vAlign w:val="center"/>
          </w:tcPr>
          <w:p w14:paraId="09E48162">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cBorders>
            <w:shd w:val="clear" w:color="000000" w:fill="FFFFFF"/>
            <w:vAlign w:val="center"/>
          </w:tcPr>
          <w:p w14:paraId="28752D57">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tcPr>
          <w:p w14:paraId="08BE6FBB">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p w14:paraId="439EF7FF">
            <w:pPr>
              <w:widowControl/>
              <w:jc w:val="left"/>
              <w:rPr>
                <w:rFonts w:ascii="宋体" w:hAnsi="宋体" w:eastAsia="宋体" w:cs="宋体"/>
                <w:color w:val="000000"/>
                <w:kern w:val="0"/>
                <w:sz w:val="22"/>
                <w:szCs w:val="22"/>
              </w:rPr>
            </w:pPr>
          </w:p>
        </w:tc>
        <w:tc>
          <w:tcPr>
            <w:tcW w:w="922" w:type="dxa"/>
            <w:gridSpan w:val="3"/>
            <w:tcBorders>
              <w:top w:val="single" w:color="auto" w:sz="4" w:space="0"/>
              <w:left w:val="single" w:color="auto" w:sz="4" w:space="0"/>
              <w:bottom w:val="single" w:color="auto" w:sz="4" w:space="0"/>
              <w:right w:val="single" w:color="auto" w:sz="4" w:space="0"/>
            </w:tcBorders>
          </w:tcPr>
          <w:p w14:paraId="481BFD01">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r>
      <w:tr w14:paraId="196904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trPr>
        <w:tc>
          <w:tcPr>
            <w:tcW w:w="763" w:type="dxa"/>
            <w:vMerge w:val="continue"/>
            <w:shd w:val="clear" w:color="auto" w:fill="FFFFFF"/>
            <w:vAlign w:val="center"/>
          </w:tcPr>
          <w:p w14:paraId="13D7EB58">
            <w:pPr>
              <w:spacing w:line="240" w:lineRule="atLeast"/>
              <w:jc w:val="center"/>
              <w:rPr>
                <w:rFonts w:ascii="宋体" w:hAnsi="宋体" w:eastAsia="宋体" w:cs="宋体"/>
                <w:color w:val="000000"/>
                <w:kern w:val="0"/>
                <w:sz w:val="22"/>
                <w:szCs w:val="22"/>
              </w:rPr>
            </w:pPr>
          </w:p>
        </w:tc>
        <w:tc>
          <w:tcPr>
            <w:tcW w:w="1297" w:type="dxa"/>
            <w:vMerge w:val="restart"/>
            <w:shd w:val="clear" w:color="auto" w:fill="FFFFFF"/>
            <w:vAlign w:val="center"/>
          </w:tcPr>
          <w:p w14:paraId="2E96122F">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w:t>
            </w:r>
          </w:p>
          <w:p w14:paraId="18712B53">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shd w:val="clear" w:color="auto" w:fill="FFFFFF"/>
            <w:vAlign w:val="center"/>
          </w:tcPr>
          <w:p w14:paraId="0C961E05">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5A74EF89">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shd w:val="clear" w:color="000000" w:fill="FFFFFF"/>
            <w:vAlign w:val="center"/>
          </w:tcPr>
          <w:p w14:paraId="1EE33A45">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shd w:val="clear" w:color="000000" w:fill="FFFFFF"/>
            <w:vAlign w:val="center"/>
          </w:tcPr>
          <w:p w14:paraId="588D750F">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tcPr>
          <w:p w14:paraId="64E01694">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479FE3A5">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14:paraId="42734D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trPr>
        <w:tc>
          <w:tcPr>
            <w:tcW w:w="763" w:type="dxa"/>
            <w:vMerge w:val="continue"/>
            <w:shd w:val="clear" w:color="auto" w:fill="FFFFFF"/>
            <w:vAlign w:val="center"/>
          </w:tcPr>
          <w:p w14:paraId="3732CB8B">
            <w:pPr>
              <w:widowControl/>
              <w:spacing w:line="240" w:lineRule="atLeast"/>
              <w:jc w:val="center"/>
              <w:rPr>
                <w:rFonts w:ascii="宋体" w:hAnsi="宋体" w:eastAsia="宋体" w:cs="宋体"/>
                <w:color w:val="000000"/>
                <w:kern w:val="0"/>
                <w:sz w:val="22"/>
                <w:szCs w:val="22"/>
              </w:rPr>
            </w:pPr>
          </w:p>
        </w:tc>
        <w:tc>
          <w:tcPr>
            <w:tcW w:w="1297" w:type="dxa"/>
            <w:vMerge w:val="continue"/>
            <w:shd w:val="clear" w:color="auto" w:fill="FFFFFF"/>
            <w:vAlign w:val="center"/>
          </w:tcPr>
          <w:p w14:paraId="5185AF3C">
            <w:pPr>
              <w:widowControl/>
              <w:spacing w:line="240" w:lineRule="atLeast"/>
              <w:jc w:val="center"/>
              <w:rPr>
                <w:rFonts w:ascii="宋体" w:hAnsi="宋体" w:eastAsia="宋体" w:cs="宋体"/>
                <w:color w:val="000000"/>
                <w:kern w:val="0"/>
                <w:sz w:val="22"/>
                <w:szCs w:val="22"/>
              </w:rPr>
            </w:pPr>
          </w:p>
        </w:tc>
        <w:tc>
          <w:tcPr>
            <w:tcW w:w="1411" w:type="dxa"/>
            <w:shd w:val="clear" w:color="auto" w:fill="FFFFFF"/>
            <w:vAlign w:val="center"/>
          </w:tcPr>
          <w:p w14:paraId="6D8E2F14">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34EA0B9C">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shd w:val="clear" w:color="000000" w:fill="FFFFFF"/>
            <w:vAlign w:val="center"/>
          </w:tcPr>
          <w:p w14:paraId="59720DB5">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shd w:val="clear" w:color="000000" w:fill="FFFFFF"/>
            <w:vAlign w:val="center"/>
          </w:tcPr>
          <w:p w14:paraId="45689BF5">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tcPr>
          <w:p w14:paraId="3B39AA82">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5E754B5A">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14:paraId="432EBB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trPr>
        <w:tc>
          <w:tcPr>
            <w:tcW w:w="763" w:type="dxa"/>
            <w:shd w:val="clear" w:color="auto" w:fill="FFFFFF"/>
            <w:vAlign w:val="center"/>
          </w:tcPr>
          <w:p w14:paraId="3F876AA0">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w:t>
            </w:r>
          </w:p>
        </w:tc>
        <w:tc>
          <w:tcPr>
            <w:tcW w:w="1297" w:type="dxa"/>
            <w:shd w:val="clear" w:color="auto" w:fill="FFFFFF"/>
            <w:vAlign w:val="center"/>
          </w:tcPr>
          <w:p w14:paraId="344840CE">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分）</w:t>
            </w:r>
          </w:p>
        </w:tc>
        <w:tc>
          <w:tcPr>
            <w:tcW w:w="1411" w:type="dxa"/>
            <w:shd w:val="clear" w:color="auto" w:fill="FFFFFF"/>
            <w:vAlign w:val="center"/>
          </w:tcPr>
          <w:p w14:paraId="4801DE74">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shd w:val="clear" w:color="000000" w:fill="FFFFFF"/>
            <w:vAlign w:val="center"/>
          </w:tcPr>
          <w:p w14:paraId="54A7B4B0">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shd w:val="clear" w:color="000000" w:fill="FFFFFF"/>
            <w:vAlign w:val="center"/>
          </w:tcPr>
          <w:p w14:paraId="6E797DF0">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（实际产出数</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计划产出数）×</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tcPr>
          <w:p w14:paraId="4FBD15A6">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14:paraId="70CE3206">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w:t>
            </w:r>
          </w:p>
        </w:tc>
      </w:tr>
      <w:tr w14:paraId="1EE95F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trPr>
        <w:tc>
          <w:tcPr>
            <w:tcW w:w="763" w:type="dxa"/>
            <w:vMerge w:val="restart"/>
            <w:shd w:val="clear" w:color="auto" w:fill="FFFFFF"/>
            <w:vAlign w:val="center"/>
          </w:tcPr>
          <w:p w14:paraId="065F789F">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w:t>
            </w:r>
          </w:p>
        </w:tc>
        <w:tc>
          <w:tcPr>
            <w:tcW w:w="1297" w:type="dxa"/>
            <w:shd w:val="clear" w:color="auto" w:fill="FFFFFF"/>
            <w:vAlign w:val="center"/>
          </w:tcPr>
          <w:p w14:paraId="1E0414CA">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分）</w:t>
            </w:r>
          </w:p>
        </w:tc>
        <w:tc>
          <w:tcPr>
            <w:tcW w:w="1411" w:type="dxa"/>
            <w:shd w:val="clear" w:color="auto" w:fill="FFFFFF"/>
            <w:vAlign w:val="center"/>
          </w:tcPr>
          <w:p w14:paraId="5EE129FC">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shd w:val="clear" w:color="000000" w:fill="FFFFFF"/>
            <w:vAlign w:val="center"/>
          </w:tcPr>
          <w:p w14:paraId="355FC283">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cBorders>
            <w:shd w:val="clear" w:color="000000" w:fill="FFFFFF"/>
            <w:vAlign w:val="center"/>
          </w:tcPr>
          <w:p w14:paraId="29E979E6">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（质量达标产出数</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实际产出数）×</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p>
          <w:p w14:paraId="5DD239DE">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tcPr>
          <w:p w14:paraId="2340CA3F">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14:paraId="692F5065">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w:t>
            </w:r>
          </w:p>
        </w:tc>
      </w:tr>
      <w:tr w14:paraId="650646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trPr>
        <w:tc>
          <w:tcPr>
            <w:tcW w:w="763" w:type="dxa"/>
            <w:vMerge w:val="continue"/>
            <w:shd w:val="clear" w:color="auto" w:fill="FFFFFF"/>
            <w:vAlign w:val="center"/>
          </w:tcPr>
          <w:p w14:paraId="6BF67757">
            <w:pPr>
              <w:spacing w:line="240" w:lineRule="atLeast"/>
              <w:jc w:val="center"/>
              <w:rPr>
                <w:rFonts w:ascii="宋体" w:hAnsi="宋体" w:eastAsia="宋体" w:cs="宋体"/>
                <w:color w:val="000000"/>
                <w:kern w:val="0"/>
                <w:sz w:val="22"/>
                <w:szCs w:val="22"/>
              </w:rPr>
            </w:pPr>
          </w:p>
        </w:tc>
        <w:tc>
          <w:tcPr>
            <w:tcW w:w="1297" w:type="dxa"/>
            <w:shd w:val="clear" w:color="auto" w:fill="FFFFFF"/>
            <w:vAlign w:val="center"/>
          </w:tcPr>
          <w:p w14:paraId="4E057C1D">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1411" w:type="dxa"/>
            <w:shd w:val="clear" w:color="auto" w:fill="FFFFFF"/>
            <w:vAlign w:val="center"/>
          </w:tcPr>
          <w:p w14:paraId="0B24FB39">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shd w:val="clear" w:color="000000" w:fill="FFFFFF"/>
            <w:vAlign w:val="center"/>
          </w:tcPr>
          <w:p w14:paraId="4CE09D79">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shd w:val="clear" w:color="000000" w:fill="FFFFFF"/>
            <w:vAlign w:val="center"/>
          </w:tcPr>
          <w:p w14:paraId="1C0020E8">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tcPr>
          <w:p w14:paraId="7C83A8CA">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69285C46">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r>
      <w:tr w14:paraId="4D7C3A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trPr>
        <w:tc>
          <w:tcPr>
            <w:tcW w:w="763" w:type="dxa"/>
            <w:vMerge w:val="continue"/>
            <w:shd w:val="clear" w:color="auto" w:fill="FFFFFF"/>
            <w:vAlign w:val="center"/>
          </w:tcPr>
          <w:p w14:paraId="422CB70F">
            <w:pPr>
              <w:widowControl/>
              <w:spacing w:line="240" w:lineRule="atLeast"/>
              <w:jc w:val="center"/>
              <w:rPr>
                <w:rFonts w:ascii="宋体" w:hAnsi="宋体" w:eastAsia="宋体" w:cs="宋体"/>
                <w:color w:val="000000"/>
                <w:kern w:val="0"/>
                <w:sz w:val="22"/>
                <w:szCs w:val="22"/>
              </w:rPr>
            </w:pPr>
          </w:p>
        </w:tc>
        <w:tc>
          <w:tcPr>
            <w:tcW w:w="1297" w:type="dxa"/>
            <w:shd w:val="clear" w:color="auto" w:fill="FFFFFF"/>
            <w:vAlign w:val="center"/>
          </w:tcPr>
          <w:p w14:paraId="316AF130">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1411" w:type="dxa"/>
            <w:shd w:val="clear" w:color="auto" w:fill="FFFFFF"/>
            <w:vAlign w:val="center"/>
          </w:tcPr>
          <w:p w14:paraId="55661E1B">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shd w:val="clear" w:color="000000" w:fill="FFFFFF"/>
            <w:vAlign w:val="center"/>
          </w:tcPr>
          <w:p w14:paraId="36ECDC22">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shd w:val="clear" w:color="000000" w:fill="FFFFFF"/>
            <w:vAlign w:val="center"/>
          </w:tcPr>
          <w:p w14:paraId="2A66BF59">
            <w:pPr>
              <w:widowControl/>
              <w:spacing w:line="240" w:lineRule="atLeast"/>
              <w:rPr>
                <w:rFonts w:ascii="宋体" w:hAnsi="宋体" w:eastAsia="宋体" w:cs="宋体"/>
                <w:color w:val="000000"/>
                <w:kern w:val="0"/>
                <w:sz w:val="22"/>
                <w:szCs w:val="22"/>
              </w:rPr>
            </w:pP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tcPr>
          <w:p w14:paraId="74084B04">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3D6BF2E3">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14:paraId="4C24B9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trPr>
        <w:tc>
          <w:tcPr>
            <w:tcW w:w="763" w:type="dxa"/>
            <w:vMerge w:val="restart"/>
            <w:shd w:val="clear" w:color="auto" w:fill="FFFFFF"/>
            <w:vAlign w:val="center"/>
          </w:tcPr>
          <w:p w14:paraId="18B378C3">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　</w:t>
            </w:r>
          </w:p>
        </w:tc>
        <w:tc>
          <w:tcPr>
            <w:tcW w:w="1297" w:type="dxa"/>
            <w:vMerge w:val="restart"/>
            <w:shd w:val="clear" w:color="auto" w:fill="FFFFFF"/>
            <w:vAlign w:val="center"/>
          </w:tcPr>
          <w:p w14:paraId="27039743">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　</w:t>
            </w:r>
          </w:p>
        </w:tc>
        <w:tc>
          <w:tcPr>
            <w:tcW w:w="1411" w:type="dxa"/>
            <w:shd w:val="clear" w:color="auto" w:fill="FFFFFF"/>
            <w:vAlign w:val="center"/>
          </w:tcPr>
          <w:p w14:paraId="59DDD3E0">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shd w:val="clear" w:color="auto" w:fill="FFFFFF"/>
            <w:vAlign w:val="center"/>
          </w:tcPr>
          <w:p w14:paraId="41FA4386">
            <w:pPr>
              <w:widowControl/>
              <w:spacing w:line="24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shd w:val="clear" w:color="auto" w:fill="FFFFFF"/>
            <w:vAlign w:val="center"/>
          </w:tcPr>
          <w:p w14:paraId="646188A6">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tcPr>
          <w:p w14:paraId="03AF338F">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15</w:t>
            </w:r>
          </w:p>
          <w:p w14:paraId="1C061221">
            <w:pPr>
              <w:widowControl/>
              <w:jc w:val="left"/>
              <w:rPr>
                <w:rFonts w:ascii="宋体" w:hAnsi="宋体" w:eastAsia="宋体" w:cs="宋体"/>
                <w:color w:val="000000"/>
                <w:kern w:val="0"/>
                <w:sz w:val="22"/>
                <w:szCs w:val="22"/>
              </w:rPr>
            </w:pPr>
          </w:p>
        </w:tc>
        <w:tc>
          <w:tcPr>
            <w:tcW w:w="922" w:type="dxa"/>
            <w:gridSpan w:val="3"/>
            <w:tcBorders>
              <w:top w:val="single" w:color="auto" w:sz="4" w:space="0"/>
              <w:left w:val="single" w:color="auto" w:sz="4" w:space="0"/>
              <w:bottom w:val="single" w:color="auto" w:sz="4" w:space="0"/>
              <w:right w:val="single" w:color="auto" w:sz="4" w:space="0"/>
            </w:tcBorders>
          </w:tcPr>
          <w:p w14:paraId="4CF73490">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12</w:t>
            </w:r>
          </w:p>
        </w:tc>
      </w:tr>
      <w:tr w14:paraId="2D3625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trPr>
        <w:tc>
          <w:tcPr>
            <w:tcW w:w="763" w:type="dxa"/>
            <w:vMerge w:val="continue"/>
            <w:shd w:val="clear" w:color="auto" w:fill="FFFFFF"/>
            <w:vAlign w:val="center"/>
          </w:tcPr>
          <w:p w14:paraId="21BC1220">
            <w:pPr>
              <w:widowControl/>
              <w:spacing w:line="240" w:lineRule="atLeast"/>
              <w:jc w:val="center"/>
              <w:rPr>
                <w:rFonts w:ascii="宋体" w:hAnsi="宋体" w:eastAsia="宋体" w:cs="宋体"/>
                <w:color w:val="000000"/>
                <w:kern w:val="0"/>
                <w:sz w:val="22"/>
                <w:szCs w:val="22"/>
              </w:rPr>
            </w:pPr>
          </w:p>
        </w:tc>
        <w:tc>
          <w:tcPr>
            <w:tcW w:w="1297" w:type="dxa"/>
            <w:vMerge w:val="continue"/>
            <w:shd w:val="clear" w:color="auto" w:fill="FFFFFF"/>
            <w:vAlign w:val="center"/>
          </w:tcPr>
          <w:p w14:paraId="178DC7FB">
            <w:pPr>
              <w:widowControl/>
              <w:spacing w:line="240" w:lineRule="atLeast"/>
              <w:jc w:val="center"/>
              <w:rPr>
                <w:rFonts w:ascii="宋体" w:hAnsi="宋体" w:eastAsia="宋体" w:cs="宋体"/>
                <w:color w:val="000000"/>
                <w:kern w:val="0"/>
                <w:sz w:val="22"/>
                <w:szCs w:val="22"/>
              </w:rPr>
            </w:pPr>
          </w:p>
        </w:tc>
        <w:tc>
          <w:tcPr>
            <w:tcW w:w="1411" w:type="dxa"/>
            <w:shd w:val="clear" w:color="auto" w:fill="FFFFFF"/>
            <w:vAlign w:val="center"/>
          </w:tcPr>
          <w:p w14:paraId="1F3B5BFF">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shd w:val="clear" w:color="000000" w:fill="FFFFFF"/>
            <w:vAlign w:val="center"/>
          </w:tcPr>
          <w:p w14:paraId="3E97DFB6">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shd w:val="clear" w:color="000000" w:fill="FFFFFF"/>
            <w:vAlign w:val="center"/>
          </w:tcPr>
          <w:p w14:paraId="2715EDB4">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tcPr>
          <w:p w14:paraId="358058AC">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tcPr>
          <w:p w14:paraId="69115CDB">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15</w:t>
            </w:r>
          </w:p>
        </w:tc>
      </w:tr>
      <w:tr w14:paraId="2315EB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rPr>
        <w:tc>
          <w:tcPr>
            <w:tcW w:w="13601" w:type="dxa"/>
            <w:gridSpan w:val="5"/>
            <w:shd w:val="clear" w:color="auto" w:fill="FFFFFF"/>
            <w:vAlign w:val="center"/>
          </w:tcPr>
          <w:p w14:paraId="46F3A67B">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合计</w:t>
            </w:r>
          </w:p>
        </w:tc>
        <w:tc>
          <w:tcPr>
            <w:tcW w:w="852" w:type="dxa"/>
            <w:gridSpan w:val="3"/>
            <w:tcBorders>
              <w:top w:val="single" w:color="auto" w:sz="4" w:space="0"/>
              <w:bottom w:val="single" w:color="auto" w:sz="4" w:space="0"/>
              <w:right w:val="single" w:color="auto" w:sz="4" w:space="0"/>
            </w:tcBorders>
          </w:tcPr>
          <w:p w14:paraId="24828840">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100</w:t>
            </w:r>
          </w:p>
        </w:tc>
        <w:tc>
          <w:tcPr>
            <w:tcW w:w="922" w:type="dxa"/>
            <w:gridSpan w:val="3"/>
            <w:tcBorders>
              <w:top w:val="single" w:color="auto" w:sz="4" w:space="0"/>
              <w:left w:val="single" w:color="auto" w:sz="4" w:space="0"/>
              <w:bottom w:val="single" w:color="auto" w:sz="4" w:space="0"/>
              <w:right w:val="single" w:color="auto" w:sz="4" w:space="0"/>
            </w:tcBorders>
          </w:tcPr>
          <w:p w14:paraId="0E12D6DF">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90</w:t>
            </w:r>
          </w:p>
        </w:tc>
      </w:tr>
    </w:tbl>
    <w:p w14:paraId="36E4EE61">
      <w:pPr>
        <w:spacing w:line="600" w:lineRule="exact"/>
        <w:rPr>
          <w:rFonts w:ascii="仿宋_GB2312"/>
          <w:bCs/>
          <w:sz w:val="32"/>
          <w:szCs w:val="32"/>
        </w:rPr>
        <w:sectPr>
          <w:pgSz w:w="16838" w:h="11906" w:orient="landscape"/>
          <w:pgMar w:top="1531" w:right="1928" w:bottom="1531" w:left="1701" w:header="737" w:footer="851" w:gutter="0"/>
          <w:cols w:space="720" w:num="1"/>
          <w:docGrid w:type="lines" w:linePitch="408" w:charSpace="0"/>
        </w:sectPr>
      </w:pPr>
    </w:p>
    <w:p w14:paraId="663BFEF4"/>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F6E6037-8C64-4DAF-ABBB-CA0CD4DB84BE}"/>
  </w:font>
  <w:font w:name="黑体">
    <w:panose1 w:val="02010609060101010101"/>
    <w:charset w:val="86"/>
    <w:family w:val="auto"/>
    <w:pitch w:val="default"/>
    <w:sig w:usb0="800002BF" w:usb1="38CF7CFA" w:usb2="00000016" w:usb3="00000000" w:csb0="00040001" w:csb1="00000000"/>
    <w:embedRegular r:id="rId2" w:fontKey="{03BE53D0-769D-45C8-A245-380B73A6B53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EDDEEDF3-012C-45F8-886D-2BF8D914D58B}"/>
  </w:font>
  <w:font w:name="仿宋_GB2312">
    <w:altName w:val="仿宋"/>
    <w:panose1 w:val="00000000000000000000"/>
    <w:charset w:val="86"/>
    <w:family w:val="modern"/>
    <w:pitch w:val="default"/>
    <w:sig w:usb0="00000000" w:usb1="00000000" w:usb2="00000010" w:usb3="00000000" w:csb0="00040000" w:csb1="00000000"/>
    <w:embedRegular r:id="rId4" w:fontKey="{978C0256-2663-499E-8EED-AE1711421727}"/>
  </w:font>
  <w:font w:name="仿宋">
    <w:panose1 w:val="02010609060101010101"/>
    <w:charset w:val="86"/>
    <w:family w:val="auto"/>
    <w:pitch w:val="default"/>
    <w:sig w:usb0="800002BF" w:usb1="38CF7CFA" w:usb2="00000016" w:usb3="00000000" w:csb0="00040001" w:csb1="00000000"/>
  </w:font>
  <w:font w:name="仿宋w..">
    <w:altName w:val="宋体"/>
    <w:panose1 w:val="00000000000000000000"/>
    <w:charset w:val="86"/>
    <w:family w:val="roman"/>
    <w:pitch w:val="default"/>
    <w:sig w:usb0="00000000" w:usb1="00000000" w:usb2="00000010" w:usb3="00000000" w:csb0="00040000" w:csb1="00000000"/>
  </w:font>
  <w:font w:name="方正小标宋_GBK">
    <w:panose1 w:val="02000000000000000000"/>
    <w:charset w:val="86"/>
    <w:family w:val="script"/>
    <w:pitch w:val="default"/>
    <w:sig w:usb0="A00002BF" w:usb1="38CF7CFA" w:usb2="00082016" w:usb3="00000000" w:csb0="00040001" w:csb1="00000000"/>
    <w:embedRegular r:id="rId5" w:fontKey="{3D8B3FBA-3F5E-44E2-823F-DAADFF16A52A}"/>
  </w:font>
  <w:font w:name="华文中宋">
    <w:panose1 w:val="02010600040101010101"/>
    <w:charset w:val="86"/>
    <w:family w:val="auto"/>
    <w:pitch w:val="default"/>
    <w:sig w:usb0="00000287" w:usb1="080F0000" w:usb2="00000000" w:usb3="00000000" w:csb0="0004009F" w:csb1="DFD70000"/>
    <w:embedRegular r:id="rId6" w:fontKey="{79AD1D51-0E4A-4485-8F70-EDFE2DFEAAC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59341">
    <w:pPr>
      <w:pStyle w:val="3"/>
      <w:jc w:val="center"/>
    </w:pPr>
    <w:r>
      <w:fldChar w:fldCharType="begin"/>
    </w:r>
    <w:r>
      <w:instrText xml:space="preserve"> PAGE   \* MERGEFORMAT </w:instrText>
    </w:r>
    <w:r>
      <w:fldChar w:fldCharType="separate"/>
    </w:r>
    <w:r>
      <w:rPr>
        <w:lang w:val="zh-CN"/>
      </w:rPr>
      <w:t>6</w:t>
    </w:r>
    <w:r>
      <w:rPr>
        <w:lang w:val="zh-CN"/>
      </w:rPr>
      <w:fldChar w:fldCharType="end"/>
    </w:r>
  </w:p>
  <w:p w14:paraId="44BF9F3E">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hiMzgzMWJiNDVmMjc4YmZhYzYxZmZlMGEwZTI0MDIifQ=="/>
  </w:docVars>
  <w:rsids>
    <w:rsidRoot w:val="00CC10B5"/>
    <w:rsid w:val="000057B8"/>
    <w:rsid w:val="000164ED"/>
    <w:rsid w:val="00020CE3"/>
    <w:rsid w:val="00033C4C"/>
    <w:rsid w:val="0004580F"/>
    <w:rsid w:val="000C0C43"/>
    <w:rsid w:val="000C4EDC"/>
    <w:rsid w:val="000F0C43"/>
    <w:rsid w:val="00115BC4"/>
    <w:rsid w:val="00163047"/>
    <w:rsid w:val="00165B4B"/>
    <w:rsid w:val="0018238C"/>
    <w:rsid w:val="00191EDF"/>
    <w:rsid w:val="001F0B7B"/>
    <w:rsid w:val="001F56CF"/>
    <w:rsid w:val="00221895"/>
    <w:rsid w:val="00255191"/>
    <w:rsid w:val="002877E9"/>
    <w:rsid w:val="00293B44"/>
    <w:rsid w:val="00375472"/>
    <w:rsid w:val="00381849"/>
    <w:rsid w:val="00391691"/>
    <w:rsid w:val="003A6793"/>
    <w:rsid w:val="003B1374"/>
    <w:rsid w:val="004266B6"/>
    <w:rsid w:val="004626F9"/>
    <w:rsid w:val="00471508"/>
    <w:rsid w:val="0048607E"/>
    <w:rsid w:val="004A2802"/>
    <w:rsid w:val="004F13EE"/>
    <w:rsid w:val="005161F5"/>
    <w:rsid w:val="005E4FD7"/>
    <w:rsid w:val="00605952"/>
    <w:rsid w:val="00614138"/>
    <w:rsid w:val="00631EED"/>
    <w:rsid w:val="00691BC1"/>
    <w:rsid w:val="006B1839"/>
    <w:rsid w:val="006C753A"/>
    <w:rsid w:val="006E11F1"/>
    <w:rsid w:val="006E4D0A"/>
    <w:rsid w:val="00704744"/>
    <w:rsid w:val="007233D6"/>
    <w:rsid w:val="007460B1"/>
    <w:rsid w:val="00784506"/>
    <w:rsid w:val="00826D04"/>
    <w:rsid w:val="00843DD3"/>
    <w:rsid w:val="00871E18"/>
    <w:rsid w:val="008E00C0"/>
    <w:rsid w:val="008F300F"/>
    <w:rsid w:val="009248CC"/>
    <w:rsid w:val="009450D5"/>
    <w:rsid w:val="009B66DB"/>
    <w:rsid w:val="009D00F6"/>
    <w:rsid w:val="009E7825"/>
    <w:rsid w:val="00A37564"/>
    <w:rsid w:val="00A555EB"/>
    <w:rsid w:val="00A7582B"/>
    <w:rsid w:val="00AB4631"/>
    <w:rsid w:val="00AC6863"/>
    <w:rsid w:val="00B04E33"/>
    <w:rsid w:val="00B14295"/>
    <w:rsid w:val="00B14DDE"/>
    <w:rsid w:val="00B26048"/>
    <w:rsid w:val="00B44E10"/>
    <w:rsid w:val="00B70130"/>
    <w:rsid w:val="00B77DE3"/>
    <w:rsid w:val="00BC3066"/>
    <w:rsid w:val="00BC387F"/>
    <w:rsid w:val="00BF5D1E"/>
    <w:rsid w:val="00C44083"/>
    <w:rsid w:val="00C460D9"/>
    <w:rsid w:val="00C470BD"/>
    <w:rsid w:val="00C64852"/>
    <w:rsid w:val="00CB19AD"/>
    <w:rsid w:val="00CC10B5"/>
    <w:rsid w:val="00CC2197"/>
    <w:rsid w:val="00CE595E"/>
    <w:rsid w:val="00CF2A52"/>
    <w:rsid w:val="00D325E8"/>
    <w:rsid w:val="00D411C1"/>
    <w:rsid w:val="00D67C20"/>
    <w:rsid w:val="00D9777D"/>
    <w:rsid w:val="00DF3AAA"/>
    <w:rsid w:val="00E17022"/>
    <w:rsid w:val="00E51997"/>
    <w:rsid w:val="00E6421A"/>
    <w:rsid w:val="00E84F5C"/>
    <w:rsid w:val="00EC060B"/>
    <w:rsid w:val="00ED2FEB"/>
    <w:rsid w:val="00F26B95"/>
    <w:rsid w:val="00F63219"/>
    <w:rsid w:val="00F83C4C"/>
    <w:rsid w:val="00FA4F70"/>
    <w:rsid w:val="00FB45E1"/>
    <w:rsid w:val="00FC1C76"/>
    <w:rsid w:val="35151E7B"/>
    <w:rsid w:val="6A35472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iPriority w:val="99"/>
    <w:pPr>
      <w:tabs>
        <w:tab w:val="center" w:pos="4153"/>
        <w:tab w:val="right" w:pos="8306"/>
      </w:tabs>
      <w:snapToGrid w:val="0"/>
      <w:jc w:val="left"/>
    </w:pPr>
    <w:rPr>
      <w:rFonts w:ascii="Calibri" w:hAnsi="Calibri" w:eastAsia="宋体"/>
      <w:sz w:val="18"/>
      <w:szCs w:val="18"/>
    </w:rPr>
  </w:style>
  <w:style w:type="paragraph" w:styleId="4">
    <w:name w:val="header"/>
    <w:basedOn w:val="1"/>
    <w:link w:val="8"/>
    <w:semiHidden/>
    <w:uiPriority w:val="99"/>
    <w:pPr>
      <w:pBdr>
        <w:bottom w:val="single" w:color="auto" w:sz="6" w:space="1"/>
      </w:pBdr>
      <w:tabs>
        <w:tab w:val="center" w:pos="4153"/>
        <w:tab w:val="right" w:pos="8306"/>
      </w:tabs>
      <w:snapToGrid w:val="0"/>
      <w:jc w:val="center"/>
    </w:pPr>
    <w:rPr>
      <w:rFonts w:ascii="Calibri" w:hAnsi="Calibri" w:eastAsia="宋体"/>
      <w:sz w:val="18"/>
      <w:szCs w:val="18"/>
    </w:rPr>
  </w:style>
  <w:style w:type="character" w:customStyle="1" w:styleId="7">
    <w:name w:val="标题 2 Char"/>
    <w:basedOn w:val="6"/>
    <w:link w:val="2"/>
    <w:locked/>
    <w:uiPriority w:val="99"/>
    <w:rPr>
      <w:rFonts w:ascii="Arial" w:hAnsi="Arial" w:eastAsia="黑体" w:cs="Times New Roman"/>
      <w:b/>
      <w:sz w:val="24"/>
      <w:szCs w:val="24"/>
    </w:rPr>
  </w:style>
  <w:style w:type="character" w:customStyle="1" w:styleId="8">
    <w:name w:val="页眉 Char"/>
    <w:basedOn w:val="6"/>
    <w:link w:val="4"/>
    <w:semiHidden/>
    <w:locked/>
    <w:uiPriority w:val="99"/>
    <w:rPr>
      <w:rFonts w:cs="Times New Roman"/>
      <w:sz w:val="18"/>
      <w:szCs w:val="18"/>
    </w:rPr>
  </w:style>
  <w:style w:type="character" w:customStyle="1" w:styleId="9">
    <w:name w:val="页脚 Char"/>
    <w:basedOn w:val="6"/>
    <w:link w:val="3"/>
    <w:locked/>
    <w:uiPriority w:val="99"/>
    <w:rPr>
      <w:rFonts w:cs="Times New Roman"/>
      <w:sz w:val="18"/>
      <w:szCs w:val="18"/>
    </w:rPr>
  </w:style>
  <w:style w:type="paragraph" w:customStyle="1" w:styleId="10">
    <w:name w:val="Default"/>
    <w:uiPriority w:val="99"/>
    <w:pPr>
      <w:widowControl w:val="0"/>
      <w:autoSpaceDE w:val="0"/>
      <w:autoSpaceDN w:val="0"/>
      <w:adjustRightInd w:val="0"/>
    </w:pPr>
    <w:rPr>
      <w:rFonts w:ascii="仿宋w.." w:hAnsi="Times New Roman" w:eastAsia="仿宋w.." w:cs="仿宋w.."/>
      <w:color w:val="000000"/>
      <w:sz w:val="24"/>
      <w:szCs w:val="24"/>
      <w:lang w:val="en-US" w:eastAsia="zh-CN" w:bidi="ar-SA"/>
    </w:rPr>
  </w:style>
  <w:style w:type="paragraph" w:customStyle="1" w:styleId="11">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6111</Words>
  <Characters>6251</Characters>
  <Lines>46</Lines>
  <Paragraphs>13</Paragraphs>
  <TotalTime>144</TotalTime>
  <ScaleCrop>false</ScaleCrop>
  <LinksUpToDate>false</LinksUpToDate>
  <CharactersWithSpaces>6289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2020-05-27T04:03:00Z</dcterms:created>
  <dc:creator>CurUserName</dc:creator>
  <cp:lastModifiedBy>Qxb</cp:lastModifiedBy>
  <dcterms:modified xsi:type="dcterms:W3CDTF">2025-02-07T04:08:37Z</dcterms:modified>
  <dc:title>附件•2</dc:title>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72F36D4920234CC09E3A4241F253E698_12</vt:lpwstr>
  </property>
  <property fmtid="{D5CDD505-2E9C-101B-9397-08002B2CF9AE}" pid="4" name="KSOTemplateDocerSaveRecord">
    <vt:lpwstr>eyJoZGlkIjoiNjhiMzgzMWJiNDVmMjc4YmZhYzYxZmZlMGEwZTI0MDIiLCJ1c2VySWQiOiIxMDczMzg0NjQwIn0=</vt:lpwstr>
  </property>
</Properties>
</file>