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3CC30">
      <w:pPr>
        <w:spacing w:line="540" w:lineRule="exact"/>
        <w:jc w:val="center"/>
        <w:rPr>
          <w:rFonts w:ascii="华文中宋" w:hAnsi="华文中宋" w:eastAsia="华文中宋" w:cs="宋体"/>
          <w:b/>
          <w:kern w:val="0"/>
          <w:sz w:val="52"/>
          <w:szCs w:val="52"/>
        </w:rPr>
      </w:pPr>
    </w:p>
    <w:p w14:paraId="0C57DE2C">
      <w:pPr>
        <w:spacing w:line="540" w:lineRule="exact"/>
        <w:jc w:val="center"/>
        <w:rPr>
          <w:rFonts w:ascii="华文中宋" w:hAnsi="华文中宋" w:eastAsia="华文中宋" w:cs="宋体"/>
          <w:b/>
          <w:kern w:val="0"/>
          <w:sz w:val="52"/>
          <w:szCs w:val="52"/>
        </w:rPr>
      </w:pPr>
    </w:p>
    <w:p w14:paraId="6B41641F">
      <w:pPr>
        <w:spacing w:line="540" w:lineRule="exact"/>
        <w:jc w:val="center"/>
        <w:rPr>
          <w:rFonts w:ascii="华文中宋" w:hAnsi="华文中宋" w:eastAsia="华文中宋" w:cs="宋体"/>
          <w:b/>
          <w:kern w:val="0"/>
          <w:sz w:val="52"/>
          <w:szCs w:val="52"/>
        </w:rPr>
      </w:pPr>
    </w:p>
    <w:p w14:paraId="6C0BBB28">
      <w:pPr>
        <w:spacing w:line="540" w:lineRule="exact"/>
        <w:jc w:val="center"/>
        <w:rPr>
          <w:rFonts w:ascii="华文中宋" w:hAnsi="华文中宋" w:eastAsia="华文中宋" w:cs="宋体"/>
          <w:b/>
          <w:kern w:val="0"/>
          <w:sz w:val="52"/>
          <w:szCs w:val="52"/>
        </w:rPr>
      </w:pPr>
    </w:p>
    <w:p w14:paraId="21C45927">
      <w:pPr>
        <w:spacing w:line="540" w:lineRule="exact"/>
        <w:jc w:val="center"/>
        <w:rPr>
          <w:rFonts w:ascii="华文中宋" w:hAnsi="华文中宋" w:eastAsia="华文中宋" w:cs="宋体"/>
          <w:b/>
          <w:kern w:val="0"/>
          <w:sz w:val="52"/>
          <w:szCs w:val="52"/>
        </w:rPr>
      </w:pPr>
    </w:p>
    <w:p w14:paraId="4D4755E9">
      <w:pPr>
        <w:spacing w:line="540" w:lineRule="exact"/>
        <w:jc w:val="center"/>
        <w:rPr>
          <w:rFonts w:hint="eastAsia" w:ascii="方正小标宋_GBK" w:hAnsi="华文中宋" w:eastAsia="方正小标宋_GBK" w:cs="宋体"/>
          <w:b/>
          <w:kern w:val="0"/>
          <w:sz w:val="48"/>
          <w:szCs w:val="48"/>
          <w:lang w:eastAsia="zh-CN"/>
        </w:rPr>
      </w:pPr>
      <w:r>
        <w:rPr>
          <w:rFonts w:hint="eastAsia" w:ascii="方正小标宋_GBK" w:hAnsi="华文中宋" w:eastAsia="方正小标宋_GBK" w:cs="宋体"/>
          <w:b/>
          <w:kern w:val="0"/>
          <w:sz w:val="48"/>
          <w:szCs w:val="48"/>
        </w:rPr>
        <w:t>巴州人民政府</w:t>
      </w:r>
      <w:r>
        <w:rPr>
          <w:rFonts w:hint="eastAsia" w:ascii="方正小标宋_GBK" w:hAnsi="华文中宋" w:eastAsia="方正小标宋_GBK" w:cs="宋体"/>
          <w:b/>
          <w:kern w:val="0"/>
          <w:sz w:val="48"/>
          <w:szCs w:val="48"/>
          <w:lang w:eastAsia="zh-CN"/>
        </w:rPr>
        <w:t>国有资产监督管理委员会</w:t>
      </w:r>
    </w:p>
    <w:p w14:paraId="44C54D4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单位项目支出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0B1B38D8">
      <w:pPr>
        <w:spacing w:line="540" w:lineRule="exact"/>
        <w:jc w:val="center"/>
        <w:rPr>
          <w:rFonts w:ascii="华文中宋" w:hAnsi="华文中宋" w:eastAsia="华文中宋" w:cs="宋体"/>
          <w:b/>
          <w:kern w:val="0"/>
          <w:sz w:val="52"/>
          <w:szCs w:val="52"/>
        </w:rPr>
      </w:pPr>
    </w:p>
    <w:p w14:paraId="3694A3ED">
      <w:pPr>
        <w:spacing w:line="540" w:lineRule="exact"/>
        <w:jc w:val="center"/>
        <w:rPr>
          <w:rFonts w:ascii="华文中宋" w:hAnsi="华文中宋" w:eastAsia="华文中宋" w:cs="宋体"/>
          <w:b/>
          <w:kern w:val="0"/>
          <w:sz w:val="52"/>
          <w:szCs w:val="52"/>
        </w:rPr>
      </w:pPr>
    </w:p>
    <w:p w14:paraId="1BABD6C5">
      <w:pPr>
        <w:spacing w:line="540" w:lineRule="exact"/>
        <w:jc w:val="center"/>
        <w:rPr>
          <w:rFonts w:ascii="华文中宋" w:hAnsi="华文中宋" w:eastAsia="华文中宋" w:cs="宋体"/>
          <w:b/>
          <w:kern w:val="0"/>
          <w:sz w:val="52"/>
          <w:szCs w:val="52"/>
        </w:rPr>
      </w:pPr>
    </w:p>
    <w:p w14:paraId="63D709E2">
      <w:pPr>
        <w:spacing w:line="540" w:lineRule="exact"/>
        <w:jc w:val="center"/>
        <w:rPr>
          <w:rFonts w:hAnsi="宋体" w:cs="宋体"/>
          <w:kern w:val="0"/>
          <w:sz w:val="36"/>
          <w:szCs w:val="36"/>
        </w:rPr>
      </w:pPr>
      <w:r>
        <w:rPr>
          <w:rFonts w:hint="eastAsia" w:hAnsi="宋体" w:cs="宋体"/>
          <w:kern w:val="0"/>
          <w:sz w:val="36"/>
          <w:szCs w:val="36"/>
        </w:rPr>
        <w:t>（2019年度）</w:t>
      </w:r>
    </w:p>
    <w:p w14:paraId="20129AFD">
      <w:pPr>
        <w:spacing w:line="540" w:lineRule="exact"/>
        <w:jc w:val="center"/>
        <w:rPr>
          <w:rFonts w:hAnsi="宋体" w:cs="宋体"/>
          <w:kern w:val="0"/>
          <w:szCs w:val="30"/>
        </w:rPr>
      </w:pPr>
    </w:p>
    <w:p w14:paraId="4B5CA43B">
      <w:pPr>
        <w:spacing w:line="540" w:lineRule="exact"/>
        <w:jc w:val="center"/>
        <w:rPr>
          <w:rFonts w:hAnsi="宋体" w:cs="宋体"/>
          <w:kern w:val="0"/>
          <w:szCs w:val="30"/>
        </w:rPr>
      </w:pPr>
    </w:p>
    <w:p w14:paraId="1C2ACC58">
      <w:pPr>
        <w:spacing w:line="540" w:lineRule="exact"/>
        <w:jc w:val="center"/>
        <w:rPr>
          <w:rFonts w:hAnsi="宋体" w:cs="宋体"/>
          <w:kern w:val="0"/>
          <w:szCs w:val="30"/>
        </w:rPr>
      </w:pPr>
    </w:p>
    <w:p w14:paraId="2D8A881A">
      <w:pPr>
        <w:spacing w:line="540" w:lineRule="exact"/>
        <w:jc w:val="center"/>
        <w:rPr>
          <w:rFonts w:hAnsi="宋体" w:cs="宋体"/>
          <w:kern w:val="0"/>
          <w:szCs w:val="30"/>
        </w:rPr>
      </w:pPr>
    </w:p>
    <w:p w14:paraId="0BB5DADC">
      <w:pPr>
        <w:spacing w:line="540" w:lineRule="exact"/>
        <w:jc w:val="center"/>
        <w:rPr>
          <w:rFonts w:hAnsi="宋体" w:cs="宋体"/>
          <w:kern w:val="0"/>
          <w:szCs w:val="30"/>
        </w:rPr>
      </w:pPr>
    </w:p>
    <w:p w14:paraId="3C73FA99">
      <w:pPr>
        <w:spacing w:line="540" w:lineRule="exact"/>
        <w:rPr>
          <w:rFonts w:hAnsi="宋体" w:cs="宋体"/>
          <w:kern w:val="0"/>
          <w:szCs w:val="30"/>
        </w:rPr>
      </w:pPr>
    </w:p>
    <w:p w14:paraId="635A20F7">
      <w:pPr>
        <w:spacing w:line="700" w:lineRule="exact"/>
        <w:jc w:val="left"/>
        <w:rPr>
          <w:rFonts w:hAnsi="宋体" w:cs="宋体"/>
          <w:kern w:val="0"/>
          <w:sz w:val="36"/>
          <w:szCs w:val="36"/>
        </w:rPr>
      </w:pPr>
      <w:r>
        <w:rPr>
          <w:rFonts w:hint="eastAsia" w:hAnsi="宋体" w:cs="宋体"/>
          <w:kern w:val="0"/>
          <w:sz w:val="36"/>
          <w:szCs w:val="36"/>
        </w:rPr>
        <w:t>项目名称：注册资本金项目</w:t>
      </w:r>
    </w:p>
    <w:p w14:paraId="7A55610D">
      <w:pPr>
        <w:spacing w:line="540" w:lineRule="exact"/>
        <w:rPr>
          <w:rFonts w:hint="eastAsia" w:hAnsi="宋体" w:eastAsia="仿宋_GB2312" w:cs="宋体"/>
          <w:kern w:val="0"/>
          <w:sz w:val="36"/>
          <w:szCs w:val="36"/>
          <w:lang w:eastAsia="zh-CN"/>
        </w:rPr>
      </w:pPr>
      <w:r>
        <w:rPr>
          <w:rFonts w:hint="eastAsia" w:hAnsi="宋体" w:cs="宋体"/>
          <w:kern w:val="0"/>
          <w:sz w:val="36"/>
          <w:szCs w:val="36"/>
        </w:rPr>
        <w:t>实施单位（公章）：巴州人民政府</w:t>
      </w:r>
      <w:r>
        <w:rPr>
          <w:rFonts w:hint="eastAsia" w:hAnsi="宋体" w:cs="宋体"/>
          <w:kern w:val="0"/>
          <w:sz w:val="36"/>
          <w:szCs w:val="36"/>
          <w:lang w:eastAsia="zh-CN"/>
        </w:rPr>
        <w:t>国有资产监督管理委员会</w:t>
      </w:r>
    </w:p>
    <w:p w14:paraId="4582C75B">
      <w:pPr>
        <w:spacing w:line="700" w:lineRule="exact"/>
        <w:jc w:val="left"/>
        <w:rPr>
          <w:rFonts w:hint="eastAsia" w:hAnsi="宋体" w:eastAsia="仿宋_GB2312" w:cs="宋体"/>
          <w:kern w:val="0"/>
          <w:sz w:val="36"/>
          <w:szCs w:val="36"/>
          <w:lang w:eastAsia="zh-CN"/>
        </w:rPr>
      </w:pPr>
      <w:r>
        <w:rPr>
          <w:rFonts w:hint="eastAsia" w:hAnsi="宋体" w:cs="宋体"/>
          <w:kern w:val="0"/>
          <w:sz w:val="36"/>
          <w:szCs w:val="36"/>
        </w:rPr>
        <w:t>主管部门（公章）：巴州人民政府</w:t>
      </w:r>
      <w:r>
        <w:rPr>
          <w:rFonts w:hint="eastAsia" w:hAnsi="宋体" w:cs="宋体"/>
          <w:kern w:val="0"/>
          <w:sz w:val="36"/>
          <w:szCs w:val="36"/>
          <w:lang w:eastAsia="zh-CN"/>
        </w:rPr>
        <w:t>国有资产监督管理委员会</w:t>
      </w:r>
      <w:bookmarkStart w:id="1" w:name="_GoBack"/>
      <w:bookmarkEnd w:id="1"/>
    </w:p>
    <w:p w14:paraId="57165093">
      <w:pPr>
        <w:spacing w:line="700" w:lineRule="exact"/>
        <w:jc w:val="left"/>
        <w:rPr>
          <w:rFonts w:hAnsi="宋体" w:cs="宋体"/>
          <w:kern w:val="0"/>
          <w:sz w:val="36"/>
          <w:szCs w:val="36"/>
        </w:rPr>
      </w:pPr>
      <w:r>
        <w:rPr>
          <w:rFonts w:hint="eastAsia" w:hAnsi="宋体" w:cs="宋体"/>
          <w:kern w:val="0"/>
          <w:sz w:val="36"/>
          <w:szCs w:val="36"/>
        </w:rPr>
        <w:t>项目负责人（签章）：任刚</w:t>
      </w:r>
    </w:p>
    <w:p w14:paraId="09DBF7D5">
      <w:pPr>
        <w:spacing w:line="700" w:lineRule="exact"/>
        <w:jc w:val="left"/>
        <w:rPr>
          <w:rFonts w:hAnsi="宋体" w:cs="宋体"/>
          <w:kern w:val="0"/>
          <w:sz w:val="36"/>
          <w:szCs w:val="36"/>
        </w:rPr>
      </w:pPr>
      <w:r>
        <w:rPr>
          <w:rFonts w:hint="eastAsia" w:hAnsi="宋体" w:cs="宋体"/>
          <w:kern w:val="0"/>
          <w:sz w:val="36"/>
          <w:szCs w:val="36"/>
        </w:rPr>
        <w:t>填报时间：2020年4月20日</w:t>
      </w:r>
    </w:p>
    <w:p w14:paraId="0CA230CA">
      <w:pPr>
        <w:spacing w:line="540" w:lineRule="exact"/>
        <w:jc w:val="center"/>
        <w:rPr>
          <w:rFonts w:hAnsi="宋体" w:cs="宋体"/>
          <w:kern w:val="0"/>
          <w:szCs w:val="30"/>
        </w:rPr>
      </w:pPr>
    </w:p>
    <w:p w14:paraId="63050F2F">
      <w:pPr>
        <w:rPr>
          <w:rFonts w:ascii="黑体" w:hAnsi="黑体" w:eastAsia="黑体"/>
        </w:rPr>
      </w:pPr>
      <w:r>
        <w:rPr>
          <w:rFonts w:hint="eastAsia" w:ascii="黑体" w:hAnsi="黑体" w:eastAsia="黑体"/>
        </w:rPr>
        <w:t>附</w:t>
      </w:r>
      <w:r>
        <w:rPr>
          <w:rFonts w:ascii="黑体" w:hAnsi="黑体" w:eastAsia="黑体"/>
        </w:rPr>
        <w:t>1</w:t>
      </w:r>
    </w:p>
    <w:p w14:paraId="23A0BDCF">
      <w:pPr>
        <w:jc w:val="center"/>
        <w:rPr>
          <w:rFonts w:ascii="Arial" w:hAnsi="Arial" w:eastAsia="宋体" w:cs="Arial"/>
          <w:b/>
          <w:bCs/>
          <w:sz w:val="36"/>
          <w:szCs w:val="36"/>
        </w:rPr>
      </w:pPr>
      <w:r>
        <w:rPr>
          <w:rFonts w:hint="eastAsia" w:ascii="宋体" w:hAnsi="宋体" w:eastAsia="宋体" w:cs="Arial"/>
          <w:b/>
          <w:bCs/>
          <w:sz w:val="36"/>
          <w:szCs w:val="36"/>
        </w:rPr>
        <w:t>注册资本金项目支出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8F65DAD">
      <w:pPr>
        <w:spacing w:line="600" w:lineRule="exact"/>
        <w:ind w:firstLine="600" w:firstLineChars="200"/>
        <w:rPr>
          <w:rFonts w:ascii="黑体" w:hAnsi="黑体" w:eastAsia="黑体"/>
        </w:rPr>
      </w:pPr>
      <w:r>
        <w:rPr>
          <w:rFonts w:hint="eastAsia" w:ascii="黑体" w:hAnsi="黑体" w:eastAsia="黑体"/>
        </w:rPr>
        <w:t>一、基本情况</w:t>
      </w:r>
    </w:p>
    <w:p w14:paraId="12B4B242">
      <w:pPr>
        <w:spacing w:line="600" w:lineRule="exact"/>
        <w:ind w:firstLine="600" w:firstLineChars="200"/>
        <w:outlineLvl w:val="0"/>
        <w:rPr>
          <w:rFonts w:ascii="仿宋_GB2312"/>
        </w:rPr>
      </w:pPr>
      <w:r>
        <w:rPr>
          <w:rFonts w:hint="eastAsia" w:ascii="仿宋_GB2312"/>
        </w:rPr>
        <w:t>（一）项目概况。包括项目背景、主要内容及实施情况、资金投入和使用情况等。</w:t>
      </w:r>
    </w:p>
    <w:p w14:paraId="6383C9EB">
      <w:pPr>
        <w:spacing w:line="4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背景、主要内容：1、为贯彻落实《实施新疆旅游业发展“十三五”规划三年行动方案》新政发【2018】59号和自治区经济工作会议上陈全国书记重要讲话精神，结合我州旅游景点丰富、特色产品众多的实际情况，决定在首府乌鲁木齐设置巴州旅游集散中心和特色产品展示中心，促进经济的发展，2、为提高公路安全通行，对经济发展的促进作用，公众出行更加便利。根据巴财企【2019】19号《关于拨付国信建设发展投融资有限公司注册资本金的通知》、巴财企【2019】20号《关于拨付国信建设发展投融资有限公司注册资本金的通知》。同时</w:t>
      </w:r>
      <w:r>
        <w:rPr>
          <w:rFonts w:hint="eastAsia" w:ascii="仿宋" w:hAnsi="仿宋" w:eastAsia="仿宋" w:cs="仿宋"/>
          <w:color w:val="333333"/>
          <w:sz w:val="32"/>
          <w:szCs w:val="32"/>
        </w:rPr>
        <w:t>为了增加国有企业资本实力，经</w:t>
      </w:r>
      <w:r>
        <w:rPr>
          <w:rFonts w:hint="eastAsia" w:ascii="仿宋" w:hAnsi="仿宋" w:eastAsia="仿宋" w:cs="仿宋"/>
          <w:sz w:val="32"/>
          <w:szCs w:val="32"/>
        </w:rPr>
        <w:t>自治州会议研究决定，从2019年国有资本金中安排资金11100万元注入巴州国资委监管的国有企业国信公司和交投公司。其中：国信公司10700万元，交投公司400万元。</w:t>
      </w:r>
    </w:p>
    <w:p w14:paraId="3F180F8F">
      <w:pPr>
        <w:spacing w:line="460" w:lineRule="exact"/>
        <w:ind w:firstLine="600" w:firstLineChars="200"/>
        <w:outlineLvl w:val="0"/>
        <w:rPr>
          <w:rFonts w:ascii="仿宋" w:hAnsi="仿宋" w:eastAsia="仿宋" w:cs="仿宋"/>
          <w:sz w:val="32"/>
          <w:szCs w:val="32"/>
        </w:rPr>
      </w:pPr>
      <w:r>
        <w:rPr>
          <w:rFonts w:hint="eastAsia" w:ascii="仿宋_GB2312"/>
        </w:rPr>
        <w:t>资金投入和使用情况：</w:t>
      </w:r>
      <w:r>
        <w:rPr>
          <w:rFonts w:hint="eastAsia" w:ascii="仿宋" w:hAnsi="仿宋" w:eastAsia="仿宋" w:cs="仿宋"/>
          <w:sz w:val="32"/>
          <w:szCs w:val="32"/>
        </w:rPr>
        <w:t>截至2019年12月31日，上述注册资本金11100万元已全部投入到位，并由国信公司和交投公司按规定使用。</w:t>
      </w:r>
    </w:p>
    <w:p w14:paraId="681237F4">
      <w:pPr>
        <w:spacing w:line="460" w:lineRule="exact"/>
        <w:ind w:firstLine="640" w:firstLineChars="200"/>
        <w:outlineLvl w:val="0"/>
        <w:rPr>
          <w:rFonts w:ascii="仿宋" w:hAnsi="仿宋" w:eastAsia="仿宋" w:cs="仿宋"/>
          <w:sz w:val="32"/>
          <w:szCs w:val="32"/>
        </w:rPr>
      </w:pPr>
    </w:p>
    <w:p w14:paraId="62F27B6B">
      <w:pPr>
        <w:spacing w:line="460" w:lineRule="exact"/>
        <w:ind w:firstLine="600" w:firstLineChars="200"/>
        <w:outlineLvl w:val="0"/>
        <w:rPr>
          <w:rFonts w:ascii="仿宋" w:hAnsi="仿宋" w:eastAsia="仿宋" w:cs="仿宋"/>
          <w:sz w:val="32"/>
          <w:szCs w:val="32"/>
        </w:rPr>
      </w:pPr>
      <w:r>
        <w:rPr>
          <w:rFonts w:hint="eastAsia" w:ascii="仿宋_GB2312"/>
        </w:rPr>
        <w:t>（二）项目绩效目标。包括总体目标和阶段性目标。</w:t>
      </w:r>
    </w:p>
    <w:p w14:paraId="7A1F1058">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总体目标：1、国信公司：2019年底完成国信公司投资10700万元、2、交投公司：2019年完成投资400万元。</w:t>
      </w:r>
    </w:p>
    <w:p w14:paraId="18B83AE3">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阶段性目标：1、国信公司：2019年底完成国信公司投资10700万元、2、交投公司：2019年底前完成前期设计勘察工作，完成二级公路66.272公里勘察设计，并出具项目可研报告，提供公路安全通行，对经济发展的促进作用，公众出行更加便利。</w:t>
      </w:r>
    </w:p>
    <w:p w14:paraId="1ECAF935">
      <w:pPr>
        <w:spacing w:line="460" w:lineRule="exact"/>
        <w:ind w:firstLine="600" w:firstLineChars="200"/>
        <w:rPr>
          <w:rFonts w:ascii="黑体" w:hAnsi="黑体" w:eastAsia="黑体"/>
        </w:rPr>
      </w:pPr>
      <w:r>
        <w:rPr>
          <w:rFonts w:hint="eastAsia" w:ascii="黑体" w:hAnsi="黑体" w:eastAsia="黑体"/>
        </w:rPr>
        <w:t>二、绩效评价工作开展情况</w:t>
      </w:r>
    </w:p>
    <w:p w14:paraId="1FB75163">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14:paraId="226E2BFA">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XX项目，及时总结经验，分析存在问题及原因，切实采取有效措施进一步改进和加强财政专项资金管理，推动财政资金聚力增效，提高公共服务供给质量，增强政府公信力和执行力。</w:t>
      </w:r>
    </w:p>
    <w:p w14:paraId="3E6157BB">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w:t>
      </w:r>
      <w:r>
        <w:rPr>
          <w:rFonts w:ascii="仿宋" w:hAnsi="仿宋" w:eastAsia="仿宋" w:cs="仿宋"/>
          <w:sz w:val="32"/>
          <w:szCs w:val="32"/>
        </w:rPr>
        <w:t>的对象：</w:t>
      </w:r>
      <w:r>
        <w:rPr>
          <w:rFonts w:hint="eastAsia" w:ascii="仿宋" w:hAnsi="仿宋" w:eastAsia="仿宋" w:cs="仿宋"/>
          <w:sz w:val="32"/>
          <w:szCs w:val="32"/>
        </w:rPr>
        <w:t>巴州国资委对国信公司和交投公司注入注册资本金项目</w:t>
      </w:r>
    </w:p>
    <w:p w14:paraId="10685B7C">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w:t>
      </w:r>
      <w:r>
        <w:rPr>
          <w:rFonts w:ascii="仿宋" w:hAnsi="仿宋" w:eastAsia="仿宋" w:cs="仿宋"/>
          <w:sz w:val="32"/>
          <w:szCs w:val="32"/>
        </w:rPr>
        <w:t>的范围：</w:t>
      </w:r>
      <w:r>
        <w:rPr>
          <w:rFonts w:hint="eastAsia" w:ascii="仿宋" w:hAnsi="仿宋" w:eastAsia="仿宋" w:cs="仿宋"/>
          <w:sz w:val="32"/>
          <w:szCs w:val="32"/>
        </w:rPr>
        <w:t>项目内容、项目成功度、项目完成度分项阐述</w:t>
      </w:r>
    </w:p>
    <w:p w14:paraId="67481F5A">
      <w:pPr>
        <w:spacing w:line="460" w:lineRule="exact"/>
        <w:ind w:firstLine="640" w:firstLineChars="200"/>
        <w:rPr>
          <w:rFonts w:ascii="仿宋" w:hAnsi="仿宋" w:eastAsia="仿宋" w:cs="仿宋"/>
          <w:sz w:val="32"/>
          <w:szCs w:val="32"/>
        </w:rPr>
      </w:pPr>
    </w:p>
    <w:p w14:paraId="02F2A209">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绩效评价原则、评价指标体系（附表说明）、评价方法、评价标准等。</w:t>
      </w:r>
    </w:p>
    <w:p w14:paraId="041B5482">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绩效评价原则：（1）科学公正。（2）统筹兼顾。（3）激励约束。（4）公开透明。</w:t>
      </w:r>
    </w:p>
    <w:p w14:paraId="40BEB161">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评价指标体系（附表说明）</w:t>
      </w:r>
    </w:p>
    <w:p w14:paraId="7FB986F4">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评价方法：成本效益分析法。</w:t>
      </w:r>
    </w:p>
    <w:p w14:paraId="51F0F060">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评价标准：主要有计划标准。</w:t>
      </w:r>
    </w:p>
    <w:p w14:paraId="7785E7E5">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绩效评价工作过程。</w:t>
      </w:r>
    </w:p>
    <w:p w14:paraId="6A4C94F9">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1、前期准备工作</w:t>
      </w:r>
    </w:p>
    <w:p w14:paraId="1D956824">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6760A2CD">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14:paraId="307430AF">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2、组织实施过程内容</w:t>
      </w:r>
    </w:p>
    <w:p w14:paraId="6A50899E">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14:paraId="738F1109">
      <w:pPr>
        <w:spacing w:line="460" w:lineRule="exact"/>
        <w:ind w:firstLine="640" w:firstLineChars="200"/>
        <w:rPr>
          <w:rFonts w:ascii="仿宋" w:hAnsi="仿宋" w:eastAsia="仿宋" w:cs="仿宋"/>
          <w:sz w:val="32"/>
          <w:szCs w:val="32"/>
        </w:rPr>
      </w:pPr>
      <w:bookmarkStart w:id="0" w:name="_Toc403599257"/>
      <w:r>
        <w:rPr>
          <w:rFonts w:hint="eastAsia" w:ascii="仿宋" w:hAnsi="仿宋" w:eastAsia="仿宋" w:cs="仿宋"/>
          <w:sz w:val="32"/>
          <w:szCs w:val="32"/>
        </w:rPr>
        <w:t>3、绩效评价分析阶段</w:t>
      </w:r>
      <w:bookmarkEnd w:id="0"/>
    </w:p>
    <w:p w14:paraId="2FCE3F8C">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经过对收集到的资料进行比对和交叉验证后，确定用于继续分析和评价的证据，通过比较指标的实际情况与预期数据对应程度，最终确认评价结果。</w:t>
      </w:r>
    </w:p>
    <w:p w14:paraId="5D558EE2">
      <w:pPr>
        <w:spacing w:line="460" w:lineRule="exact"/>
        <w:ind w:firstLine="600" w:firstLineChars="200"/>
        <w:rPr>
          <w:rFonts w:ascii="仿宋" w:hAnsi="仿宋" w:eastAsia="仿宋" w:cs="仿宋"/>
          <w:sz w:val="32"/>
          <w:szCs w:val="32"/>
        </w:rPr>
      </w:pPr>
      <w:r>
        <w:rPr>
          <w:rFonts w:hint="eastAsia" w:ascii="黑体" w:hAnsi="黑体" w:eastAsia="黑体"/>
        </w:rPr>
        <w:t>三、综合评价情况及评价结论</w:t>
      </w:r>
    </w:p>
    <w:p w14:paraId="5B216A8E">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随着国有资本金11100万元全部投入到位，为提高国信公司和交投公司运营能力，促进经济发展奠定了基础。</w:t>
      </w:r>
    </w:p>
    <w:p w14:paraId="76B900B5">
      <w:pPr>
        <w:spacing w:line="600" w:lineRule="exact"/>
        <w:ind w:firstLine="600" w:firstLineChars="200"/>
        <w:rPr>
          <w:rFonts w:ascii="黑体" w:hAnsi="黑体" w:eastAsia="黑体"/>
        </w:rPr>
      </w:pPr>
      <w:r>
        <w:rPr>
          <w:rFonts w:hint="eastAsia" w:ascii="黑体" w:hAnsi="黑体" w:eastAsia="黑体"/>
        </w:rPr>
        <w:t>四、绩效评价指标分析</w:t>
      </w:r>
    </w:p>
    <w:p w14:paraId="1127A248">
      <w:pPr>
        <w:spacing w:line="4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14:paraId="03747347">
      <w:pPr>
        <w:spacing w:line="4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决策指标满分20分，自评得分20分</w:t>
      </w:r>
    </w:p>
    <w:p w14:paraId="121EAE1C">
      <w:pPr>
        <w:spacing w:line="460" w:lineRule="exact"/>
        <w:ind w:firstLine="640" w:firstLineChars="200"/>
        <w:outlineLvl w:val="0"/>
        <w:rPr>
          <w:rFonts w:ascii="仿宋" w:hAnsi="仿宋" w:eastAsia="仿宋" w:cs="仿宋"/>
          <w:sz w:val="32"/>
          <w:szCs w:val="32"/>
        </w:rPr>
      </w:pPr>
      <w:r>
        <w:rPr>
          <w:rFonts w:hint="eastAsia" w:ascii="仿宋" w:hAnsi="仿宋" w:eastAsia="仿宋" w:cs="仿宋"/>
          <w:color w:val="333333"/>
          <w:sz w:val="32"/>
          <w:szCs w:val="32"/>
        </w:rPr>
        <w:t>根据自治区党委“1+3+3+改革开放”总体战略，贯彻落实《实施新疆旅游业发展“十三五”规划三年行动方案》（新政发〔2018〕59号）和自治区经济工作会议上陈全国书记重要讲话，为了增加国有企业资本实力，经</w:t>
      </w:r>
      <w:r>
        <w:rPr>
          <w:rFonts w:hint="eastAsia" w:ascii="仿宋" w:hAnsi="仿宋" w:eastAsia="仿宋" w:cs="仿宋"/>
          <w:sz w:val="32"/>
          <w:szCs w:val="32"/>
        </w:rPr>
        <w:t>自治州会议研究决定，从2019年国有资本金中安排资金11100万元注入国有企业。</w:t>
      </w:r>
    </w:p>
    <w:p w14:paraId="503D18DA">
      <w:pPr>
        <w:spacing w:line="460" w:lineRule="exact"/>
        <w:ind w:firstLine="640" w:firstLineChars="200"/>
        <w:outlineLvl w:val="0"/>
        <w:rPr>
          <w:rFonts w:ascii="仿宋" w:hAnsi="仿宋" w:eastAsia="仿宋" w:cs="仿宋"/>
          <w:sz w:val="32"/>
          <w:szCs w:val="32"/>
        </w:rPr>
      </w:pPr>
    </w:p>
    <w:p w14:paraId="1FA14EDC">
      <w:pPr>
        <w:numPr>
          <w:ilvl w:val="0"/>
          <w:numId w:val="1"/>
        </w:numPr>
        <w:spacing w:line="4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项目过程情况。</w:t>
      </w:r>
    </w:p>
    <w:p w14:paraId="1C8CBF7C">
      <w:pPr>
        <w:spacing w:line="460" w:lineRule="exact"/>
        <w:outlineLvl w:val="0"/>
        <w:rPr>
          <w:rFonts w:ascii="仿宋" w:hAnsi="仿宋" w:eastAsia="仿宋" w:cs="仿宋"/>
          <w:sz w:val="32"/>
          <w:szCs w:val="32"/>
        </w:rPr>
      </w:pPr>
      <w:r>
        <w:rPr>
          <w:rFonts w:hint="eastAsia" w:ascii="仿宋" w:hAnsi="仿宋" w:eastAsia="仿宋" w:cs="仿宋"/>
          <w:sz w:val="32"/>
          <w:szCs w:val="32"/>
        </w:rPr>
        <w:t xml:space="preserve">    项目过程指标满分20分，自评得分19分</w:t>
      </w:r>
    </w:p>
    <w:p w14:paraId="15494694">
      <w:pPr>
        <w:spacing w:line="460" w:lineRule="exact"/>
        <w:ind w:firstLine="624" w:firstLineChars="200"/>
        <w:rPr>
          <w:rStyle w:val="9"/>
          <w:rFonts w:ascii="仿宋" w:hAnsi="仿宋" w:eastAsia="仿宋" w:cs="仿宋"/>
          <w:b w:val="0"/>
          <w:spacing w:val="-4"/>
          <w:sz w:val="32"/>
          <w:szCs w:val="32"/>
        </w:rPr>
      </w:pPr>
      <w:r>
        <w:rPr>
          <w:rStyle w:val="9"/>
          <w:rFonts w:hint="eastAsia" w:ascii="仿宋" w:hAnsi="仿宋" w:eastAsia="仿宋" w:cs="仿宋"/>
          <w:b w:val="0"/>
          <w:spacing w:val="-4"/>
          <w:sz w:val="32"/>
          <w:szCs w:val="32"/>
        </w:rPr>
        <w:t>（1）项目组织情况分析</w:t>
      </w:r>
    </w:p>
    <w:p w14:paraId="46082519">
      <w:pPr>
        <w:spacing w:line="460" w:lineRule="exact"/>
        <w:ind w:firstLine="624" w:firstLineChars="200"/>
        <w:rPr>
          <w:rStyle w:val="9"/>
          <w:rFonts w:ascii="仿宋" w:hAnsi="仿宋" w:eastAsia="仿宋" w:cs="仿宋"/>
          <w:b w:val="0"/>
          <w:spacing w:val="-4"/>
          <w:sz w:val="32"/>
          <w:szCs w:val="32"/>
        </w:rPr>
      </w:pPr>
      <w:r>
        <w:rPr>
          <w:rStyle w:val="9"/>
          <w:rFonts w:hint="eastAsia" w:ascii="仿宋" w:hAnsi="仿宋" w:eastAsia="仿宋" w:cs="仿宋"/>
          <w:b w:val="0"/>
          <w:spacing w:val="-4"/>
          <w:sz w:val="32"/>
          <w:szCs w:val="32"/>
        </w:rPr>
        <w:t>2019年7月底州党委派出由州相关部门领导组成的项目建设推进工作组到达乌鲁木齐现场办公，督促指导项目有序推进，目前已经批准了项目规划方案，确定了工程招投标代理单位，签订了施工图设计合同，完成了施工图审查工作，完成了项目用地规划审批工作，完成了地质勘探工程，工地三通一平、强夯桩基等工程。由于今年春季新冠肺炎疫情的影响，前期手续的办理及工程项目开工受到了一定的延迟，我们将充分用好乌鲁木齐出台的支持企业发展的十七条措施，积极协调施工、监理、规划、建管等各方工作关系，如期完成今年各项任务。</w:t>
      </w:r>
    </w:p>
    <w:p w14:paraId="3414F028">
      <w:pPr>
        <w:spacing w:line="460" w:lineRule="exact"/>
        <w:ind w:firstLine="624" w:firstLineChars="200"/>
        <w:rPr>
          <w:rStyle w:val="9"/>
          <w:rFonts w:ascii="仿宋" w:hAnsi="仿宋" w:eastAsia="仿宋" w:cs="仿宋"/>
          <w:b w:val="0"/>
          <w:spacing w:val="-4"/>
          <w:sz w:val="32"/>
          <w:szCs w:val="32"/>
        </w:rPr>
      </w:pPr>
      <w:r>
        <w:rPr>
          <w:rStyle w:val="9"/>
          <w:rFonts w:hint="eastAsia" w:ascii="仿宋" w:hAnsi="仿宋" w:eastAsia="仿宋" w:cs="仿宋"/>
          <w:b w:val="0"/>
          <w:spacing w:val="-4"/>
          <w:sz w:val="32"/>
          <w:szCs w:val="32"/>
        </w:rPr>
        <w:t>（2）项目管理情况分析</w:t>
      </w:r>
    </w:p>
    <w:p w14:paraId="36CF9CF0">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项目管理制度建设：严格执行“三重一大”制度的规定，重大事项决策由董事会讨论并形成统一意见后方可执行。公司董事会由董事长、总经理、副总经理、上级主管单位委托成员及项目工程主管组成。总经理根据公司章程向董事长负责，总经理依照法律、法规、公司章程组织开展经营管理活动，为了保证经营活动的有序开展，制定了日常工作经营管理办法，主要有《财务管理制度》、《财务人员工作职责》、《公司用印管理制度》、《公司档案管理制度》、《安全生产管理制度》等一系列制度。规范合同签订流程、资金使用审批流程、大宗物资采购流程、重大事项报告流程等一系列程序，对日常经营过程中存在的风险进行了事前防范、事中控制、事后监督纠正的动态机制。</w:t>
      </w:r>
    </w:p>
    <w:p w14:paraId="321D5235">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项目管理措施：选聘有着丰富的管理经验的核心人员，包括从总公司其他部门抽调人员的方式和从当地招聘人员的方式，组建专业化项目管理团队，使之能够真正担当起项目管理的职责，能够真正成为公司管理的中枢，对项目的决策管理和具体的工程过程管理负责。</w:t>
      </w:r>
    </w:p>
    <w:p w14:paraId="5FBF7CDB">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优化项目管理队伍结构。选聘经验丰富、理念先进、理论修养高的人员作为项目管理的核心人物。全体成员都要有高度的责任意识，有丰富的经验，对项目有非常全面细致的了解。公司在做好人才引进的同时，加强人员培训，不断丰富他们的理论修养，不断提升他们的专业技能，提高他们的业务能力，确保全体人员能够做到各司其职，各尽其能。  </w:t>
      </w:r>
    </w:p>
    <w:p w14:paraId="346DE5C8">
      <w:pPr>
        <w:spacing w:line="460" w:lineRule="exact"/>
        <w:ind w:left="666" w:leftChars="222" w:firstLine="96" w:firstLineChars="31"/>
        <w:rPr>
          <w:rStyle w:val="9"/>
          <w:rFonts w:ascii="仿宋" w:hAnsi="仿宋" w:eastAsia="仿宋" w:cs="仿宋"/>
          <w:b w:val="0"/>
          <w:spacing w:val="-4"/>
          <w:sz w:val="32"/>
          <w:szCs w:val="32"/>
        </w:rPr>
      </w:pPr>
      <w:r>
        <w:rPr>
          <w:rStyle w:val="9"/>
          <w:rFonts w:hint="eastAsia" w:ascii="仿宋" w:hAnsi="仿宋" w:eastAsia="仿宋" w:cs="仿宋"/>
          <w:b w:val="0"/>
          <w:spacing w:val="-4"/>
          <w:sz w:val="32"/>
          <w:szCs w:val="32"/>
        </w:rPr>
        <w:t xml:space="preserve">3.项目前期、项目资金使用及项目形象进度实施情况  </w:t>
      </w:r>
    </w:p>
    <w:p w14:paraId="37C669A8">
      <w:pPr>
        <w:spacing w:line="460" w:lineRule="exact"/>
        <w:ind w:firstLine="624" w:firstLineChars="200"/>
        <w:rPr>
          <w:rStyle w:val="9"/>
          <w:rFonts w:ascii="仿宋" w:hAnsi="仿宋" w:eastAsia="仿宋" w:cs="仿宋"/>
          <w:b w:val="0"/>
          <w:spacing w:val="-4"/>
          <w:sz w:val="32"/>
          <w:szCs w:val="32"/>
        </w:rPr>
      </w:pPr>
      <w:r>
        <w:rPr>
          <w:rStyle w:val="9"/>
          <w:rFonts w:hint="eastAsia" w:ascii="仿宋" w:hAnsi="仿宋" w:eastAsia="仿宋" w:cs="仿宋"/>
          <w:b w:val="0"/>
          <w:spacing w:val="-4"/>
          <w:sz w:val="32"/>
          <w:szCs w:val="32"/>
        </w:rPr>
        <w:t>2019年取得预算资金11100万元，其中国信公司10700万元主要用于购置土地及支付前期工程费用。前期已完成土地置换协议的签订，正在做补交出让金数额的计算和评估审定；已完成主体建筑施工图纸审查工作；正在做工程施工、工程监理、工程审计招标的前期准备工作。交投公司400万元主要用于</w:t>
      </w:r>
      <w:r>
        <w:rPr>
          <w:rFonts w:hint="eastAsia" w:ascii="仿宋" w:hAnsi="仿宋" w:eastAsia="仿宋" w:cs="仿宋"/>
          <w:sz w:val="32"/>
          <w:szCs w:val="32"/>
        </w:rPr>
        <w:t>完成前期设计勘察工作，完成二级公路66.272公里勘察设计，并出具项目可研报告。</w:t>
      </w:r>
    </w:p>
    <w:p w14:paraId="74B2BD52">
      <w:pPr>
        <w:spacing w:line="460" w:lineRule="exact"/>
        <w:ind w:firstLine="640" w:firstLineChars="200"/>
        <w:outlineLvl w:val="0"/>
        <w:rPr>
          <w:rFonts w:ascii="仿宋" w:hAnsi="仿宋" w:eastAsia="仿宋" w:cs="仿宋"/>
          <w:sz w:val="32"/>
          <w:szCs w:val="32"/>
        </w:rPr>
      </w:pPr>
    </w:p>
    <w:p w14:paraId="2669E1E3">
      <w:pPr>
        <w:spacing w:line="4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14:paraId="36CC1EF2">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产出指标满分30分，自评30分。其中包括：</w:t>
      </w:r>
    </w:p>
    <w:p w14:paraId="70BFAACC">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1、数量指标：开展资本金注册公司数量2个，满分10分，自评得分10分。2、质量指标：项目验收合格率，满分10分，自评得分10分；3、时效指标：2019年底前完成投资任务。满分5分，自评得分5分；4、成本指标：包括控制国信公司和交投公司注册资本金投资额≤11100万元，满分5分，自评得分5分。</w:t>
      </w:r>
    </w:p>
    <w:p w14:paraId="6542B3B3">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（四）项目效益情况。</w:t>
      </w:r>
    </w:p>
    <w:p w14:paraId="474EE963">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经济效益指标满分30分，自评得分27分。其中：</w:t>
      </w:r>
    </w:p>
    <w:p w14:paraId="41957019">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1、实施效益满分15分，自评得分13分。</w:t>
      </w:r>
    </w:p>
    <w:p w14:paraId="114638BE">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为提高国信公司和交投公司运营能力，促进经济发展奠定了基础。</w:t>
      </w:r>
    </w:p>
    <w:p w14:paraId="19A809D7">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2、服务对象满意度指标：满分15分，自评得分14分。</w:t>
      </w:r>
    </w:p>
    <w:p w14:paraId="009B9206">
      <w:pPr>
        <w:spacing w:line="460" w:lineRule="exact"/>
        <w:ind w:firstLine="640" w:firstLineChars="200"/>
        <w:outlineLvl w:val="0"/>
        <w:rPr>
          <w:rFonts w:ascii="仿宋" w:hAnsi="仿宋" w:eastAsia="仿宋" w:cs="仿宋"/>
          <w:sz w:val="32"/>
          <w:szCs w:val="32"/>
        </w:rPr>
      </w:pPr>
    </w:p>
    <w:p w14:paraId="72DF4F2D">
      <w:pPr>
        <w:numPr>
          <w:ilvl w:val="0"/>
          <w:numId w:val="2"/>
        </w:num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主要经验及做法、存在的问题及原因分析</w:t>
      </w:r>
    </w:p>
    <w:p w14:paraId="11A4917B">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（1）预期绩效的可实现性</w:t>
      </w:r>
    </w:p>
    <w:p w14:paraId="235E9803">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巴州国资委增资项目旨在巴州建设旅游宣传窗口，加大旅游宣传力度，将巴州特色产品的销售渠道将进一步拓宽，同时也将极大的改善巴州旅游服务质量，提高我州旅游发展经济效益。</w:t>
      </w:r>
    </w:p>
    <w:p w14:paraId="37120886">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（2）实施方案的有效性</w:t>
      </w:r>
    </w:p>
    <w:p w14:paraId="07681BB6">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巴州国资委增资项目具有较强的辐射力和带动力，能够全面提高我州旅游地位，构建现代经济体系、倒逼三大产业供给侧结构性改革、盘活现有资源都具有十分重要的意义，是贯彻落实习近平总书记关于贯彻新发展理念、推动经济高质量发展重要指示精神的具体体现。</w:t>
      </w:r>
    </w:p>
    <w:p w14:paraId="68B9EADD">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（3）预期绩效的可持续性</w:t>
      </w:r>
    </w:p>
    <w:p w14:paraId="7AEC7915">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巴州国资委增资项目，在首府乌鲁木齐建设巴州旅游宣传窗口，进一步加大我州旅游宣传力度，同时将巴州库尔勒香梨、若羌红枣等特色产品在更大的平台上推广，促进乡村振兴，农民脱贫致富，从而推进实现社会稳定，长治久安总目标。</w:t>
      </w:r>
    </w:p>
    <w:p w14:paraId="31D675D7">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（4）财政资金投入的可行性风险</w:t>
      </w:r>
    </w:p>
    <w:p w14:paraId="0CC415DA">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巴州国资委增资项目的实施将进一步带动交通物流、产业发展、旅游文化、社会服务协调发展，为经济高质量发展提供有力的基础保障，随着在巴州支线网络的成熟及运力投放的增长，将会带动相关在旅游、生鲜供应链、酒店景区等领域在巴州进行投资。</w:t>
      </w:r>
    </w:p>
    <w:p w14:paraId="614A820E">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（5）项目资金缺口</w:t>
      </w:r>
    </w:p>
    <w:p w14:paraId="6B023525">
      <w:pPr>
        <w:pStyle w:val="6"/>
        <w:widowControl/>
        <w:wordWrap w:val="0"/>
        <w:spacing w:before="76" w:beforeAutospacing="0" w:after="0" w:afterAutospacing="0" w:line="460" w:lineRule="exact"/>
        <w:ind w:firstLine="640" w:firstLineChars="200"/>
        <w:rPr>
          <w:rFonts w:ascii="仿宋" w:hAnsi="仿宋" w:eastAsia="仿宋" w:cs="仿宋"/>
          <w:sz w:val="32"/>
          <w:szCs w:val="32"/>
        </w:rPr>
      </w:pPr>
      <w:r>
        <w:rPr>
          <w:rFonts w:hint="eastAsia" w:ascii="仿宋" w:hAnsi="仿宋" w:eastAsia="仿宋" w:cs="仿宋"/>
          <w:sz w:val="32"/>
          <w:szCs w:val="32"/>
        </w:rPr>
        <w:t>由于近期因土地置换需补缴土地出让金、支付异地建设保障性住房、交纳前期行政事业性收费及设计等费用，项目资金缺口较大，请上级有关部门能及时解决。</w:t>
      </w:r>
    </w:p>
    <w:p w14:paraId="05BD29D8">
      <w:pPr>
        <w:spacing w:line="460" w:lineRule="exact"/>
        <w:ind w:firstLine="640" w:firstLineChars="200"/>
        <w:rPr>
          <w:rFonts w:ascii="仿宋" w:hAnsi="仿宋" w:eastAsia="仿宋" w:cs="仿宋"/>
          <w:color w:val="333333"/>
          <w:sz w:val="32"/>
          <w:szCs w:val="32"/>
        </w:rPr>
      </w:pPr>
    </w:p>
    <w:p w14:paraId="65986131">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六、有关建议</w:t>
      </w:r>
    </w:p>
    <w:p w14:paraId="66EDF750">
      <w:pPr>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七、其他需要说明的问题</w:t>
      </w:r>
    </w:p>
    <w:p w14:paraId="22648490">
      <w:pPr>
        <w:spacing w:line="460" w:lineRule="exact"/>
        <w:ind w:firstLine="640" w:firstLineChars="200"/>
        <w:rPr>
          <w:rFonts w:ascii="仿宋" w:hAnsi="仿宋" w:eastAsia="仿宋" w:cs="仿宋"/>
          <w:sz w:val="32"/>
          <w:szCs w:val="32"/>
        </w:rPr>
      </w:pPr>
    </w:p>
    <w:p w14:paraId="3774AEB4">
      <w:pPr>
        <w:spacing w:line="460" w:lineRule="exact"/>
        <w:ind w:firstLine="640" w:firstLineChars="200"/>
        <w:rPr>
          <w:rFonts w:ascii="仿宋" w:hAnsi="仿宋" w:eastAsia="仿宋" w:cs="仿宋"/>
          <w:sz w:val="32"/>
          <w:szCs w:val="32"/>
        </w:rPr>
      </w:pPr>
    </w:p>
    <w:p w14:paraId="52064762">
      <w:pPr>
        <w:spacing w:line="460" w:lineRule="exact"/>
        <w:ind w:firstLine="640" w:firstLineChars="200"/>
        <w:rPr>
          <w:rFonts w:ascii="仿宋" w:hAnsi="仿宋" w:eastAsia="仿宋" w:cs="仿宋"/>
          <w:sz w:val="32"/>
          <w:szCs w:val="32"/>
        </w:rPr>
        <w:sectPr>
          <w:pgSz w:w="11906" w:h="16838"/>
          <w:pgMar w:top="1928" w:right="1531" w:bottom="1701" w:left="1531" w:header="737" w:footer="851" w:gutter="0"/>
          <w:cols w:space="720" w:num="1"/>
          <w:docGrid w:type="lines" w:linePitch="408" w:charSpace="0"/>
        </w:sectPr>
      </w:pPr>
    </w:p>
    <w:p w14:paraId="4589369F">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6D8380F7">
      <w:pPr>
        <w:pStyle w:val="2"/>
        <w:spacing w:before="0" w:after="0" w:line="240" w:lineRule="auto"/>
        <w:jc w:val="center"/>
        <w:rPr>
          <w:bCs/>
          <w:color w:val="000000"/>
        </w:rPr>
      </w:pP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4"/>
        <w:gridCol w:w="1290"/>
        <w:gridCol w:w="7"/>
        <w:gridCol w:w="1411"/>
        <w:gridCol w:w="7"/>
        <w:gridCol w:w="2773"/>
        <w:gridCol w:w="7"/>
        <w:gridCol w:w="7339"/>
        <w:gridCol w:w="829"/>
        <w:gridCol w:w="12"/>
        <w:gridCol w:w="14"/>
        <w:gridCol w:w="896"/>
        <w:gridCol w:w="12"/>
        <w:gridCol w:w="14"/>
      </w:tblGrid>
      <w:tr w14:paraId="359AD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4" w:type="dxa"/>
            <w:tcBorders>
              <w:tl2br w:val="nil"/>
              <w:tr2bl w:val="nil"/>
            </w:tcBorders>
            <w:shd w:val="clear" w:color="auto" w:fill="FFFFFF"/>
            <w:vAlign w:val="center"/>
          </w:tcPr>
          <w:p w14:paraId="494F9AC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gridSpan w:val="2"/>
            <w:tcBorders>
              <w:tl2br w:val="nil"/>
              <w:tr2bl w:val="nil"/>
            </w:tcBorders>
            <w:shd w:val="clear" w:color="auto" w:fill="FFFFFF"/>
            <w:vAlign w:val="center"/>
          </w:tcPr>
          <w:p w14:paraId="189DE7FC">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4B782C6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8" w:type="dxa"/>
            <w:gridSpan w:val="3"/>
            <w:tcBorders>
              <w:tl2br w:val="nil"/>
              <w:tr2bl w:val="nil"/>
            </w:tcBorders>
            <w:shd w:val="clear" w:color="auto" w:fill="FFFFFF"/>
            <w:vAlign w:val="center"/>
          </w:tcPr>
          <w:p w14:paraId="333694D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2CE76F6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35E9CEF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030A0DF">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21AEA7A">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09906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4" w:type="dxa"/>
            <w:vMerge w:val="restart"/>
            <w:tcBorders>
              <w:tl2br w:val="nil"/>
              <w:tr2bl w:val="nil"/>
            </w:tcBorders>
            <w:shd w:val="clear" w:color="auto" w:fill="FFFFFF"/>
            <w:vAlign w:val="center"/>
          </w:tcPr>
          <w:p w14:paraId="7D9002D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4A3CF28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794E89A">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gridSpan w:val="2"/>
            <w:vMerge w:val="restart"/>
            <w:tcBorders>
              <w:tl2br w:val="nil"/>
              <w:tr2bl w:val="nil"/>
            </w:tcBorders>
            <w:shd w:val="clear" w:color="auto" w:fill="FFFFFF"/>
            <w:vAlign w:val="center"/>
          </w:tcPr>
          <w:p w14:paraId="0FEE772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72DE904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418F6F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8" w:type="dxa"/>
            <w:gridSpan w:val="3"/>
            <w:tcBorders>
              <w:tl2br w:val="nil"/>
              <w:tr2bl w:val="nil"/>
            </w:tcBorders>
            <w:shd w:val="clear" w:color="auto" w:fill="FFFFFF"/>
            <w:vAlign w:val="center"/>
          </w:tcPr>
          <w:p w14:paraId="3A702EF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6E216D4A">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209A935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106F01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040FE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4" w:type="dxa"/>
            <w:vMerge w:val="continue"/>
            <w:tcBorders>
              <w:tl2br w:val="nil"/>
              <w:tr2bl w:val="nil"/>
            </w:tcBorders>
            <w:shd w:val="clear" w:color="auto" w:fill="FFFFFF"/>
            <w:vAlign w:val="center"/>
          </w:tcPr>
          <w:p w14:paraId="0EFC6C49">
            <w:pPr>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6F08595F">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351A6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59E7CF6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8" w:type="dxa"/>
            <w:gridSpan w:val="3"/>
            <w:tcBorders>
              <w:tl2br w:val="nil"/>
              <w:tr2bl w:val="nil"/>
            </w:tcBorders>
            <w:shd w:val="clear" w:color="auto" w:fill="FFFFFF"/>
            <w:vAlign w:val="center"/>
          </w:tcPr>
          <w:p w14:paraId="311880E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2E34900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1662CF0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51E86F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E2DC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4" w:type="dxa"/>
            <w:vMerge w:val="continue"/>
            <w:tcBorders>
              <w:tl2br w:val="nil"/>
              <w:tr2bl w:val="nil"/>
            </w:tcBorders>
            <w:shd w:val="clear" w:color="auto" w:fill="FFFFFF"/>
            <w:vAlign w:val="center"/>
          </w:tcPr>
          <w:p w14:paraId="118C7F79">
            <w:pPr>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1EE51D9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52C866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1F690D3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8" w:type="dxa"/>
            <w:gridSpan w:val="3"/>
            <w:tcBorders>
              <w:tl2br w:val="nil"/>
              <w:tr2bl w:val="nil"/>
            </w:tcBorders>
            <w:shd w:val="clear" w:color="000000" w:fill="FFFFFF"/>
            <w:vAlign w:val="center"/>
          </w:tcPr>
          <w:p w14:paraId="2C595E0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3B6F040">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46E619EE">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72BD8CC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926AC8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DD73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4" w:type="dxa"/>
            <w:vMerge w:val="restart"/>
            <w:tcBorders>
              <w:tl2br w:val="nil"/>
              <w:tr2bl w:val="nil"/>
            </w:tcBorders>
            <w:shd w:val="clear" w:color="auto" w:fill="FFFFFF"/>
            <w:vAlign w:val="center"/>
          </w:tcPr>
          <w:p w14:paraId="7FB857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gridSpan w:val="2"/>
            <w:tcBorders>
              <w:tl2br w:val="nil"/>
              <w:tr2bl w:val="nil"/>
            </w:tcBorders>
            <w:shd w:val="clear" w:color="auto" w:fill="FFFFFF"/>
            <w:vAlign w:val="center"/>
          </w:tcPr>
          <w:p w14:paraId="6D30A68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677B347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0E9554C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8" w:type="dxa"/>
            <w:gridSpan w:val="3"/>
            <w:tcBorders>
              <w:tl2br w:val="nil"/>
              <w:tr2bl w:val="nil"/>
            </w:tcBorders>
            <w:shd w:val="clear" w:color="000000" w:fill="FFFFFF"/>
            <w:vAlign w:val="center"/>
          </w:tcPr>
          <w:p w14:paraId="6A6DCF8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895337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0BA0CF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98AF9E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29C69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4" w:type="dxa"/>
            <w:vMerge w:val="continue"/>
            <w:tcBorders>
              <w:tl2br w:val="nil"/>
              <w:tr2bl w:val="nil"/>
            </w:tcBorders>
            <w:shd w:val="clear" w:color="auto" w:fill="FFFFFF"/>
            <w:vAlign w:val="center"/>
          </w:tcPr>
          <w:p w14:paraId="0C4DCE33">
            <w:pPr>
              <w:spacing w:line="0" w:lineRule="atLeast"/>
              <w:jc w:val="center"/>
              <w:rPr>
                <w:rFonts w:ascii="宋体" w:hAnsi="宋体" w:eastAsia="宋体" w:cs="宋体"/>
                <w:color w:val="000000"/>
                <w:kern w:val="0"/>
                <w:sz w:val="22"/>
                <w:szCs w:val="22"/>
              </w:rPr>
            </w:pPr>
          </w:p>
        </w:tc>
        <w:tc>
          <w:tcPr>
            <w:tcW w:w="1297" w:type="dxa"/>
            <w:gridSpan w:val="2"/>
            <w:vMerge w:val="restart"/>
            <w:tcBorders>
              <w:tl2br w:val="nil"/>
              <w:tr2bl w:val="nil"/>
            </w:tcBorders>
            <w:shd w:val="clear" w:color="auto" w:fill="FFFFFF"/>
            <w:vAlign w:val="center"/>
          </w:tcPr>
          <w:p w14:paraId="2D70634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603466F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ECDF16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926ED1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8" w:type="dxa"/>
            <w:gridSpan w:val="3"/>
            <w:tcBorders>
              <w:tl2br w:val="nil"/>
              <w:tr2bl w:val="nil"/>
            </w:tcBorders>
            <w:shd w:val="clear" w:color="auto" w:fill="FFFFFF"/>
            <w:vAlign w:val="center"/>
          </w:tcPr>
          <w:p w14:paraId="74BDB14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13E567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1A33D81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E7870B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5B9BB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4" w:type="dxa"/>
            <w:vMerge w:val="continue"/>
            <w:tcBorders>
              <w:tl2br w:val="nil"/>
              <w:tr2bl w:val="nil"/>
            </w:tcBorders>
            <w:shd w:val="clear" w:color="auto" w:fill="FFFFFF"/>
            <w:vAlign w:val="center"/>
          </w:tcPr>
          <w:p w14:paraId="0906E5EE">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1EF071CD">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257CA3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66EC35D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8" w:type="dxa"/>
            <w:gridSpan w:val="3"/>
            <w:tcBorders>
              <w:tl2br w:val="nil"/>
              <w:tr2bl w:val="nil"/>
            </w:tcBorders>
            <w:shd w:val="clear" w:color="auto" w:fill="FFFFFF"/>
            <w:vAlign w:val="center"/>
          </w:tcPr>
          <w:p w14:paraId="755719E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09A9419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0E9F7DF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2F9513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30A81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4" w:type="dxa"/>
            <w:vMerge w:val="restart"/>
            <w:tcBorders>
              <w:tl2br w:val="nil"/>
              <w:tr2bl w:val="nil"/>
            </w:tcBorders>
            <w:shd w:val="clear" w:color="auto" w:fill="FFFFFF"/>
            <w:vAlign w:val="center"/>
          </w:tcPr>
          <w:p w14:paraId="029E169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gridSpan w:val="2"/>
            <w:vMerge w:val="restart"/>
            <w:tcBorders>
              <w:tl2br w:val="nil"/>
              <w:tr2bl w:val="nil"/>
            </w:tcBorders>
            <w:shd w:val="clear" w:color="auto" w:fill="FFFFFF"/>
            <w:vAlign w:val="center"/>
          </w:tcPr>
          <w:p w14:paraId="35ED388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25083E1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8" w:type="dxa"/>
            <w:gridSpan w:val="3"/>
            <w:tcBorders>
              <w:tl2br w:val="nil"/>
              <w:tr2bl w:val="nil"/>
            </w:tcBorders>
            <w:shd w:val="clear" w:color="000000" w:fill="FFFFFF"/>
            <w:vAlign w:val="center"/>
          </w:tcPr>
          <w:p w14:paraId="4460DA4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780B3A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7D81450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4355F8B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2DDE980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B9046A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39B5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4" w:type="dxa"/>
            <w:vMerge w:val="continue"/>
            <w:tcBorders>
              <w:tl2br w:val="nil"/>
              <w:tr2bl w:val="nil"/>
            </w:tcBorders>
            <w:shd w:val="clear" w:color="auto" w:fill="FFFFFF"/>
            <w:vAlign w:val="center"/>
          </w:tcPr>
          <w:p w14:paraId="34B3313F">
            <w:pPr>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24D485E9">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C56B54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8" w:type="dxa"/>
            <w:gridSpan w:val="3"/>
            <w:tcBorders>
              <w:tl2br w:val="nil"/>
              <w:tr2bl w:val="nil"/>
            </w:tcBorders>
            <w:shd w:val="clear" w:color="auto" w:fill="FFFFFF"/>
            <w:vAlign w:val="center"/>
          </w:tcPr>
          <w:p w14:paraId="7223234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066242E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42D392C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2DED58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205E5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4" w:type="dxa"/>
            <w:vMerge w:val="restart"/>
            <w:tcBorders>
              <w:tl2br w:val="nil"/>
              <w:tr2bl w:val="nil"/>
            </w:tcBorders>
            <w:shd w:val="clear" w:color="auto" w:fill="FFFFFF"/>
            <w:vAlign w:val="center"/>
          </w:tcPr>
          <w:p w14:paraId="4FB54EA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5102980">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gridSpan w:val="2"/>
            <w:tcBorders>
              <w:tl2br w:val="nil"/>
              <w:tr2bl w:val="nil"/>
            </w:tcBorders>
            <w:shd w:val="clear" w:color="auto" w:fill="FFFFFF"/>
            <w:vAlign w:val="center"/>
          </w:tcPr>
          <w:p w14:paraId="47F4E52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1B05DC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1F640D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8" w:type="dxa"/>
            <w:gridSpan w:val="3"/>
            <w:tcBorders>
              <w:tl2br w:val="nil"/>
              <w:tr2bl w:val="nil"/>
            </w:tcBorders>
            <w:shd w:val="clear" w:color="000000" w:fill="FFFFFF"/>
            <w:vAlign w:val="center"/>
          </w:tcPr>
          <w:p w14:paraId="45E1956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7F052CB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403F64E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8B9167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7DF1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4" w:type="dxa"/>
            <w:vMerge w:val="continue"/>
            <w:tcBorders>
              <w:tl2br w:val="nil"/>
              <w:tr2bl w:val="nil"/>
            </w:tcBorders>
            <w:shd w:val="clear" w:color="auto" w:fill="FFFFFF"/>
            <w:vAlign w:val="center"/>
          </w:tcPr>
          <w:p w14:paraId="59104F04">
            <w:pPr>
              <w:spacing w:line="0" w:lineRule="atLeast"/>
              <w:jc w:val="center"/>
              <w:rPr>
                <w:rFonts w:ascii="宋体" w:hAnsi="宋体" w:eastAsia="宋体" w:cs="宋体"/>
                <w:color w:val="000000"/>
                <w:kern w:val="0"/>
                <w:sz w:val="22"/>
                <w:szCs w:val="22"/>
              </w:rPr>
            </w:pPr>
          </w:p>
        </w:tc>
        <w:tc>
          <w:tcPr>
            <w:tcW w:w="1297" w:type="dxa"/>
            <w:gridSpan w:val="2"/>
            <w:vMerge w:val="restart"/>
            <w:tcBorders>
              <w:tl2br w:val="nil"/>
              <w:tr2bl w:val="nil"/>
            </w:tcBorders>
            <w:shd w:val="clear" w:color="auto" w:fill="FFFFFF"/>
            <w:vAlign w:val="center"/>
          </w:tcPr>
          <w:p w14:paraId="5BD6FDA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5CE375C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7AEFD9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4F13136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8" w:type="dxa"/>
            <w:gridSpan w:val="3"/>
            <w:tcBorders>
              <w:tl2br w:val="nil"/>
              <w:tr2bl w:val="nil"/>
            </w:tcBorders>
            <w:shd w:val="clear" w:color="000000" w:fill="FFFFFF"/>
            <w:vAlign w:val="center"/>
          </w:tcPr>
          <w:p w14:paraId="4A4767F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C9CD3D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7478B4F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7ABC1F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141F2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4" w:type="dxa"/>
            <w:vMerge w:val="continue"/>
            <w:tcBorders>
              <w:tl2br w:val="nil"/>
              <w:tr2bl w:val="nil"/>
            </w:tcBorders>
            <w:shd w:val="clear" w:color="auto" w:fill="FFFFFF"/>
            <w:vAlign w:val="center"/>
          </w:tcPr>
          <w:p w14:paraId="27189649">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7A717755">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80FDAA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5E1952E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8" w:type="dxa"/>
            <w:gridSpan w:val="3"/>
            <w:tcBorders>
              <w:tl2br w:val="nil"/>
              <w:tr2bl w:val="nil"/>
            </w:tcBorders>
            <w:shd w:val="clear" w:color="000000" w:fill="FFFFFF"/>
            <w:vAlign w:val="center"/>
          </w:tcPr>
          <w:p w14:paraId="6A641DA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C1E63D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549D2D2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182314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5F0BB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4" w:type="dxa"/>
            <w:tcBorders>
              <w:tl2br w:val="nil"/>
              <w:tr2bl w:val="nil"/>
            </w:tcBorders>
            <w:shd w:val="clear" w:color="auto" w:fill="FFFFFF"/>
            <w:vAlign w:val="center"/>
          </w:tcPr>
          <w:p w14:paraId="20119F9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gridSpan w:val="2"/>
            <w:tcBorders>
              <w:tl2br w:val="nil"/>
              <w:tr2bl w:val="nil"/>
            </w:tcBorders>
            <w:shd w:val="clear" w:color="auto" w:fill="FFFFFF"/>
            <w:vAlign w:val="center"/>
          </w:tcPr>
          <w:p w14:paraId="714F126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3EE263E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8" w:type="dxa"/>
            <w:gridSpan w:val="3"/>
            <w:tcBorders>
              <w:tl2br w:val="nil"/>
              <w:tr2bl w:val="nil"/>
            </w:tcBorders>
            <w:shd w:val="clear" w:color="000000" w:fill="FFFFFF"/>
            <w:vAlign w:val="center"/>
          </w:tcPr>
          <w:p w14:paraId="396B799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6386B22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426CF53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D75B26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2BDFA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4" w:type="dxa"/>
            <w:vMerge w:val="restart"/>
            <w:tcBorders>
              <w:tl2br w:val="nil"/>
              <w:tr2bl w:val="nil"/>
            </w:tcBorders>
            <w:shd w:val="clear" w:color="auto" w:fill="FFFFFF"/>
            <w:vAlign w:val="center"/>
          </w:tcPr>
          <w:p w14:paraId="4691DAB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gridSpan w:val="2"/>
            <w:tcBorders>
              <w:tl2br w:val="nil"/>
              <w:tr2bl w:val="nil"/>
            </w:tcBorders>
            <w:shd w:val="clear" w:color="auto" w:fill="FFFFFF"/>
            <w:vAlign w:val="center"/>
          </w:tcPr>
          <w:p w14:paraId="15157B3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3D26A44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8" w:type="dxa"/>
            <w:gridSpan w:val="3"/>
            <w:tcBorders>
              <w:tl2br w:val="nil"/>
              <w:tr2bl w:val="nil"/>
            </w:tcBorders>
            <w:shd w:val="clear" w:color="000000" w:fill="FFFFFF"/>
            <w:vAlign w:val="center"/>
          </w:tcPr>
          <w:p w14:paraId="7FCEC82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64EFA56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0946F0D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3A9AF6F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9779B1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4DF24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86" w:hRule="atLeast"/>
          <w:jc w:val="center"/>
        </w:trPr>
        <w:tc>
          <w:tcPr>
            <w:tcW w:w="764" w:type="dxa"/>
            <w:vMerge w:val="continue"/>
            <w:tcBorders>
              <w:tl2br w:val="nil"/>
              <w:tr2bl w:val="nil"/>
            </w:tcBorders>
            <w:shd w:val="clear" w:color="auto" w:fill="FFFFFF"/>
            <w:vAlign w:val="center"/>
          </w:tcPr>
          <w:p w14:paraId="7D589B9F">
            <w:pPr>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543E1CA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5F0AB27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8" w:type="dxa"/>
            <w:gridSpan w:val="3"/>
            <w:tcBorders>
              <w:tl2br w:val="nil"/>
              <w:tr2bl w:val="nil"/>
            </w:tcBorders>
            <w:shd w:val="clear" w:color="000000" w:fill="FFFFFF"/>
            <w:vAlign w:val="center"/>
          </w:tcPr>
          <w:p w14:paraId="65DCCD7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416B07C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508F5C0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ABE8C8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23058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2" w:hRule="atLeast"/>
          <w:jc w:val="center"/>
        </w:trPr>
        <w:tc>
          <w:tcPr>
            <w:tcW w:w="764" w:type="dxa"/>
            <w:vMerge w:val="continue"/>
            <w:tcBorders>
              <w:tl2br w:val="nil"/>
              <w:tr2bl w:val="nil"/>
            </w:tcBorders>
            <w:shd w:val="clear" w:color="auto" w:fill="FFFFFF"/>
            <w:vAlign w:val="center"/>
          </w:tcPr>
          <w:p w14:paraId="6E0A31F3">
            <w:pPr>
              <w:widowControl/>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2A6D3C9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3E04A16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8" w:type="dxa"/>
            <w:gridSpan w:val="3"/>
            <w:tcBorders>
              <w:tl2br w:val="nil"/>
              <w:tr2bl w:val="nil"/>
            </w:tcBorders>
            <w:shd w:val="clear" w:color="000000" w:fill="FFFFFF"/>
            <w:vAlign w:val="center"/>
          </w:tcPr>
          <w:p w14:paraId="5598CB5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1A23A39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0809755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691A5D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7344A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4" w:type="dxa"/>
            <w:vMerge w:val="restart"/>
            <w:tcBorders>
              <w:right w:val="single" w:color="auto" w:sz="4" w:space="0"/>
              <w:tl2br w:val="nil"/>
              <w:tr2bl w:val="nil"/>
            </w:tcBorders>
            <w:shd w:val="clear" w:color="auto" w:fill="FFFFFF"/>
            <w:vAlign w:val="center"/>
          </w:tcPr>
          <w:p w14:paraId="65C45A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gridSpan w:val="2"/>
            <w:vMerge w:val="restart"/>
            <w:tcBorders>
              <w:left w:val="single" w:color="auto" w:sz="4" w:space="0"/>
              <w:right w:val="single" w:color="auto" w:sz="4" w:space="0"/>
              <w:tl2br w:val="nil"/>
              <w:tr2bl w:val="nil"/>
            </w:tcBorders>
            <w:shd w:val="clear" w:color="auto" w:fill="FFFFFF"/>
            <w:vAlign w:val="center"/>
          </w:tcPr>
          <w:p w14:paraId="2AF5BB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left w:val="single" w:color="auto" w:sz="4" w:space="0"/>
              <w:tl2br w:val="nil"/>
              <w:tr2bl w:val="nil"/>
            </w:tcBorders>
            <w:shd w:val="clear" w:color="auto" w:fill="FFFFFF"/>
            <w:vAlign w:val="center"/>
          </w:tcPr>
          <w:p w14:paraId="3D32AA8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8" w:type="dxa"/>
            <w:gridSpan w:val="3"/>
            <w:tcBorders>
              <w:tl2br w:val="nil"/>
              <w:tr2bl w:val="nil"/>
            </w:tcBorders>
            <w:shd w:val="clear" w:color="auto" w:fill="FFFFFF"/>
            <w:vAlign w:val="center"/>
          </w:tcPr>
          <w:p w14:paraId="3E02A245">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69BC666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481C83A0">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D15406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13</w:t>
            </w:r>
          </w:p>
        </w:tc>
      </w:tr>
      <w:tr w14:paraId="42671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4" w:type="dxa"/>
            <w:vMerge w:val="continue"/>
            <w:tcBorders>
              <w:right w:val="single" w:color="auto" w:sz="4" w:space="0"/>
              <w:tl2br w:val="nil"/>
              <w:tr2bl w:val="nil"/>
            </w:tcBorders>
            <w:shd w:val="clear" w:color="auto" w:fill="FFFFFF"/>
            <w:vAlign w:val="center"/>
          </w:tcPr>
          <w:p w14:paraId="6D0DD99B">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left w:val="single" w:color="auto" w:sz="4" w:space="0"/>
              <w:right w:val="single" w:color="auto" w:sz="4" w:space="0"/>
              <w:tl2br w:val="nil"/>
              <w:tr2bl w:val="nil"/>
            </w:tcBorders>
            <w:shd w:val="clear" w:color="auto" w:fill="FFFFFF"/>
            <w:vAlign w:val="center"/>
          </w:tcPr>
          <w:p w14:paraId="6B5E1F73">
            <w:pPr>
              <w:widowControl/>
              <w:spacing w:line="0" w:lineRule="atLeast"/>
              <w:jc w:val="center"/>
              <w:rPr>
                <w:rFonts w:ascii="宋体" w:hAnsi="宋体" w:eastAsia="宋体" w:cs="宋体"/>
                <w:color w:val="000000"/>
                <w:kern w:val="0"/>
                <w:sz w:val="22"/>
                <w:szCs w:val="22"/>
              </w:rPr>
            </w:pPr>
          </w:p>
        </w:tc>
        <w:tc>
          <w:tcPr>
            <w:tcW w:w="1411" w:type="dxa"/>
            <w:tcBorders>
              <w:left w:val="single" w:color="auto" w:sz="4" w:space="0"/>
              <w:right w:val="single" w:color="auto" w:sz="4" w:space="0"/>
              <w:tl2br w:val="nil"/>
              <w:tr2bl w:val="nil"/>
            </w:tcBorders>
            <w:shd w:val="clear" w:color="auto" w:fill="FFFFFF"/>
            <w:vAlign w:val="center"/>
          </w:tcPr>
          <w:p w14:paraId="65C1C23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8" w:type="dxa"/>
            <w:gridSpan w:val="3"/>
            <w:tcBorders>
              <w:left w:val="single" w:color="auto" w:sz="4" w:space="0"/>
              <w:right w:val="single" w:color="auto" w:sz="4" w:space="0"/>
              <w:tl2br w:val="nil"/>
              <w:tr2bl w:val="nil"/>
            </w:tcBorders>
            <w:shd w:val="clear" w:color="000000" w:fill="FFFFFF"/>
            <w:vAlign w:val="center"/>
          </w:tcPr>
          <w:p w14:paraId="7EA1AD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left w:val="single" w:color="auto" w:sz="4" w:space="0"/>
              <w:right w:val="single" w:color="auto" w:sz="4" w:space="0"/>
              <w:tl2br w:val="nil"/>
              <w:tr2bl w:val="nil"/>
            </w:tcBorders>
            <w:shd w:val="clear" w:color="000000" w:fill="FFFFFF"/>
            <w:vAlign w:val="center"/>
          </w:tcPr>
          <w:p w14:paraId="18F48D2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left w:val="single" w:color="auto" w:sz="4" w:space="0"/>
              <w:bottom w:val="single" w:color="auto" w:sz="4" w:space="0"/>
              <w:right w:val="single" w:color="auto" w:sz="4" w:space="0"/>
            </w:tcBorders>
            <w:shd w:val="clear" w:color="auto" w:fill="auto"/>
          </w:tcPr>
          <w:p w14:paraId="49997DC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3D2626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r>
      <w:tr w14:paraId="73CC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64" w:type="dxa"/>
          </w:tcPr>
          <w:p w14:paraId="0488FC3F">
            <w:pPr>
              <w:spacing w:line="460" w:lineRule="exact"/>
              <w:ind w:firstLine="640" w:firstLineChars="200"/>
              <w:rPr>
                <w:rFonts w:ascii="仿宋" w:hAnsi="仿宋" w:eastAsia="仿宋" w:cs="仿宋"/>
                <w:sz w:val="32"/>
                <w:szCs w:val="32"/>
              </w:rPr>
            </w:pPr>
          </w:p>
        </w:tc>
        <w:tc>
          <w:tcPr>
            <w:tcW w:w="1290" w:type="dxa"/>
          </w:tcPr>
          <w:p w14:paraId="0989770E">
            <w:pPr>
              <w:spacing w:line="460" w:lineRule="exact"/>
              <w:rPr>
                <w:rFonts w:ascii="仿宋" w:hAnsi="仿宋" w:eastAsia="仿宋" w:cs="仿宋"/>
                <w:sz w:val="22"/>
                <w:szCs w:val="32"/>
              </w:rPr>
            </w:pPr>
            <w:r>
              <w:rPr>
                <w:rFonts w:hint="eastAsia" w:ascii="仿宋" w:hAnsi="仿宋" w:eastAsia="仿宋" w:cs="仿宋"/>
                <w:sz w:val="22"/>
                <w:szCs w:val="32"/>
              </w:rPr>
              <w:t>合计总分</w:t>
            </w:r>
          </w:p>
        </w:tc>
        <w:tc>
          <w:tcPr>
            <w:tcW w:w="1425" w:type="dxa"/>
            <w:gridSpan w:val="3"/>
          </w:tcPr>
          <w:p w14:paraId="62F7C536">
            <w:pPr>
              <w:spacing w:line="460" w:lineRule="exact"/>
              <w:ind w:firstLine="640" w:firstLineChars="200"/>
              <w:rPr>
                <w:rFonts w:ascii="仿宋" w:hAnsi="仿宋" w:eastAsia="仿宋" w:cs="仿宋"/>
                <w:sz w:val="32"/>
                <w:szCs w:val="32"/>
              </w:rPr>
            </w:pPr>
          </w:p>
        </w:tc>
        <w:tc>
          <w:tcPr>
            <w:tcW w:w="2774" w:type="dxa"/>
          </w:tcPr>
          <w:p w14:paraId="74A4F27D">
            <w:pPr>
              <w:spacing w:line="460" w:lineRule="exact"/>
              <w:ind w:firstLine="640" w:firstLineChars="200"/>
              <w:rPr>
                <w:rFonts w:ascii="仿宋" w:hAnsi="仿宋" w:eastAsia="仿宋" w:cs="仿宋"/>
                <w:sz w:val="32"/>
                <w:szCs w:val="32"/>
              </w:rPr>
            </w:pPr>
          </w:p>
        </w:tc>
        <w:tc>
          <w:tcPr>
            <w:tcW w:w="7348" w:type="dxa"/>
            <w:gridSpan w:val="2"/>
          </w:tcPr>
          <w:p w14:paraId="0A117D3D">
            <w:pPr>
              <w:spacing w:line="460" w:lineRule="exact"/>
              <w:ind w:firstLine="640" w:firstLineChars="200"/>
              <w:rPr>
                <w:rFonts w:ascii="仿宋" w:hAnsi="仿宋" w:eastAsia="仿宋" w:cs="仿宋"/>
                <w:sz w:val="32"/>
                <w:szCs w:val="32"/>
              </w:rPr>
            </w:pPr>
          </w:p>
        </w:tc>
        <w:tc>
          <w:tcPr>
            <w:tcW w:w="855" w:type="dxa"/>
            <w:gridSpan w:val="3"/>
          </w:tcPr>
          <w:p w14:paraId="06FAA69D">
            <w:pPr>
              <w:spacing w:line="460" w:lineRule="exact"/>
              <w:rPr>
                <w:rFonts w:ascii="仿宋" w:hAnsi="仿宋" w:eastAsia="仿宋" w:cs="仿宋"/>
                <w:sz w:val="22"/>
                <w:szCs w:val="32"/>
              </w:rPr>
            </w:pPr>
            <w:r>
              <w:rPr>
                <w:rFonts w:hint="eastAsia" w:ascii="仿宋" w:hAnsi="仿宋" w:eastAsia="仿宋" w:cs="仿宋"/>
                <w:sz w:val="22"/>
                <w:szCs w:val="32"/>
              </w:rPr>
              <w:t>100</w:t>
            </w:r>
          </w:p>
        </w:tc>
        <w:tc>
          <w:tcPr>
            <w:tcW w:w="919" w:type="dxa"/>
            <w:gridSpan w:val="3"/>
          </w:tcPr>
          <w:p w14:paraId="18FA089D">
            <w:pPr>
              <w:spacing w:line="460" w:lineRule="exact"/>
              <w:rPr>
                <w:rFonts w:ascii="仿宋" w:hAnsi="仿宋" w:eastAsia="仿宋" w:cs="仿宋"/>
                <w:sz w:val="32"/>
                <w:szCs w:val="32"/>
              </w:rPr>
            </w:pPr>
            <w:r>
              <w:rPr>
                <w:rFonts w:hint="eastAsia" w:ascii="仿宋" w:hAnsi="仿宋" w:eastAsia="仿宋" w:cs="仿宋"/>
                <w:sz w:val="22"/>
                <w:szCs w:val="32"/>
              </w:rPr>
              <w:t>96</w:t>
            </w:r>
          </w:p>
        </w:tc>
      </w:tr>
    </w:tbl>
    <w:p w14:paraId="3D99598A">
      <w:pPr>
        <w:spacing w:line="460" w:lineRule="exact"/>
        <w:ind w:firstLine="640" w:firstLineChars="200"/>
        <w:rPr>
          <w:rFonts w:ascii="仿宋" w:hAnsi="仿宋" w:eastAsia="仿宋" w:cs="仿宋"/>
          <w:sz w:val="32"/>
          <w:szCs w:val="32"/>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1D819B-8D9E-4000-B3E2-73A06574DB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488BEC57-4DA5-41FF-BC15-16AF246CEF51}"/>
  </w:font>
  <w:font w:name="仿宋_GB2312">
    <w:altName w:val="仿宋"/>
    <w:panose1 w:val="02010609030101010101"/>
    <w:charset w:val="86"/>
    <w:family w:val="modern"/>
    <w:pitch w:val="default"/>
    <w:sig w:usb0="00000000" w:usb1="00000000" w:usb2="00000010" w:usb3="00000000" w:csb0="00040000" w:csb1="00000000"/>
    <w:embedRegular r:id="rId3" w:fontKey="{18A0A2FE-4EF1-407F-B70F-5703DA479D4E}"/>
  </w:font>
  <w:font w:name="仿宋">
    <w:panose1 w:val="02010609060101010101"/>
    <w:charset w:val="86"/>
    <w:family w:val="modern"/>
    <w:pitch w:val="default"/>
    <w:sig w:usb0="800002BF" w:usb1="38CF7CFA" w:usb2="00000016" w:usb3="00000000" w:csb0="00040001" w:csb1="00000000"/>
    <w:embedRegular r:id="rId4" w:fontKey="{BDF816CA-A38F-487E-9CCD-E18C7C56FEF2}"/>
  </w:font>
  <w:font w:name="Arial">
    <w:panose1 w:val="020B0604020202020204"/>
    <w:charset w:val="00"/>
    <w:family w:val="swiss"/>
    <w:pitch w:val="default"/>
    <w:sig w:usb0="E0002EFF" w:usb1="C000785B" w:usb2="00000009" w:usb3="00000000" w:csb0="400001FF" w:csb1="FFFF0000"/>
    <w:embedRegular r:id="rId5" w:fontKey="{FDF3B4D6-714D-43CC-8202-96B832302D6D}"/>
  </w:font>
  <w:font w:name="方正仿宋_GBK">
    <w:panose1 w:val="02000000000000000000"/>
    <w:charset w:val="86"/>
    <w:family w:val="script"/>
    <w:pitch w:val="default"/>
    <w:sig w:usb0="A00002BF" w:usb1="38CF7CFA" w:usb2="00082016" w:usb3="00000000" w:csb0="00040001" w:csb1="00000000"/>
  </w:font>
  <w:font w:name="仿宋w..">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embedRegular r:id="rId6" w:fontKey="{28407586-E613-4C32-8CFA-06C39F75F0E6}"/>
  </w:font>
  <w:font w:name="方正小标宋_GBK">
    <w:panose1 w:val="02000000000000000000"/>
    <w:charset w:val="86"/>
    <w:family w:val="script"/>
    <w:pitch w:val="default"/>
    <w:sig w:usb0="A00002BF" w:usb1="38CF7CFA" w:usb2="00082016" w:usb3="00000000" w:csb0="00040001" w:csb1="00000000"/>
    <w:embedRegular r:id="rId7" w:fontKey="{5676A252-F416-42AD-9C79-992C06B0615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5254F"/>
    <w:multiLevelType w:val="singleLevel"/>
    <w:tmpl w:val="8F95254F"/>
    <w:lvl w:ilvl="0" w:tentative="0">
      <w:start w:val="3"/>
      <w:numFmt w:val="chineseCounting"/>
      <w:suff w:val="nothing"/>
      <w:lvlText w:val="%1、"/>
      <w:lvlJc w:val="left"/>
      <w:rPr>
        <w:rFonts w:hint="eastAsia"/>
      </w:rPr>
    </w:lvl>
  </w:abstractNum>
  <w:abstractNum w:abstractNumId="1">
    <w:nsid w:val="4795C540"/>
    <w:multiLevelType w:val="singleLevel"/>
    <w:tmpl w:val="4795C540"/>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3A"/>
    <w:rsid w:val="00127695"/>
    <w:rsid w:val="001911C5"/>
    <w:rsid w:val="001E47BF"/>
    <w:rsid w:val="001F30C5"/>
    <w:rsid w:val="002C025A"/>
    <w:rsid w:val="003553F1"/>
    <w:rsid w:val="00360F09"/>
    <w:rsid w:val="003813A2"/>
    <w:rsid w:val="003E6510"/>
    <w:rsid w:val="00404219"/>
    <w:rsid w:val="00414531"/>
    <w:rsid w:val="00424B9D"/>
    <w:rsid w:val="00484F3A"/>
    <w:rsid w:val="005703AC"/>
    <w:rsid w:val="006D517C"/>
    <w:rsid w:val="0072011A"/>
    <w:rsid w:val="00901574"/>
    <w:rsid w:val="00952C9D"/>
    <w:rsid w:val="009F30B8"/>
    <w:rsid w:val="00A16D3C"/>
    <w:rsid w:val="00AC3E59"/>
    <w:rsid w:val="00AF549D"/>
    <w:rsid w:val="00B855D9"/>
    <w:rsid w:val="00CE09AD"/>
    <w:rsid w:val="00D021AD"/>
    <w:rsid w:val="00DF30EC"/>
    <w:rsid w:val="00FA71C4"/>
    <w:rsid w:val="01A34F9B"/>
    <w:rsid w:val="04B23944"/>
    <w:rsid w:val="0D067575"/>
    <w:rsid w:val="0FA60618"/>
    <w:rsid w:val="14D14641"/>
    <w:rsid w:val="169B302D"/>
    <w:rsid w:val="16B954F4"/>
    <w:rsid w:val="17924721"/>
    <w:rsid w:val="1A4A16AE"/>
    <w:rsid w:val="1ECC705A"/>
    <w:rsid w:val="1F096DC4"/>
    <w:rsid w:val="21442F8E"/>
    <w:rsid w:val="22484A2E"/>
    <w:rsid w:val="323D7A0F"/>
    <w:rsid w:val="353261B9"/>
    <w:rsid w:val="355F7177"/>
    <w:rsid w:val="35E55B6A"/>
    <w:rsid w:val="3CE50B75"/>
    <w:rsid w:val="400D226F"/>
    <w:rsid w:val="48BA5037"/>
    <w:rsid w:val="494D4689"/>
    <w:rsid w:val="50D32A43"/>
    <w:rsid w:val="51183F73"/>
    <w:rsid w:val="58F75A94"/>
    <w:rsid w:val="5BAE59D3"/>
    <w:rsid w:val="5F0531A8"/>
    <w:rsid w:val="5FEC61D8"/>
    <w:rsid w:val="62F96689"/>
    <w:rsid w:val="65A31DA6"/>
    <w:rsid w:val="6AF70C05"/>
    <w:rsid w:val="6B641F12"/>
    <w:rsid w:val="6CEE15AA"/>
    <w:rsid w:val="75CA5D83"/>
    <w:rsid w:val="7CAD2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方正仿宋_GBK" w:hAnsi="方正仿宋_GBK" w:eastAsia="方正仿宋_GBK" w:cs="方正仿宋_GBK"/>
      <w:sz w:val="31"/>
      <w:szCs w:val="31"/>
      <w:lang w:val="zh-CN" w:bidi="zh-CN"/>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rPr>
      <w:rFonts w:ascii="宋体" w:hAnsi="宋体" w:eastAsia="宋体" w:cs="宋体"/>
      <w:sz w:val="24"/>
    </w:rPr>
  </w:style>
  <w:style w:type="character" w:styleId="9">
    <w:name w:val="Strong"/>
    <w:basedOn w:val="8"/>
    <w:qFormat/>
    <w:uiPriority w:val="0"/>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0"/>
    <w:rPr>
      <w:rFonts w:ascii="Arial" w:hAnsi="Arial" w:eastAsia="黑体" w:cs="Times New Roman"/>
      <w:b/>
      <w:kern w:val="2"/>
      <w:sz w:val="32"/>
      <w:szCs w:val="24"/>
    </w:rPr>
  </w:style>
  <w:style w:type="paragraph" w:styleId="13">
    <w:name w:val="List Paragraph"/>
    <w:basedOn w:val="1"/>
    <w:uiPriority w:val="99"/>
    <w:pPr>
      <w:ind w:firstLine="420" w:firstLineChars="200"/>
    </w:pPr>
  </w:style>
  <w:style w:type="paragraph" w:customStyle="1" w:styleId="14">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64BA61F-6312-44D2-AFC3-43377EED3EF2}">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6211</Words>
  <Characters>6410</Characters>
  <Lines>47</Lines>
  <Paragraphs>13</Paragraphs>
  <TotalTime>43</TotalTime>
  <ScaleCrop>false</ScaleCrop>
  <LinksUpToDate>false</LinksUpToDate>
  <CharactersWithSpaces>6431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2020-04-07T09:49:00Z</dcterms:created>
  <dc:creator>1</dc:creator>
  <cp:lastModifiedBy>Qxb</cp:lastModifiedBy>
  <dcterms:modified xsi:type="dcterms:W3CDTF">2025-02-07T04:39:13Z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9E35C410FBBA499F9BA02F1073519262_12</vt:lpwstr>
  </property>
</Properties>
</file>