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FCC7A">
      <w:pPr>
        <w:spacing w:line="540" w:lineRule="exact"/>
        <w:jc w:val="center"/>
        <w:rPr>
          <w:rFonts w:ascii="华文中宋" w:hAnsi="华文中宋" w:eastAsia="华文中宋" w:cs="宋体"/>
          <w:b/>
          <w:kern w:val="0"/>
          <w:sz w:val="52"/>
          <w:szCs w:val="52"/>
        </w:rPr>
      </w:pPr>
    </w:p>
    <w:p w14:paraId="30579AF5">
      <w:pPr>
        <w:spacing w:line="540" w:lineRule="exact"/>
        <w:jc w:val="center"/>
        <w:rPr>
          <w:rFonts w:ascii="华文中宋" w:hAnsi="华文中宋" w:eastAsia="华文中宋" w:cs="宋体"/>
          <w:b/>
          <w:kern w:val="0"/>
          <w:sz w:val="52"/>
          <w:szCs w:val="52"/>
        </w:rPr>
      </w:pPr>
    </w:p>
    <w:p w14:paraId="223A726A">
      <w:pPr>
        <w:spacing w:line="540" w:lineRule="exact"/>
        <w:jc w:val="center"/>
        <w:rPr>
          <w:rFonts w:ascii="华文中宋" w:hAnsi="华文中宋" w:eastAsia="华文中宋" w:cs="宋体"/>
          <w:b/>
          <w:kern w:val="0"/>
          <w:sz w:val="52"/>
          <w:szCs w:val="52"/>
        </w:rPr>
      </w:pPr>
    </w:p>
    <w:p w14:paraId="44DDE1B2">
      <w:pPr>
        <w:spacing w:line="540" w:lineRule="exact"/>
        <w:jc w:val="center"/>
        <w:rPr>
          <w:rFonts w:ascii="华文中宋" w:hAnsi="华文中宋" w:eastAsia="华文中宋" w:cs="宋体"/>
          <w:b/>
          <w:kern w:val="0"/>
          <w:sz w:val="52"/>
          <w:szCs w:val="52"/>
        </w:rPr>
      </w:pPr>
    </w:p>
    <w:p w14:paraId="7AC76212">
      <w:pPr>
        <w:spacing w:line="540" w:lineRule="exact"/>
        <w:jc w:val="center"/>
        <w:rPr>
          <w:rFonts w:ascii="华文中宋" w:hAnsi="华文中宋" w:eastAsia="华文中宋" w:cs="宋体"/>
          <w:b/>
          <w:kern w:val="0"/>
          <w:sz w:val="52"/>
          <w:szCs w:val="52"/>
        </w:rPr>
      </w:pPr>
    </w:p>
    <w:p w14:paraId="4151481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中国共产主义青年团巴州委员会项目支出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4F33F8D0">
      <w:pPr>
        <w:spacing w:line="540" w:lineRule="exact"/>
        <w:jc w:val="center"/>
        <w:rPr>
          <w:rFonts w:ascii="华文中宋" w:hAnsi="华文中宋" w:eastAsia="华文中宋" w:cs="宋体"/>
          <w:b/>
          <w:kern w:val="0"/>
          <w:sz w:val="52"/>
          <w:szCs w:val="52"/>
        </w:rPr>
      </w:pPr>
    </w:p>
    <w:p w14:paraId="6EFA57B8">
      <w:pPr>
        <w:spacing w:line="540" w:lineRule="exact"/>
        <w:jc w:val="center"/>
        <w:rPr>
          <w:rFonts w:ascii="华文中宋" w:hAnsi="华文中宋" w:eastAsia="华文中宋" w:cs="宋体"/>
          <w:b/>
          <w:kern w:val="0"/>
          <w:sz w:val="52"/>
          <w:szCs w:val="52"/>
        </w:rPr>
      </w:pPr>
    </w:p>
    <w:p w14:paraId="76E0DF76">
      <w:pPr>
        <w:spacing w:line="540" w:lineRule="exact"/>
        <w:jc w:val="center"/>
        <w:rPr>
          <w:rFonts w:ascii="华文中宋" w:hAnsi="华文中宋" w:eastAsia="华文中宋" w:cs="宋体"/>
          <w:b/>
          <w:kern w:val="0"/>
          <w:sz w:val="52"/>
          <w:szCs w:val="52"/>
        </w:rPr>
      </w:pPr>
    </w:p>
    <w:p w14:paraId="53A144CA">
      <w:pPr>
        <w:spacing w:line="540" w:lineRule="exact"/>
        <w:jc w:val="center"/>
        <w:rPr>
          <w:rFonts w:hAnsi="宋体" w:cs="宋体"/>
          <w:kern w:val="0"/>
          <w:sz w:val="36"/>
          <w:szCs w:val="36"/>
        </w:rPr>
      </w:pPr>
      <w:r>
        <w:rPr>
          <w:rFonts w:hint="eastAsia" w:hAnsi="宋体" w:cs="宋体"/>
          <w:kern w:val="0"/>
          <w:sz w:val="36"/>
          <w:szCs w:val="36"/>
        </w:rPr>
        <w:t>（2019年度）</w:t>
      </w:r>
    </w:p>
    <w:p w14:paraId="559B2A07">
      <w:pPr>
        <w:spacing w:line="540" w:lineRule="exact"/>
        <w:jc w:val="center"/>
        <w:rPr>
          <w:rFonts w:hAnsi="宋体" w:cs="宋体"/>
          <w:kern w:val="0"/>
          <w:szCs w:val="30"/>
        </w:rPr>
      </w:pPr>
    </w:p>
    <w:p w14:paraId="17336265">
      <w:pPr>
        <w:spacing w:line="540" w:lineRule="exact"/>
        <w:jc w:val="center"/>
        <w:rPr>
          <w:rFonts w:hAnsi="宋体" w:cs="宋体"/>
          <w:kern w:val="0"/>
          <w:szCs w:val="30"/>
        </w:rPr>
      </w:pPr>
    </w:p>
    <w:p w14:paraId="55E6FB22">
      <w:pPr>
        <w:spacing w:line="540" w:lineRule="exact"/>
        <w:jc w:val="center"/>
        <w:rPr>
          <w:rFonts w:hAnsi="宋体" w:cs="宋体"/>
          <w:kern w:val="0"/>
          <w:szCs w:val="30"/>
        </w:rPr>
      </w:pPr>
    </w:p>
    <w:p w14:paraId="20AF4E44">
      <w:pPr>
        <w:spacing w:line="540" w:lineRule="exact"/>
        <w:jc w:val="center"/>
        <w:rPr>
          <w:rFonts w:hAnsi="宋体" w:cs="宋体"/>
          <w:kern w:val="0"/>
          <w:szCs w:val="30"/>
        </w:rPr>
      </w:pPr>
    </w:p>
    <w:p w14:paraId="4666474F">
      <w:pPr>
        <w:spacing w:line="540" w:lineRule="exact"/>
        <w:jc w:val="center"/>
        <w:rPr>
          <w:rFonts w:hAnsi="宋体" w:cs="宋体"/>
          <w:kern w:val="0"/>
          <w:szCs w:val="30"/>
        </w:rPr>
      </w:pPr>
    </w:p>
    <w:p w14:paraId="5396516D">
      <w:pPr>
        <w:spacing w:line="540" w:lineRule="exact"/>
        <w:rPr>
          <w:rFonts w:hAnsi="宋体" w:cs="宋体"/>
          <w:kern w:val="0"/>
          <w:szCs w:val="30"/>
        </w:rPr>
      </w:pPr>
    </w:p>
    <w:p w14:paraId="7D46AB01">
      <w:pPr>
        <w:spacing w:line="700" w:lineRule="exact"/>
        <w:jc w:val="left"/>
        <w:rPr>
          <w:rFonts w:hAnsi="宋体" w:cs="宋体"/>
          <w:kern w:val="0"/>
          <w:sz w:val="32"/>
          <w:szCs w:val="32"/>
        </w:rPr>
      </w:pPr>
      <w:r>
        <w:rPr>
          <w:rFonts w:hint="eastAsia" w:hAnsi="宋体" w:cs="宋体"/>
          <w:kern w:val="0"/>
          <w:sz w:val="32"/>
          <w:szCs w:val="32"/>
        </w:rPr>
        <w:t>项目名称：西部计划地方项目招募宣讲</w:t>
      </w:r>
    </w:p>
    <w:p w14:paraId="69285C39">
      <w:pPr>
        <w:spacing w:line="700" w:lineRule="exact"/>
        <w:jc w:val="left"/>
        <w:rPr>
          <w:rFonts w:hAnsi="宋体" w:cs="宋体"/>
          <w:kern w:val="0"/>
          <w:sz w:val="32"/>
          <w:szCs w:val="32"/>
        </w:rPr>
      </w:pPr>
      <w:r>
        <w:rPr>
          <w:rFonts w:hint="eastAsia" w:hAnsi="宋体" w:cs="宋体"/>
          <w:kern w:val="0"/>
          <w:sz w:val="32"/>
          <w:szCs w:val="32"/>
        </w:rPr>
        <w:t>实施单位（公章）：中国共产主义青年团巴州委员会</w:t>
      </w:r>
    </w:p>
    <w:p w14:paraId="0536DA08">
      <w:pPr>
        <w:spacing w:line="700" w:lineRule="exact"/>
        <w:jc w:val="left"/>
        <w:rPr>
          <w:rFonts w:hAnsi="宋体" w:cs="宋体"/>
          <w:kern w:val="0"/>
          <w:sz w:val="32"/>
          <w:szCs w:val="32"/>
        </w:rPr>
      </w:pPr>
      <w:r>
        <w:rPr>
          <w:rFonts w:hint="eastAsia" w:hAnsi="宋体" w:cs="宋体"/>
          <w:kern w:val="0"/>
          <w:sz w:val="32"/>
          <w:szCs w:val="32"/>
        </w:rPr>
        <w:t>主管部门（公章）：巴州党委办公室</w:t>
      </w:r>
    </w:p>
    <w:p w14:paraId="14D97CCC">
      <w:pPr>
        <w:spacing w:line="700" w:lineRule="exact"/>
        <w:jc w:val="left"/>
        <w:rPr>
          <w:rFonts w:hAnsi="宋体" w:cs="宋体"/>
          <w:kern w:val="0"/>
          <w:sz w:val="32"/>
          <w:szCs w:val="32"/>
        </w:rPr>
      </w:pPr>
      <w:r>
        <w:rPr>
          <w:rFonts w:hint="eastAsia" w:hAnsi="宋体" w:cs="宋体"/>
          <w:kern w:val="0"/>
          <w:sz w:val="32"/>
          <w:szCs w:val="32"/>
        </w:rPr>
        <w:t>项目负责人（签章）：宋心硕</w:t>
      </w:r>
    </w:p>
    <w:p w14:paraId="515A5363">
      <w:pPr>
        <w:spacing w:line="700" w:lineRule="exact"/>
        <w:jc w:val="left"/>
        <w:rPr>
          <w:rFonts w:hAnsi="宋体" w:cs="宋体"/>
          <w:kern w:val="0"/>
          <w:sz w:val="32"/>
          <w:szCs w:val="32"/>
        </w:rPr>
      </w:pPr>
      <w:r>
        <w:rPr>
          <w:rFonts w:hint="eastAsia" w:hAnsi="宋体" w:cs="宋体"/>
          <w:kern w:val="0"/>
          <w:sz w:val="32"/>
          <w:szCs w:val="32"/>
        </w:rPr>
        <w:t>填报时间：2020年5月10日</w:t>
      </w:r>
    </w:p>
    <w:p w14:paraId="5F55DE3D">
      <w:pPr>
        <w:spacing w:line="560" w:lineRule="exact"/>
        <w:ind w:firstLine="883" w:firstLineChars="200"/>
        <w:jc w:val="center"/>
        <w:rPr>
          <w:rFonts w:ascii="宋体" w:hAnsi="宋体" w:eastAsia="宋体" w:cs="Arial"/>
          <w:b/>
          <w:bCs/>
          <w:sz w:val="44"/>
          <w:szCs w:val="44"/>
        </w:rPr>
      </w:pPr>
    </w:p>
    <w:p w14:paraId="7C9DFA6E">
      <w:pPr>
        <w:spacing w:line="560" w:lineRule="exact"/>
        <w:ind w:firstLine="883" w:firstLineChars="200"/>
        <w:jc w:val="center"/>
        <w:rPr>
          <w:rFonts w:ascii="宋体" w:hAnsi="宋体" w:eastAsia="宋体" w:cs="Arial"/>
          <w:b/>
          <w:bCs/>
          <w:sz w:val="44"/>
          <w:szCs w:val="44"/>
        </w:rPr>
      </w:pPr>
    </w:p>
    <w:p w14:paraId="5B2003F4">
      <w:pPr>
        <w:spacing w:line="560" w:lineRule="exact"/>
        <w:ind w:firstLine="640" w:firstLineChars="200"/>
        <w:rPr>
          <w:rFonts w:ascii="黑体" w:hAnsi="黑体" w:eastAsia="黑体"/>
          <w:sz w:val="32"/>
          <w:szCs w:val="32"/>
        </w:rPr>
      </w:pPr>
      <w:r>
        <w:rPr>
          <w:rFonts w:hint="eastAsia" w:ascii="黑体" w:hAnsi="黑体" w:eastAsia="黑体"/>
          <w:sz w:val="32"/>
          <w:szCs w:val="32"/>
        </w:rPr>
        <w:t>一、基本情况</w:t>
      </w:r>
    </w:p>
    <w:p w14:paraId="7515CDE7">
      <w:pPr>
        <w:spacing w:line="56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14:paraId="5C00736C">
      <w:pPr>
        <w:spacing w:line="560" w:lineRule="exact"/>
        <w:ind w:firstLine="643" w:firstLineChars="200"/>
        <w:outlineLvl w:val="0"/>
        <w:rPr>
          <w:rFonts w:ascii="仿宋_GB2312" w:hAnsi="仿宋_GB2312" w:cs="仿宋_GB2312"/>
          <w:b/>
          <w:bCs/>
          <w:sz w:val="32"/>
          <w:szCs w:val="32"/>
        </w:rPr>
      </w:pPr>
      <w:r>
        <w:rPr>
          <w:rFonts w:hint="eastAsia" w:ascii="仿宋_GB2312" w:hAnsi="仿宋_GB2312" w:cs="仿宋_GB2312"/>
          <w:b/>
          <w:bCs/>
          <w:sz w:val="32"/>
          <w:szCs w:val="32"/>
        </w:rPr>
        <w:t>1.项目背景</w:t>
      </w:r>
    </w:p>
    <w:p w14:paraId="48566C87">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为认真贯彻习近平新时代中国特色社会主义思想和党的十九大精神，全面贯彻以习近平同志为核心的党中央治疆方略特别是社会稳定和长治久安总目标，全面落实自治区党委“一年稳住、两年巩固、三年基本常态、五年全面稳定”工作规划，按照自治区党委实施乡村振兴战略关于“实施高校毕业生培养锻炼成长计划”及“推进‘1村1名大学生’全覆盖”的要求，大力实施人才强州战略，推进人才引进常态化，全面落实大学生志愿服务西部计划。</w:t>
      </w:r>
    </w:p>
    <w:p w14:paraId="4EA87E53">
      <w:pPr>
        <w:numPr>
          <w:ilvl w:val="0"/>
          <w:numId w:val="2"/>
        </w:numPr>
        <w:spacing w:line="560" w:lineRule="exact"/>
        <w:ind w:firstLine="643" w:firstLineChars="200"/>
        <w:outlineLvl w:val="0"/>
        <w:rPr>
          <w:rFonts w:ascii="仿宋_GB2312" w:hAnsi="仿宋_GB2312" w:cs="仿宋_GB2312"/>
          <w:b/>
          <w:bCs/>
          <w:sz w:val="32"/>
          <w:szCs w:val="32"/>
        </w:rPr>
      </w:pPr>
      <w:r>
        <w:rPr>
          <w:rFonts w:hint="eastAsia" w:ascii="仿宋_GB2312" w:hAnsi="仿宋_GB2312" w:cs="仿宋_GB2312"/>
          <w:b/>
          <w:bCs/>
          <w:sz w:val="32"/>
          <w:szCs w:val="32"/>
        </w:rPr>
        <w:t>主要内容及实施情况</w:t>
      </w:r>
    </w:p>
    <w:p w14:paraId="2FB0B19A">
      <w:pPr>
        <w:spacing w:line="560" w:lineRule="exact"/>
        <w:outlineLvl w:val="0"/>
        <w:rPr>
          <w:rFonts w:ascii="仿宋_GB2312" w:hAnsi="仿宋_GB2312" w:cs="仿宋_GB2312"/>
          <w:b/>
          <w:bCs/>
          <w:sz w:val="32"/>
          <w:szCs w:val="32"/>
        </w:rPr>
      </w:pPr>
      <w:r>
        <w:rPr>
          <w:rFonts w:hint="eastAsia" w:ascii="仿宋_GB2312" w:hAnsi="仿宋_GB2312" w:cs="仿宋_GB2312"/>
          <w:sz w:val="32"/>
          <w:szCs w:val="32"/>
        </w:rPr>
        <w:t>2019年，巴州党委决定实施1200人规模的西部计划巴州地方项目。经过州党委批准，先后两次分别一名州领导带队和团委主要领导带队，组建大学生志愿服务西部计划优秀志愿者宣讲团，赴河北、山东、河南、山西、上海、浙江等省市相关高校开展西部计划优秀志愿者先进事迹宣讲活动，开展优秀招募宣讲报告。同时，制作西部计划招募宣传片、印制宣传海报等，广泛宣传大学生志愿服务西部项目，吸更多的应届大学毕业生响应党的号召“到西部去、到基层去、到祖国最需要的地方去”，来大美巴州，服务巴州，扎根巴州，就业创业，现实青春梦想。通过宣传动员，吸引更多内地优秀大学生报名参加西部计划来巴州开展1—3年志愿服务，最大限度落实1200名巴州地方项目志愿者招募任务。</w:t>
      </w:r>
    </w:p>
    <w:p w14:paraId="7F5A8A09">
      <w:pPr>
        <w:spacing w:line="560" w:lineRule="exact"/>
        <w:ind w:firstLine="643" w:firstLineChars="200"/>
        <w:outlineLvl w:val="0"/>
        <w:rPr>
          <w:rFonts w:ascii="仿宋_GB2312" w:hAnsi="仿宋_GB2312" w:cs="仿宋_GB2312"/>
          <w:b/>
          <w:bCs/>
          <w:sz w:val="32"/>
          <w:szCs w:val="32"/>
        </w:rPr>
      </w:pPr>
      <w:r>
        <w:rPr>
          <w:rFonts w:hint="eastAsia" w:ascii="仿宋_GB2312" w:hAnsi="仿宋_GB2312" w:cs="仿宋_GB2312"/>
          <w:b/>
          <w:bCs/>
          <w:sz w:val="32"/>
          <w:szCs w:val="32"/>
        </w:rPr>
        <w:t>3.资金投入和使用情况</w:t>
      </w:r>
    </w:p>
    <w:p w14:paraId="42A09A22">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项目预算15.42万元。主要用于赴内地开展大学生志愿服务西部计划优秀志愿者宣讲团成员差旅费，制作西部计划招募宣传片、印制宣传海报等支出。</w:t>
      </w:r>
    </w:p>
    <w:p w14:paraId="60C33A65">
      <w:pPr>
        <w:spacing w:line="560" w:lineRule="exact"/>
        <w:ind w:firstLine="640" w:firstLineChars="200"/>
        <w:outlineLvl w:val="0"/>
        <w:rPr>
          <w:rFonts w:ascii="仿宋_GB2312"/>
          <w:sz w:val="32"/>
          <w:szCs w:val="32"/>
        </w:rPr>
      </w:pPr>
      <w:r>
        <w:rPr>
          <w:rFonts w:hint="eastAsia" w:ascii="楷体_GB2312" w:hAnsi="楷体_GB2312" w:eastAsia="楷体_GB2312" w:cs="楷体_GB2312"/>
          <w:sz w:val="32"/>
          <w:szCs w:val="32"/>
        </w:rPr>
        <w:t>（二）项目绩效目标</w:t>
      </w:r>
    </w:p>
    <w:p w14:paraId="3A58D70A">
      <w:pPr>
        <w:spacing w:line="560" w:lineRule="exact"/>
        <w:ind w:firstLine="643" w:firstLineChars="200"/>
        <w:outlineLvl w:val="0"/>
        <w:rPr>
          <w:rFonts w:ascii="仿宋_GB2312" w:hAnsi="仿宋_GB2312" w:cs="仿宋_GB2312"/>
          <w:b/>
          <w:bCs/>
          <w:sz w:val="32"/>
          <w:szCs w:val="32"/>
        </w:rPr>
      </w:pPr>
      <w:r>
        <w:rPr>
          <w:rFonts w:hint="eastAsia" w:ascii="仿宋_GB2312" w:hAnsi="仿宋_GB2312" w:cs="仿宋_GB2312"/>
          <w:b/>
          <w:bCs/>
          <w:sz w:val="32"/>
          <w:szCs w:val="32"/>
        </w:rPr>
        <w:t>1.总体目标</w:t>
      </w:r>
    </w:p>
    <w:p w14:paraId="4E1F1F4F">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组建大学生志愿服务西部计划优秀志愿者宣讲团，赴河北、山东、河南、山西、上海、浙江等省市相关高校开展西部计划优秀志愿者先进事迹宣讲活动，开展优秀招募宣讲报告。同时，制作西部计划招募宣传片、印制宣传海报等，广泛宣传大学生志愿服务西部项目，吸更多的应届大学毕业生响应党的号召“到西部去、到基层去、到祖国最需要的地方去”，来大美巴州，服务巴州，扎根巴州，就业创业，现实青春梦想。通过宣传动员、岗位摸底、招募宣讲、选拔审核等环节，吸引更多内地优秀大学生报名参加西部计划来巴州开展1—3年志愿服务，最大限度落实1200名巴州地方项目志愿者招募任务。</w:t>
      </w:r>
    </w:p>
    <w:p w14:paraId="2300B723">
      <w:pPr>
        <w:spacing w:line="560" w:lineRule="exact"/>
        <w:ind w:firstLine="643" w:firstLineChars="200"/>
        <w:outlineLvl w:val="0"/>
        <w:rPr>
          <w:rFonts w:ascii="仿宋_GB2312" w:hAnsi="仿宋_GB2312" w:cs="仿宋_GB2312"/>
          <w:sz w:val="32"/>
          <w:szCs w:val="32"/>
        </w:rPr>
      </w:pPr>
      <w:r>
        <w:rPr>
          <w:rFonts w:hint="eastAsia" w:ascii="仿宋_GB2312" w:hAnsi="仿宋_GB2312" w:cs="仿宋_GB2312"/>
          <w:b/>
          <w:bCs/>
          <w:sz w:val="32"/>
          <w:szCs w:val="32"/>
        </w:rPr>
        <w:t>2.阶段性目标</w:t>
      </w:r>
    </w:p>
    <w:p w14:paraId="23EB5527">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截止8月20日，我州新招募到岗西部计划志愿者1175人，其中：中央项目204人，地方项目志愿者9971人（其中州直108人）。</w:t>
      </w:r>
    </w:p>
    <w:p w14:paraId="3FB60C01">
      <w:pPr>
        <w:spacing w:line="56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14:paraId="39818F3E">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14:paraId="0995FAF1">
      <w:pPr>
        <w:spacing w:line="560" w:lineRule="exact"/>
        <w:ind w:firstLine="643" w:firstLineChars="200"/>
        <w:rPr>
          <w:rFonts w:ascii="楷体_GB2312" w:hAnsi="楷体_GB2312" w:eastAsia="楷体_GB2312" w:cs="楷体_GB2312"/>
          <w:sz w:val="32"/>
          <w:szCs w:val="32"/>
        </w:rPr>
      </w:pPr>
      <w:r>
        <w:rPr>
          <w:rFonts w:hint="eastAsia" w:ascii="仿宋_GB2312" w:hAnsi="仿宋_GB2312" w:cs="仿宋_GB2312"/>
          <w:b/>
          <w:bCs/>
          <w:sz w:val="32"/>
          <w:szCs w:val="32"/>
        </w:rPr>
        <w:t>1.</w:t>
      </w:r>
      <w:r>
        <w:rPr>
          <w:rFonts w:hint="eastAsia" w:ascii="楷体_GB2312" w:hAnsi="楷体_GB2312" w:eastAsia="楷体_GB2312" w:cs="楷体_GB2312"/>
          <w:sz w:val="32"/>
          <w:szCs w:val="32"/>
        </w:rPr>
        <w:t>绩效评价目的</w:t>
      </w:r>
    </w:p>
    <w:p w14:paraId="4473B835">
      <w:pPr>
        <w:spacing w:line="560" w:lineRule="exact"/>
        <w:ind w:firstLine="640" w:firstLineChars="200"/>
        <w:outlineLvl w:val="0"/>
        <w:rPr>
          <w:rFonts w:ascii="仿宋_GB2312" w:hAnsi="仿宋_GB2312" w:cs="仿宋_GB2312"/>
          <w:sz w:val="32"/>
          <w:szCs w:val="32"/>
        </w:rPr>
      </w:pPr>
      <w:r>
        <w:rPr>
          <w:rFonts w:hint="eastAsia" w:ascii="宋体" w:hAnsi="宋体" w:eastAsia="宋体" w:cs="宋体"/>
          <w:sz w:val="32"/>
          <w:szCs w:val="32"/>
        </w:rPr>
        <w:t>①</w:t>
      </w:r>
      <w:r>
        <w:rPr>
          <w:rFonts w:hint="eastAsia" w:ascii="仿宋_GB2312" w:hAnsi="仿宋_GB2312" w:cs="仿宋_GB2312"/>
          <w:sz w:val="32"/>
          <w:szCs w:val="32"/>
        </w:rPr>
        <w:t>通过项目绩效评价，进一步加强和规范2019年巴州团委西部计划地方项目招募宣讲项目资金管理工作，加强项目资金支出的规范性和合理性，发挥公共财政资金对西部计划地方项目招募宣讲项目的促进和推动作用，提高财政资金使用效益。</w:t>
      </w:r>
    </w:p>
    <w:p w14:paraId="7EE4B997">
      <w:pPr>
        <w:spacing w:line="560" w:lineRule="exact"/>
        <w:ind w:firstLine="640" w:firstLineChars="200"/>
        <w:outlineLvl w:val="0"/>
        <w:rPr>
          <w:rFonts w:ascii="仿宋_GB2312" w:hAnsi="仿宋_GB2312" w:cs="仿宋_GB2312"/>
          <w:sz w:val="32"/>
          <w:szCs w:val="32"/>
        </w:rPr>
      </w:pPr>
      <w:r>
        <w:rPr>
          <w:rFonts w:hint="eastAsia" w:ascii="宋体" w:hAnsi="宋体" w:eastAsia="宋体" w:cs="宋体"/>
          <w:sz w:val="32"/>
          <w:szCs w:val="32"/>
        </w:rPr>
        <w:t>②</w:t>
      </w:r>
      <w:r>
        <w:rPr>
          <w:rFonts w:hint="eastAsia" w:ascii="仿宋_GB2312" w:hAnsi="仿宋_GB2312" w:cs="仿宋_GB2312"/>
          <w:sz w:val="32"/>
          <w:szCs w:val="32"/>
        </w:rPr>
        <w:t>加强财政专项资金管理，提高资金使用效益，自查项目预期目标是否实现，项目是否可持续运行；分析项目实施中存在的问题，及时总结经验，改进项目管理措施，提高项目绩效管理水平，为预算决策提供有力依据。</w:t>
      </w:r>
    </w:p>
    <w:p w14:paraId="5DB79A13">
      <w:pPr>
        <w:spacing w:line="560" w:lineRule="exact"/>
        <w:ind w:firstLine="640" w:firstLineChars="200"/>
        <w:outlineLvl w:val="0"/>
        <w:rPr>
          <w:rFonts w:ascii="仿宋_GB2312" w:hAnsi="仿宋_GB2312" w:cs="仿宋_GB2312"/>
          <w:sz w:val="32"/>
          <w:szCs w:val="32"/>
        </w:rPr>
      </w:pPr>
      <w:r>
        <w:rPr>
          <w:rFonts w:hint="eastAsia" w:ascii="宋体" w:hAnsi="宋体" w:eastAsia="宋体" w:cs="宋体"/>
          <w:sz w:val="32"/>
          <w:szCs w:val="32"/>
        </w:rPr>
        <w:t>③</w:t>
      </w:r>
      <w:r>
        <w:rPr>
          <w:rFonts w:hint="eastAsia" w:ascii="仿宋_GB2312" w:hAnsi="仿宋_GB2312" w:cs="仿宋_GB2312"/>
          <w:sz w:val="32"/>
          <w:szCs w:val="32"/>
        </w:rPr>
        <w:t>根据《财政部关于印发&lt;财政支出绩效评价管理暂行办法&gt;的通知》（财预〔2011〕285号）、</w:t>
      </w:r>
      <w:bookmarkStart w:id="0" w:name="filename"/>
      <w:r>
        <w:rPr>
          <w:rFonts w:hint="eastAsia" w:ascii="仿宋_GB2312" w:hAnsi="仿宋_GB2312" w:cs="仿宋_GB2312"/>
          <w:sz w:val="32"/>
          <w:szCs w:val="32"/>
        </w:rPr>
        <w:t>关于印发《自治州财政支出绩效评价管理暂行办法》的通知</w:t>
      </w:r>
      <w:bookmarkEnd w:id="0"/>
      <w:r>
        <w:rPr>
          <w:rFonts w:hint="eastAsia" w:ascii="仿宋_GB2312" w:hAnsi="仿宋_GB2312" w:cs="仿宋_GB2312"/>
          <w:sz w:val="32"/>
          <w:szCs w:val="32"/>
        </w:rPr>
        <w:t>（</w:t>
      </w:r>
      <w:bookmarkStart w:id="1" w:name="year1_2"/>
      <w:bookmarkEnd w:id="1"/>
      <w:r>
        <w:rPr>
          <w:rFonts w:hint="eastAsia" w:ascii="仿宋_GB2312" w:hAnsi="仿宋_GB2312" w:cs="仿宋_GB2312"/>
          <w:sz w:val="32"/>
          <w:szCs w:val="32"/>
        </w:rPr>
        <w:t>巴财预〔2019〕82号）、月日州党委财经领导小组会议等精神要求，对2019年巴州团委</w:t>
      </w:r>
      <w:r>
        <w:rPr>
          <w:rFonts w:hint="eastAsia" w:ascii="仿宋_GB2312" w:hAnsi="仿宋_GB2312" w:cs="仿宋_GB2312"/>
          <w:kern w:val="0"/>
          <w:sz w:val="32"/>
          <w:szCs w:val="32"/>
          <w:lang w:bidi="en-US"/>
        </w:rPr>
        <w:t>西部计划地方项目招募宣讲</w:t>
      </w:r>
      <w:r>
        <w:rPr>
          <w:rFonts w:hint="eastAsia" w:ascii="仿宋_GB2312" w:hAnsi="仿宋_GB2312" w:cs="仿宋_GB2312"/>
          <w:sz w:val="32"/>
          <w:szCs w:val="32"/>
        </w:rPr>
        <w:t>项目资金使用进行绩效评价。</w:t>
      </w:r>
    </w:p>
    <w:p w14:paraId="3ADF4871">
      <w:pPr>
        <w:spacing w:line="560" w:lineRule="exact"/>
        <w:ind w:firstLine="640" w:firstLineChars="200"/>
        <w:rPr>
          <w:rFonts w:ascii="仿宋_GB2312" w:hAnsi="仿宋_GB2312" w:cs="仿宋_GB2312"/>
          <w:sz w:val="32"/>
          <w:szCs w:val="32"/>
        </w:rPr>
      </w:pPr>
      <w:r>
        <w:rPr>
          <w:rFonts w:hint="eastAsia" w:ascii="宋体" w:hAnsi="宋体" w:eastAsia="宋体" w:cs="宋体"/>
          <w:sz w:val="32"/>
          <w:szCs w:val="32"/>
        </w:rPr>
        <w:t>④</w:t>
      </w:r>
      <w:r>
        <w:rPr>
          <w:rFonts w:hint="eastAsia" w:ascii="仿宋_GB2312" w:hAnsi="仿宋_GB2312" w:cs="仿宋_GB2312"/>
          <w:sz w:val="32"/>
          <w:szCs w:val="32"/>
        </w:rPr>
        <w:t>通过了解、计算、分析、衡量项目的投入、过程、产出、效果涉及的各项指标，客观公正地反映2019年巴州团委</w:t>
      </w:r>
      <w:r>
        <w:rPr>
          <w:rFonts w:hint="eastAsia" w:ascii="仿宋_GB2312" w:hAnsi="仿宋_GB2312" w:cs="仿宋_GB2312"/>
          <w:kern w:val="0"/>
          <w:sz w:val="32"/>
          <w:szCs w:val="32"/>
          <w:lang w:bidi="en-US"/>
        </w:rPr>
        <w:t>西部计划地方项目招募宣讲</w:t>
      </w:r>
      <w:r>
        <w:rPr>
          <w:rFonts w:hint="eastAsia" w:ascii="仿宋_GB2312" w:hAnsi="仿宋_GB2312" w:cs="仿宋_GB2312"/>
          <w:sz w:val="32"/>
          <w:szCs w:val="32"/>
        </w:rPr>
        <w:t>项目支出实际使用和产出的绩效状况，为今后该项目实施方向及管理方式的改进提供指导，逐步树立以结果为导向、讲求绩效的观念。</w:t>
      </w:r>
    </w:p>
    <w:p w14:paraId="27599E88">
      <w:pPr>
        <w:spacing w:line="560" w:lineRule="exact"/>
        <w:ind w:firstLine="643" w:firstLineChars="200"/>
        <w:rPr>
          <w:rFonts w:ascii="楷体_GB2312" w:hAnsi="楷体_GB2312" w:eastAsia="楷体_GB2312" w:cs="楷体_GB2312"/>
          <w:sz w:val="32"/>
          <w:szCs w:val="32"/>
        </w:rPr>
      </w:pPr>
      <w:r>
        <w:rPr>
          <w:rFonts w:hint="eastAsia" w:ascii="仿宋_GB2312" w:hAnsi="仿宋_GB2312" w:cs="仿宋_GB2312"/>
          <w:b/>
          <w:bCs/>
          <w:sz w:val="32"/>
          <w:szCs w:val="32"/>
        </w:rPr>
        <w:t>2.</w:t>
      </w:r>
      <w:r>
        <w:rPr>
          <w:rFonts w:hint="eastAsia" w:ascii="楷体_GB2312" w:hAnsi="楷体_GB2312" w:eastAsia="楷体_GB2312" w:cs="楷体_GB2312"/>
          <w:sz w:val="32"/>
          <w:szCs w:val="32"/>
        </w:rPr>
        <w:t>绩效评价对象和范围</w:t>
      </w:r>
    </w:p>
    <w:p w14:paraId="78AF596A">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2019年财政支出项目绩效评价对象为巴州团委2019年度</w:t>
      </w:r>
      <w:r>
        <w:rPr>
          <w:rFonts w:hint="eastAsia" w:ascii="仿宋_GB2312" w:hAnsi="仿宋_GB2312" w:cs="仿宋_GB2312"/>
          <w:kern w:val="0"/>
          <w:sz w:val="32"/>
          <w:szCs w:val="32"/>
          <w:lang w:bidi="en-US"/>
        </w:rPr>
        <w:t>西部计划地方项目招募宣讲项目</w:t>
      </w:r>
      <w:r>
        <w:rPr>
          <w:rFonts w:hint="eastAsia" w:ascii="仿宋_GB2312" w:hAnsi="仿宋_GB2312" w:cs="仿宋_GB2312"/>
          <w:sz w:val="32"/>
          <w:szCs w:val="32"/>
        </w:rPr>
        <w:t>。</w:t>
      </w:r>
    </w:p>
    <w:p w14:paraId="6895628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评价范围为项目涉及的巴州团委负责人及宣传部门业务人员对2019年度</w:t>
      </w:r>
      <w:r>
        <w:rPr>
          <w:rFonts w:hint="eastAsia" w:ascii="仿宋_GB2312" w:hAnsi="仿宋_GB2312" w:cs="仿宋_GB2312"/>
          <w:sz w:val="32"/>
          <w:szCs w:val="32"/>
          <w:lang w:bidi="en-US"/>
        </w:rPr>
        <w:t>西部计划地方项目招募宣讲项目</w:t>
      </w:r>
      <w:r>
        <w:rPr>
          <w:rFonts w:hint="eastAsia" w:ascii="仿宋_GB2312" w:hAnsi="仿宋_GB2312" w:cs="仿宋_GB2312"/>
          <w:kern w:val="0"/>
          <w:sz w:val="32"/>
          <w:szCs w:val="32"/>
          <w:lang w:bidi="en-US"/>
        </w:rPr>
        <w:t>在决策、管理、产出与效果全过程绩效情况进行的评价</w:t>
      </w:r>
      <w:r>
        <w:rPr>
          <w:rFonts w:hint="eastAsia" w:ascii="仿宋_GB2312" w:hAnsi="仿宋_GB2312" w:cs="仿宋_GB2312"/>
          <w:sz w:val="32"/>
          <w:szCs w:val="32"/>
        </w:rPr>
        <w:t>。</w:t>
      </w:r>
    </w:p>
    <w:p w14:paraId="7EB60FD7">
      <w:pPr>
        <w:spacing w:line="560" w:lineRule="exact"/>
        <w:ind w:firstLine="640" w:firstLineChars="200"/>
        <w:rPr>
          <w:rFonts w:ascii="仿宋_GB2312"/>
          <w:sz w:val="32"/>
          <w:szCs w:val="32"/>
        </w:rPr>
      </w:pPr>
      <w:r>
        <w:rPr>
          <w:rFonts w:hint="eastAsia" w:ascii="楷体_GB2312" w:hAnsi="楷体_GB2312" w:eastAsia="楷体_GB2312" w:cs="楷体_GB2312"/>
          <w:sz w:val="32"/>
          <w:szCs w:val="32"/>
        </w:rPr>
        <w:t>（二）绩效评价原则、评价指标体系、评价方法、评价标准</w:t>
      </w:r>
    </w:p>
    <w:p w14:paraId="2AB2BE88">
      <w:pPr>
        <w:pStyle w:val="3"/>
        <w:numPr>
          <w:ilvl w:val="0"/>
          <w:numId w:val="0"/>
        </w:numPr>
        <w:spacing w:before="0" w:after="0" w:line="560" w:lineRule="exact"/>
        <w:ind w:firstLine="643" w:firstLineChars="200"/>
        <w:rPr>
          <w:rFonts w:ascii="仿宋_GB2312" w:hAnsi="仿宋_GB2312" w:eastAsia="仿宋_GB2312" w:cs="仿宋_GB2312"/>
          <w:bCs w:val="0"/>
        </w:rPr>
      </w:pPr>
      <w:bookmarkStart w:id="2" w:name="_Toc24390830"/>
      <w:bookmarkStart w:id="3" w:name="_Toc26319309"/>
      <w:r>
        <w:rPr>
          <w:rFonts w:hint="eastAsia" w:ascii="仿宋_GB2312" w:hAnsi="仿宋_GB2312" w:eastAsia="仿宋_GB2312" w:cs="仿宋_GB2312"/>
          <w:bCs w:val="0"/>
        </w:rPr>
        <w:t>1、绩效评价的基本原则</w:t>
      </w:r>
      <w:bookmarkEnd w:id="2"/>
      <w:bookmarkEnd w:id="3"/>
    </w:p>
    <w:p w14:paraId="00953B69">
      <w:pPr>
        <w:spacing w:line="560" w:lineRule="exact"/>
        <w:ind w:firstLine="640" w:firstLineChars="200"/>
        <w:rPr>
          <w:rFonts w:hint="eastAsia" w:ascii="仿宋_GB2312" w:hAnsi="仿宋_GB2312" w:cs="仿宋_GB2312"/>
          <w:sz w:val="32"/>
          <w:szCs w:val="32"/>
        </w:rPr>
      </w:pPr>
      <w:bookmarkStart w:id="4" w:name="_Toc26319311"/>
      <w:r>
        <w:rPr>
          <w:rFonts w:hint="eastAsia" w:ascii="仿宋_GB2312" w:hAnsi="仿宋_GB2312" w:cs="仿宋_GB2312"/>
          <w:sz w:val="32"/>
          <w:szCs w:val="32"/>
        </w:rPr>
        <w:t>绩效评价严格执行规范的程序，按照科学可行的要求，遵循公正公开、与项目实际相关的原则。对项目产出指标具体完成情况与应达到的目标值进行比较，进行定量评价得分；对项目决策、管理过程等评价指标，根据单位实际情况和相关规范进行比对分析，按照指标实际达到相关规范的程度进行定性评价得分。</w:t>
      </w:r>
    </w:p>
    <w:p w14:paraId="5D19BC22">
      <w:pPr>
        <w:pStyle w:val="3"/>
        <w:numPr>
          <w:ilvl w:val="0"/>
          <w:numId w:val="0"/>
        </w:numPr>
        <w:spacing w:before="0" w:after="0" w:line="560" w:lineRule="exact"/>
        <w:ind w:firstLine="643" w:firstLineChars="200"/>
        <w:rPr>
          <w:rFonts w:ascii="仿宋_GB2312" w:hAnsi="仿宋_GB2312" w:eastAsia="仿宋_GB2312" w:cs="仿宋_GB2312"/>
          <w:bCs w:val="0"/>
        </w:rPr>
      </w:pPr>
      <w:r>
        <w:rPr>
          <w:rFonts w:hint="eastAsia" w:ascii="仿宋_GB2312" w:hAnsi="仿宋_GB2312" w:eastAsia="仿宋_GB2312" w:cs="仿宋_GB2312"/>
          <w:bCs w:val="0"/>
        </w:rPr>
        <w:t>2、评价指标体系</w:t>
      </w:r>
    </w:p>
    <w:p w14:paraId="6C05BCF9">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整个绩效评价体系包括四个一级指标（投入、过程、产出与效果），每一个一级指标又分别设置若干个二级中标从不同方面来反映一级指标，这些二级指标有的是具体客观指标，可以用相关的指标数据测算得出，有的是综合性主观指标，需要细化具体内容来体现，指标体系共设置10个二级指标。二级指标下设个三级指标，并设置了得分权重和详细的评分标准，根据经费支出时间情况，对每一个三级指标进行打分，然后对各级指标得分进行加总，得到绩效评价总分。</w:t>
      </w:r>
    </w:p>
    <w:p w14:paraId="5D7A9FD7">
      <w:pPr>
        <w:spacing w:line="560" w:lineRule="exact"/>
        <w:ind w:firstLine="643" w:firstLineChars="200"/>
        <w:rPr>
          <w:rFonts w:ascii="仿宋_GB2312" w:hAnsi="仿宋_GB2312" w:cs="仿宋_GB2312"/>
          <w:b/>
          <w:sz w:val="32"/>
          <w:szCs w:val="32"/>
        </w:rPr>
      </w:pPr>
      <w:r>
        <w:rPr>
          <w:rFonts w:hint="eastAsia" w:ascii="仿宋_GB2312" w:hAnsi="仿宋_GB2312" w:cs="仿宋_GB2312"/>
          <w:b/>
          <w:sz w:val="32"/>
          <w:szCs w:val="32"/>
        </w:rPr>
        <w:t>3.评价方法</w:t>
      </w:r>
      <w:bookmarkEnd w:id="4"/>
    </w:p>
    <w:p w14:paraId="05ABD011">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本项目绩效评价采用定量与定性相结合综合采用成本效益法和比较法。依据 《2019年巴州团委</w:t>
      </w:r>
      <w:r>
        <w:rPr>
          <w:rFonts w:hint="eastAsia" w:ascii="仿宋_GB2312" w:hAnsi="仿宋_GB2312" w:cs="仿宋_GB2312"/>
          <w:kern w:val="0"/>
          <w:sz w:val="32"/>
          <w:szCs w:val="32"/>
          <w:lang w:bidi="en-US"/>
        </w:rPr>
        <w:t>西部计划地方项目招募宣讲</w:t>
      </w:r>
      <w:r>
        <w:rPr>
          <w:rFonts w:hint="eastAsia" w:ascii="仿宋_GB2312" w:hAnsi="仿宋_GB2312" w:cs="仿宋_GB2312"/>
          <w:sz w:val="32"/>
          <w:szCs w:val="32"/>
        </w:rPr>
        <w:t>项目绩效评价指标体系》进行评价。</w:t>
      </w:r>
    </w:p>
    <w:p w14:paraId="1C24A833">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在评价过程中，自评小组通过查验相关资料、实地核查、采集基础数据，以具有代表性与广泛性的数据，按照《指标体系》进行评议与打分，进而实现客观、科学的评价。</w:t>
      </w:r>
    </w:p>
    <w:p w14:paraId="176A9104">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4、评价标准</w:t>
      </w:r>
    </w:p>
    <w:p w14:paraId="4F2B320B">
      <w:pPr>
        <w:spacing w:line="560" w:lineRule="exact"/>
        <w:ind w:firstLine="640" w:firstLineChars="200"/>
        <w:rPr>
          <w:rFonts w:ascii="仿宋_GB2312" w:hAnsi="仿宋_GB2312" w:cs="仿宋_GB2312"/>
          <w:sz w:val="32"/>
          <w:szCs w:val="32"/>
        </w:rPr>
      </w:pPr>
      <w:r>
        <w:rPr>
          <w:rFonts w:hint="eastAsia" w:ascii="宋体" w:hAnsi="宋体" w:eastAsia="宋体" w:cs="宋体"/>
          <w:sz w:val="32"/>
          <w:szCs w:val="32"/>
        </w:rPr>
        <w:t>①</w:t>
      </w:r>
      <w:r>
        <w:rPr>
          <w:rFonts w:hint="eastAsia" w:ascii="仿宋_GB2312" w:hAnsi="仿宋_GB2312" w:cs="仿宋_GB2312"/>
          <w:sz w:val="32"/>
          <w:szCs w:val="32"/>
        </w:rPr>
        <w:t>计划标准。指以预先制定的目标、计划、预算、定额等作为评价标准。</w:t>
      </w:r>
    </w:p>
    <w:p w14:paraId="0F8FBCBC">
      <w:pPr>
        <w:spacing w:line="560" w:lineRule="exact"/>
        <w:ind w:firstLine="640" w:firstLineChars="200"/>
        <w:rPr>
          <w:rFonts w:ascii="仿宋_GB2312" w:hAnsi="仿宋_GB2312" w:cs="仿宋_GB2312"/>
          <w:sz w:val="32"/>
          <w:szCs w:val="32"/>
        </w:rPr>
      </w:pPr>
      <w:r>
        <w:rPr>
          <w:rFonts w:hint="eastAsia" w:ascii="宋体" w:hAnsi="宋体" w:eastAsia="宋体" w:cs="宋体"/>
          <w:sz w:val="32"/>
          <w:szCs w:val="32"/>
        </w:rPr>
        <w:t>②</w:t>
      </w:r>
      <w:r>
        <w:rPr>
          <w:rFonts w:hint="eastAsia" w:ascii="仿宋_GB2312" w:hAnsi="仿宋_GB2312" w:cs="仿宋_GB2312"/>
          <w:sz w:val="32"/>
          <w:szCs w:val="32"/>
        </w:rPr>
        <w:t>行业标准。指参照国家公布的行业指标数据制定评价标准。</w:t>
      </w:r>
    </w:p>
    <w:p w14:paraId="5C62E1C4">
      <w:pPr>
        <w:spacing w:line="560" w:lineRule="exact"/>
        <w:ind w:firstLine="640" w:firstLineChars="200"/>
        <w:rPr>
          <w:rFonts w:ascii="仿宋_GB2312" w:hAnsi="仿宋_GB2312" w:cs="仿宋_GB2312"/>
          <w:sz w:val="32"/>
          <w:szCs w:val="32"/>
        </w:rPr>
      </w:pPr>
      <w:r>
        <w:rPr>
          <w:rFonts w:hint="eastAsia" w:ascii="宋体" w:hAnsi="宋体" w:eastAsia="宋体" w:cs="宋体"/>
          <w:sz w:val="32"/>
          <w:szCs w:val="32"/>
        </w:rPr>
        <w:t>③</w:t>
      </w:r>
      <w:r>
        <w:rPr>
          <w:rFonts w:hint="eastAsia" w:ascii="仿宋_GB2312" w:hAnsi="仿宋_GB2312" w:cs="仿宋_GB2312"/>
          <w:sz w:val="32"/>
          <w:szCs w:val="32"/>
        </w:rPr>
        <w:t>历史标准。指参照历史数据制定的评价标准，为体现绩效改进的原则，在可实现的条件下应当确定相对较高的评价标准。</w:t>
      </w:r>
    </w:p>
    <w:p w14:paraId="3F9A6E93">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14:paraId="376B79BA">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首先，进行前期准备工作，制定绩效评价前期工作计划。然后组织项目小组进驻开展绩效评价工作。本次自评于2020年4月10日开展前期工作，于2020年4月30日出具绩效自评报告书，整个评价工作分以下几个阶段进行：</w:t>
      </w:r>
    </w:p>
    <w:p w14:paraId="52C12D2B">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1.前期准备工作</w:t>
      </w:r>
    </w:p>
    <w:p w14:paraId="73E4A207">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在明确评价目的、评价对象、范围及项目内容的基础上，根据绩效评价规范的要求和本次评价的实际情况，组建项目评价工作小组。项目小组结合财政部《财政支出绩效评价管理暂行办法》、巴州财政局《自治州财政支出绩效评价管理暂行办法》等文件，结合项目的实际情况，根据自治州项目绩效评价相关指标体系，制定了绩效评价方案。</w:t>
      </w:r>
    </w:p>
    <w:p w14:paraId="052F9E00">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此次评价工作，在收集并熟悉了项目实施、管理及其他文件资料后，全面了解此次绩效评价的内容、方法和要求之后。评价小组收集了项目立项文件、项目预算资金材料、项目工作总结，完成了项目基础信息表。项目小组成员根据了解的项目资料设计绩效评价指标体系初稿与项目组织实施管理部门沟通，同时确定各项证据的收集方法，形成绩效评价框架，指导具体的绩效评价工作。项目小组负责人对绩效评价的工作任务进行分解，设计资料清单和相关表格，最终形成完整的绩效评价工作方案，指导项目小组按相同标准、步骤规范化进行绩效评价活动。</w:t>
      </w:r>
    </w:p>
    <w:p w14:paraId="4FD263EC">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2.组织实施过程内容</w:t>
      </w:r>
    </w:p>
    <w:p w14:paraId="5A8E0C35">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按照绩效评价规范要求，绩效评价工作小组在搜集准备了有关资料，对所有资料进行核实、验证。通过项目资料卷研究、实地调研、集中座谈、随机抽样等方式，对被评价项目的相关资料信息进行收集、整理、分析，以评价该项目在项目投入、项目过程上是否依法依规，在项目绩效方面是否高效可持续。</w:t>
      </w:r>
    </w:p>
    <w:p w14:paraId="1BC41275">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3.绩效评价分析阶段</w:t>
      </w:r>
    </w:p>
    <w:p w14:paraId="59F5AB4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经过项目实施部室对收集到的资料、调查问卷统计结果，分析和评价项目绩效，采用变化分析，通过比较指标的实际情况与预期数据对应程度，最终确认评价结果。</w:t>
      </w:r>
    </w:p>
    <w:p w14:paraId="715F627C">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在绩效评价指标内，根据项目实施的实际情况，选择相应的评估指标，对收集到的资料及数据进行具体分析，将分析结果与预算标准、指标体系、项目管理制度、财务资金管理制度等资料进行比对，根据各项评价指标，初步确定项目绩效的评价结果。</w:t>
      </w:r>
    </w:p>
    <w:p w14:paraId="07813B7E">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4.绩效评价汇总阶段</w:t>
      </w:r>
    </w:p>
    <w:p w14:paraId="4F5EC3A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对初步确定项目绩效的评价结果进行逐级复核、汇总、分析，核查评价工作中是否存在重复和遗漏的情况。在此基础上，撰写项目绩效评价报告初稿，经分管领导审核。</w:t>
      </w:r>
    </w:p>
    <w:p w14:paraId="6251BAD3">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5.提交报告阶段</w:t>
      </w:r>
    </w:p>
    <w:p w14:paraId="20FE822F">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经评价工作组修订后，将项目绩效评价报告初稿，呈报主要领导复核审定后，正式提交的绩效评价报告。</w:t>
      </w:r>
    </w:p>
    <w:p w14:paraId="58E84444">
      <w:pPr>
        <w:spacing w:line="560" w:lineRule="exact"/>
        <w:ind w:firstLine="640" w:firstLineChars="200"/>
        <w:rPr>
          <w:rFonts w:ascii="仿宋_GB2312"/>
          <w:sz w:val="32"/>
          <w:szCs w:val="32"/>
        </w:rPr>
      </w:pPr>
      <w:r>
        <w:rPr>
          <w:rFonts w:hint="eastAsia" w:ascii="黑体" w:hAnsi="黑体" w:eastAsia="黑体"/>
          <w:sz w:val="32"/>
          <w:szCs w:val="32"/>
        </w:rPr>
        <w:t>三、综合评价情况及评价结论</w:t>
      </w:r>
      <w:r>
        <w:rPr>
          <w:rFonts w:hint="eastAsia" w:ascii="仿宋_GB2312"/>
          <w:sz w:val="32"/>
          <w:szCs w:val="32"/>
        </w:rPr>
        <w:t>（附相关评分表）</w:t>
      </w:r>
    </w:p>
    <w:p w14:paraId="1E667729">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（一）项目总体评价结论</w:t>
      </w:r>
    </w:p>
    <w:p w14:paraId="79B3B385">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2019年巴州团委以绩效评价指标体系为基础，根据已核实准确的资料计算各指标的实际值和得分，并汇总得出2019年巴州本级财政专项资金支出进行自评。绩效自评得分96分，绩效等级为优。</w:t>
      </w:r>
    </w:p>
    <w:p w14:paraId="12761973">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（二）项目评价结果</w:t>
      </w:r>
    </w:p>
    <w:p w14:paraId="502B27F9">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经过综合评定，本项目基本完成既定的各项目标。</w:t>
      </w:r>
    </w:p>
    <w:p w14:paraId="10E1E291">
      <w:pPr>
        <w:spacing w:line="560" w:lineRule="exact"/>
        <w:ind w:firstLine="640" w:firstLineChars="200"/>
        <w:rPr>
          <w:rFonts w:ascii="黑体" w:hAnsi="黑体" w:eastAsia="黑体"/>
          <w:sz w:val="32"/>
          <w:szCs w:val="32"/>
        </w:rPr>
      </w:pPr>
      <w:bookmarkStart w:id="5" w:name="_Toc26319315"/>
      <w:r>
        <w:rPr>
          <w:rFonts w:hint="eastAsia" w:ascii="黑体" w:hAnsi="黑体" w:eastAsia="黑体"/>
          <w:sz w:val="32"/>
          <w:szCs w:val="32"/>
        </w:rPr>
        <w:t>四、绩效评价指标分析</w:t>
      </w:r>
    </w:p>
    <w:p w14:paraId="30D93C82">
      <w:pPr>
        <w:pStyle w:val="3"/>
        <w:numPr>
          <w:ilvl w:val="0"/>
          <w:numId w:val="0"/>
        </w:numPr>
        <w:spacing w:before="0" w:after="0" w:line="560" w:lineRule="exact"/>
        <w:ind w:firstLine="640" w:firstLineChars="200"/>
        <w:rPr>
          <w:rFonts w:ascii="楷体_GB2312" w:hAnsi="楷体_GB2312" w:eastAsia="楷体_GB2312" w:cs="楷体_GB2312"/>
          <w:b w:val="0"/>
          <w:bCs w:val="0"/>
        </w:rPr>
      </w:pPr>
      <w:r>
        <w:rPr>
          <w:rFonts w:hint="eastAsia" w:ascii="楷体_GB2312" w:hAnsi="楷体_GB2312" w:eastAsia="楷体_GB2312" w:cs="楷体_GB2312"/>
          <w:b w:val="0"/>
          <w:bCs w:val="0"/>
        </w:rPr>
        <w:t>（一）项目</w:t>
      </w:r>
      <w:bookmarkEnd w:id="5"/>
      <w:r>
        <w:rPr>
          <w:rFonts w:hint="eastAsia" w:ascii="楷体_GB2312" w:hAnsi="楷体_GB2312" w:eastAsia="楷体_GB2312" w:cs="楷体_GB2312"/>
          <w:b w:val="0"/>
          <w:bCs w:val="0"/>
        </w:rPr>
        <w:t>决策情况</w:t>
      </w:r>
    </w:p>
    <w:p w14:paraId="1A75AA95">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1.项目立项</w:t>
      </w:r>
    </w:p>
    <w:p w14:paraId="07C0CB6A">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①</w:t>
      </w:r>
      <w:r>
        <w:rPr>
          <w:rFonts w:hint="eastAsia" w:ascii="仿宋_GB2312" w:hAnsi="仿宋_GB2312" w:cs="仿宋_GB2312"/>
          <w:b/>
          <w:bCs/>
          <w:sz w:val="32"/>
          <w:szCs w:val="32"/>
        </w:rPr>
        <w:t>立项依据充分性。</w:t>
      </w:r>
      <w:r>
        <w:rPr>
          <w:rFonts w:hint="eastAsia" w:ascii="仿宋_GB2312" w:hAnsi="仿宋_GB2312" w:cs="仿宋_GB2312"/>
          <w:sz w:val="32"/>
          <w:szCs w:val="32"/>
        </w:rPr>
        <w:t>按照年初预算绩效目标实施，与项目年度任务数或计划数相对应；与预算确定的项目投资额或资金量相匹配，并已全部完成。此立项依据具有充分性。</w:t>
      </w:r>
    </w:p>
    <w:p w14:paraId="6C4D7723">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②</w:t>
      </w:r>
      <w:r>
        <w:rPr>
          <w:rFonts w:hint="eastAsia" w:ascii="仿宋_GB2312" w:hAnsi="仿宋_GB2312" w:cs="仿宋_GB2312"/>
          <w:b/>
          <w:bCs/>
          <w:sz w:val="32"/>
          <w:szCs w:val="32"/>
        </w:rPr>
        <w:t>目标设置。</w:t>
      </w:r>
      <w:r>
        <w:rPr>
          <w:rFonts w:hint="eastAsia" w:ascii="仿宋_GB2312" w:hAnsi="仿宋_GB2312" w:cs="仿宋_GB2312"/>
          <w:sz w:val="32"/>
          <w:szCs w:val="32"/>
        </w:rPr>
        <w:t>主要考查目标设置的完整性、合理性和可衡量性。根据项目提交的评价基础信息表，该项目的目标设置涵盖了项目总目标和分目标、项目产出数量、质量、项目预算成本控制以及项目效益等内容，项目绩效目标设置完整和合理。</w:t>
      </w:r>
    </w:p>
    <w:p w14:paraId="20AA4CA3">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③</w:t>
      </w:r>
      <w:r>
        <w:rPr>
          <w:rFonts w:hint="eastAsia" w:ascii="仿宋_GB2312" w:hAnsi="仿宋_GB2312" w:cs="仿宋_GB2312"/>
          <w:b/>
          <w:bCs/>
          <w:sz w:val="32"/>
          <w:szCs w:val="32"/>
        </w:rPr>
        <w:t>保障措施。</w:t>
      </w:r>
      <w:r>
        <w:rPr>
          <w:rFonts w:hint="eastAsia" w:ascii="仿宋_GB2312" w:hAnsi="仿宋_GB2312" w:cs="仿宋_GB2312"/>
          <w:sz w:val="32"/>
          <w:szCs w:val="32"/>
        </w:rPr>
        <w:t>制度保障上，项目实施机构健全，专款专用意识强，能制定良好的财务制度以确保资金使用合规合理，工作有序开展，能完成预计实施进度。</w:t>
      </w:r>
    </w:p>
    <w:p w14:paraId="38FD634D">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2.资金落实</w:t>
      </w:r>
    </w:p>
    <w:p w14:paraId="0764548D">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①</w:t>
      </w:r>
      <w:r>
        <w:rPr>
          <w:rFonts w:hint="eastAsia" w:ascii="仿宋_GB2312" w:hAnsi="仿宋_GB2312" w:cs="仿宋_GB2312"/>
          <w:b/>
          <w:bCs/>
          <w:sz w:val="32"/>
          <w:szCs w:val="32"/>
        </w:rPr>
        <w:t>资金到位。</w:t>
      </w:r>
      <w:r>
        <w:rPr>
          <w:rFonts w:hint="eastAsia" w:ascii="仿宋_GB2312" w:hAnsi="仿宋_GB2312" w:cs="仿宋_GB2312"/>
          <w:sz w:val="32"/>
          <w:szCs w:val="32"/>
        </w:rPr>
        <w:t>包括资金到位率和资金到位及时率。根据州财政厅资金下达文件，评价时间段内，西部计划地方项目招募宣讲项目专项资金已全部下拨至巴州团委财政大平台，到位率100%。</w:t>
      </w:r>
    </w:p>
    <w:p w14:paraId="78CD6C7D">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②</w:t>
      </w:r>
      <w:r>
        <w:rPr>
          <w:rFonts w:hint="eastAsia" w:ascii="仿宋_GB2312" w:hAnsi="仿宋_GB2312" w:cs="仿宋_GB2312"/>
          <w:b/>
          <w:bCs/>
          <w:sz w:val="32"/>
          <w:szCs w:val="32"/>
        </w:rPr>
        <w:t>资金分配。</w:t>
      </w:r>
      <w:bookmarkStart w:id="6" w:name="_Toc24390844"/>
      <w:r>
        <w:rPr>
          <w:rFonts w:hint="eastAsia" w:ascii="仿宋_GB2312" w:hAnsi="仿宋_GB2312" w:cs="仿宋_GB2312"/>
          <w:sz w:val="32"/>
          <w:szCs w:val="32"/>
        </w:rPr>
        <w:t>该项目年度预算15.42万元，年度实际支出15.42万元，预算金额与实际支付总量相符，专项实际支出项目与预算规定的经费用途相符，并且在业务发生后据实支付。</w:t>
      </w:r>
    </w:p>
    <w:p w14:paraId="67E6D22D">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14:paraId="7516FC0C">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主要评价项目的资金支付情况和支出是否规范，项目的实施程序是否规范和监管是否有效。</w:t>
      </w:r>
    </w:p>
    <w:p w14:paraId="7ACEBDE2">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1.资金管理</w:t>
      </w:r>
    </w:p>
    <w:p w14:paraId="75B63397">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①</w:t>
      </w:r>
      <w:r>
        <w:rPr>
          <w:rFonts w:hint="eastAsia" w:ascii="仿宋_GB2312" w:hAnsi="仿宋_GB2312" w:cs="仿宋_GB2312"/>
          <w:b/>
          <w:bCs/>
          <w:sz w:val="32"/>
          <w:szCs w:val="32"/>
        </w:rPr>
        <w:t>资金支付。</w:t>
      </w:r>
      <w:r>
        <w:rPr>
          <w:rFonts w:hint="eastAsia" w:ascii="仿宋_GB2312" w:hAnsi="仿宋_GB2312" w:cs="仿宋_GB2312"/>
          <w:sz w:val="32"/>
          <w:szCs w:val="32"/>
        </w:rPr>
        <w:t>该项目资金根据年初制定计划，已实施完成。资金的支付有完整的审批程序和手续；且符合项目预算批复规定的用途；不存在截留、挤占、挪用、虚列支出等情况。</w:t>
      </w:r>
    </w:p>
    <w:p w14:paraId="22F204EE">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②</w:t>
      </w:r>
      <w:r>
        <w:rPr>
          <w:rFonts w:hint="eastAsia" w:ascii="仿宋_GB2312" w:hAnsi="仿宋_GB2312" w:cs="仿宋_GB2312"/>
          <w:b/>
          <w:bCs/>
          <w:sz w:val="32"/>
          <w:szCs w:val="32"/>
        </w:rPr>
        <w:t>支出规范性。</w:t>
      </w:r>
      <w:r>
        <w:rPr>
          <w:rFonts w:hint="eastAsia" w:ascii="仿宋_GB2312" w:hAnsi="仿宋_GB2312" w:cs="仿宋_GB2312"/>
          <w:sz w:val="32"/>
          <w:szCs w:val="32"/>
        </w:rPr>
        <w:t>该项资金的使用符合财政专项资金管理办法的规定。资金支付有完整的审批程序和手续，不存在支出依据不合规、虚列支出情况。会计核算规范，实行专款专用；根据年度决算和资金管理情况，财务信息真实、完整、财务报表统计及时准确性等方面均达到相关要求。</w:t>
      </w:r>
    </w:p>
    <w:p w14:paraId="673D0FB2">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2.事项管理</w:t>
      </w:r>
    </w:p>
    <w:p w14:paraId="1B383AE3">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①</w:t>
      </w:r>
      <w:r>
        <w:rPr>
          <w:rFonts w:hint="eastAsia" w:ascii="仿宋_GB2312" w:hAnsi="仿宋_GB2312" w:cs="仿宋_GB2312"/>
          <w:b/>
          <w:bCs/>
          <w:sz w:val="32"/>
          <w:szCs w:val="32"/>
        </w:rPr>
        <w:t>实施程序。</w:t>
      </w:r>
      <w:r>
        <w:rPr>
          <w:rFonts w:hint="eastAsia" w:ascii="仿宋_GB2312" w:hAnsi="仿宋_GB2312" w:cs="仿宋_GB2312"/>
          <w:sz w:val="32"/>
          <w:szCs w:val="32"/>
        </w:rPr>
        <w:t>我委在日常管理中，遵守有关规章制度，严格落实支出程序，特别是项目资金，严格执行报批手续，做到事前有预算，使用过程按工作计划和规定标准据实列支，事后结算。</w:t>
      </w:r>
    </w:p>
    <w:p w14:paraId="3A2B4DD4">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②</w:t>
      </w:r>
      <w:r>
        <w:rPr>
          <w:rFonts w:hint="eastAsia" w:ascii="仿宋_GB2312" w:hAnsi="仿宋_GB2312" w:cs="仿宋_GB2312"/>
          <w:b/>
          <w:bCs/>
          <w:sz w:val="32"/>
          <w:szCs w:val="32"/>
        </w:rPr>
        <w:t>管理情况。</w:t>
      </w:r>
      <w:r>
        <w:rPr>
          <w:rFonts w:hint="eastAsia" w:ascii="仿宋_GB2312" w:hAnsi="仿宋_GB2312" w:cs="仿宋_GB2312"/>
          <w:sz w:val="32"/>
          <w:szCs w:val="32"/>
        </w:rPr>
        <w:t>我委建立有效管理机制，执行情况良好，业务部室按规定对项目实施开展自查、监控，达到监管有效性。</w:t>
      </w:r>
    </w:p>
    <w:p w14:paraId="3211971F">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14:paraId="5B46839B">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主要考察项目的预算成本控制，产出时效、产出质量、产出数量等产出情况。</w:t>
      </w:r>
    </w:p>
    <w:p w14:paraId="11A8157D">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1.预算控制</w:t>
      </w:r>
    </w:p>
    <w:p w14:paraId="758D1916">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严格按照专项资金管理办法等有关规定据实支出，保障专项资金平稳运行。项目预算执行进度与工作完成进度相匹配，支出结果未超预算。该项目专项支出按年初预算执行未出现超支现象。</w:t>
      </w:r>
    </w:p>
    <w:p w14:paraId="71A6BE51">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2.成本控制</w:t>
      </w:r>
    </w:p>
    <w:p w14:paraId="16E747DC">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严格按照</w:t>
      </w:r>
      <w:r>
        <w:rPr>
          <w:rFonts w:hint="eastAsia" w:ascii="仿宋_GB2312" w:hAnsi="仿宋_GB2312" w:cs="仿宋_GB2312"/>
          <w:sz w:val="32"/>
          <w:szCs w:val="32"/>
          <w:lang w:eastAsia="zh-CN"/>
        </w:rPr>
        <w:t>中央八项规定</w:t>
      </w:r>
      <w:bookmarkStart w:id="7" w:name="_GoBack"/>
      <w:bookmarkEnd w:id="7"/>
      <w:r>
        <w:rPr>
          <w:rFonts w:hint="eastAsia" w:ascii="仿宋_GB2312" w:hAnsi="仿宋_GB2312" w:cs="仿宋_GB2312"/>
          <w:sz w:val="32"/>
          <w:szCs w:val="32"/>
        </w:rPr>
        <w:t>及州党委、州政府厉行节约等有关规定和工作要求控制支出，完成海报、宣传单制作印刷，安排好宣讲团成员食宿，做好保障宣讲效果的前提下，尽量节约开支。在宣传品制作方面，我们坚持厉行节约，实行政府协议采购，本地制作，宣讲地印刷，坚持网上议价、货比三家的原则。项目实施成本基本属于合理范围。</w:t>
      </w:r>
    </w:p>
    <w:p w14:paraId="1E5C4CEE">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3.产出时效</w:t>
      </w:r>
    </w:p>
    <w:p w14:paraId="0A594F96">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该项目于2019年12月30日前完成。</w:t>
      </w:r>
    </w:p>
    <w:p w14:paraId="505FA699">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4.产出数量与质量</w:t>
      </w:r>
    </w:p>
    <w:bookmarkEnd w:id="6"/>
    <w:p w14:paraId="5BFDAB1C">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①</w:t>
      </w:r>
      <w:r>
        <w:rPr>
          <w:rFonts w:hint="eastAsia" w:ascii="仿宋_GB2312" w:hAnsi="仿宋_GB2312" w:cs="仿宋_GB2312"/>
          <w:b/>
          <w:bCs/>
          <w:sz w:val="32"/>
          <w:szCs w:val="32"/>
        </w:rPr>
        <w:t>赴内地开展西部计划招募宣讲。</w:t>
      </w:r>
      <w:r>
        <w:rPr>
          <w:rFonts w:hint="eastAsia" w:ascii="仿宋_GB2312" w:hAnsi="仿宋_GB2312" w:cs="仿宋_GB2312"/>
          <w:sz w:val="32"/>
          <w:szCs w:val="32"/>
        </w:rPr>
        <w:t>经过州党委批准，先后两次分别一名州领导带队和团委主要领导带队，组建大学生志愿服务西部计划优秀志愿者宣讲团，赴河北、山东、河南、山西、上海、浙江等省市相关高校开展西部计划优秀志愿者先进事迹宣讲活动，开展优秀招募宣讲报告。共宣讲20场次。</w:t>
      </w:r>
    </w:p>
    <w:p w14:paraId="2B27B38F">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②</w:t>
      </w:r>
      <w:r>
        <w:rPr>
          <w:rFonts w:hint="eastAsia" w:ascii="仿宋_GB2312" w:hAnsi="仿宋_GB2312" w:cs="仿宋_GB2312"/>
          <w:b/>
          <w:bCs/>
          <w:sz w:val="32"/>
          <w:szCs w:val="32"/>
        </w:rPr>
        <w:t>乌鲁木齐开展西部计划培训派遣。</w:t>
      </w:r>
      <w:r>
        <w:rPr>
          <w:rFonts w:hint="eastAsia" w:ascii="仿宋_GB2312" w:hAnsi="仿宋_GB2312" w:cs="仿宋_GB2312"/>
          <w:sz w:val="32"/>
          <w:szCs w:val="32"/>
        </w:rPr>
        <w:t>州团委副书记带队前往乌鲁木齐参加迎接2019级新一届西部计划志愿者。截止8月20日，我州到岗西部计划志愿者1175人（含往届续签志愿者），其中：中央项目204人，地方项目志愿者9971人（其中州直108人）。</w:t>
      </w:r>
    </w:p>
    <w:p w14:paraId="4EFDA04A">
      <w:pPr>
        <w:spacing w:line="560" w:lineRule="exact"/>
        <w:ind w:firstLine="643" w:firstLineChars="200"/>
        <w:rPr>
          <w:rFonts w:ascii="仿宋_GB2312" w:hAnsi="仿宋_GB2312" w:cs="仿宋_GB2312"/>
          <w:sz w:val="32"/>
          <w:szCs w:val="32"/>
        </w:rPr>
      </w:pPr>
      <w:r>
        <w:rPr>
          <w:rFonts w:hint="eastAsia" w:ascii="宋体" w:hAnsi="宋体" w:eastAsia="宋体" w:cs="宋体"/>
          <w:b/>
          <w:bCs/>
          <w:sz w:val="32"/>
          <w:szCs w:val="32"/>
        </w:rPr>
        <w:t>③</w:t>
      </w:r>
      <w:r>
        <w:rPr>
          <w:rFonts w:hint="eastAsia" w:ascii="仿宋_GB2312" w:hAnsi="仿宋_GB2312" w:cs="仿宋_GB2312"/>
          <w:b/>
          <w:bCs/>
          <w:sz w:val="32"/>
          <w:szCs w:val="32"/>
        </w:rPr>
        <w:t>高校招募宣讲和派遣培训。</w:t>
      </w:r>
      <w:r>
        <w:rPr>
          <w:rFonts w:hint="eastAsia" w:ascii="仿宋_GB2312" w:hAnsi="仿宋_GB2312" w:cs="仿宋_GB2312"/>
          <w:sz w:val="32"/>
          <w:szCs w:val="32"/>
        </w:rPr>
        <w:t>根据自治区团委安排，完成所到省市高校宣讲任务，做到派遣志愿者培训率100%。</w:t>
      </w:r>
    </w:p>
    <w:p w14:paraId="29E2A97A">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5.资金预算</w:t>
      </w:r>
    </w:p>
    <w:p w14:paraId="16DCC131">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项目预算15.42万元。主要用于赴内地开展大学生志愿服务西部计划优秀志愿者宣讲团成员差旅费，制作西部计划招募宣传片、印制宣传海报等支出。</w:t>
      </w:r>
    </w:p>
    <w:p w14:paraId="73C6C174">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14:paraId="70458257">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主要考察该项目的资金创造经济收入、社会效益、用户满意度等情况。</w:t>
      </w:r>
    </w:p>
    <w:p w14:paraId="7FC5BF96">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1.社会效益</w:t>
      </w:r>
    </w:p>
    <w:p w14:paraId="70B7F817">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西部计划地方项目招募宣讲项目成效显著。经过州党委批准，先后两次分别一名州领导带队和团委主要领导带队，组建大学生志愿服务西部计划优秀志愿者宣讲团，赴河北、山东、河南、山西、上海、浙江等省市相关高校开展西部计划优秀志愿者先进事迹宣讲活动，开展优秀招募宣讲报告，共宣讲20场次。截止8月20日，我州到岗西部计划志愿者1175人（含往届续签志愿者），其中：中央项目204人，地方项目志愿者9971人（其中州直108人）。</w:t>
      </w:r>
    </w:p>
    <w:p w14:paraId="3930FF14">
      <w:pPr>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2.满意度</w:t>
      </w:r>
    </w:p>
    <w:p w14:paraId="417DA18A">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综合分析，项目实施后，西部计划巴州地方项目巴州将成为引进人才的重要渠道。西部计划志愿者通过1-3年的志愿服务，促进全面熟练掌握各类知识，提高综合素质。通过各服务单位关心、关爱志愿者，积极提供平台，激发志愿者干事创业的激情与热情，确保志愿者引得进、干得好、留得住。参与西部计划高校毕业生和西部计划志愿者满意度较高。</w:t>
      </w:r>
    </w:p>
    <w:p w14:paraId="2108CE9D">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14:paraId="79AED52E">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w:t>
      </w:r>
      <w:r>
        <w:rPr>
          <w:rFonts w:hint="eastAsia" w:ascii="黑体" w:hAnsi="黑体" w:eastAsia="黑体" w:cs="黑体"/>
          <w:sz w:val="32"/>
          <w:szCs w:val="32"/>
        </w:rPr>
        <w:t>主要经验及做法</w:t>
      </w:r>
    </w:p>
    <w:p w14:paraId="2D0AB513">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大学生西部计划项目西部计划项目在巴州实施十六年来，广大西部计划大学生志愿者高扬了理想主义旗帜，唱响了“到西部去、到基层去、到祖国最需要的地方去”的时代主旋律，一批接着一批，一大批西部计划志愿者已扎根巴州、建设巴州，在新疆巴州大地留下了他们厚重的足迹。大学生西部计划项目西部计划项目已经成为巴州人才引进的品牌，成为到西部基层服务的导向工程和培养优秀青年的人才工程。</w:t>
      </w:r>
    </w:p>
    <w:p w14:paraId="51311CB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新时代，在西部计划优良传统的影响下，一批批高校毕业生选择参加西部计划，选择新疆来到巴州，融入基层；一批批优秀的西部计划志愿者在巴州这块热土上，播下青春梦想的种子，并生根发芽，像且末县保定学院西部支教毕业生群体一样成为践行梦想、服务人民、奉献边疆的建设者。</w:t>
      </w:r>
    </w:p>
    <w:p w14:paraId="00CC8164">
      <w:pPr>
        <w:spacing w:line="560" w:lineRule="exact"/>
        <w:ind w:firstLine="640" w:firstLineChars="200"/>
        <w:rPr>
          <w:rFonts w:ascii="楷体_GB2312" w:hAnsi="楷体_GB2312" w:eastAsia="楷体_GB2312" w:cs="楷体_GB2312"/>
          <w:color w:val="FF0000"/>
          <w:sz w:val="32"/>
          <w:szCs w:val="32"/>
        </w:rPr>
      </w:pPr>
      <w:r>
        <w:rPr>
          <w:rFonts w:hint="eastAsia" w:ascii="楷体_GB2312" w:hAnsi="楷体_GB2312" w:eastAsia="楷体_GB2312" w:cs="楷体_GB2312"/>
          <w:sz w:val="32"/>
          <w:szCs w:val="32"/>
        </w:rPr>
        <w:t>（二）</w:t>
      </w:r>
      <w:r>
        <w:rPr>
          <w:rFonts w:hint="eastAsia" w:ascii="黑体" w:hAnsi="黑体" w:eastAsia="黑体" w:cs="黑体"/>
          <w:sz w:val="32"/>
          <w:szCs w:val="32"/>
        </w:rPr>
        <w:t>存在的问题及原因分析</w:t>
      </w:r>
    </w:p>
    <w:p w14:paraId="0C64DF94">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1.没机构、缺少编制，管理服务西部计划工作专职工作人员。</w:t>
      </w:r>
    </w:p>
    <w:p w14:paraId="0A7740AC">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2.由于新疆较内地艰苦，每年都会部分志愿者因无法适应服务地的自然环境和工作条件而结束服务期。</w:t>
      </w:r>
    </w:p>
    <w:p w14:paraId="40F97F52">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3.鼓励西部计划者留疆的优惠政策不够，吸引志愿者留疆、留巴州工作的力度不大。</w:t>
      </w:r>
    </w:p>
    <w:p w14:paraId="7CD2344E">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7A6F1F58">
      <w:pPr>
        <w:spacing w:line="560" w:lineRule="exact"/>
        <w:ind w:firstLine="640" w:firstLineChars="200"/>
        <w:rPr>
          <w:rFonts w:ascii="仿宋_GB2312" w:hAnsi="仿宋_GB2312" w:cs="仿宋_GB2312"/>
          <w:sz w:val="32"/>
          <w:szCs w:val="32"/>
        </w:rPr>
      </w:pPr>
      <w:r>
        <w:rPr>
          <w:rFonts w:hint="eastAsia" w:ascii="黑体" w:hAnsi="黑体" w:eastAsia="黑体" w:cs="黑体"/>
          <w:sz w:val="32"/>
          <w:szCs w:val="32"/>
        </w:rPr>
        <w:t>1.</w:t>
      </w:r>
      <w:r>
        <w:rPr>
          <w:rFonts w:hint="eastAsia" w:ascii="仿宋_GB2312" w:hAnsi="仿宋_GB2312" w:cs="仿宋_GB2312"/>
          <w:sz w:val="32"/>
          <w:szCs w:val="32"/>
        </w:rPr>
        <w:t>出台通过公开招聘方式，鼓励志愿者留巴州就业创业的优惠政策，吸引优秀志愿者留巴州工作。</w:t>
      </w:r>
    </w:p>
    <w:p w14:paraId="7341866A">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2.增加财政拨款，提高到巴州服务的西部计划志愿者生活补助标准，稳定西部计划志愿者续签率。</w:t>
      </w:r>
    </w:p>
    <w:p w14:paraId="11FB94F9">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七、其他需要说明的原因</w:t>
      </w:r>
    </w:p>
    <w:p w14:paraId="43B17E35">
      <w:pPr>
        <w:spacing w:line="560" w:lineRule="exact"/>
        <w:ind w:firstLine="640" w:firstLineChars="200"/>
        <w:contextualSpacing/>
        <w:rPr>
          <w:rFonts w:ascii="仿宋" w:hAnsi="仿宋" w:eastAsia="仿宋" w:cs="仿宋"/>
          <w:sz w:val="32"/>
          <w:szCs w:val="32"/>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32"/>
          <w:szCs w:val="32"/>
        </w:rPr>
        <w:t>无</w:t>
      </w:r>
    </w:p>
    <w:tbl>
      <w:tblPr>
        <w:tblStyle w:val="8"/>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10EBF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1A8E4BE4">
            <w:pPr>
              <w:widowControl/>
              <w:spacing w:line="0" w:lineRule="atLeast"/>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一级指标</w:t>
            </w:r>
          </w:p>
        </w:tc>
        <w:tc>
          <w:tcPr>
            <w:tcW w:w="1297" w:type="dxa"/>
            <w:tcBorders>
              <w:tl2br w:val="nil"/>
              <w:tr2bl w:val="nil"/>
            </w:tcBorders>
            <w:shd w:val="clear" w:color="auto" w:fill="FFFFFF"/>
            <w:vAlign w:val="center"/>
          </w:tcPr>
          <w:p w14:paraId="5A3EA078">
            <w:pPr>
              <w:widowControl/>
              <w:spacing w:line="0" w:lineRule="atLeast"/>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二级指标</w:t>
            </w:r>
          </w:p>
        </w:tc>
        <w:tc>
          <w:tcPr>
            <w:tcW w:w="1411" w:type="dxa"/>
            <w:tcBorders>
              <w:tl2br w:val="nil"/>
              <w:tr2bl w:val="nil"/>
            </w:tcBorders>
            <w:shd w:val="clear" w:color="auto" w:fill="FFFFFF"/>
            <w:vAlign w:val="center"/>
          </w:tcPr>
          <w:p w14:paraId="6D28A642">
            <w:pPr>
              <w:widowControl/>
              <w:spacing w:line="0" w:lineRule="atLeast"/>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三级指标</w:t>
            </w:r>
          </w:p>
        </w:tc>
        <w:tc>
          <w:tcPr>
            <w:tcW w:w="2789" w:type="dxa"/>
            <w:tcBorders>
              <w:tl2br w:val="nil"/>
              <w:tr2bl w:val="nil"/>
            </w:tcBorders>
            <w:shd w:val="clear" w:color="auto" w:fill="FFFFFF"/>
            <w:vAlign w:val="center"/>
          </w:tcPr>
          <w:p w14:paraId="0E7DABBF">
            <w:pPr>
              <w:widowControl/>
              <w:spacing w:line="0" w:lineRule="atLeast"/>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指标解释</w:t>
            </w:r>
          </w:p>
        </w:tc>
        <w:tc>
          <w:tcPr>
            <w:tcW w:w="7341" w:type="dxa"/>
            <w:tcBorders>
              <w:tl2br w:val="nil"/>
              <w:tr2bl w:val="nil"/>
            </w:tcBorders>
            <w:shd w:val="clear" w:color="auto" w:fill="FFFFFF"/>
            <w:vAlign w:val="center"/>
          </w:tcPr>
          <w:p w14:paraId="683B1A00">
            <w:pPr>
              <w:widowControl/>
              <w:spacing w:line="0" w:lineRule="atLeast"/>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vAlign w:val="center"/>
          </w:tcPr>
          <w:p w14:paraId="09C48CF8">
            <w:pPr>
              <w:widowControl/>
              <w:spacing w:line="0" w:lineRule="atLeast"/>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58A06551">
            <w:pPr>
              <w:widowControl/>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评价</w:t>
            </w:r>
          </w:p>
          <w:p w14:paraId="798B4085">
            <w:pPr>
              <w:widowControl/>
              <w:jc w:val="center"/>
              <w:rPr>
                <w:rFonts w:ascii="Times New Roman" w:hAnsi="Times New Roman" w:eastAsia="宋体" w:cs="Times New Roman"/>
                <w:b/>
                <w:bCs/>
                <w:color w:val="000000"/>
                <w:kern w:val="0"/>
                <w:sz w:val="22"/>
                <w:szCs w:val="22"/>
              </w:rPr>
            </w:pPr>
            <w:r>
              <w:rPr>
                <w:rFonts w:ascii="Times New Roman" w:hAnsi="Times New Roman" w:eastAsia="宋体" w:cs="Times New Roman"/>
                <w:b/>
                <w:bCs/>
                <w:color w:val="000000"/>
                <w:kern w:val="0"/>
                <w:sz w:val="22"/>
                <w:szCs w:val="22"/>
              </w:rPr>
              <w:t>结果</w:t>
            </w:r>
          </w:p>
        </w:tc>
      </w:tr>
      <w:tr w14:paraId="4DD946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18471758">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决策(20分)　</w:t>
            </w:r>
          </w:p>
          <w:p w14:paraId="572955C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　</w:t>
            </w:r>
          </w:p>
          <w:p w14:paraId="7042FEFF">
            <w:pPr>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　</w:t>
            </w:r>
          </w:p>
        </w:tc>
        <w:tc>
          <w:tcPr>
            <w:tcW w:w="1297" w:type="dxa"/>
            <w:vMerge w:val="restart"/>
            <w:tcBorders>
              <w:tl2br w:val="nil"/>
              <w:tr2bl w:val="nil"/>
            </w:tcBorders>
            <w:shd w:val="clear" w:color="auto" w:fill="FFFFFF"/>
            <w:vAlign w:val="center"/>
          </w:tcPr>
          <w:p w14:paraId="059E1B06">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项目立项（5分）　</w:t>
            </w:r>
          </w:p>
        </w:tc>
        <w:tc>
          <w:tcPr>
            <w:tcW w:w="1411" w:type="dxa"/>
            <w:tcBorders>
              <w:tl2br w:val="nil"/>
              <w:tr2bl w:val="nil"/>
            </w:tcBorders>
            <w:shd w:val="clear" w:color="auto" w:fill="FFFFFF"/>
            <w:vAlign w:val="center"/>
          </w:tcPr>
          <w:p w14:paraId="48CF23D3">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立项依据</w:t>
            </w:r>
          </w:p>
          <w:p w14:paraId="01CBE48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充分性</w:t>
            </w:r>
          </w:p>
        </w:tc>
        <w:tc>
          <w:tcPr>
            <w:tcW w:w="2789" w:type="dxa"/>
            <w:tcBorders>
              <w:tl2br w:val="nil"/>
              <w:tr2bl w:val="nil"/>
            </w:tcBorders>
            <w:shd w:val="clear" w:color="auto" w:fill="FFFFFF"/>
            <w:vAlign w:val="center"/>
          </w:tcPr>
          <w:p w14:paraId="6A75DDB6">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469B1A74">
            <w:pPr>
              <w:widowControl/>
              <w:spacing w:line="0" w:lineRule="atLeast"/>
              <w:jc w:val="lef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①项目立项是否符合国家法律法规、国民经济发展规划和相关政策；</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②项目立项是否符合行业发展规划和政策要求；</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③项目立项是否与部门职责范围相符，属于部门履职所需；</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④项目是否属于公共财政支持范围，是否符合中央、地方事权支出责任划分原则；</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vAlign w:val="center"/>
          </w:tcPr>
          <w:p w14:paraId="024B82C9">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FDA6C90">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3</w:t>
            </w:r>
          </w:p>
        </w:tc>
      </w:tr>
      <w:tr w14:paraId="0DEB8A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1ACF357D">
            <w:pPr>
              <w:spacing w:line="0" w:lineRule="atLeast"/>
              <w:jc w:val="center"/>
              <w:rPr>
                <w:rFonts w:ascii="Times New Roman" w:hAnsi="Times New Roman" w:eastAsia="宋体" w:cs="Times New Roman"/>
                <w:color w:val="000000"/>
                <w:kern w:val="0"/>
                <w:sz w:val="22"/>
                <w:szCs w:val="22"/>
              </w:rPr>
            </w:pPr>
          </w:p>
        </w:tc>
        <w:tc>
          <w:tcPr>
            <w:tcW w:w="1297" w:type="dxa"/>
            <w:vMerge w:val="continue"/>
            <w:tcBorders>
              <w:tl2br w:val="nil"/>
              <w:tr2bl w:val="nil"/>
            </w:tcBorders>
            <w:shd w:val="clear" w:color="auto" w:fill="FFFFFF"/>
            <w:vAlign w:val="center"/>
          </w:tcPr>
          <w:p w14:paraId="3095757A">
            <w:pPr>
              <w:widowControl/>
              <w:spacing w:line="0" w:lineRule="atLeast"/>
              <w:jc w:val="center"/>
              <w:rPr>
                <w:rFonts w:ascii="Times New Roman" w:hAnsi="Times New Roman" w:eastAsia="宋体" w:cs="Times New Roman"/>
                <w:color w:val="000000"/>
                <w:kern w:val="0"/>
                <w:sz w:val="22"/>
                <w:szCs w:val="22"/>
              </w:rPr>
            </w:pPr>
          </w:p>
        </w:tc>
        <w:tc>
          <w:tcPr>
            <w:tcW w:w="1411" w:type="dxa"/>
            <w:tcBorders>
              <w:tl2br w:val="nil"/>
              <w:tr2bl w:val="nil"/>
            </w:tcBorders>
            <w:shd w:val="clear" w:color="auto" w:fill="FFFFFF"/>
            <w:vAlign w:val="center"/>
          </w:tcPr>
          <w:p w14:paraId="22673359">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立项程序</w:t>
            </w:r>
          </w:p>
          <w:p w14:paraId="6D4F8366">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规范性</w:t>
            </w:r>
          </w:p>
        </w:tc>
        <w:tc>
          <w:tcPr>
            <w:tcW w:w="2789" w:type="dxa"/>
            <w:tcBorders>
              <w:tl2br w:val="nil"/>
              <w:tr2bl w:val="nil"/>
            </w:tcBorders>
            <w:shd w:val="clear" w:color="auto" w:fill="FFFFFF"/>
            <w:vAlign w:val="center"/>
          </w:tcPr>
          <w:p w14:paraId="6DD12C0F">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16D7008">
            <w:pPr>
              <w:widowControl/>
              <w:spacing w:line="0" w:lineRule="atLeast"/>
              <w:jc w:val="lef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①项目是否按照规定的程序申请设立；</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②审批文件、材料是否符合相关要求；</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vAlign w:val="center"/>
          </w:tcPr>
          <w:p w14:paraId="368B2351">
            <w:pPr>
              <w:widowControl/>
              <w:jc w:val="center"/>
              <w:rPr>
                <w:rFonts w:ascii="Times New Roman" w:hAnsi="Times New Roman" w:eastAsia="宋体" w:cs="Times New Roman"/>
                <w:color w:val="000000"/>
                <w:kern w:val="0"/>
                <w:sz w:val="22"/>
                <w:szCs w:val="22"/>
              </w:rPr>
            </w:pPr>
          </w:p>
          <w:p w14:paraId="15DD8F40">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154BD13">
            <w:pPr>
              <w:widowControl/>
              <w:jc w:val="center"/>
              <w:rPr>
                <w:rFonts w:ascii="Times New Roman" w:hAnsi="Times New Roman" w:eastAsia="宋体" w:cs="Times New Roman"/>
                <w:color w:val="000000"/>
                <w:kern w:val="0"/>
                <w:sz w:val="22"/>
                <w:szCs w:val="22"/>
              </w:rPr>
            </w:pPr>
          </w:p>
          <w:p w14:paraId="715F0DEC">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2</w:t>
            </w:r>
          </w:p>
        </w:tc>
      </w:tr>
      <w:tr w14:paraId="54AB0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0E028398">
            <w:pPr>
              <w:spacing w:line="0" w:lineRule="atLeast"/>
              <w:jc w:val="center"/>
              <w:rPr>
                <w:rFonts w:ascii="Times New Roman" w:hAnsi="Times New Roman" w:eastAsia="宋体" w:cs="Times New Roman"/>
                <w:color w:val="000000"/>
                <w:kern w:val="0"/>
                <w:sz w:val="22"/>
                <w:szCs w:val="22"/>
              </w:rPr>
            </w:pPr>
          </w:p>
        </w:tc>
        <w:tc>
          <w:tcPr>
            <w:tcW w:w="1297" w:type="dxa"/>
            <w:vMerge w:val="restart"/>
            <w:tcBorders>
              <w:tl2br w:val="nil"/>
              <w:tr2bl w:val="nil"/>
            </w:tcBorders>
            <w:shd w:val="clear" w:color="auto" w:fill="FFFFFF"/>
            <w:vAlign w:val="center"/>
          </w:tcPr>
          <w:p w14:paraId="4AAED694">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绩效目标（</w:t>
            </w:r>
            <w:r>
              <w:rPr>
                <w:rFonts w:hint="eastAsia" w:ascii="Times New Roman" w:hAnsi="Times New Roman" w:eastAsia="宋体" w:cs="Times New Roman"/>
                <w:color w:val="000000"/>
                <w:kern w:val="0"/>
                <w:sz w:val="22"/>
                <w:szCs w:val="22"/>
              </w:rPr>
              <w:t>6分</w:t>
            </w:r>
            <w:r>
              <w:rPr>
                <w:rFonts w:ascii="Times New Roman" w:hAnsi="Times New Roman" w:eastAsia="宋体" w:cs="Times New Roman"/>
                <w:color w:val="000000"/>
                <w:kern w:val="0"/>
                <w:sz w:val="22"/>
                <w:szCs w:val="22"/>
              </w:rPr>
              <w:t>）　</w:t>
            </w:r>
          </w:p>
        </w:tc>
        <w:tc>
          <w:tcPr>
            <w:tcW w:w="1411" w:type="dxa"/>
            <w:tcBorders>
              <w:tl2br w:val="nil"/>
              <w:tr2bl w:val="nil"/>
            </w:tcBorders>
            <w:shd w:val="clear" w:color="auto" w:fill="FFFFFF"/>
            <w:vAlign w:val="center"/>
          </w:tcPr>
          <w:p w14:paraId="6EC3AB76">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绩效目标</w:t>
            </w:r>
          </w:p>
          <w:p w14:paraId="527617C7">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合理性</w:t>
            </w:r>
          </w:p>
        </w:tc>
        <w:tc>
          <w:tcPr>
            <w:tcW w:w="2789" w:type="dxa"/>
            <w:tcBorders>
              <w:tl2br w:val="nil"/>
              <w:tr2bl w:val="nil"/>
            </w:tcBorders>
            <w:shd w:val="clear" w:color="000000" w:fill="FFFFFF"/>
            <w:vAlign w:val="center"/>
          </w:tcPr>
          <w:p w14:paraId="397C03E3">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5469AFE8">
            <w:pPr>
              <w:widowControl/>
              <w:spacing w:line="0" w:lineRule="atLeast"/>
              <w:jc w:val="lef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（如未设定预算绩效目标，也可考核其他工作任务目标）</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①项目是否有绩效目标；</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②项目绩效目标与实际工作内容是否具有相关性；</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③项目预期产出效益和效果是否符合正常的业绩水平；</w:t>
            </w:r>
          </w:p>
          <w:p w14:paraId="39E79857">
            <w:pPr>
              <w:widowControl/>
              <w:spacing w:line="0" w:lineRule="atLeast"/>
              <w:jc w:val="lef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vAlign w:val="center"/>
          </w:tcPr>
          <w:p w14:paraId="6D944E4D">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B39C755">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1</w:t>
            </w:r>
          </w:p>
        </w:tc>
      </w:tr>
      <w:tr w14:paraId="65774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47C3581F">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决策（20分）　</w:t>
            </w:r>
          </w:p>
        </w:tc>
        <w:tc>
          <w:tcPr>
            <w:tcW w:w="1297" w:type="dxa"/>
            <w:vMerge w:val="continue"/>
            <w:tcBorders>
              <w:tl2br w:val="nil"/>
              <w:tr2bl w:val="nil"/>
            </w:tcBorders>
            <w:shd w:val="clear" w:color="auto" w:fill="FFFFFF"/>
            <w:vAlign w:val="center"/>
          </w:tcPr>
          <w:p w14:paraId="28DABD3A">
            <w:pPr>
              <w:widowControl/>
              <w:spacing w:line="0" w:lineRule="atLeast"/>
              <w:rPr>
                <w:rFonts w:ascii="Times New Roman" w:hAnsi="Times New Roman" w:eastAsia="宋体" w:cs="Times New Roman"/>
                <w:color w:val="000000"/>
                <w:kern w:val="0"/>
                <w:sz w:val="22"/>
                <w:szCs w:val="22"/>
              </w:rPr>
            </w:pPr>
          </w:p>
        </w:tc>
        <w:tc>
          <w:tcPr>
            <w:tcW w:w="1411" w:type="dxa"/>
            <w:tcBorders>
              <w:tl2br w:val="nil"/>
              <w:tr2bl w:val="nil"/>
            </w:tcBorders>
            <w:shd w:val="clear" w:color="auto" w:fill="FFFFFF"/>
            <w:vAlign w:val="center"/>
          </w:tcPr>
          <w:p w14:paraId="1A5CE34A">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绩效指标</w:t>
            </w:r>
          </w:p>
          <w:p w14:paraId="368881E7">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明确性</w:t>
            </w:r>
          </w:p>
        </w:tc>
        <w:tc>
          <w:tcPr>
            <w:tcW w:w="2789" w:type="dxa"/>
            <w:tcBorders>
              <w:tl2br w:val="nil"/>
              <w:tr2bl w:val="nil"/>
            </w:tcBorders>
            <w:shd w:val="clear" w:color="000000" w:fill="FFFFFF"/>
            <w:vAlign w:val="center"/>
          </w:tcPr>
          <w:p w14:paraId="12CC7E2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518403BD">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①是否将项目绩效目标细化分解为具体的绩效指标；</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②是否通过清晰、可衡量的指标值予以体现；</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③是否与项目目标任务数或计划数相对应。</w:t>
            </w:r>
            <w:r>
              <w:rPr>
                <w:rFonts w:ascii="Times New Roman" w:hAnsi="Times New Roman" w:eastAsia="宋体" w:cs="Times New Roman"/>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vAlign w:val="center"/>
          </w:tcPr>
          <w:p w14:paraId="5853D10F">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0BA7388C">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2</w:t>
            </w:r>
          </w:p>
        </w:tc>
      </w:tr>
      <w:tr w14:paraId="565E1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036FC6D8">
            <w:pPr>
              <w:spacing w:line="0" w:lineRule="atLeast"/>
              <w:jc w:val="center"/>
              <w:rPr>
                <w:rFonts w:ascii="Times New Roman" w:hAnsi="Times New Roman" w:eastAsia="宋体" w:cs="Times New Roman"/>
                <w:color w:val="000000"/>
                <w:kern w:val="0"/>
                <w:sz w:val="22"/>
                <w:szCs w:val="22"/>
              </w:rPr>
            </w:pPr>
          </w:p>
        </w:tc>
        <w:tc>
          <w:tcPr>
            <w:tcW w:w="1297" w:type="dxa"/>
            <w:vMerge w:val="restart"/>
            <w:tcBorders>
              <w:tl2br w:val="nil"/>
              <w:tr2bl w:val="nil"/>
            </w:tcBorders>
            <w:shd w:val="clear" w:color="auto" w:fill="FFFFFF"/>
            <w:vAlign w:val="center"/>
          </w:tcPr>
          <w:p w14:paraId="598EDAB3">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资金投入（</w:t>
            </w:r>
            <w:r>
              <w:rPr>
                <w:rFonts w:hint="eastAsia" w:ascii="Times New Roman" w:hAnsi="Times New Roman" w:eastAsia="宋体" w:cs="Times New Roman"/>
                <w:color w:val="000000"/>
                <w:kern w:val="0"/>
                <w:sz w:val="22"/>
                <w:szCs w:val="22"/>
              </w:rPr>
              <w:t>9分</w:t>
            </w:r>
            <w:r>
              <w:rPr>
                <w:rFonts w:ascii="Times New Roman" w:hAnsi="Times New Roman" w:eastAsia="宋体" w:cs="Times New Roman"/>
                <w:color w:val="000000"/>
                <w:kern w:val="0"/>
                <w:sz w:val="22"/>
                <w:szCs w:val="22"/>
              </w:rPr>
              <w:t>）</w:t>
            </w:r>
          </w:p>
          <w:p w14:paraId="0D9F3525">
            <w:pPr>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　</w:t>
            </w:r>
          </w:p>
        </w:tc>
        <w:tc>
          <w:tcPr>
            <w:tcW w:w="1411" w:type="dxa"/>
            <w:tcBorders>
              <w:tl2br w:val="nil"/>
              <w:tr2bl w:val="nil"/>
            </w:tcBorders>
            <w:shd w:val="clear" w:color="auto" w:fill="FFFFFF"/>
            <w:vAlign w:val="center"/>
          </w:tcPr>
          <w:p w14:paraId="1BADA5E4">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预算编制</w:t>
            </w:r>
          </w:p>
          <w:p w14:paraId="18A4D839">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科学性</w:t>
            </w:r>
          </w:p>
        </w:tc>
        <w:tc>
          <w:tcPr>
            <w:tcW w:w="2789" w:type="dxa"/>
            <w:tcBorders>
              <w:tl2br w:val="nil"/>
              <w:tr2bl w:val="nil"/>
            </w:tcBorders>
            <w:shd w:val="clear" w:color="auto" w:fill="FFFFFF"/>
            <w:vAlign w:val="center"/>
          </w:tcPr>
          <w:p w14:paraId="463492A3">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9F99049">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①预算编制是否经过科学论证；</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②预算内容与项目内容是否匹配；</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③预算额度测算依据是否充分，是否按照标准编制；</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vAlign w:val="center"/>
          </w:tcPr>
          <w:p w14:paraId="5C81806D">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7B98DDF1">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3</w:t>
            </w:r>
          </w:p>
        </w:tc>
      </w:tr>
      <w:tr w14:paraId="2C988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76EDC03C">
            <w:pPr>
              <w:widowControl/>
              <w:spacing w:line="0" w:lineRule="atLeast"/>
              <w:jc w:val="center"/>
              <w:rPr>
                <w:rFonts w:ascii="Times New Roman" w:hAnsi="Times New Roman" w:eastAsia="宋体" w:cs="Times New Roman"/>
                <w:color w:val="000000"/>
                <w:kern w:val="0"/>
                <w:sz w:val="22"/>
                <w:szCs w:val="22"/>
              </w:rPr>
            </w:pPr>
          </w:p>
        </w:tc>
        <w:tc>
          <w:tcPr>
            <w:tcW w:w="1297" w:type="dxa"/>
            <w:vMerge w:val="continue"/>
            <w:tcBorders>
              <w:tl2br w:val="nil"/>
              <w:tr2bl w:val="nil"/>
            </w:tcBorders>
            <w:shd w:val="clear" w:color="auto" w:fill="FFFFFF"/>
            <w:vAlign w:val="center"/>
          </w:tcPr>
          <w:p w14:paraId="5046D662">
            <w:pPr>
              <w:widowControl/>
              <w:spacing w:line="0" w:lineRule="atLeast"/>
              <w:jc w:val="center"/>
              <w:rPr>
                <w:rFonts w:ascii="Times New Roman" w:hAnsi="Times New Roman" w:eastAsia="宋体" w:cs="Times New Roman"/>
                <w:color w:val="000000"/>
                <w:kern w:val="0"/>
                <w:sz w:val="22"/>
                <w:szCs w:val="22"/>
              </w:rPr>
            </w:pPr>
          </w:p>
        </w:tc>
        <w:tc>
          <w:tcPr>
            <w:tcW w:w="1411" w:type="dxa"/>
            <w:tcBorders>
              <w:tl2br w:val="nil"/>
              <w:tr2bl w:val="nil"/>
            </w:tcBorders>
            <w:shd w:val="clear" w:color="auto" w:fill="FFFFFF"/>
            <w:vAlign w:val="center"/>
          </w:tcPr>
          <w:p w14:paraId="0E58D7C0">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资金分配</w:t>
            </w:r>
          </w:p>
          <w:p w14:paraId="5B77F42F">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合理性</w:t>
            </w:r>
          </w:p>
        </w:tc>
        <w:tc>
          <w:tcPr>
            <w:tcW w:w="2789" w:type="dxa"/>
            <w:tcBorders>
              <w:tl2br w:val="nil"/>
              <w:tr2bl w:val="nil"/>
            </w:tcBorders>
            <w:shd w:val="clear" w:color="auto" w:fill="FFFFFF"/>
            <w:vAlign w:val="center"/>
          </w:tcPr>
          <w:p w14:paraId="21D743AA">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31174BF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①预算资金分配依据是否充分；</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vAlign w:val="center"/>
          </w:tcPr>
          <w:p w14:paraId="7C185CE0">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1F8DD7A5">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5</w:t>
            </w:r>
          </w:p>
        </w:tc>
      </w:tr>
      <w:tr w14:paraId="0B871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291F51EE">
            <w:pPr>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过程（20分）</w:t>
            </w:r>
          </w:p>
        </w:tc>
        <w:tc>
          <w:tcPr>
            <w:tcW w:w="1297" w:type="dxa"/>
            <w:vMerge w:val="restart"/>
            <w:tcBorders>
              <w:tl2br w:val="nil"/>
              <w:tr2bl w:val="nil"/>
            </w:tcBorders>
            <w:shd w:val="clear" w:color="auto" w:fill="FFFFFF"/>
            <w:vAlign w:val="center"/>
          </w:tcPr>
          <w:p w14:paraId="232CA196">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资金管理（1</w:t>
            </w:r>
            <w:r>
              <w:rPr>
                <w:rFonts w:hint="eastAsia" w:ascii="Times New Roman" w:hAnsi="Times New Roman" w:eastAsia="宋体" w:cs="Times New Roman"/>
                <w:color w:val="000000"/>
                <w:kern w:val="0"/>
                <w:sz w:val="22"/>
                <w:szCs w:val="22"/>
              </w:rPr>
              <w:t>3</w:t>
            </w:r>
            <w:r>
              <w:rPr>
                <w:rFonts w:ascii="Times New Roman" w:hAnsi="Times New Roman" w:eastAsia="宋体" w:cs="Times New Roman"/>
                <w:color w:val="000000"/>
                <w:kern w:val="0"/>
                <w:sz w:val="22"/>
                <w:szCs w:val="22"/>
              </w:rPr>
              <w:t>分）</w:t>
            </w:r>
          </w:p>
        </w:tc>
        <w:tc>
          <w:tcPr>
            <w:tcW w:w="1411" w:type="dxa"/>
            <w:tcBorders>
              <w:tl2br w:val="nil"/>
              <w:tr2bl w:val="nil"/>
            </w:tcBorders>
            <w:shd w:val="clear" w:color="auto" w:fill="FFFFFF"/>
            <w:vAlign w:val="center"/>
          </w:tcPr>
          <w:p w14:paraId="67D48CFE">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资金到位率</w:t>
            </w:r>
          </w:p>
        </w:tc>
        <w:tc>
          <w:tcPr>
            <w:tcW w:w="2789" w:type="dxa"/>
            <w:tcBorders>
              <w:tl2br w:val="nil"/>
              <w:tr2bl w:val="nil"/>
            </w:tcBorders>
            <w:shd w:val="clear" w:color="000000" w:fill="FFFFFF"/>
            <w:vAlign w:val="center"/>
          </w:tcPr>
          <w:p w14:paraId="79756831">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14D6A69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资金到位率=（实际到位资金/预算资金）×100%。</w:t>
            </w:r>
          </w:p>
          <w:p w14:paraId="3DB0340D">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实际到位资金：一定时期（本年度或项目期）内落实到具体项目的资金。</w:t>
            </w:r>
          </w:p>
          <w:p w14:paraId="0AF17B4F">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vAlign w:val="center"/>
          </w:tcPr>
          <w:p w14:paraId="69F6D462">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6B33D7A">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5</w:t>
            </w:r>
          </w:p>
        </w:tc>
      </w:tr>
      <w:tr w14:paraId="2DE04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510C49F0">
            <w:pPr>
              <w:spacing w:line="0" w:lineRule="atLeast"/>
              <w:jc w:val="center"/>
              <w:rPr>
                <w:rFonts w:ascii="Times New Roman" w:hAnsi="Times New Roman" w:eastAsia="宋体" w:cs="Times New Roman"/>
                <w:color w:val="000000"/>
                <w:kern w:val="0"/>
                <w:sz w:val="22"/>
                <w:szCs w:val="22"/>
              </w:rPr>
            </w:pPr>
          </w:p>
        </w:tc>
        <w:tc>
          <w:tcPr>
            <w:tcW w:w="1297" w:type="dxa"/>
            <w:vMerge w:val="continue"/>
            <w:tcBorders>
              <w:tl2br w:val="nil"/>
              <w:tr2bl w:val="nil"/>
            </w:tcBorders>
            <w:shd w:val="clear" w:color="auto" w:fill="FFFFFF"/>
            <w:vAlign w:val="center"/>
          </w:tcPr>
          <w:p w14:paraId="5ED88B73">
            <w:pPr>
              <w:spacing w:line="0" w:lineRule="atLeast"/>
              <w:jc w:val="center"/>
              <w:rPr>
                <w:rFonts w:ascii="Times New Roman" w:hAnsi="Times New Roman" w:eastAsia="宋体" w:cs="Times New Roman"/>
                <w:color w:val="000000"/>
                <w:kern w:val="0"/>
                <w:sz w:val="22"/>
                <w:szCs w:val="22"/>
              </w:rPr>
            </w:pPr>
          </w:p>
        </w:tc>
        <w:tc>
          <w:tcPr>
            <w:tcW w:w="1411" w:type="dxa"/>
            <w:tcBorders>
              <w:tl2br w:val="nil"/>
              <w:tr2bl w:val="nil"/>
            </w:tcBorders>
            <w:shd w:val="clear" w:color="auto" w:fill="FFFFFF"/>
            <w:vAlign w:val="center"/>
          </w:tcPr>
          <w:p w14:paraId="1F4C2153">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预算执行率</w:t>
            </w:r>
          </w:p>
        </w:tc>
        <w:tc>
          <w:tcPr>
            <w:tcW w:w="2789" w:type="dxa"/>
            <w:tcBorders>
              <w:tl2br w:val="nil"/>
              <w:tr2bl w:val="nil"/>
            </w:tcBorders>
            <w:shd w:val="clear" w:color="auto" w:fill="FFFFFF"/>
            <w:vAlign w:val="center"/>
          </w:tcPr>
          <w:p w14:paraId="387CF30D">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0413537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预算执行率=（实际支出资金/实际到位资金）×100%。</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vAlign w:val="center"/>
          </w:tcPr>
          <w:p w14:paraId="6A085A4C">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7E44C560">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5</w:t>
            </w:r>
          </w:p>
        </w:tc>
      </w:tr>
      <w:tr w14:paraId="21CEA6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7C98009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　</w:t>
            </w:r>
          </w:p>
          <w:p w14:paraId="34645E72">
            <w:pPr>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过程（20分）　</w:t>
            </w:r>
          </w:p>
        </w:tc>
        <w:tc>
          <w:tcPr>
            <w:tcW w:w="1297" w:type="dxa"/>
            <w:tcBorders>
              <w:tl2br w:val="nil"/>
              <w:tr2bl w:val="nil"/>
            </w:tcBorders>
            <w:shd w:val="clear" w:color="auto" w:fill="FFFFFF"/>
            <w:vAlign w:val="center"/>
          </w:tcPr>
          <w:p w14:paraId="46C5F499">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资金管理</w:t>
            </w:r>
          </w:p>
        </w:tc>
        <w:tc>
          <w:tcPr>
            <w:tcW w:w="1411" w:type="dxa"/>
            <w:tcBorders>
              <w:tl2br w:val="nil"/>
              <w:tr2bl w:val="nil"/>
            </w:tcBorders>
            <w:shd w:val="clear" w:color="auto" w:fill="FFFFFF"/>
            <w:vAlign w:val="center"/>
          </w:tcPr>
          <w:p w14:paraId="66C5C60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资金使用</w:t>
            </w:r>
          </w:p>
          <w:p w14:paraId="7D27A4B6">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合规性</w:t>
            </w:r>
          </w:p>
        </w:tc>
        <w:tc>
          <w:tcPr>
            <w:tcW w:w="2789" w:type="dxa"/>
            <w:tcBorders>
              <w:tl2br w:val="nil"/>
              <w:tr2bl w:val="nil"/>
            </w:tcBorders>
            <w:shd w:val="clear" w:color="000000" w:fill="FFFFFF"/>
            <w:vAlign w:val="center"/>
          </w:tcPr>
          <w:p w14:paraId="40DDE34E">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502A4198">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①是否符合国家财经法规和财务管理制度以及有关专项资金管理办法的规定；</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②资金的拨付是否有完整的审批程序和手续；</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③是否符合项目预算批复或合同规定的用途；</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vAlign w:val="center"/>
          </w:tcPr>
          <w:p w14:paraId="1ECAC720">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B3AA325">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3</w:t>
            </w:r>
          </w:p>
        </w:tc>
      </w:tr>
      <w:tr w14:paraId="0060B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0383D6DB">
            <w:pPr>
              <w:spacing w:line="0" w:lineRule="atLeast"/>
              <w:jc w:val="center"/>
              <w:rPr>
                <w:rFonts w:ascii="Times New Roman" w:hAnsi="Times New Roman" w:eastAsia="宋体" w:cs="Times New Roman"/>
                <w:color w:val="000000"/>
                <w:kern w:val="0"/>
                <w:sz w:val="22"/>
                <w:szCs w:val="22"/>
              </w:rPr>
            </w:pPr>
          </w:p>
        </w:tc>
        <w:tc>
          <w:tcPr>
            <w:tcW w:w="1297" w:type="dxa"/>
            <w:vMerge w:val="restart"/>
            <w:tcBorders>
              <w:tl2br w:val="nil"/>
              <w:tr2bl w:val="nil"/>
            </w:tcBorders>
            <w:shd w:val="clear" w:color="auto" w:fill="FFFFFF"/>
            <w:vAlign w:val="center"/>
          </w:tcPr>
          <w:p w14:paraId="54E8D310">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组织实施（</w:t>
            </w:r>
            <w:r>
              <w:rPr>
                <w:rFonts w:hint="eastAsia" w:ascii="Times New Roman" w:hAnsi="Times New Roman" w:eastAsia="宋体" w:cs="Times New Roman"/>
                <w:color w:val="000000"/>
                <w:kern w:val="0"/>
                <w:sz w:val="22"/>
                <w:szCs w:val="22"/>
              </w:rPr>
              <w:t>7分</w:t>
            </w:r>
            <w:r>
              <w:rPr>
                <w:rFonts w:ascii="Times New Roman" w:hAnsi="Times New Roman" w:eastAsia="宋体" w:cs="Times New Roman"/>
                <w:color w:val="000000"/>
                <w:kern w:val="0"/>
                <w:sz w:val="22"/>
                <w:szCs w:val="22"/>
              </w:rPr>
              <w:t>）</w:t>
            </w:r>
          </w:p>
          <w:p w14:paraId="7A213933">
            <w:pPr>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　</w:t>
            </w:r>
          </w:p>
        </w:tc>
        <w:tc>
          <w:tcPr>
            <w:tcW w:w="1411" w:type="dxa"/>
            <w:tcBorders>
              <w:tl2br w:val="nil"/>
              <w:tr2bl w:val="nil"/>
            </w:tcBorders>
            <w:shd w:val="clear" w:color="auto" w:fill="FFFFFF"/>
            <w:vAlign w:val="center"/>
          </w:tcPr>
          <w:p w14:paraId="168E54B4">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管理制度</w:t>
            </w:r>
          </w:p>
          <w:p w14:paraId="42607DA7">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健全性</w:t>
            </w:r>
          </w:p>
        </w:tc>
        <w:tc>
          <w:tcPr>
            <w:tcW w:w="2789" w:type="dxa"/>
            <w:tcBorders>
              <w:tl2br w:val="nil"/>
              <w:tr2bl w:val="nil"/>
            </w:tcBorders>
            <w:shd w:val="clear" w:color="000000" w:fill="FFFFFF"/>
            <w:vAlign w:val="center"/>
          </w:tcPr>
          <w:p w14:paraId="5EB27382">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2952EC4A">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①是否已制定或具有相应的财务和业务管理制度；</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vAlign w:val="center"/>
          </w:tcPr>
          <w:p w14:paraId="6AD6CEC5">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7337E1C5">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3</w:t>
            </w:r>
          </w:p>
        </w:tc>
      </w:tr>
      <w:tr w14:paraId="5CBD55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364E7D5F">
            <w:pPr>
              <w:widowControl/>
              <w:spacing w:line="0" w:lineRule="atLeast"/>
              <w:jc w:val="center"/>
              <w:rPr>
                <w:rFonts w:ascii="Times New Roman" w:hAnsi="Times New Roman" w:eastAsia="宋体" w:cs="Times New Roman"/>
                <w:color w:val="000000"/>
                <w:kern w:val="0"/>
                <w:sz w:val="22"/>
                <w:szCs w:val="22"/>
              </w:rPr>
            </w:pPr>
          </w:p>
        </w:tc>
        <w:tc>
          <w:tcPr>
            <w:tcW w:w="1297" w:type="dxa"/>
            <w:vMerge w:val="continue"/>
            <w:tcBorders>
              <w:tl2br w:val="nil"/>
              <w:tr2bl w:val="nil"/>
            </w:tcBorders>
            <w:shd w:val="clear" w:color="auto" w:fill="FFFFFF"/>
            <w:vAlign w:val="center"/>
          </w:tcPr>
          <w:p w14:paraId="4A03CA3B">
            <w:pPr>
              <w:widowControl/>
              <w:spacing w:line="0" w:lineRule="atLeast"/>
              <w:jc w:val="center"/>
              <w:rPr>
                <w:rFonts w:ascii="Times New Roman" w:hAnsi="Times New Roman" w:eastAsia="宋体" w:cs="Times New Roman"/>
                <w:color w:val="000000"/>
                <w:kern w:val="0"/>
                <w:sz w:val="22"/>
                <w:szCs w:val="22"/>
              </w:rPr>
            </w:pPr>
          </w:p>
        </w:tc>
        <w:tc>
          <w:tcPr>
            <w:tcW w:w="1411" w:type="dxa"/>
            <w:tcBorders>
              <w:tl2br w:val="nil"/>
              <w:tr2bl w:val="nil"/>
            </w:tcBorders>
            <w:shd w:val="clear" w:color="auto" w:fill="FFFFFF"/>
            <w:vAlign w:val="center"/>
          </w:tcPr>
          <w:p w14:paraId="79059925">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制度执行</w:t>
            </w:r>
          </w:p>
          <w:p w14:paraId="2286F29C">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有效性</w:t>
            </w:r>
          </w:p>
        </w:tc>
        <w:tc>
          <w:tcPr>
            <w:tcW w:w="2789" w:type="dxa"/>
            <w:tcBorders>
              <w:tl2br w:val="nil"/>
              <w:tr2bl w:val="nil"/>
            </w:tcBorders>
            <w:shd w:val="clear" w:color="000000" w:fill="FFFFFF"/>
            <w:vAlign w:val="center"/>
          </w:tcPr>
          <w:p w14:paraId="3C04A192">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7835481D">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评价要点：</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①是否遵守相关法律法规和相关管理规定；</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②项目调整及支出调整手续是否完备；</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③项目合同书、验收报告、技术鉴定等资料是否齐全并及时归档；</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vAlign w:val="center"/>
          </w:tcPr>
          <w:p w14:paraId="051377B8">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BE9CF05">
            <w:pPr>
              <w:widowControl/>
              <w:jc w:val="center"/>
              <w:rPr>
                <w:rFonts w:ascii="Times New Roman" w:hAnsi="Times New Roman" w:eastAsia="宋体" w:cs="Times New Roman"/>
                <w:color w:val="000000"/>
                <w:kern w:val="0"/>
                <w:sz w:val="22"/>
                <w:szCs w:val="22"/>
              </w:rPr>
            </w:pPr>
            <w:r>
              <w:rPr>
                <w:rFonts w:hint="eastAsia" w:ascii="Times New Roman" w:hAnsi="Times New Roman" w:cs="Times New Roman"/>
                <w:color w:val="000000"/>
                <w:kern w:val="0"/>
                <w:sz w:val="22"/>
                <w:szCs w:val="22"/>
              </w:rPr>
              <w:t>4</w:t>
            </w:r>
          </w:p>
        </w:tc>
      </w:tr>
      <w:tr w14:paraId="1C1CC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62D7DA7E">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产出（30分）</w:t>
            </w:r>
          </w:p>
        </w:tc>
        <w:tc>
          <w:tcPr>
            <w:tcW w:w="1297" w:type="dxa"/>
            <w:tcBorders>
              <w:tl2br w:val="nil"/>
              <w:tr2bl w:val="nil"/>
            </w:tcBorders>
            <w:shd w:val="clear" w:color="auto" w:fill="FFFFFF"/>
            <w:vAlign w:val="center"/>
          </w:tcPr>
          <w:p w14:paraId="1D4AB39A">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产出数量（10分）</w:t>
            </w:r>
          </w:p>
        </w:tc>
        <w:tc>
          <w:tcPr>
            <w:tcW w:w="1411" w:type="dxa"/>
            <w:tcBorders>
              <w:tl2br w:val="nil"/>
              <w:tr2bl w:val="nil"/>
            </w:tcBorders>
            <w:shd w:val="clear" w:color="auto" w:fill="FFFFFF"/>
            <w:vAlign w:val="center"/>
          </w:tcPr>
          <w:p w14:paraId="746CAD2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实际完成率</w:t>
            </w:r>
          </w:p>
        </w:tc>
        <w:tc>
          <w:tcPr>
            <w:tcW w:w="2789" w:type="dxa"/>
            <w:tcBorders>
              <w:tl2br w:val="nil"/>
              <w:tr2bl w:val="nil"/>
            </w:tcBorders>
            <w:shd w:val="clear" w:color="000000" w:fill="FFFFFF"/>
            <w:vAlign w:val="center"/>
          </w:tcPr>
          <w:p w14:paraId="616200D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26DFEC0A">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实际完成率=（实际产出数/计划产出数）×100%。</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实际产出数：一定时期（本年度或项目期）内项目实际产出的产品或提供的服务数量。</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vAlign w:val="center"/>
          </w:tcPr>
          <w:p w14:paraId="0FB6967E">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1B92421D">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10</w:t>
            </w:r>
          </w:p>
        </w:tc>
      </w:tr>
      <w:tr w14:paraId="71A3E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367EDA0C">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产出（30分）</w:t>
            </w:r>
          </w:p>
        </w:tc>
        <w:tc>
          <w:tcPr>
            <w:tcW w:w="1297" w:type="dxa"/>
            <w:tcBorders>
              <w:tl2br w:val="nil"/>
              <w:tr2bl w:val="nil"/>
            </w:tcBorders>
            <w:shd w:val="clear" w:color="auto" w:fill="FFFFFF"/>
            <w:vAlign w:val="center"/>
          </w:tcPr>
          <w:p w14:paraId="16E4AEF9">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产出质量（10分）</w:t>
            </w:r>
          </w:p>
        </w:tc>
        <w:tc>
          <w:tcPr>
            <w:tcW w:w="1411" w:type="dxa"/>
            <w:tcBorders>
              <w:tl2br w:val="nil"/>
              <w:tr2bl w:val="nil"/>
            </w:tcBorders>
            <w:shd w:val="clear" w:color="auto" w:fill="FFFFFF"/>
            <w:vAlign w:val="center"/>
          </w:tcPr>
          <w:p w14:paraId="59E06306">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质量达标率</w:t>
            </w:r>
          </w:p>
        </w:tc>
        <w:tc>
          <w:tcPr>
            <w:tcW w:w="2789" w:type="dxa"/>
            <w:tcBorders>
              <w:tl2br w:val="nil"/>
              <w:tr2bl w:val="nil"/>
            </w:tcBorders>
            <w:shd w:val="clear" w:color="000000" w:fill="FFFFFF"/>
            <w:vAlign w:val="center"/>
          </w:tcPr>
          <w:p w14:paraId="6E90EC62">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58CAFC3E">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质量达标率=（质量达标产出数/实际产出数）×100%。</w:t>
            </w:r>
          </w:p>
          <w:p w14:paraId="230256D5">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vAlign w:val="center"/>
          </w:tcPr>
          <w:p w14:paraId="0AA2E469">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3F16981">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10</w:t>
            </w:r>
          </w:p>
        </w:tc>
      </w:tr>
      <w:tr w14:paraId="5829B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04EECE5B">
            <w:pPr>
              <w:spacing w:line="0" w:lineRule="atLeast"/>
              <w:jc w:val="center"/>
              <w:rPr>
                <w:rFonts w:ascii="Times New Roman" w:hAnsi="Times New Roman" w:eastAsia="宋体" w:cs="Times New Roman"/>
                <w:color w:val="000000"/>
                <w:kern w:val="0"/>
                <w:sz w:val="22"/>
                <w:szCs w:val="22"/>
              </w:rPr>
            </w:pPr>
          </w:p>
        </w:tc>
        <w:tc>
          <w:tcPr>
            <w:tcW w:w="1297" w:type="dxa"/>
            <w:tcBorders>
              <w:tl2br w:val="nil"/>
              <w:tr2bl w:val="nil"/>
            </w:tcBorders>
            <w:shd w:val="clear" w:color="auto" w:fill="FFFFFF"/>
            <w:vAlign w:val="center"/>
          </w:tcPr>
          <w:p w14:paraId="0C4AFF04">
            <w:pPr>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产出时效（5分）</w:t>
            </w:r>
          </w:p>
        </w:tc>
        <w:tc>
          <w:tcPr>
            <w:tcW w:w="1411" w:type="dxa"/>
            <w:tcBorders>
              <w:tl2br w:val="nil"/>
              <w:tr2bl w:val="nil"/>
            </w:tcBorders>
            <w:shd w:val="clear" w:color="auto" w:fill="FFFFFF"/>
            <w:vAlign w:val="center"/>
          </w:tcPr>
          <w:p w14:paraId="2270952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完成及时性</w:t>
            </w:r>
          </w:p>
        </w:tc>
        <w:tc>
          <w:tcPr>
            <w:tcW w:w="2789" w:type="dxa"/>
            <w:tcBorders>
              <w:tl2br w:val="nil"/>
              <w:tr2bl w:val="nil"/>
            </w:tcBorders>
            <w:shd w:val="clear" w:color="000000" w:fill="FFFFFF"/>
            <w:vAlign w:val="center"/>
          </w:tcPr>
          <w:p w14:paraId="2E17171D">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6F6CE6E6">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实际完成时间：项目实施单位完成该项目实际所耗用的时间。</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vAlign w:val="center"/>
          </w:tcPr>
          <w:p w14:paraId="3FC823E6">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59B3A7EC">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5</w:t>
            </w:r>
          </w:p>
        </w:tc>
      </w:tr>
      <w:tr w14:paraId="323D6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31" w:hRule="atLeast"/>
          <w:jc w:val="center"/>
        </w:trPr>
        <w:tc>
          <w:tcPr>
            <w:tcW w:w="763" w:type="dxa"/>
            <w:vMerge w:val="continue"/>
            <w:tcBorders>
              <w:tl2br w:val="nil"/>
              <w:tr2bl w:val="nil"/>
            </w:tcBorders>
            <w:shd w:val="clear" w:color="auto" w:fill="FFFFFF"/>
            <w:vAlign w:val="center"/>
          </w:tcPr>
          <w:p w14:paraId="0E62B836">
            <w:pPr>
              <w:widowControl/>
              <w:spacing w:line="0" w:lineRule="atLeast"/>
              <w:jc w:val="center"/>
              <w:rPr>
                <w:rFonts w:ascii="Times New Roman" w:hAnsi="Times New Roman" w:eastAsia="宋体" w:cs="Times New Roman"/>
                <w:color w:val="000000"/>
                <w:kern w:val="0"/>
                <w:sz w:val="22"/>
                <w:szCs w:val="22"/>
              </w:rPr>
            </w:pPr>
          </w:p>
        </w:tc>
        <w:tc>
          <w:tcPr>
            <w:tcW w:w="1297" w:type="dxa"/>
            <w:tcBorders>
              <w:tl2br w:val="nil"/>
              <w:tr2bl w:val="nil"/>
            </w:tcBorders>
            <w:shd w:val="clear" w:color="auto" w:fill="FFFFFF"/>
            <w:vAlign w:val="center"/>
          </w:tcPr>
          <w:p w14:paraId="09946B9E">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产出成本（5分）</w:t>
            </w:r>
          </w:p>
        </w:tc>
        <w:tc>
          <w:tcPr>
            <w:tcW w:w="1411" w:type="dxa"/>
            <w:tcBorders>
              <w:tl2br w:val="nil"/>
              <w:tr2bl w:val="nil"/>
            </w:tcBorders>
            <w:shd w:val="clear" w:color="auto" w:fill="FFFFFF"/>
            <w:vAlign w:val="center"/>
          </w:tcPr>
          <w:p w14:paraId="5D970E9A">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成本节约率</w:t>
            </w:r>
          </w:p>
        </w:tc>
        <w:tc>
          <w:tcPr>
            <w:tcW w:w="2789" w:type="dxa"/>
            <w:tcBorders>
              <w:tl2br w:val="nil"/>
              <w:tr2bl w:val="nil"/>
            </w:tcBorders>
            <w:shd w:val="clear" w:color="000000" w:fill="FFFFFF"/>
            <w:vAlign w:val="center"/>
          </w:tcPr>
          <w:p w14:paraId="4AAEBE1B">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17B2EA5E">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成本节约率=[（计划成本-实际成本）/计划成本]×100%。</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实际成本：项目实施单位如期、保质、保量完成既定工作目标实际所耗费的支出。</w:t>
            </w:r>
            <w:r>
              <w:rPr>
                <w:rFonts w:ascii="Times New Roman" w:hAnsi="Times New Roman" w:eastAsia="宋体" w:cs="Times New Roman"/>
                <w:color w:val="000000"/>
                <w:kern w:val="0"/>
                <w:sz w:val="22"/>
                <w:szCs w:val="22"/>
              </w:rPr>
              <w:br w:type="textWrapping"/>
            </w:r>
            <w:r>
              <w:rPr>
                <w:rFonts w:ascii="Times New Roman" w:hAnsi="Times New Roman" w:eastAsia="宋体" w:cs="Times New Roman"/>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vAlign w:val="center"/>
          </w:tcPr>
          <w:p w14:paraId="15F14B14">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54BA377">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5</w:t>
            </w:r>
          </w:p>
        </w:tc>
      </w:tr>
      <w:tr w14:paraId="70691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9" w:hRule="atLeast"/>
          <w:jc w:val="center"/>
        </w:trPr>
        <w:tc>
          <w:tcPr>
            <w:tcW w:w="763" w:type="dxa"/>
            <w:vMerge w:val="restart"/>
            <w:tcBorders>
              <w:tl2br w:val="nil"/>
              <w:tr2bl w:val="nil"/>
            </w:tcBorders>
            <w:shd w:val="clear" w:color="auto" w:fill="FFFFFF"/>
            <w:vAlign w:val="center"/>
          </w:tcPr>
          <w:p w14:paraId="34F6E2AD">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效益（30分）　</w:t>
            </w:r>
          </w:p>
        </w:tc>
        <w:tc>
          <w:tcPr>
            <w:tcW w:w="1297" w:type="dxa"/>
            <w:vMerge w:val="restart"/>
            <w:tcBorders>
              <w:tl2br w:val="nil"/>
              <w:tr2bl w:val="nil"/>
            </w:tcBorders>
            <w:shd w:val="clear" w:color="auto" w:fill="FFFFFF"/>
            <w:vAlign w:val="center"/>
          </w:tcPr>
          <w:p w14:paraId="63226A71">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项目效益（30分）　</w:t>
            </w:r>
          </w:p>
        </w:tc>
        <w:tc>
          <w:tcPr>
            <w:tcW w:w="1411" w:type="dxa"/>
            <w:tcBorders>
              <w:tl2br w:val="nil"/>
              <w:tr2bl w:val="nil"/>
            </w:tcBorders>
            <w:shd w:val="clear" w:color="auto" w:fill="FFFFFF"/>
            <w:vAlign w:val="center"/>
          </w:tcPr>
          <w:p w14:paraId="13302C0A">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实施效益</w:t>
            </w:r>
          </w:p>
        </w:tc>
        <w:tc>
          <w:tcPr>
            <w:tcW w:w="2789" w:type="dxa"/>
            <w:tcBorders>
              <w:tl2br w:val="nil"/>
              <w:tr2bl w:val="nil"/>
            </w:tcBorders>
            <w:shd w:val="clear" w:color="auto" w:fill="FFFFFF"/>
            <w:vAlign w:val="center"/>
          </w:tcPr>
          <w:p w14:paraId="0087E93C">
            <w:pPr>
              <w:widowControl/>
              <w:spacing w:line="0" w:lineRule="atLeast"/>
              <w:jc w:val="lef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项目实施所产生的效益。</w:t>
            </w:r>
          </w:p>
        </w:tc>
        <w:tc>
          <w:tcPr>
            <w:tcW w:w="7341" w:type="dxa"/>
            <w:tcBorders>
              <w:tl2br w:val="nil"/>
              <w:tr2bl w:val="nil"/>
            </w:tcBorders>
            <w:shd w:val="clear" w:color="auto" w:fill="FFFFFF"/>
            <w:vAlign w:val="center"/>
          </w:tcPr>
          <w:p w14:paraId="0BF0C41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vAlign w:val="center"/>
          </w:tcPr>
          <w:p w14:paraId="1D90EA7E">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07F6AB55">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20</w:t>
            </w:r>
          </w:p>
        </w:tc>
      </w:tr>
      <w:tr w14:paraId="652ACD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9" w:hRule="atLeast"/>
          <w:jc w:val="center"/>
        </w:trPr>
        <w:tc>
          <w:tcPr>
            <w:tcW w:w="763" w:type="dxa"/>
            <w:vMerge w:val="continue"/>
            <w:tcBorders>
              <w:tl2br w:val="nil"/>
              <w:tr2bl w:val="nil"/>
            </w:tcBorders>
            <w:shd w:val="clear" w:color="auto" w:fill="FFFFFF"/>
            <w:vAlign w:val="center"/>
          </w:tcPr>
          <w:p w14:paraId="62096A65">
            <w:pPr>
              <w:widowControl/>
              <w:spacing w:line="0" w:lineRule="atLeast"/>
              <w:jc w:val="center"/>
              <w:rPr>
                <w:rFonts w:ascii="Times New Roman" w:hAnsi="Times New Roman" w:eastAsia="宋体" w:cs="Times New Roman"/>
                <w:color w:val="000000"/>
                <w:kern w:val="0"/>
                <w:sz w:val="22"/>
                <w:szCs w:val="22"/>
              </w:rPr>
            </w:pPr>
          </w:p>
        </w:tc>
        <w:tc>
          <w:tcPr>
            <w:tcW w:w="1297" w:type="dxa"/>
            <w:vMerge w:val="continue"/>
            <w:tcBorders>
              <w:tl2br w:val="nil"/>
              <w:tr2bl w:val="nil"/>
            </w:tcBorders>
            <w:shd w:val="clear" w:color="auto" w:fill="FFFFFF"/>
            <w:vAlign w:val="center"/>
          </w:tcPr>
          <w:p w14:paraId="41086279">
            <w:pPr>
              <w:widowControl/>
              <w:spacing w:line="0" w:lineRule="atLeast"/>
              <w:jc w:val="center"/>
              <w:rPr>
                <w:rFonts w:ascii="Times New Roman" w:hAnsi="Times New Roman" w:eastAsia="宋体" w:cs="Times New Roman"/>
                <w:color w:val="000000"/>
                <w:kern w:val="0"/>
                <w:sz w:val="22"/>
                <w:szCs w:val="22"/>
              </w:rPr>
            </w:pPr>
          </w:p>
        </w:tc>
        <w:tc>
          <w:tcPr>
            <w:tcW w:w="1411" w:type="dxa"/>
            <w:tcBorders>
              <w:tl2br w:val="nil"/>
              <w:tr2bl w:val="nil"/>
            </w:tcBorders>
            <w:shd w:val="clear" w:color="auto" w:fill="FFFFFF"/>
            <w:vAlign w:val="center"/>
          </w:tcPr>
          <w:p w14:paraId="74B5438C">
            <w:pPr>
              <w:widowControl/>
              <w:spacing w:line="0" w:lineRule="atLeast"/>
              <w:jc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满意度</w:t>
            </w:r>
          </w:p>
        </w:tc>
        <w:tc>
          <w:tcPr>
            <w:tcW w:w="2789" w:type="dxa"/>
            <w:tcBorders>
              <w:tl2br w:val="nil"/>
              <w:tr2bl w:val="nil"/>
            </w:tcBorders>
            <w:shd w:val="clear" w:color="000000" w:fill="FFFFFF"/>
            <w:vAlign w:val="center"/>
          </w:tcPr>
          <w:p w14:paraId="5F6F1F90">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3045E138">
            <w:pPr>
              <w:widowControl/>
              <w:spacing w:line="0" w:lineRule="atLeast"/>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vAlign w:val="center"/>
          </w:tcPr>
          <w:p w14:paraId="33F9EF13">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10424159">
            <w:pPr>
              <w:widowControl/>
              <w:jc w:val="center"/>
              <w:rPr>
                <w:rFonts w:ascii="Times New Roman" w:hAnsi="Times New Roman" w:eastAsia="宋体" w:cs="Times New Roman"/>
                <w:color w:val="000000"/>
                <w:kern w:val="0"/>
                <w:sz w:val="22"/>
                <w:szCs w:val="22"/>
              </w:rPr>
            </w:pPr>
            <w:r>
              <w:rPr>
                <w:rFonts w:ascii="Times New Roman" w:hAnsi="Times New Roman" w:cs="Times New Roman"/>
                <w:color w:val="000000"/>
                <w:kern w:val="0"/>
                <w:sz w:val="22"/>
                <w:szCs w:val="22"/>
              </w:rPr>
              <w:t>10</w:t>
            </w:r>
          </w:p>
        </w:tc>
      </w:tr>
      <w:tr w14:paraId="22150D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2" w:hRule="atLeast"/>
          <w:jc w:val="center"/>
        </w:trPr>
        <w:tc>
          <w:tcPr>
            <w:tcW w:w="6260" w:type="dxa"/>
            <w:gridSpan w:val="4"/>
            <w:tcBorders>
              <w:tl2br w:val="nil"/>
              <w:tr2bl w:val="nil"/>
            </w:tcBorders>
            <w:shd w:val="clear" w:color="auto" w:fill="FFFFFF"/>
            <w:vAlign w:val="center"/>
          </w:tcPr>
          <w:p w14:paraId="11CD8046">
            <w:pPr>
              <w:widowControl/>
              <w:spacing w:line="0" w:lineRule="atLeast"/>
              <w:ind w:firstLine="2420" w:firstLineChars="1100"/>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2"/>
                <w:szCs w:val="22"/>
              </w:rPr>
              <w:t>合计</w:t>
            </w:r>
          </w:p>
        </w:tc>
        <w:tc>
          <w:tcPr>
            <w:tcW w:w="7341" w:type="dxa"/>
            <w:tcBorders>
              <w:tl2br w:val="nil"/>
              <w:tr2bl w:val="nil"/>
            </w:tcBorders>
            <w:shd w:val="clear" w:color="000000" w:fill="FFFFFF"/>
            <w:vAlign w:val="center"/>
          </w:tcPr>
          <w:p w14:paraId="43DA5746">
            <w:pPr>
              <w:widowControl/>
              <w:spacing w:line="0" w:lineRule="atLeast"/>
              <w:rPr>
                <w:rFonts w:ascii="Times New Roman" w:hAnsi="Times New Roman" w:eastAsia="宋体" w:cs="Times New Roman"/>
                <w:color w:val="000000"/>
                <w:kern w:val="0"/>
                <w:sz w:val="22"/>
                <w:szCs w:val="22"/>
              </w:rPr>
            </w:pPr>
          </w:p>
        </w:tc>
        <w:tc>
          <w:tcPr>
            <w:tcW w:w="852" w:type="dxa"/>
            <w:gridSpan w:val="3"/>
            <w:tcBorders>
              <w:top w:val="single" w:color="auto" w:sz="4" w:space="0"/>
              <w:bottom w:val="single" w:color="auto" w:sz="4" w:space="0"/>
              <w:right w:val="single" w:color="auto" w:sz="4" w:space="0"/>
            </w:tcBorders>
            <w:vAlign w:val="center"/>
          </w:tcPr>
          <w:p w14:paraId="2C54E6A4">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067550F2">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96</w:t>
            </w:r>
          </w:p>
        </w:tc>
      </w:tr>
    </w:tbl>
    <w:p w14:paraId="387C8951">
      <w:pPr>
        <w:spacing w:line="560" w:lineRule="exact"/>
        <w:rPr>
          <w:rFonts w:ascii="仿宋_GB2312" w:hAnsi="仿宋_GB2312" w:cs="仿宋_GB2312"/>
          <w:b/>
          <w:bCs/>
          <w:sz w:val="28"/>
          <w:szCs w:val="28"/>
        </w:rPr>
      </w:pPr>
    </w:p>
    <w:sectPr>
      <w:pgSz w:w="16838" w:h="11906" w:orient="landscape"/>
      <w:pgMar w:top="1531" w:right="1871" w:bottom="1531" w:left="1984" w:header="737" w:footer="850" w:gutter="0"/>
      <w:cols w:space="0" w:num="1"/>
      <w:docGrid w:type="lines" w:linePitch="4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9FD33C-87A8-4E3A-82C1-41CC9467C54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B6F7272-E665-4CBB-B8E3-C8F650CBDEF2}"/>
  </w:font>
  <w:font w:name="仿宋_GB2312">
    <w:altName w:val="仿宋"/>
    <w:panose1 w:val="02010609030101010101"/>
    <w:charset w:val="86"/>
    <w:family w:val="modern"/>
    <w:pitch w:val="default"/>
    <w:sig w:usb0="00000000" w:usb1="00000000" w:usb2="00000010" w:usb3="00000000" w:csb0="00040000" w:csb1="00000000"/>
    <w:embedRegular r:id="rId3" w:fontKey="{03F45AEF-09E4-4CF7-84B1-DE38406B7BEA}"/>
  </w:font>
  <w:font w:name="Arial">
    <w:panose1 w:val="020B0604020202020204"/>
    <w:charset w:val="00"/>
    <w:family w:val="swiss"/>
    <w:pitch w:val="default"/>
    <w:sig w:usb0="E0002EFF" w:usb1="C000785B" w:usb2="00000009" w:usb3="00000000" w:csb0="400001FF" w:csb1="FFFF0000"/>
    <w:embedRegular r:id="rId4" w:fontKey="{5BC50A15-3972-4BB8-9C0F-8F96C37D822B}"/>
  </w:font>
  <w:font w:name="华文中宋">
    <w:panose1 w:val="02010600040101010101"/>
    <w:charset w:val="86"/>
    <w:family w:val="auto"/>
    <w:pitch w:val="default"/>
    <w:sig w:usb0="00000287" w:usb1="080F0000" w:usb2="00000000" w:usb3="00000000" w:csb0="0004009F" w:csb1="DFD70000"/>
    <w:embedRegular r:id="rId5" w:fontKey="{0AB03A73-E48C-4905-85B2-3697C4317D48}"/>
  </w:font>
  <w:font w:name="方正小标宋_GBK">
    <w:panose1 w:val="02000000000000000000"/>
    <w:charset w:val="86"/>
    <w:family w:val="script"/>
    <w:pitch w:val="default"/>
    <w:sig w:usb0="A00002BF" w:usb1="38CF7CFA" w:usb2="00082016" w:usb3="00000000" w:csb0="00040001" w:csb1="00000000"/>
    <w:embedRegular r:id="rId6" w:fontKey="{1B412F27-92C1-4D13-BDEF-76635EA0819D}"/>
  </w:font>
  <w:font w:name="楷体_GB2312">
    <w:altName w:val="楷体"/>
    <w:panose1 w:val="02010609030101010101"/>
    <w:charset w:val="86"/>
    <w:family w:val="modern"/>
    <w:pitch w:val="default"/>
    <w:sig w:usb0="00000000" w:usb1="00000000" w:usb2="00000010" w:usb3="00000000" w:csb0="00040000" w:csb1="00000000"/>
    <w:embedRegular r:id="rId7" w:fontKey="{3143F07B-5B2F-4AB4-B9A4-6FC8D0F7A3ED}"/>
  </w:font>
  <w:font w:name="仿宋">
    <w:panose1 w:val="02010609060101010101"/>
    <w:charset w:val="86"/>
    <w:family w:val="modern"/>
    <w:pitch w:val="default"/>
    <w:sig w:usb0="800002BF" w:usb1="38CF7CFA" w:usb2="00000016" w:usb3="00000000" w:csb0="00040001" w:csb1="00000000"/>
    <w:embedRegular r:id="rId8" w:fontKey="{3431799B-21B1-451B-8260-E9653AB2DB0A}"/>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44254B"/>
    <w:multiLevelType w:val="multilevel"/>
    <w:tmpl w:val="1F44254B"/>
    <w:lvl w:ilvl="0" w:tentative="0">
      <w:start w:val="1"/>
      <w:numFmt w:val="decimal"/>
      <w:lvlText w:val="%1"/>
      <w:lvlJc w:val="left"/>
      <w:pPr>
        <w:tabs>
          <w:tab w:val="left" w:pos="432"/>
        </w:tabs>
        <w:ind w:left="432" w:hanging="432"/>
      </w:pPr>
    </w:lvl>
    <w:lvl w:ilvl="1" w:tentative="0">
      <w:start w:val="1"/>
      <w:numFmt w:val="decimal"/>
      <w:pStyle w:val="3"/>
      <w:lvlText w:val="%1.%2"/>
      <w:lvlJc w:val="left"/>
      <w:pPr>
        <w:tabs>
          <w:tab w:val="left" w:pos="576"/>
        </w:tabs>
        <w:ind w:left="576" w:hanging="576"/>
      </w:pPr>
      <w:rPr>
        <w:rFonts w:hint="default" w:ascii="Times New Roman" w:hAnsi="Times New Roman" w:cs="Times New Roman"/>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
    <w:nsid w:val="5ED8573D"/>
    <w:multiLevelType w:val="singleLevel"/>
    <w:tmpl w:val="5ED8573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0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7182A"/>
    <w:rsid w:val="00107C9B"/>
    <w:rsid w:val="001A3FA0"/>
    <w:rsid w:val="001D4277"/>
    <w:rsid w:val="00246890"/>
    <w:rsid w:val="002A0026"/>
    <w:rsid w:val="002D65D5"/>
    <w:rsid w:val="00340C7C"/>
    <w:rsid w:val="00356EDF"/>
    <w:rsid w:val="003F392C"/>
    <w:rsid w:val="0040133A"/>
    <w:rsid w:val="0051182C"/>
    <w:rsid w:val="0053299E"/>
    <w:rsid w:val="0058646C"/>
    <w:rsid w:val="005C6CF9"/>
    <w:rsid w:val="00630B6B"/>
    <w:rsid w:val="006B5910"/>
    <w:rsid w:val="007512EE"/>
    <w:rsid w:val="00753DE6"/>
    <w:rsid w:val="0092171C"/>
    <w:rsid w:val="00B32508"/>
    <w:rsid w:val="00B664BD"/>
    <w:rsid w:val="00C1706D"/>
    <w:rsid w:val="00C806F3"/>
    <w:rsid w:val="00D06348"/>
    <w:rsid w:val="00D26394"/>
    <w:rsid w:val="0817182A"/>
    <w:rsid w:val="15FA3746"/>
    <w:rsid w:val="29025453"/>
    <w:rsid w:val="2AC766B7"/>
    <w:rsid w:val="2F616B67"/>
    <w:rsid w:val="3089018E"/>
    <w:rsid w:val="4B6A0335"/>
    <w:rsid w:val="59436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0"/>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keepNext/>
      <w:keepLines/>
      <w:numPr>
        <w:ilvl w:val="1"/>
        <w:numId w:val="1"/>
      </w:numPr>
      <w:tabs>
        <w:tab w:val="left" w:pos="432"/>
      </w:tabs>
      <w:spacing w:before="260" w:after="26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9">
    <w:name w:val="Default Paragraph Font"/>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pPr>
      <w:spacing w:before="120" w:after="120"/>
      <w:jc w:val="left"/>
    </w:pPr>
    <w:rPr>
      <w:rFonts w:ascii="Calibri" w:hAnsi="Calibri" w:cs="Calibri"/>
      <w:b/>
      <w:bCs/>
      <w:caps/>
      <w:sz w:val="20"/>
      <w:szCs w:val="20"/>
    </w:rPr>
  </w:style>
  <w:style w:type="character" w:styleId="10">
    <w:name w:val="Strong"/>
    <w:basedOn w:val="9"/>
    <w:qFormat/>
    <w:uiPriority w:val="0"/>
    <w:rPr>
      <w:b/>
      <w:bCs/>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2">
    <w:name w:val="列出段落1"/>
    <w:basedOn w:val="1"/>
    <w:unhideWhenUsed/>
    <w:qFormat/>
    <w:uiPriority w:val="99"/>
    <w:pPr>
      <w:ind w:firstLine="420" w:firstLineChars="200"/>
    </w:pPr>
  </w:style>
  <w:style w:type="character" w:customStyle="1" w:styleId="13">
    <w:name w:val="页眉 Char"/>
    <w:basedOn w:val="9"/>
    <w:link w:val="6"/>
    <w:qFormat/>
    <w:uiPriority w:val="0"/>
    <w:rPr>
      <w:rFonts w:eastAsia="仿宋_GB2312"/>
      <w:kern w:val="2"/>
      <w:sz w:val="18"/>
      <w:szCs w:val="18"/>
    </w:rPr>
  </w:style>
  <w:style w:type="character" w:customStyle="1" w:styleId="14">
    <w:name w:val="页脚 Char"/>
    <w:basedOn w:val="9"/>
    <w:link w:val="5"/>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18</Pages>
  <Words>8252</Words>
  <Characters>8457</Characters>
  <Lines>62</Lines>
  <Paragraphs>17</Paragraphs>
  <TotalTime>4</TotalTime>
  <ScaleCrop>false</ScaleCrop>
  <LinksUpToDate>false</LinksUpToDate>
  <CharactersWithSpaces>8470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2020-05-27T04:23:00Z</dcterms:created>
  <dc:creator>Administrator</dc:creator>
  <cp:lastModifiedBy>Qxb</cp:lastModifiedBy>
  <dcterms:modified xsi:type="dcterms:W3CDTF">2025-02-07T04:33:02Z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7C784901879F44DE80A3F955AF3FB4FE_12</vt:lpwstr>
  </property>
</Properties>
</file>