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rPr>
      </w:pPr>
      <w:r>
        <w:rPr>
          <w:rFonts w:hint="eastAsia" w:ascii="黑体" w:hAnsi="黑体" w:eastAsia="黑体" w:cs="黑体"/>
        </w:rPr>
        <w:t>附</w:t>
      </w:r>
      <w:r>
        <w:rPr>
          <w:rFonts w:ascii="黑体" w:hAnsi="黑体" w:eastAsia="黑体" w:cs="黑体"/>
        </w:rPr>
        <w:t>2</w:t>
      </w:r>
    </w:p>
    <w:p>
      <w:pPr>
        <w:jc w:val="center"/>
        <w:rPr>
          <w:rFonts w:ascii="Arial" w:hAnsi="Arial" w:eastAsia="宋体"/>
          <w:b/>
          <w:bCs/>
          <w:sz w:val="36"/>
          <w:szCs w:val="36"/>
        </w:rPr>
      </w:pPr>
      <w:r>
        <w:rPr>
          <w:rFonts w:hint="eastAsia" w:ascii="宋体" w:hAnsi="宋体" w:eastAsia="宋体" w:cs="宋体"/>
          <w:b/>
          <w:bCs/>
          <w:sz w:val="36"/>
          <w:szCs w:val="36"/>
        </w:rPr>
        <w:t>项目支出绩效评价报告</w:t>
      </w:r>
    </w:p>
    <w:p>
      <w:pPr>
        <w:jc w:val="center"/>
        <w:rPr>
          <w:rFonts w:ascii="仿宋_GB2312"/>
        </w:rPr>
      </w:pPr>
    </w:p>
    <w:p>
      <w:pPr>
        <w:spacing w:line="600" w:lineRule="exact"/>
        <w:ind w:firstLine="600" w:firstLineChars="200"/>
        <w:rPr>
          <w:rFonts w:ascii="黑体" w:hAnsi="黑体" w:eastAsia="黑体"/>
        </w:rPr>
      </w:pPr>
      <w:r>
        <w:rPr>
          <w:rFonts w:hint="eastAsia" w:ascii="黑体" w:hAnsi="黑体" w:eastAsia="黑体" w:cs="黑体"/>
        </w:rPr>
        <w:t>一、基本情况</w:t>
      </w:r>
    </w:p>
    <w:p>
      <w:pPr>
        <w:spacing w:line="600" w:lineRule="exact"/>
        <w:ind w:firstLine="560" w:firstLineChars="200"/>
        <w:outlineLvl w:val="0"/>
        <w:rPr>
          <w:rFonts w:ascii="宋体" w:hAnsi="宋体" w:eastAsia="宋体"/>
          <w:sz w:val="28"/>
          <w:szCs w:val="28"/>
        </w:rPr>
      </w:pPr>
      <w:r>
        <w:rPr>
          <w:rFonts w:hint="eastAsia" w:ascii="宋体" w:hAnsi="宋体" w:eastAsia="宋体" w:cs="宋体"/>
          <w:sz w:val="28"/>
          <w:szCs w:val="28"/>
        </w:rPr>
        <w:t>（一）项目概况。</w:t>
      </w:r>
    </w:p>
    <w:p>
      <w:pPr>
        <w:spacing w:line="360" w:lineRule="auto"/>
        <w:ind w:firstLine="560" w:firstLineChars="200"/>
        <w:outlineLvl w:val="0"/>
        <w:rPr>
          <w:rFonts w:ascii="宋体" w:hAnsi="宋体" w:eastAsia="宋体"/>
          <w:sz w:val="28"/>
          <w:szCs w:val="28"/>
        </w:rPr>
      </w:pPr>
      <w:r>
        <w:rPr>
          <w:rFonts w:hint="eastAsia" w:ascii="宋体" w:hAnsi="宋体" w:eastAsia="宋体" w:cs="宋体"/>
          <w:sz w:val="28"/>
          <w:szCs w:val="28"/>
        </w:rPr>
        <w:t>为民办好事，办实事。具体用于访贫问苦，送服务，送温暖。</w:t>
      </w:r>
    </w:p>
    <w:p>
      <w:pPr>
        <w:spacing w:line="360" w:lineRule="auto"/>
        <w:ind w:firstLine="560" w:firstLineChars="200"/>
        <w:outlineLvl w:val="0"/>
        <w:rPr>
          <w:rFonts w:ascii="宋体" w:hAnsi="宋体" w:eastAsia="宋体"/>
          <w:kern w:val="0"/>
          <w:sz w:val="28"/>
          <w:szCs w:val="28"/>
        </w:rPr>
      </w:pPr>
      <w:r>
        <w:rPr>
          <w:rFonts w:hint="eastAsia" w:ascii="宋体" w:hAnsi="宋体" w:eastAsia="宋体" w:cs="宋体"/>
          <w:kern w:val="0"/>
          <w:sz w:val="28"/>
          <w:szCs w:val="28"/>
        </w:rPr>
        <w:t>该项目资金</w:t>
      </w:r>
      <w:r>
        <w:rPr>
          <w:rFonts w:ascii="宋体" w:hAnsi="宋体" w:eastAsia="宋体" w:cs="宋体"/>
          <w:kern w:val="0"/>
          <w:sz w:val="28"/>
          <w:szCs w:val="28"/>
        </w:rPr>
        <w:t>4.5</w:t>
      </w:r>
      <w:r>
        <w:rPr>
          <w:rFonts w:hint="eastAsia" w:ascii="宋体" w:hAnsi="宋体" w:eastAsia="宋体" w:cs="宋体"/>
          <w:kern w:val="0"/>
          <w:sz w:val="28"/>
          <w:szCs w:val="28"/>
        </w:rPr>
        <w:t>万元全部为财政资金。用于给困难群众发放过冬煤</w:t>
      </w:r>
      <w:r>
        <w:rPr>
          <w:rFonts w:ascii="宋体" w:hAnsi="宋体" w:eastAsia="宋体" w:cs="宋体"/>
          <w:kern w:val="0"/>
          <w:sz w:val="28"/>
          <w:szCs w:val="28"/>
        </w:rPr>
        <w:t>50%</w:t>
      </w:r>
      <w:r>
        <w:rPr>
          <w:rFonts w:hint="eastAsia" w:ascii="宋体" w:hAnsi="宋体" w:eastAsia="宋体" w:cs="宋体"/>
          <w:kern w:val="0"/>
          <w:sz w:val="28"/>
          <w:szCs w:val="28"/>
        </w:rPr>
        <w:t>；用于</w:t>
      </w:r>
      <w:r>
        <w:rPr>
          <w:rFonts w:hint="eastAsia" w:ascii="宋体" w:hAnsi="宋体" w:eastAsia="宋体" w:cs="宋体"/>
          <w:sz w:val="28"/>
          <w:szCs w:val="28"/>
        </w:rPr>
        <w:t>看望贫困、困难群众</w:t>
      </w:r>
      <w:r>
        <w:rPr>
          <w:rFonts w:hint="eastAsia" w:ascii="宋体" w:hAnsi="宋体" w:eastAsia="宋体" w:cs="宋体"/>
          <w:kern w:val="0"/>
          <w:sz w:val="28"/>
          <w:szCs w:val="28"/>
        </w:rPr>
        <w:t>、肉孜节、古尔邦节慰问群众</w:t>
      </w:r>
      <w:r>
        <w:rPr>
          <w:rFonts w:ascii="宋体" w:hAnsi="宋体" w:eastAsia="宋体" w:cs="宋体"/>
          <w:kern w:val="0"/>
          <w:sz w:val="28"/>
          <w:szCs w:val="28"/>
        </w:rPr>
        <w:t>39%</w:t>
      </w:r>
      <w:r>
        <w:rPr>
          <w:rFonts w:hint="eastAsia" w:ascii="宋体" w:hAnsi="宋体" w:eastAsia="宋体" w:cs="宋体"/>
          <w:kern w:val="0"/>
          <w:sz w:val="28"/>
          <w:szCs w:val="28"/>
        </w:rPr>
        <w:t>；用于帮助农户销售大蒜</w:t>
      </w:r>
      <w:r>
        <w:rPr>
          <w:rFonts w:ascii="宋体" w:hAnsi="宋体" w:eastAsia="宋体" w:cs="宋体"/>
          <w:kern w:val="0"/>
          <w:sz w:val="28"/>
          <w:szCs w:val="28"/>
        </w:rPr>
        <w:t>11%</w:t>
      </w:r>
      <w:r>
        <w:rPr>
          <w:rFonts w:hint="eastAsia" w:ascii="宋体" w:hAnsi="宋体" w:eastAsia="宋体" w:cs="宋体"/>
          <w:kern w:val="0"/>
          <w:sz w:val="28"/>
          <w:szCs w:val="28"/>
        </w:rPr>
        <w:t>。</w:t>
      </w:r>
    </w:p>
    <w:p>
      <w:pPr>
        <w:spacing w:line="360" w:lineRule="auto"/>
        <w:ind w:firstLine="560" w:firstLineChars="200"/>
        <w:outlineLvl w:val="0"/>
        <w:rPr>
          <w:rFonts w:ascii="宋体" w:hAnsi="宋体" w:eastAsia="宋体"/>
          <w:sz w:val="28"/>
          <w:szCs w:val="28"/>
        </w:rPr>
      </w:pPr>
      <w:r>
        <w:rPr>
          <w:rFonts w:ascii="宋体" w:hAnsi="宋体" w:eastAsia="宋体" w:cs="宋体"/>
          <w:sz w:val="28"/>
          <w:szCs w:val="28"/>
        </w:rPr>
        <w:t>1</w:t>
      </w:r>
      <w:r>
        <w:rPr>
          <w:rFonts w:hint="eastAsia" w:ascii="宋体" w:hAnsi="宋体" w:eastAsia="宋体" w:cs="宋体"/>
          <w:sz w:val="28"/>
          <w:szCs w:val="28"/>
        </w:rPr>
        <w:t>、项目背景</w:t>
      </w:r>
    </w:p>
    <w:p>
      <w:pPr>
        <w:spacing w:line="360" w:lineRule="auto"/>
        <w:ind w:firstLine="560" w:firstLineChars="200"/>
        <w:outlineLvl w:val="0"/>
        <w:rPr>
          <w:rFonts w:ascii="宋体" w:hAnsi="宋体" w:eastAsia="宋体"/>
          <w:sz w:val="28"/>
          <w:szCs w:val="28"/>
        </w:rPr>
      </w:pPr>
      <w:r>
        <w:rPr>
          <w:rFonts w:hint="eastAsia" w:ascii="宋体" w:hAnsi="宋体" w:eastAsia="宋体" w:cs="宋体"/>
          <w:sz w:val="28"/>
          <w:szCs w:val="28"/>
        </w:rPr>
        <w:t>为认真贯彻落实</w:t>
      </w:r>
      <w:r>
        <w:rPr>
          <w:rFonts w:hint="eastAsia" w:ascii="宋体" w:hAnsi="宋体" w:eastAsia="宋体" w:cs="宋体"/>
          <w:sz w:val="28"/>
          <w:szCs w:val="28"/>
          <w:lang w:eastAsia="zh-CN"/>
        </w:rPr>
        <w:t>习近平新时代中国特色社会主义思想和党的十九大精神</w:t>
      </w:r>
      <w:bookmarkStart w:id="0" w:name="_GoBack"/>
      <w:bookmarkEnd w:id="0"/>
      <w:r>
        <w:rPr>
          <w:rFonts w:hint="eastAsia" w:ascii="宋体" w:hAnsi="宋体" w:eastAsia="宋体" w:cs="宋体"/>
          <w:sz w:val="28"/>
          <w:szCs w:val="28"/>
        </w:rPr>
        <w:t>，把发展旅游业作为贯彻落实党中央治疆方略，特别是社会稳定和长治久安总目标的重要抓手，促进巴州经济社会发展。</w:t>
      </w:r>
    </w:p>
    <w:p>
      <w:pPr>
        <w:spacing w:line="600" w:lineRule="exact"/>
        <w:ind w:firstLine="560" w:firstLineChars="200"/>
        <w:rPr>
          <w:rFonts w:ascii="宋体" w:hAnsi="宋体" w:eastAsia="宋体"/>
          <w:sz w:val="28"/>
          <w:szCs w:val="28"/>
        </w:rPr>
      </w:pPr>
      <w:r>
        <w:rPr>
          <w:rFonts w:ascii="宋体" w:hAnsi="宋体" w:eastAsia="宋体" w:cs="宋体"/>
          <w:sz w:val="28"/>
          <w:szCs w:val="28"/>
        </w:rPr>
        <w:t>2</w:t>
      </w:r>
      <w:r>
        <w:rPr>
          <w:rFonts w:hint="eastAsia" w:ascii="宋体" w:hAnsi="宋体" w:eastAsia="宋体" w:cs="宋体"/>
          <w:sz w:val="28"/>
          <w:szCs w:val="28"/>
        </w:rPr>
        <w:t>、项目绩效目标。</w:t>
      </w:r>
    </w:p>
    <w:p>
      <w:pPr>
        <w:spacing w:line="360" w:lineRule="auto"/>
        <w:ind w:firstLine="560" w:firstLineChars="200"/>
        <w:outlineLvl w:val="0"/>
        <w:rPr>
          <w:rFonts w:ascii="宋体" w:hAnsi="宋体" w:eastAsia="宋体"/>
          <w:sz w:val="28"/>
          <w:szCs w:val="28"/>
        </w:rPr>
      </w:pPr>
      <w:r>
        <w:rPr>
          <w:rFonts w:hint="eastAsia" w:ascii="宋体" w:hAnsi="宋体" w:eastAsia="宋体" w:cs="宋体"/>
          <w:sz w:val="28"/>
          <w:szCs w:val="28"/>
        </w:rPr>
        <w:t>总体目标：为全力践行中国共产党全心全意为人民服务的宗旨，进一步扎实持久开展好“访民情惠民生聚民心”驻村工作。解决群众最关心、最直接、最现实的利益问题，解决群众生产生活中的实际困难，及时将党和政府的温暖送到人民群众的心坎上。</w:t>
      </w:r>
    </w:p>
    <w:p>
      <w:pPr>
        <w:ind w:firstLine="560" w:firstLineChars="200"/>
        <w:rPr>
          <w:rFonts w:ascii="宋体" w:hAnsi="宋体" w:eastAsia="宋体"/>
          <w:sz w:val="28"/>
          <w:szCs w:val="28"/>
        </w:rPr>
      </w:pPr>
      <w:r>
        <w:rPr>
          <w:rFonts w:hint="eastAsia" w:ascii="宋体" w:hAnsi="宋体" w:eastAsia="宋体" w:cs="宋体"/>
          <w:sz w:val="28"/>
          <w:szCs w:val="28"/>
        </w:rPr>
        <w:t>阶段性目标：该项目为当年项目，无阶段性目标。</w:t>
      </w:r>
    </w:p>
    <w:p>
      <w:pPr>
        <w:spacing w:line="600" w:lineRule="exact"/>
        <w:ind w:firstLine="600" w:firstLineChars="200"/>
        <w:rPr>
          <w:rFonts w:ascii="黑体" w:hAnsi="黑体" w:eastAsia="黑体"/>
        </w:rPr>
      </w:pPr>
      <w:r>
        <w:rPr>
          <w:rFonts w:hint="eastAsia" w:ascii="黑体" w:hAnsi="黑体" w:eastAsia="黑体" w:cs="黑体"/>
        </w:rPr>
        <w:t>二、绩效评价工作开展情况</w:t>
      </w:r>
    </w:p>
    <w:p>
      <w:pPr>
        <w:spacing w:line="600" w:lineRule="exact"/>
        <w:ind w:firstLine="600" w:firstLineChars="200"/>
        <w:outlineLvl w:val="0"/>
        <w:rPr>
          <w:rFonts w:ascii="宋体" w:hAnsi="宋体" w:eastAsia="宋体"/>
          <w:sz w:val="28"/>
          <w:szCs w:val="28"/>
        </w:rPr>
      </w:pPr>
      <w:r>
        <w:rPr>
          <w:rFonts w:hint="eastAsia" w:ascii="仿宋_GB2312" w:cs="仿宋_GB2312"/>
        </w:rPr>
        <w:t>（</w:t>
      </w:r>
      <w:r>
        <w:rPr>
          <w:rFonts w:hint="eastAsia" w:ascii="宋体" w:hAnsi="宋体" w:eastAsia="宋体" w:cs="宋体"/>
          <w:sz w:val="28"/>
          <w:szCs w:val="28"/>
        </w:rPr>
        <w:t>一）绩效评价目的、对象和范围。</w:t>
      </w:r>
    </w:p>
    <w:p>
      <w:pPr>
        <w:spacing w:line="360" w:lineRule="auto"/>
        <w:ind w:firstLine="560" w:firstLineChars="200"/>
        <w:outlineLvl w:val="0"/>
        <w:rPr>
          <w:rFonts w:ascii="宋体" w:hAnsi="宋体" w:eastAsia="宋体"/>
          <w:sz w:val="28"/>
          <w:szCs w:val="28"/>
        </w:rPr>
      </w:pPr>
      <w:r>
        <w:rPr>
          <w:rFonts w:hint="eastAsia" w:ascii="宋体" w:hAnsi="宋体" w:eastAsia="宋体" w:cs="宋体"/>
          <w:sz w:val="28"/>
          <w:szCs w:val="28"/>
        </w:rPr>
        <w:t>全面实施预算绩效管理是党中央重大决策部署，自治区党委、自治区人民政府始终高度重视预算绩效管理工作。自治区各地、各部门单位一定要高度重视，提高政治站位，坚决在思想上、政治上、行动上同以习近平同志为核心的党中央保持高度一致，牢固树立“花钱必问效、无效必问责”的绩效理念，切实增强绩效管理工作的主动性、积极性，圆满完成</w:t>
      </w:r>
      <w:r>
        <w:rPr>
          <w:rFonts w:ascii="宋体" w:hAnsi="宋体" w:eastAsia="宋体" w:cs="宋体"/>
          <w:sz w:val="28"/>
          <w:szCs w:val="28"/>
        </w:rPr>
        <w:t>2019</w:t>
      </w:r>
      <w:r>
        <w:rPr>
          <w:rFonts w:hint="eastAsia" w:ascii="宋体" w:hAnsi="宋体" w:eastAsia="宋体" w:cs="宋体"/>
          <w:sz w:val="28"/>
          <w:szCs w:val="28"/>
        </w:rPr>
        <w:t>年度绩效评价各项工作任务，不断提高财政资金使用效益。</w:t>
      </w:r>
    </w:p>
    <w:p>
      <w:pPr>
        <w:spacing w:line="600" w:lineRule="exact"/>
        <w:ind w:firstLine="560" w:firstLineChars="200"/>
        <w:outlineLvl w:val="0"/>
        <w:rPr>
          <w:rFonts w:ascii="宋体" w:hAnsi="宋体" w:eastAsia="宋体"/>
          <w:sz w:val="28"/>
          <w:szCs w:val="28"/>
        </w:rPr>
      </w:pPr>
      <w:r>
        <w:rPr>
          <w:rFonts w:hint="eastAsia" w:ascii="宋体" w:hAnsi="宋体" w:eastAsia="宋体" w:cs="宋体"/>
          <w:sz w:val="28"/>
          <w:szCs w:val="28"/>
        </w:rPr>
        <w:t>绩效评价对象：“访民情惠民生聚民心”驻村工作经费，巴音郭楞人民广播电台。</w:t>
      </w:r>
    </w:p>
    <w:p>
      <w:pPr>
        <w:spacing w:line="600" w:lineRule="exact"/>
        <w:ind w:firstLine="560" w:firstLineChars="200"/>
        <w:outlineLvl w:val="0"/>
        <w:rPr>
          <w:rFonts w:ascii="宋体" w:hAnsi="宋体" w:eastAsia="宋体"/>
          <w:sz w:val="28"/>
          <w:szCs w:val="28"/>
        </w:rPr>
      </w:pPr>
      <w:r>
        <w:rPr>
          <w:rFonts w:hint="eastAsia" w:ascii="宋体" w:hAnsi="宋体" w:eastAsia="宋体" w:cs="宋体"/>
          <w:sz w:val="28"/>
          <w:szCs w:val="28"/>
        </w:rPr>
        <w:t>绩效评价范围：访贫问苦，为群众送信息，送服务，送温暖，支持小型种植，提供农牧民收入。</w:t>
      </w:r>
      <w:r>
        <w:rPr>
          <w:rFonts w:hint="eastAsia" w:ascii="宋体" w:hAnsi="宋体" w:eastAsia="宋体" w:cs="宋体"/>
          <w:kern w:val="0"/>
          <w:sz w:val="28"/>
          <w:szCs w:val="28"/>
        </w:rPr>
        <w:t>给困难群众发放过冬煤提供生活质量；</w:t>
      </w:r>
      <w:r>
        <w:rPr>
          <w:rFonts w:hint="eastAsia" w:ascii="宋体" w:hAnsi="宋体" w:eastAsia="宋体" w:cs="宋体"/>
          <w:sz w:val="28"/>
          <w:szCs w:val="28"/>
        </w:rPr>
        <w:t>看望贫困、困难群众</w:t>
      </w:r>
      <w:r>
        <w:rPr>
          <w:rFonts w:hint="eastAsia" w:ascii="宋体" w:hAnsi="宋体" w:eastAsia="宋体" w:cs="宋体"/>
          <w:kern w:val="0"/>
          <w:sz w:val="28"/>
          <w:szCs w:val="28"/>
        </w:rPr>
        <w:t>、肉孜节、古尔邦节慰问群众给农牧民送温暖；帮助农户销售大蒜提供农民收入。</w:t>
      </w:r>
    </w:p>
    <w:p>
      <w:pPr>
        <w:spacing w:line="600" w:lineRule="exact"/>
        <w:ind w:firstLine="560" w:firstLineChars="200"/>
        <w:outlineLvl w:val="0"/>
        <w:rPr>
          <w:rFonts w:ascii="宋体" w:hAnsi="宋体" w:eastAsia="宋体"/>
          <w:sz w:val="28"/>
          <w:szCs w:val="28"/>
        </w:rPr>
      </w:pPr>
      <w:r>
        <w:rPr>
          <w:rFonts w:hint="eastAsia" w:ascii="宋体" w:hAnsi="宋体" w:eastAsia="宋体" w:cs="宋体"/>
          <w:sz w:val="28"/>
          <w:szCs w:val="28"/>
        </w:rPr>
        <w:t>（二）绩效评价原则、评价指标体系（附表说明）、评价方法、评价标准等。</w:t>
      </w:r>
    </w:p>
    <w:p>
      <w:pPr>
        <w:spacing w:line="360" w:lineRule="auto"/>
        <w:ind w:firstLine="560" w:firstLineChars="200"/>
        <w:outlineLvl w:val="0"/>
        <w:rPr>
          <w:rFonts w:ascii="宋体" w:hAnsi="宋体" w:eastAsia="宋体"/>
          <w:sz w:val="28"/>
          <w:szCs w:val="28"/>
        </w:rPr>
      </w:pPr>
      <w:r>
        <w:rPr>
          <w:rFonts w:ascii="宋体" w:hAnsi="宋体" w:eastAsia="宋体" w:cs="宋体"/>
          <w:sz w:val="28"/>
          <w:szCs w:val="28"/>
        </w:rPr>
        <w:t>1</w:t>
      </w:r>
      <w:r>
        <w:rPr>
          <w:rFonts w:hint="eastAsia" w:ascii="宋体" w:hAnsi="宋体" w:eastAsia="宋体" w:cs="宋体"/>
          <w:sz w:val="28"/>
          <w:szCs w:val="28"/>
        </w:rPr>
        <w:t>、绩效评价原则：</w:t>
      </w:r>
    </w:p>
    <w:p>
      <w:pPr>
        <w:spacing w:line="360" w:lineRule="auto"/>
        <w:ind w:firstLine="560" w:firstLineChars="200"/>
        <w:outlineLvl w:val="0"/>
        <w:rPr>
          <w:rFonts w:ascii="宋体" w:hAnsi="宋体" w:eastAsia="宋体"/>
          <w:sz w:val="28"/>
          <w:szCs w:val="28"/>
        </w:rPr>
      </w:pPr>
      <w:r>
        <w:rPr>
          <w:rFonts w:hint="eastAsia" w:ascii="宋体" w:hAnsi="宋体" w:eastAsia="宋体" w:cs="宋体"/>
          <w:sz w:val="28"/>
          <w:szCs w:val="28"/>
        </w:rPr>
        <w:t>（一）科学公正。</w:t>
      </w:r>
    </w:p>
    <w:p>
      <w:pPr>
        <w:spacing w:line="360" w:lineRule="auto"/>
        <w:ind w:firstLine="560" w:firstLineChars="200"/>
        <w:outlineLvl w:val="0"/>
        <w:rPr>
          <w:rFonts w:ascii="宋体" w:hAnsi="宋体" w:eastAsia="宋体"/>
          <w:sz w:val="28"/>
          <w:szCs w:val="28"/>
        </w:rPr>
      </w:pPr>
      <w:r>
        <w:rPr>
          <w:rFonts w:hint="eastAsia" w:ascii="宋体" w:hAnsi="宋体" w:eastAsia="宋体" w:cs="宋体"/>
          <w:sz w:val="28"/>
          <w:szCs w:val="28"/>
        </w:rPr>
        <w:t>（二）统筹兼顾。</w:t>
      </w:r>
    </w:p>
    <w:p>
      <w:pPr>
        <w:spacing w:line="360" w:lineRule="auto"/>
        <w:ind w:firstLine="560" w:firstLineChars="200"/>
        <w:outlineLvl w:val="0"/>
        <w:rPr>
          <w:rFonts w:ascii="宋体" w:hAnsi="宋体" w:eastAsia="宋体"/>
          <w:sz w:val="28"/>
          <w:szCs w:val="28"/>
        </w:rPr>
      </w:pPr>
      <w:r>
        <w:rPr>
          <w:rFonts w:hint="eastAsia" w:ascii="宋体" w:hAnsi="宋体" w:eastAsia="宋体" w:cs="宋体"/>
          <w:sz w:val="28"/>
          <w:szCs w:val="28"/>
        </w:rPr>
        <w:t>（三）激励约束。</w:t>
      </w:r>
    </w:p>
    <w:p>
      <w:pPr>
        <w:spacing w:line="360" w:lineRule="auto"/>
        <w:ind w:firstLine="560" w:firstLineChars="200"/>
        <w:outlineLvl w:val="0"/>
        <w:rPr>
          <w:rFonts w:ascii="宋体" w:hAnsi="宋体" w:eastAsia="宋体"/>
          <w:sz w:val="28"/>
          <w:szCs w:val="28"/>
        </w:rPr>
      </w:pPr>
      <w:r>
        <w:rPr>
          <w:rFonts w:hint="eastAsia" w:ascii="宋体" w:hAnsi="宋体" w:eastAsia="宋体" w:cs="宋体"/>
          <w:sz w:val="28"/>
          <w:szCs w:val="28"/>
        </w:rPr>
        <w:t>（四）公开透明。</w:t>
      </w:r>
    </w:p>
    <w:p>
      <w:pPr>
        <w:spacing w:line="360" w:lineRule="auto"/>
        <w:ind w:firstLine="560" w:firstLineChars="200"/>
        <w:outlineLvl w:val="0"/>
        <w:rPr>
          <w:rFonts w:ascii="宋体" w:hAnsi="宋体" w:eastAsia="宋体"/>
          <w:sz w:val="28"/>
          <w:szCs w:val="28"/>
        </w:rPr>
      </w:pPr>
      <w:r>
        <w:rPr>
          <w:rFonts w:ascii="宋体" w:hAnsi="宋体" w:eastAsia="宋体" w:cs="宋体"/>
          <w:sz w:val="28"/>
          <w:szCs w:val="28"/>
        </w:rPr>
        <w:t>2</w:t>
      </w:r>
      <w:r>
        <w:rPr>
          <w:rFonts w:hint="eastAsia" w:ascii="宋体" w:hAnsi="宋体" w:eastAsia="宋体" w:cs="宋体"/>
          <w:sz w:val="28"/>
          <w:szCs w:val="28"/>
        </w:rPr>
        <w:t>、单位自评指标体系</w:t>
      </w:r>
    </w:p>
    <w:p>
      <w:pPr>
        <w:spacing w:line="360" w:lineRule="auto"/>
        <w:ind w:firstLine="560" w:firstLineChars="200"/>
        <w:outlineLvl w:val="0"/>
        <w:rPr>
          <w:rFonts w:ascii="宋体" w:hAnsi="宋体" w:eastAsia="宋体"/>
          <w:sz w:val="28"/>
          <w:szCs w:val="28"/>
        </w:rPr>
      </w:pPr>
      <w:r>
        <w:rPr>
          <w:rFonts w:hint="eastAsia" w:ascii="宋体" w:hAnsi="宋体" w:eastAsia="宋体" w:cs="宋体"/>
          <w:sz w:val="28"/>
          <w:szCs w:val="28"/>
        </w:rPr>
        <w:t>预算执行率和一级指标权重统一设置为</w:t>
      </w:r>
      <w:r>
        <w:rPr>
          <w:rFonts w:ascii="宋体" w:hAnsi="宋体" w:eastAsia="宋体" w:cs="宋体"/>
          <w:sz w:val="28"/>
          <w:szCs w:val="28"/>
        </w:rPr>
        <w:t xml:space="preserve">: </w:t>
      </w:r>
      <w:r>
        <w:rPr>
          <w:rFonts w:hint="eastAsia" w:ascii="宋体" w:hAnsi="宋体" w:eastAsia="宋体" w:cs="宋体"/>
          <w:sz w:val="28"/>
          <w:szCs w:val="28"/>
        </w:rPr>
        <w:t>预算执行率</w:t>
      </w:r>
      <w:r>
        <w:rPr>
          <w:rFonts w:ascii="宋体" w:hAnsi="宋体" w:eastAsia="宋体" w:cs="宋体"/>
          <w:sz w:val="28"/>
          <w:szCs w:val="28"/>
        </w:rPr>
        <w:t>10%</w:t>
      </w:r>
      <w:r>
        <w:rPr>
          <w:rFonts w:hint="eastAsia" w:ascii="宋体" w:hAnsi="宋体" w:eastAsia="宋体" w:cs="宋体"/>
          <w:sz w:val="28"/>
          <w:szCs w:val="28"/>
        </w:rPr>
        <w:t>、产出指标</w:t>
      </w:r>
      <w:r>
        <w:rPr>
          <w:rFonts w:ascii="宋体" w:hAnsi="宋体" w:eastAsia="宋体" w:cs="宋体"/>
          <w:sz w:val="28"/>
          <w:szCs w:val="28"/>
        </w:rPr>
        <w:t>50%</w:t>
      </w:r>
      <w:r>
        <w:rPr>
          <w:rFonts w:hint="eastAsia" w:ascii="宋体" w:hAnsi="宋体" w:eastAsia="宋体" w:cs="宋体"/>
          <w:sz w:val="28"/>
          <w:szCs w:val="28"/>
        </w:rPr>
        <w:t>、效益指标</w:t>
      </w:r>
      <w:r>
        <w:rPr>
          <w:rFonts w:ascii="宋体" w:hAnsi="宋体" w:eastAsia="宋体" w:cs="宋体"/>
          <w:sz w:val="28"/>
          <w:szCs w:val="28"/>
        </w:rPr>
        <w:t>30%</w:t>
      </w:r>
      <w:r>
        <w:rPr>
          <w:rFonts w:hint="eastAsia" w:ascii="宋体" w:hAnsi="宋体" w:eastAsia="宋体" w:cs="宋体"/>
          <w:sz w:val="28"/>
          <w:szCs w:val="28"/>
        </w:rPr>
        <w:t>、服务对象满意度指标</w:t>
      </w:r>
      <w:r>
        <w:rPr>
          <w:rFonts w:ascii="宋体" w:hAnsi="宋体" w:eastAsia="宋体" w:cs="宋体"/>
          <w:sz w:val="28"/>
          <w:szCs w:val="28"/>
        </w:rPr>
        <w:t>10%</w:t>
      </w:r>
      <w:r>
        <w:rPr>
          <w:rFonts w:hint="eastAsia" w:ascii="宋体" w:hAnsi="宋体" w:eastAsia="宋体" w:cs="宋体"/>
          <w:sz w:val="28"/>
          <w:szCs w:val="28"/>
        </w:rPr>
        <w:t>。</w:t>
      </w:r>
    </w:p>
    <w:p>
      <w:pPr>
        <w:spacing w:line="580" w:lineRule="exact"/>
        <w:ind w:firstLine="560" w:firstLineChars="200"/>
        <w:rPr>
          <w:rFonts w:ascii="宋体" w:hAnsi="宋体" w:eastAsia="宋体"/>
          <w:sz w:val="28"/>
          <w:szCs w:val="28"/>
        </w:rPr>
      </w:pPr>
      <w:r>
        <w:rPr>
          <w:rFonts w:ascii="宋体" w:hAnsi="宋体" w:eastAsia="宋体" w:cs="宋体"/>
          <w:sz w:val="28"/>
          <w:szCs w:val="28"/>
        </w:rPr>
        <w:t>3</w:t>
      </w:r>
      <w:r>
        <w:rPr>
          <w:rFonts w:hint="eastAsia" w:ascii="宋体" w:hAnsi="宋体" w:eastAsia="宋体" w:cs="宋体"/>
          <w:sz w:val="28"/>
          <w:szCs w:val="28"/>
        </w:rPr>
        <w:t>、评价方法</w:t>
      </w:r>
    </w:p>
    <w:p>
      <w:pPr>
        <w:spacing w:line="580" w:lineRule="exact"/>
        <w:ind w:firstLine="600" w:firstLineChars="200"/>
        <w:rPr>
          <w:rFonts w:ascii="仿宋_GB2312"/>
        </w:rPr>
      </w:pPr>
      <w:r>
        <w:rPr>
          <w:rFonts w:hint="eastAsia" w:ascii="仿宋_GB2312" w:cs="仿宋_GB2312"/>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int="eastAsia" w:hAnsi="仿宋" w:cs="仿宋_GB2312"/>
          <w:color w:val="000000"/>
        </w:rPr>
        <w:t>结合本次绩效评估项目的具体情况，为确保本次绩效评估工作的真实可靠，</w:t>
      </w:r>
      <w:r>
        <w:rPr>
          <w:rFonts w:hint="eastAsia" w:ascii="仿宋_GB2312" w:cs="仿宋_GB2312"/>
        </w:rPr>
        <w:t>我单位采用了成本效益分析法进行评价。</w:t>
      </w:r>
    </w:p>
    <w:p>
      <w:pPr>
        <w:pStyle w:val="11"/>
        <w:spacing w:line="520" w:lineRule="exact"/>
        <w:ind w:firstLine="699" w:firstLineChars="233"/>
        <w:rPr>
          <w:rFonts w:ascii="仿宋_GB2312" w:eastAsia="仿宋_GB2312" w:cs="Times New Roman"/>
          <w:color w:val="auto"/>
          <w:kern w:val="2"/>
          <w:sz w:val="30"/>
          <w:szCs w:val="30"/>
        </w:rPr>
      </w:pPr>
      <w:r>
        <w:rPr>
          <w:rFonts w:hint="eastAsia" w:ascii="仿宋_GB2312" w:eastAsia="仿宋_GB2312" w:cs="仿宋_GB2312"/>
          <w:color w:val="auto"/>
          <w:kern w:val="2"/>
          <w:sz w:val="30"/>
          <w:szCs w:val="30"/>
        </w:rPr>
        <w:t>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促进了</w:t>
      </w:r>
      <w:r>
        <w:rPr>
          <w:rFonts w:hint="eastAsia" w:ascii="宋体" w:hAnsi="宋体" w:eastAsia="宋体" w:cs="宋体"/>
          <w:sz w:val="28"/>
          <w:szCs w:val="28"/>
        </w:rPr>
        <w:t>访民情惠民生聚民心</w:t>
      </w:r>
      <w:r>
        <w:rPr>
          <w:rFonts w:hint="eastAsia" w:ascii="仿宋_GB2312" w:eastAsia="仿宋_GB2312" w:cs="仿宋_GB2312"/>
          <w:color w:val="auto"/>
          <w:kern w:val="2"/>
          <w:sz w:val="30"/>
          <w:szCs w:val="30"/>
        </w:rPr>
        <w:t>事业发展及和谐社会的构建。</w:t>
      </w:r>
    </w:p>
    <w:p>
      <w:pPr>
        <w:spacing w:line="360" w:lineRule="auto"/>
        <w:ind w:firstLine="560" w:firstLineChars="200"/>
        <w:outlineLvl w:val="0"/>
        <w:rPr>
          <w:rFonts w:ascii="宋体" w:hAnsi="宋体" w:eastAsia="宋体"/>
          <w:sz w:val="28"/>
          <w:szCs w:val="28"/>
        </w:rPr>
      </w:pPr>
    </w:p>
    <w:p>
      <w:pPr>
        <w:spacing w:line="360" w:lineRule="auto"/>
        <w:ind w:firstLine="560" w:firstLineChars="200"/>
        <w:outlineLvl w:val="0"/>
        <w:rPr>
          <w:rFonts w:ascii="宋体" w:hAnsi="宋体" w:eastAsia="宋体"/>
          <w:sz w:val="28"/>
          <w:szCs w:val="28"/>
        </w:rPr>
      </w:pPr>
      <w:r>
        <w:rPr>
          <w:rFonts w:ascii="宋体" w:hAnsi="宋体" w:eastAsia="宋体" w:cs="宋体"/>
          <w:sz w:val="28"/>
          <w:szCs w:val="28"/>
        </w:rPr>
        <w:t>4</w:t>
      </w:r>
      <w:r>
        <w:rPr>
          <w:rFonts w:hint="eastAsia" w:ascii="宋体" w:hAnsi="宋体" w:eastAsia="宋体" w:cs="宋体"/>
          <w:sz w:val="28"/>
          <w:szCs w:val="28"/>
        </w:rPr>
        <w:t>、绩效评价标准</w:t>
      </w:r>
    </w:p>
    <w:p>
      <w:pPr>
        <w:pStyle w:val="11"/>
        <w:spacing w:line="520" w:lineRule="exact"/>
        <w:rPr>
          <w:rFonts w:ascii="Times New Roman" w:eastAsia="仿宋_GB2312" w:cs="Times New Roman"/>
          <w:spacing w:val="-8"/>
          <w:sz w:val="32"/>
          <w:szCs w:val="32"/>
        </w:rPr>
      </w:pPr>
      <w:r>
        <w:rPr>
          <w:rFonts w:hint="eastAsia" w:ascii="Times New Roman" w:eastAsia="仿宋_GB2312" w:cs="仿宋_GB2312"/>
          <w:sz w:val="32"/>
          <w:szCs w:val="32"/>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pPr>
        <w:spacing w:line="600" w:lineRule="exact"/>
        <w:ind w:firstLine="560" w:firstLineChars="200"/>
        <w:outlineLvl w:val="0"/>
        <w:rPr>
          <w:rFonts w:ascii="宋体" w:hAnsi="宋体" w:eastAsia="宋体"/>
          <w:sz w:val="28"/>
          <w:szCs w:val="28"/>
        </w:rPr>
      </w:pPr>
      <w:r>
        <w:rPr>
          <w:rFonts w:hint="eastAsia" w:ascii="宋体" w:hAnsi="宋体" w:eastAsia="宋体" w:cs="宋体"/>
          <w:sz w:val="28"/>
          <w:szCs w:val="28"/>
        </w:rPr>
        <w:t>（三）绩效评价工作过程</w:t>
      </w:r>
    </w:p>
    <w:p>
      <w:pPr>
        <w:spacing w:line="580" w:lineRule="exact"/>
        <w:ind w:firstLine="600" w:firstLineChars="200"/>
        <w:rPr>
          <w:rFonts w:ascii="仿宋_GB2312" w:cs="仿宋_GB2312"/>
        </w:rPr>
      </w:pPr>
      <w:r>
        <w:rPr>
          <w:rFonts w:hint="eastAsia" w:ascii="仿宋_GB2312" w:cs="仿宋_GB2312"/>
        </w:rPr>
        <w:t>为了提高财政资金分配的科学性、有效性，加强财政专项资金管理，提高支出效益，我单位自项目下达之日高度重视，专门成立了绩效评价工作小组，具体绩效评价工作过程如下</w:t>
      </w:r>
      <w:r>
        <w:rPr>
          <w:rFonts w:ascii="仿宋_GB2312" w:cs="仿宋_GB2312"/>
        </w:rPr>
        <w:t>:</w:t>
      </w:r>
    </w:p>
    <w:p>
      <w:pPr>
        <w:spacing w:line="580" w:lineRule="exact"/>
        <w:ind w:firstLine="600" w:firstLineChars="200"/>
        <w:rPr>
          <w:rFonts w:ascii="仿宋_GB2312"/>
        </w:rPr>
      </w:pPr>
      <w:r>
        <w:rPr>
          <w:rFonts w:ascii="仿宋_GB2312" w:cs="仿宋_GB2312"/>
        </w:rPr>
        <w:t>1</w:t>
      </w:r>
      <w:r>
        <w:rPr>
          <w:rFonts w:hint="eastAsia" w:ascii="仿宋_GB2312" w:cs="仿宋_GB2312"/>
        </w:rPr>
        <w:t>、确定绩效评价对象和范围</w:t>
      </w:r>
    </w:p>
    <w:p>
      <w:pPr>
        <w:spacing w:line="580" w:lineRule="exact"/>
        <w:ind w:firstLine="600" w:firstLineChars="200"/>
        <w:rPr>
          <w:rFonts w:ascii="仿宋_GB2312"/>
        </w:rPr>
      </w:pPr>
      <w:r>
        <w:rPr>
          <w:rFonts w:hint="eastAsia" w:ascii="仿宋_GB2312" w:cs="仿宋_GB2312"/>
        </w:rPr>
        <w:t>我单位根据绩效评价工作重点及预算管理要求确定了绩效评价对象。我单位从决策、过程、产出和效果四个方面针对本项目进行评价，评价的范围包括项目具体的数量指标、质量指标、时效指标、成本指标、经济效益指标、可持续发展指标及满意度指标等。</w:t>
      </w:r>
    </w:p>
    <w:p>
      <w:pPr>
        <w:spacing w:line="580" w:lineRule="exact"/>
        <w:ind w:firstLine="600" w:firstLineChars="200"/>
        <w:rPr>
          <w:rFonts w:ascii="仿宋_GB2312"/>
        </w:rPr>
      </w:pPr>
      <w:r>
        <w:rPr>
          <w:rFonts w:ascii="仿宋_GB2312" w:cs="仿宋_GB2312"/>
        </w:rPr>
        <w:t>2</w:t>
      </w:r>
      <w:r>
        <w:rPr>
          <w:rFonts w:hint="eastAsia" w:ascii="仿宋_GB2312" w:cs="仿宋_GB2312"/>
        </w:rPr>
        <w:t>、研究制订绩效评价工作方案</w:t>
      </w:r>
    </w:p>
    <w:p>
      <w:pPr>
        <w:spacing w:line="580" w:lineRule="exact"/>
        <w:ind w:firstLine="600" w:firstLineChars="200"/>
        <w:rPr>
          <w:rFonts w:ascii="仿宋_GB2312"/>
        </w:rPr>
      </w:pPr>
      <w:r>
        <w:rPr>
          <w:rFonts w:hint="eastAsia" w:ascii="仿宋_GB2312" w:cs="仿宋_GB2312"/>
        </w:rPr>
        <w:t>我单位财政资金绩效评价小组根据评价对象的特点，拟定具体工作方案。工作方案的基本内容包括：评价对象与负责人、评价目的、评价的依据、评价指标、评价标准、评价工作的时间安排、拟采用的评价方法、拟选用的评价标准、需要被评价对象及单位准备</w:t>
      </w:r>
    </w:p>
    <w:p>
      <w:pPr>
        <w:spacing w:line="580" w:lineRule="exact"/>
        <w:ind w:firstLine="600" w:firstLineChars="200"/>
        <w:rPr>
          <w:rFonts w:ascii="仿宋_GB2312"/>
        </w:rPr>
      </w:pPr>
      <w:r>
        <w:rPr>
          <w:rFonts w:ascii="仿宋_GB2312" w:cs="仿宋_GB2312"/>
        </w:rPr>
        <w:t>3</w:t>
      </w:r>
      <w:r>
        <w:rPr>
          <w:rFonts w:hint="eastAsia" w:ascii="仿宋_GB2312" w:cs="仿宋_GB2312"/>
        </w:rPr>
        <w:t>、核实有关情况，分析形成初步结论</w:t>
      </w:r>
    </w:p>
    <w:p>
      <w:pPr>
        <w:spacing w:line="580" w:lineRule="exact"/>
        <w:ind w:firstLine="600" w:firstLineChars="200"/>
        <w:rPr>
          <w:rFonts w:ascii="仿宋_GB2312"/>
        </w:rPr>
      </w:pPr>
      <w:r>
        <w:rPr>
          <w:rFonts w:hint="eastAsia" w:ascii="仿宋_GB2312" w:cs="仿宋_GB2312"/>
        </w:rPr>
        <w:t>对于收集的基础资料和相关数据，绩效评价小组成员核实有关数据的全面性、真实性，进而整理出可供财政资金绩效评价之用的相关资料和基础数据。</w:t>
      </w:r>
    </w:p>
    <w:p>
      <w:pPr>
        <w:spacing w:line="580" w:lineRule="exact"/>
        <w:ind w:firstLine="600" w:firstLineChars="200"/>
        <w:rPr>
          <w:rFonts w:ascii="仿宋_GB2312"/>
        </w:rPr>
      </w:pPr>
      <w:r>
        <w:rPr>
          <w:rFonts w:ascii="仿宋_GB2312" w:cs="仿宋_GB2312"/>
        </w:rPr>
        <w:t>4</w:t>
      </w:r>
      <w:r>
        <w:rPr>
          <w:rFonts w:hint="eastAsia" w:ascii="仿宋_GB2312" w:cs="仿宋_GB2312"/>
        </w:rPr>
        <w:t>、综合分析并形成评价结论</w:t>
      </w:r>
    </w:p>
    <w:p>
      <w:pPr>
        <w:spacing w:line="580" w:lineRule="exact"/>
        <w:ind w:firstLine="600" w:firstLineChars="200"/>
        <w:rPr>
          <w:rFonts w:ascii="仿宋_GB2312"/>
        </w:rPr>
      </w:pPr>
      <w:r>
        <w:rPr>
          <w:rFonts w:hint="eastAsia" w:ascii="仿宋_GB2312" w:cs="仿宋_GB2312"/>
        </w:rPr>
        <w:t>评价小组按照评价方案的要求进行评价工作，并作出评价的初步结论。</w:t>
      </w:r>
    </w:p>
    <w:p>
      <w:pPr>
        <w:spacing w:line="580" w:lineRule="exact"/>
        <w:ind w:firstLine="600" w:firstLineChars="200"/>
        <w:rPr>
          <w:rFonts w:ascii="仿宋_GB2312"/>
        </w:rPr>
      </w:pPr>
      <w:r>
        <w:rPr>
          <w:rFonts w:ascii="仿宋_GB2312" w:cs="仿宋_GB2312"/>
        </w:rPr>
        <w:t>5</w:t>
      </w:r>
      <w:r>
        <w:rPr>
          <w:rFonts w:hint="eastAsia" w:ascii="仿宋_GB2312" w:cs="仿宋_GB2312"/>
        </w:rPr>
        <w:t>、提交绩效评价报告</w:t>
      </w:r>
    </w:p>
    <w:p>
      <w:pPr>
        <w:pStyle w:val="11"/>
        <w:spacing w:line="520" w:lineRule="exact"/>
        <w:ind w:firstLine="559" w:firstLineChars="233"/>
        <w:rPr>
          <w:rFonts w:ascii="仿宋_GB2312" w:hAnsi="仿宋" w:eastAsia="仿宋_GB2312" w:cs="Times New Roman"/>
          <w:color w:val="auto"/>
          <w:spacing w:val="-8"/>
          <w:sz w:val="32"/>
          <w:szCs w:val="32"/>
        </w:rPr>
      </w:pPr>
      <w:r>
        <w:rPr>
          <w:rFonts w:hint="eastAsia" w:ascii="仿宋_GB2312"/>
          <w:color w:val="auto"/>
        </w:rPr>
        <w:t>评价报告是评价工作的成果，也是对被评价对象财政资金绩效情况的结论性报告。我单位根据成本效益分析法对本项目进行了绩效评价，并最终形成绩效评价报告。我单位对绩效评价报告涉及基础资料的真实性、合法性、完整性负责。</w:t>
      </w:r>
    </w:p>
    <w:p>
      <w:pPr>
        <w:spacing w:line="600" w:lineRule="exact"/>
        <w:ind w:firstLine="560" w:firstLineChars="200"/>
        <w:outlineLvl w:val="0"/>
        <w:rPr>
          <w:rFonts w:ascii="宋体" w:hAnsi="宋体" w:eastAsia="宋体"/>
          <w:sz w:val="28"/>
          <w:szCs w:val="28"/>
        </w:rPr>
      </w:pPr>
    </w:p>
    <w:p>
      <w:pPr>
        <w:spacing w:line="600" w:lineRule="exact"/>
        <w:ind w:firstLine="600" w:firstLineChars="200"/>
        <w:rPr>
          <w:rFonts w:ascii="仿宋_GB2312"/>
        </w:rPr>
      </w:pPr>
      <w:r>
        <w:rPr>
          <w:rFonts w:hint="eastAsia" w:ascii="黑体" w:hAnsi="黑体" w:eastAsia="黑体" w:cs="黑体"/>
        </w:rPr>
        <w:t>三、综合评价情况及评价结论</w:t>
      </w:r>
      <w:r>
        <w:rPr>
          <w:rFonts w:hint="eastAsia" w:ascii="仿宋_GB2312" w:cs="仿宋_GB2312"/>
        </w:rPr>
        <w:t>（附相关评分表）</w:t>
      </w:r>
    </w:p>
    <w:p>
      <w:pPr>
        <w:spacing w:line="600" w:lineRule="exact"/>
        <w:ind w:firstLine="560" w:firstLineChars="200"/>
        <w:rPr>
          <w:rFonts w:ascii="仿宋_GB2312"/>
          <w:sz w:val="31"/>
          <w:szCs w:val="31"/>
        </w:rPr>
      </w:pPr>
      <w:r>
        <w:rPr>
          <w:rFonts w:hint="eastAsia" w:ascii="宋体" w:hAnsi="宋体" w:eastAsia="宋体" w:cs="宋体"/>
          <w:sz w:val="28"/>
          <w:szCs w:val="28"/>
        </w:rPr>
        <w:t>“访民情惠民生聚民心”驻村工作</w:t>
      </w:r>
      <w:r>
        <w:rPr>
          <w:rFonts w:hint="eastAsia" w:ascii="仿宋_GB2312" w:hAnsi="仿宋_GB2312" w:cs="仿宋_GB2312"/>
        </w:rPr>
        <w:t>项目综合评价情况：</w:t>
      </w:r>
      <w:r>
        <w:rPr>
          <w:rFonts w:hint="eastAsia" w:ascii="宋体" w:hAnsi="宋体" w:eastAsia="宋体" w:cs="宋体"/>
          <w:sz w:val="28"/>
          <w:szCs w:val="28"/>
        </w:rPr>
        <w:t>“访民情惠民生聚民心”驻村工作经费项</w:t>
      </w:r>
      <w:r>
        <w:rPr>
          <w:rFonts w:hint="eastAsia" w:ascii="仿宋_GB2312" w:hAnsi="仿宋_GB2312" w:cs="仿宋_GB2312"/>
        </w:rPr>
        <w:t>目预算资金</w:t>
      </w:r>
      <w:r>
        <w:rPr>
          <w:rFonts w:ascii="仿宋_GB2312" w:hAnsi="仿宋_GB2312" w:cs="仿宋_GB2312"/>
        </w:rPr>
        <w:t>5.4</w:t>
      </w:r>
      <w:r>
        <w:rPr>
          <w:rFonts w:hint="eastAsia" w:ascii="仿宋_GB2312" w:hAnsi="仿宋_GB2312" w:cs="仿宋_GB2312"/>
        </w:rPr>
        <w:t>万元，实际执行</w:t>
      </w:r>
      <w:r>
        <w:rPr>
          <w:rFonts w:ascii="仿宋_GB2312" w:hAnsi="仿宋_GB2312" w:cs="仿宋_GB2312"/>
        </w:rPr>
        <w:t>5.4</w:t>
      </w:r>
      <w:r>
        <w:rPr>
          <w:rFonts w:hint="eastAsia" w:ascii="仿宋_GB2312" w:hAnsi="仿宋_GB2312" w:cs="仿宋_GB2312"/>
        </w:rPr>
        <w:t>万元。</w:t>
      </w:r>
      <w:r>
        <w:rPr>
          <w:rFonts w:hint="eastAsia" w:ascii="仿宋_GB2312" w:hAnsi="仿宋_GB2312" w:cs="仿宋_GB2312"/>
          <w:sz w:val="31"/>
          <w:szCs w:val="31"/>
        </w:rPr>
        <w:t>保障了为民办事实基本需求，增强了农牧民幸福指数，使困难群众生活状况得到显著改善，</w:t>
      </w:r>
      <w:r>
        <w:rPr>
          <w:rFonts w:hint="eastAsia" w:ascii="仿宋_GB2312" w:hAnsi="仿宋_GB2312" w:cs="仿宋_GB2312"/>
          <w:kern w:val="0"/>
          <w:sz w:val="31"/>
          <w:szCs w:val="31"/>
        </w:rPr>
        <w:t>提高了农牧民家庭生活水平，提升了农牧民家庭的幸福指数，促进了和谐社会的构建。本</w:t>
      </w:r>
      <w:r>
        <w:rPr>
          <w:rFonts w:hint="eastAsia" w:ascii="仿宋_GB2312" w:hAnsi="仿宋_GB2312" w:cs="仿宋_GB2312"/>
          <w:sz w:val="31"/>
          <w:szCs w:val="31"/>
        </w:rPr>
        <w:t>项目支出绩效评价得分</w:t>
      </w:r>
      <w:r>
        <w:rPr>
          <w:rFonts w:ascii="仿宋_GB2312" w:hAnsi="仿宋_GB2312" w:cs="仿宋_GB2312"/>
          <w:sz w:val="31"/>
          <w:szCs w:val="31"/>
        </w:rPr>
        <w:t>98</w:t>
      </w:r>
      <w:r>
        <w:rPr>
          <w:rFonts w:hint="eastAsia" w:ascii="仿宋_GB2312" w:hAnsi="仿宋_GB2312" w:cs="仿宋_GB2312"/>
          <w:sz w:val="31"/>
          <w:szCs w:val="31"/>
        </w:rPr>
        <w:t>分，评价结果为优秀。</w:t>
      </w:r>
    </w:p>
    <w:p>
      <w:pPr>
        <w:spacing w:line="600" w:lineRule="exact"/>
        <w:ind w:firstLine="600" w:firstLineChars="200"/>
        <w:rPr>
          <w:rFonts w:ascii="黑体" w:hAnsi="黑体" w:eastAsia="黑体"/>
        </w:rPr>
      </w:pPr>
      <w:r>
        <w:rPr>
          <w:rFonts w:hint="eastAsia" w:ascii="黑体" w:hAnsi="黑体" w:eastAsia="黑体" w:cs="黑体"/>
        </w:rPr>
        <w:t>四、绩效评价指标分析</w:t>
      </w:r>
    </w:p>
    <w:p>
      <w:pPr>
        <w:spacing w:line="360" w:lineRule="auto"/>
        <w:ind w:firstLine="600" w:firstLineChars="200"/>
        <w:outlineLvl w:val="0"/>
        <w:rPr>
          <w:rFonts w:ascii="仿宋_GB2312"/>
        </w:rPr>
      </w:pPr>
      <w:r>
        <w:rPr>
          <w:rFonts w:hint="eastAsia" w:ascii="仿宋_GB2312" w:hAnsi="仿宋_GB2312" w:cs="仿宋_GB2312"/>
        </w:rPr>
        <w:t>（一）项目决策分析</w:t>
      </w:r>
    </w:p>
    <w:p>
      <w:pPr>
        <w:spacing w:line="360" w:lineRule="auto"/>
        <w:ind w:firstLine="600" w:firstLineChars="200"/>
        <w:outlineLvl w:val="0"/>
        <w:rPr>
          <w:rFonts w:ascii="仿宋_GB2312"/>
        </w:rPr>
      </w:pPr>
      <w:r>
        <w:rPr>
          <w:rFonts w:hint="eastAsia" w:ascii="仿宋_GB2312" w:hAnsi="仿宋_GB2312" w:cs="仿宋_GB2312"/>
        </w:rPr>
        <w:t>项目决策分析主要是对项目立项、绩效目标及资金投入进行分析。该项满分为</w:t>
      </w:r>
      <w:r>
        <w:rPr>
          <w:rFonts w:ascii="仿宋_GB2312" w:hAnsi="仿宋_GB2312" w:cs="仿宋_GB2312"/>
        </w:rPr>
        <w:t>20</w:t>
      </w:r>
      <w:r>
        <w:rPr>
          <w:rFonts w:hint="eastAsia" w:ascii="仿宋_GB2312" w:hAnsi="仿宋_GB2312" w:cs="仿宋_GB2312"/>
        </w:rPr>
        <w:t>分，得分</w:t>
      </w:r>
      <w:r>
        <w:rPr>
          <w:rFonts w:ascii="仿宋_GB2312" w:hAnsi="仿宋_GB2312" w:cs="仿宋_GB2312"/>
        </w:rPr>
        <w:t>19.2</w:t>
      </w:r>
      <w:r>
        <w:rPr>
          <w:rFonts w:hint="eastAsia" w:ascii="仿宋_GB2312" w:hAnsi="仿宋_GB2312" w:cs="仿宋_GB2312"/>
        </w:rPr>
        <w:t>分，得分率</w:t>
      </w:r>
      <w:r>
        <w:rPr>
          <w:rFonts w:ascii="仿宋_GB2312" w:hAnsi="仿宋_GB2312" w:cs="仿宋_GB2312"/>
        </w:rPr>
        <w:t>96%</w:t>
      </w:r>
      <w:r>
        <w:rPr>
          <w:rFonts w:hint="eastAsia" w:ascii="仿宋_GB2312" w:hAnsi="仿宋_GB2312" w:cs="仿宋_GB2312"/>
        </w:rPr>
        <w:t>。</w:t>
      </w:r>
    </w:p>
    <w:p>
      <w:pPr>
        <w:spacing w:line="360" w:lineRule="auto"/>
        <w:ind w:firstLine="600" w:firstLineChars="200"/>
        <w:outlineLvl w:val="0"/>
        <w:rPr>
          <w:rFonts w:ascii="仿宋_GB2312"/>
        </w:rPr>
      </w:pPr>
      <w:r>
        <w:rPr>
          <w:rFonts w:ascii="仿宋_GB2312" w:hAnsi="仿宋_GB2312" w:cs="仿宋_GB2312"/>
        </w:rPr>
        <w:t>1</w:t>
      </w:r>
      <w:r>
        <w:rPr>
          <w:rFonts w:hint="eastAsia" w:ascii="仿宋_GB2312" w:hAnsi="仿宋_GB2312" w:cs="仿宋_GB2312"/>
        </w:rPr>
        <w:t>、项目立项分析（得分</w:t>
      </w:r>
      <w:r>
        <w:rPr>
          <w:rFonts w:ascii="仿宋_GB2312" w:hAnsi="仿宋_GB2312" w:cs="仿宋_GB2312"/>
        </w:rPr>
        <w:t>4.8</w:t>
      </w:r>
      <w:r>
        <w:rPr>
          <w:rFonts w:hint="eastAsia" w:ascii="仿宋_GB2312" w:hAnsi="仿宋_GB2312" w:cs="仿宋_GB2312"/>
        </w:rPr>
        <w:t>分）</w:t>
      </w:r>
    </w:p>
    <w:p>
      <w:pPr>
        <w:spacing w:line="360" w:lineRule="auto"/>
        <w:ind w:firstLine="600" w:firstLineChars="200"/>
        <w:outlineLvl w:val="0"/>
        <w:rPr>
          <w:rFonts w:ascii="仿宋_GB2312"/>
        </w:rPr>
      </w:pPr>
      <w:r>
        <w:rPr>
          <w:rFonts w:hint="eastAsia" w:ascii="仿宋_GB2312" w:hAnsi="仿宋_GB2312" w:cs="仿宋_GB2312"/>
        </w:rPr>
        <w:t>（</w:t>
      </w:r>
      <w:r>
        <w:rPr>
          <w:rFonts w:ascii="仿宋_GB2312" w:hAnsi="仿宋_GB2312" w:cs="仿宋_GB2312"/>
        </w:rPr>
        <w:t>1</w:t>
      </w:r>
      <w:r>
        <w:rPr>
          <w:rFonts w:hint="eastAsia" w:ascii="仿宋_GB2312" w:hAnsi="仿宋_GB2312" w:cs="仿宋_GB2312"/>
        </w:rPr>
        <w:t>）立项依据充分性（得分</w:t>
      </w:r>
      <w:r>
        <w:rPr>
          <w:rFonts w:ascii="仿宋_GB2312" w:hAnsi="仿宋_GB2312" w:cs="仿宋_GB2312"/>
        </w:rPr>
        <w:t>3</w:t>
      </w:r>
      <w:r>
        <w:rPr>
          <w:rFonts w:hint="eastAsia" w:ascii="仿宋_GB2312" w:hAnsi="仿宋_GB2312" w:cs="仿宋_GB2312"/>
        </w:rPr>
        <w:t>分）</w:t>
      </w:r>
    </w:p>
    <w:p>
      <w:pPr>
        <w:spacing w:line="360" w:lineRule="auto"/>
        <w:ind w:firstLine="600" w:firstLineChars="200"/>
        <w:outlineLvl w:val="0"/>
        <w:rPr>
          <w:rFonts w:ascii="仿宋_GB2312"/>
        </w:rPr>
      </w:pPr>
      <w:r>
        <w:rPr>
          <w:rFonts w:hint="eastAsia" w:ascii="仿宋_GB2312" w:hAnsi="仿宋_GB2312" w:cs="仿宋_GB2312"/>
          <w:kern w:val="0"/>
        </w:rPr>
        <w:t>项目立项是符合《新疆维吾尔自治区“访民情惠民生聚民心”驻村工作为民办实事工作经费使用管理办法（试行）的通知》（新民办发</w:t>
      </w:r>
      <w:r>
        <w:rPr>
          <w:rFonts w:ascii="仿宋_GB2312" w:hAnsi="仿宋_GB2312" w:cs="仿宋_GB2312"/>
          <w:kern w:val="0"/>
        </w:rPr>
        <w:t>[2016]62</w:t>
      </w:r>
      <w:r>
        <w:rPr>
          <w:rFonts w:hint="eastAsia" w:ascii="仿宋_GB2312" w:hAnsi="仿宋_GB2312" w:cs="仿宋_GB2312"/>
          <w:kern w:val="0"/>
        </w:rPr>
        <w:t>号）；</w:t>
      </w:r>
      <w:r>
        <w:rPr>
          <w:rFonts w:hint="eastAsia" w:ascii="仿宋_GB2312" w:hAnsi="仿宋_GB2312" w:cs="仿宋_GB2312"/>
        </w:rPr>
        <w:t>项目立项依据</w:t>
      </w:r>
      <w:r>
        <w:rPr>
          <w:rFonts w:hint="eastAsia" w:ascii="仿宋_GB2312" w:hAnsi="仿宋_GB2312" w:cs="仿宋_GB2312"/>
          <w:kern w:val="0"/>
        </w:rPr>
        <w:t>《新疆维吾尔自治区“访民情惠民生聚民心”驻村工作为民办实事工作经费使用管理办法（试行）的通知》（新民办发</w:t>
      </w:r>
      <w:r>
        <w:rPr>
          <w:rFonts w:ascii="仿宋_GB2312" w:hAnsi="仿宋_GB2312" w:cs="仿宋_GB2312"/>
          <w:kern w:val="0"/>
        </w:rPr>
        <w:t>[2016]62</w:t>
      </w:r>
      <w:r>
        <w:rPr>
          <w:rFonts w:hint="eastAsia" w:ascii="仿宋_GB2312" w:hAnsi="仿宋_GB2312" w:cs="仿宋_GB2312"/>
          <w:kern w:val="0"/>
        </w:rPr>
        <w:t>号）</w:t>
      </w:r>
      <w:r>
        <w:rPr>
          <w:rFonts w:hint="eastAsia" w:ascii="仿宋_GB2312" w:hAnsi="仿宋_GB2312" w:cs="仿宋_GB2312"/>
        </w:rPr>
        <w:t>政策要求；项目立项与部门职责范围相符，属于部门履职所需。</w:t>
      </w:r>
    </w:p>
    <w:p>
      <w:pPr>
        <w:spacing w:line="360" w:lineRule="auto"/>
        <w:ind w:firstLine="600" w:firstLineChars="200"/>
        <w:outlineLvl w:val="0"/>
        <w:rPr>
          <w:rFonts w:ascii="仿宋_GB2312"/>
        </w:rPr>
      </w:pPr>
      <w:r>
        <w:rPr>
          <w:rFonts w:hint="eastAsia" w:ascii="仿宋_GB2312" w:hAnsi="仿宋_GB2312" w:cs="仿宋_GB2312"/>
        </w:rPr>
        <w:t>（</w:t>
      </w:r>
      <w:r>
        <w:rPr>
          <w:rFonts w:ascii="仿宋_GB2312" w:hAnsi="仿宋_GB2312" w:cs="仿宋_GB2312"/>
        </w:rPr>
        <w:t>2</w:t>
      </w:r>
      <w:r>
        <w:rPr>
          <w:rFonts w:hint="eastAsia" w:ascii="仿宋_GB2312" w:hAnsi="仿宋_GB2312" w:cs="仿宋_GB2312"/>
        </w:rPr>
        <w:t>）立项程序规范性（得分</w:t>
      </w:r>
      <w:r>
        <w:rPr>
          <w:rFonts w:ascii="仿宋_GB2312" w:hAnsi="仿宋_GB2312" w:cs="仿宋_GB2312"/>
        </w:rPr>
        <w:t>1.8</w:t>
      </w:r>
      <w:r>
        <w:rPr>
          <w:rFonts w:hint="eastAsia" w:ascii="仿宋_GB2312" w:hAnsi="仿宋_GB2312" w:cs="仿宋_GB2312"/>
        </w:rPr>
        <w:t>分）</w:t>
      </w:r>
    </w:p>
    <w:p>
      <w:pPr>
        <w:spacing w:line="360" w:lineRule="auto"/>
        <w:ind w:left="1020" w:leftChars="240" w:hanging="300" w:hangingChars="100"/>
        <w:outlineLvl w:val="0"/>
        <w:rPr>
          <w:rFonts w:ascii="仿宋_GB2312"/>
        </w:rPr>
      </w:pPr>
      <w:r>
        <w:rPr>
          <w:rFonts w:hint="eastAsia" w:ascii="仿宋_GB2312" w:hAnsi="仿宋_GB2312" w:cs="仿宋_GB2312"/>
          <w:kern w:val="0"/>
        </w:rPr>
        <w:t>项目是按照规定的程序设立；事前是已经过必要的研究、集体决策。</w:t>
      </w:r>
    </w:p>
    <w:p>
      <w:pPr>
        <w:spacing w:line="360" w:lineRule="auto"/>
        <w:ind w:left="600"/>
        <w:outlineLvl w:val="0"/>
        <w:rPr>
          <w:rFonts w:ascii="仿宋_GB2312"/>
        </w:rPr>
      </w:pPr>
      <w:r>
        <w:rPr>
          <w:rFonts w:ascii="仿宋_GB2312" w:hAnsi="仿宋_GB2312" w:cs="仿宋_GB2312"/>
        </w:rPr>
        <w:t>2</w:t>
      </w:r>
      <w:r>
        <w:rPr>
          <w:rFonts w:hint="eastAsia" w:ascii="仿宋_GB2312" w:hAnsi="仿宋_GB2312" w:cs="仿宋_GB2312"/>
        </w:rPr>
        <w:t>、绩效目标分析（得分</w:t>
      </w:r>
      <w:r>
        <w:rPr>
          <w:rFonts w:ascii="仿宋_GB2312" w:hAnsi="仿宋_GB2312" w:cs="仿宋_GB2312"/>
        </w:rPr>
        <w:t>9.8</w:t>
      </w:r>
      <w:r>
        <w:rPr>
          <w:rFonts w:hint="eastAsia" w:ascii="仿宋_GB2312" w:hAnsi="仿宋_GB2312" w:cs="仿宋_GB2312"/>
        </w:rPr>
        <w:t>分）</w:t>
      </w:r>
    </w:p>
    <w:p>
      <w:pPr>
        <w:spacing w:line="360" w:lineRule="auto"/>
        <w:ind w:left="600"/>
        <w:outlineLvl w:val="0"/>
        <w:rPr>
          <w:rFonts w:ascii="仿宋_GB2312"/>
        </w:rPr>
      </w:pPr>
      <w:r>
        <w:rPr>
          <w:rFonts w:hint="eastAsia" w:ascii="仿宋_GB2312" w:hAnsi="仿宋_GB2312" w:cs="仿宋_GB2312"/>
        </w:rPr>
        <w:t>（</w:t>
      </w:r>
      <w:r>
        <w:rPr>
          <w:rFonts w:ascii="仿宋_GB2312" w:hAnsi="仿宋_GB2312" w:cs="仿宋_GB2312"/>
        </w:rPr>
        <w:t>1</w:t>
      </w:r>
      <w:r>
        <w:rPr>
          <w:rFonts w:hint="eastAsia" w:ascii="仿宋_GB2312" w:hAnsi="仿宋_GB2312" w:cs="仿宋_GB2312"/>
        </w:rPr>
        <w:t>）绩效目标合理性（得分</w:t>
      </w:r>
      <w:r>
        <w:rPr>
          <w:rFonts w:ascii="仿宋_GB2312" w:hAnsi="仿宋_GB2312" w:cs="仿宋_GB2312"/>
        </w:rPr>
        <w:t>6.8</w:t>
      </w:r>
      <w:r>
        <w:rPr>
          <w:rFonts w:hint="eastAsia" w:ascii="仿宋_GB2312" w:hAnsi="仿宋_GB2312" w:cs="仿宋_GB2312"/>
        </w:rPr>
        <w:t>分）</w:t>
      </w:r>
    </w:p>
    <w:p>
      <w:pPr>
        <w:widowControl/>
        <w:spacing w:line="600" w:lineRule="exact"/>
        <w:jc w:val="left"/>
        <w:rPr>
          <w:rFonts w:ascii="仿宋_GB2312"/>
        </w:rPr>
      </w:pPr>
      <w:r>
        <w:rPr>
          <w:rFonts w:hint="eastAsia" w:ascii="仿宋_GB2312" w:hAnsi="仿宋_GB2312" w:cs="仿宋_GB2312"/>
          <w:kern w:val="0"/>
        </w:rPr>
        <w:t>项目是有绩效目标；项目绩效目标与实际工作内容是具有相关性；</w:t>
      </w:r>
      <w:r>
        <w:rPr>
          <w:rFonts w:ascii="仿宋_GB2312"/>
          <w:kern w:val="0"/>
        </w:rPr>
        <w:br w:type="textWrapping"/>
      </w:r>
      <w:r>
        <w:rPr>
          <w:rFonts w:hint="eastAsia" w:ascii="仿宋_GB2312" w:hAnsi="仿宋_GB2312" w:cs="仿宋_GB2312"/>
          <w:kern w:val="0"/>
        </w:rPr>
        <w:t>项目预期产出效益和效果是符合正常的业绩水平。是与预算确定的项目投资额或资金量相匹配。</w:t>
      </w:r>
    </w:p>
    <w:p>
      <w:pPr>
        <w:spacing w:line="360" w:lineRule="auto"/>
        <w:ind w:left="600"/>
        <w:outlineLvl w:val="0"/>
        <w:rPr>
          <w:rFonts w:ascii="仿宋_GB2312"/>
        </w:rPr>
      </w:pPr>
      <w:r>
        <w:rPr>
          <w:rFonts w:hint="eastAsia" w:ascii="仿宋_GB2312" w:hAnsi="仿宋_GB2312" w:cs="仿宋_GB2312"/>
        </w:rPr>
        <w:t>（</w:t>
      </w:r>
      <w:r>
        <w:rPr>
          <w:rFonts w:ascii="仿宋_GB2312" w:hAnsi="仿宋_GB2312" w:cs="仿宋_GB2312"/>
        </w:rPr>
        <w:t>2</w:t>
      </w:r>
      <w:r>
        <w:rPr>
          <w:rFonts w:hint="eastAsia" w:ascii="仿宋_GB2312" w:hAnsi="仿宋_GB2312" w:cs="仿宋_GB2312"/>
        </w:rPr>
        <w:t>）绩效指标明确性（得分</w:t>
      </w:r>
      <w:r>
        <w:rPr>
          <w:rFonts w:ascii="仿宋_GB2312" w:hAnsi="仿宋_GB2312" w:cs="仿宋_GB2312"/>
        </w:rPr>
        <w:t>3</w:t>
      </w:r>
      <w:r>
        <w:rPr>
          <w:rFonts w:hint="eastAsia" w:ascii="仿宋_GB2312" w:hAnsi="仿宋_GB2312" w:cs="仿宋_GB2312"/>
        </w:rPr>
        <w:t>分）</w:t>
      </w:r>
    </w:p>
    <w:p>
      <w:pPr>
        <w:spacing w:line="360" w:lineRule="auto"/>
        <w:ind w:left="600"/>
        <w:outlineLvl w:val="0"/>
        <w:rPr>
          <w:rFonts w:ascii="仿宋_GB2312"/>
        </w:rPr>
      </w:pPr>
      <w:r>
        <w:rPr>
          <w:rFonts w:hint="eastAsia" w:ascii="仿宋_GB2312" w:hAnsi="仿宋_GB2312" w:cs="仿宋_GB2312"/>
          <w:kern w:val="0"/>
        </w:rPr>
        <w:t>将项目绩效目标细化分解为具体的绩效指标；是通过清晰、可衡量的指标值予以体现；是与项目目标任务数或计划数相对应。</w:t>
      </w:r>
      <w:r>
        <w:rPr>
          <w:rFonts w:ascii="仿宋_GB2312"/>
          <w:kern w:val="0"/>
        </w:rPr>
        <w:br w:type="textWrapping"/>
      </w:r>
      <w:r>
        <w:rPr>
          <w:rFonts w:ascii="仿宋_GB2312" w:hAnsi="仿宋_GB2312" w:cs="仿宋_GB2312"/>
        </w:rPr>
        <w:t>3</w:t>
      </w:r>
      <w:r>
        <w:rPr>
          <w:rFonts w:hint="eastAsia" w:ascii="仿宋_GB2312" w:hAnsi="仿宋_GB2312" w:cs="仿宋_GB2312"/>
        </w:rPr>
        <w:t>、资金投入分析（得分</w:t>
      </w:r>
      <w:r>
        <w:rPr>
          <w:rFonts w:ascii="仿宋_GB2312" w:hAnsi="仿宋_GB2312" w:cs="仿宋_GB2312"/>
        </w:rPr>
        <w:t>4.6</w:t>
      </w:r>
      <w:r>
        <w:rPr>
          <w:rFonts w:hint="eastAsia" w:ascii="仿宋_GB2312" w:hAnsi="仿宋_GB2312" w:cs="仿宋_GB2312"/>
        </w:rPr>
        <w:t>分）</w:t>
      </w:r>
    </w:p>
    <w:p>
      <w:pPr>
        <w:spacing w:line="360" w:lineRule="auto"/>
        <w:ind w:firstLine="600" w:firstLineChars="200"/>
        <w:outlineLvl w:val="0"/>
        <w:rPr>
          <w:rFonts w:ascii="仿宋_GB2312"/>
        </w:rPr>
      </w:pPr>
      <w:r>
        <w:rPr>
          <w:rFonts w:hint="eastAsia" w:ascii="仿宋_GB2312" w:hAnsi="仿宋_GB2312" w:cs="仿宋_GB2312"/>
        </w:rPr>
        <w:t>（</w:t>
      </w:r>
      <w:r>
        <w:rPr>
          <w:rFonts w:ascii="仿宋_GB2312" w:hAnsi="仿宋_GB2312" w:cs="仿宋_GB2312"/>
        </w:rPr>
        <w:t>1</w:t>
      </w:r>
      <w:r>
        <w:rPr>
          <w:rFonts w:hint="eastAsia" w:ascii="仿宋_GB2312" w:hAnsi="仿宋_GB2312" w:cs="仿宋_GB2312"/>
        </w:rPr>
        <w:t>）预算编制科学性（得分</w:t>
      </w:r>
      <w:r>
        <w:rPr>
          <w:rFonts w:ascii="仿宋_GB2312" w:hAnsi="仿宋_GB2312" w:cs="仿宋_GB2312"/>
        </w:rPr>
        <w:t>3.6</w:t>
      </w:r>
      <w:r>
        <w:rPr>
          <w:rFonts w:hint="eastAsia" w:ascii="仿宋_GB2312" w:hAnsi="仿宋_GB2312" w:cs="仿宋_GB2312"/>
        </w:rPr>
        <w:t>分）：</w:t>
      </w:r>
    </w:p>
    <w:p>
      <w:pPr>
        <w:spacing w:line="360" w:lineRule="auto"/>
        <w:ind w:left="720" w:leftChars="240"/>
        <w:outlineLvl w:val="0"/>
        <w:rPr>
          <w:rFonts w:ascii="仿宋_GB2312"/>
        </w:rPr>
      </w:pPr>
      <w:r>
        <w:rPr>
          <w:rFonts w:hint="eastAsia" w:ascii="仿宋_GB2312" w:hAnsi="仿宋_GB2312" w:cs="仿宋_GB2312"/>
          <w:kern w:val="0"/>
        </w:rPr>
        <w:t>预算内容与项目内容是匹配；预算额度测算依据是充分，是按照标准编制；预算确定的项目投资额或资金量是与工作任务相匹配。</w:t>
      </w:r>
    </w:p>
    <w:p>
      <w:pPr>
        <w:numPr>
          <w:ilvl w:val="0"/>
          <w:numId w:val="1"/>
        </w:numPr>
        <w:spacing w:line="360" w:lineRule="auto"/>
        <w:ind w:firstLine="600" w:firstLineChars="200"/>
        <w:outlineLvl w:val="0"/>
        <w:rPr>
          <w:rFonts w:ascii="仿宋_GB2312"/>
        </w:rPr>
      </w:pPr>
      <w:r>
        <w:rPr>
          <w:rFonts w:hint="eastAsia" w:ascii="仿宋_GB2312" w:hAnsi="仿宋_GB2312" w:cs="仿宋_GB2312"/>
        </w:rPr>
        <w:t>资金分配合理性（得分</w:t>
      </w:r>
      <w:r>
        <w:rPr>
          <w:rFonts w:ascii="仿宋_GB2312" w:hAnsi="仿宋_GB2312" w:cs="仿宋_GB2312"/>
        </w:rPr>
        <w:t>1</w:t>
      </w:r>
      <w:r>
        <w:rPr>
          <w:rFonts w:hint="eastAsia" w:ascii="仿宋_GB2312" w:hAnsi="仿宋_GB2312" w:cs="仿宋_GB2312"/>
        </w:rPr>
        <w:t>分）：</w:t>
      </w:r>
    </w:p>
    <w:p>
      <w:pPr>
        <w:spacing w:line="360" w:lineRule="auto"/>
        <w:ind w:left="960" w:leftChars="320"/>
        <w:outlineLvl w:val="0"/>
        <w:rPr>
          <w:rFonts w:ascii="仿宋_GB2312"/>
        </w:rPr>
      </w:pPr>
      <w:r>
        <w:rPr>
          <w:rFonts w:hint="eastAsia" w:ascii="仿宋_GB2312" w:hAnsi="仿宋_GB2312" w:cs="仿宋_GB2312"/>
          <w:kern w:val="0"/>
        </w:rPr>
        <w:t>预算资金分配依据是充分；资金分配额度是合理，与项目单位或地方实际是相适应。</w:t>
      </w:r>
    </w:p>
    <w:p>
      <w:pPr>
        <w:spacing w:line="360" w:lineRule="auto"/>
        <w:ind w:left="600" w:leftChars="200"/>
        <w:outlineLvl w:val="0"/>
        <w:rPr>
          <w:rFonts w:ascii="仿宋_GB2312"/>
        </w:rPr>
      </w:pPr>
      <w:r>
        <w:rPr>
          <w:rFonts w:hint="eastAsia" w:ascii="仿宋_GB2312" w:hAnsi="仿宋_GB2312" w:cs="仿宋_GB2312"/>
        </w:rPr>
        <w:t>（二）过程情况分析</w:t>
      </w:r>
    </w:p>
    <w:p>
      <w:pPr>
        <w:spacing w:line="360" w:lineRule="auto"/>
        <w:ind w:firstLine="600" w:firstLineChars="200"/>
        <w:outlineLvl w:val="0"/>
        <w:rPr>
          <w:rFonts w:ascii="仿宋_GB2312"/>
        </w:rPr>
      </w:pPr>
      <w:r>
        <w:rPr>
          <w:rFonts w:hint="eastAsia" w:ascii="仿宋_GB2312" w:hAnsi="仿宋_GB2312" w:cs="仿宋_GB2312"/>
        </w:rPr>
        <w:t>项目过程包括资金管理和组织实施。该项满分为</w:t>
      </w:r>
      <w:r>
        <w:rPr>
          <w:rFonts w:ascii="仿宋_GB2312" w:hAnsi="仿宋_GB2312" w:cs="仿宋_GB2312"/>
        </w:rPr>
        <w:t xml:space="preserve">20 </w:t>
      </w:r>
      <w:r>
        <w:rPr>
          <w:rFonts w:hint="eastAsia" w:ascii="仿宋_GB2312" w:hAnsi="仿宋_GB2312" w:cs="仿宋_GB2312"/>
        </w:rPr>
        <w:t>分，得分</w:t>
      </w:r>
      <w:r>
        <w:rPr>
          <w:rFonts w:ascii="仿宋_GB2312" w:hAnsi="仿宋_GB2312" w:cs="仿宋_GB2312"/>
        </w:rPr>
        <w:t>19.8</w:t>
      </w:r>
      <w:r>
        <w:rPr>
          <w:rFonts w:hint="eastAsia" w:ascii="仿宋_GB2312" w:hAnsi="仿宋_GB2312" w:cs="仿宋_GB2312"/>
        </w:rPr>
        <w:t>分，得分率</w:t>
      </w:r>
      <w:r>
        <w:rPr>
          <w:rFonts w:ascii="仿宋_GB2312" w:hAnsi="仿宋_GB2312" w:cs="仿宋_GB2312"/>
        </w:rPr>
        <w:t>99%</w:t>
      </w:r>
      <w:r>
        <w:rPr>
          <w:rFonts w:hint="eastAsia" w:ascii="仿宋_GB2312" w:hAnsi="仿宋_GB2312" w:cs="仿宋_GB2312"/>
        </w:rPr>
        <w:t>。项目建立了比较健全的配套资金管理制度，且在项目实施过程中能够按照管理执行。</w:t>
      </w:r>
    </w:p>
    <w:p>
      <w:pPr>
        <w:spacing w:line="360" w:lineRule="auto"/>
        <w:ind w:firstLine="600" w:firstLineChars="200"/>
        <w:outlineLvl w:val="0"/>
        <w:rPr>
          <w:rFonts w:ascii="仿宋_GB2312"/>
        </w:rPr>
      </w:pPr>
      <w:r>
        <w:rPr>
          <w:rFonts w:ascii="仿宋_GB2312" w:hAnsi="仿宋_GB2312" w:cs="仿宋_GB2312"/>
        </w:rPr>
        <w:t>1</w:t>
      </w:r>
      <w:r>
        <w:rPr>
          <w:rFonts w:hint="eastAsia" w:ascii="仿宋_GB2312" w:hAnsi="仿宋_GB2312" w:cs="仿宋_GB2312"/>
        </w:rPr>
        <w:t>、资金管理分析（得分</w:t>
      </w:r>
      <w:r>
        <w:rPr>
          <w:rFonts w:ascii="仿宋_GB2312" w:hAnsi="仿宋_GB2312" w:cs="仿宋_GB2312"/>
        </w:rPr>
        <w:t>10</w:t>
      </w:r>
      <w:r>
        <w:rPr>
          <w:rFonts w:hint="eastAsia" w:ascii="仿宋_GB2312" w:hAnsi="仿宋_GB2312" w:cs="仿宋_GB2312"/>
        </w:rPr>
        <w:t>分）</w:t>
      </w:r>
    </w:p>
    <w:p>
      <w:pPr>
        <w:spacing w:line="360" w:lineRule="auto"/>
        <w:ind w:firstLine="600" w:firstLineChars="200"/>
        <w:outlineLvl w:val="0"/>
        <w:rPr>
          <w:rFonts w:ascii="仿宋_GB2312"/>
        </w:rPr>
      </w:pPr>
      <w:r>
        <w:rPr>
          <w:rFonts w:hint="eastAsia" w:ascii="仿宋_GB2312" w:hAnsi="仿宋_GB2312" w:cs="仿宋_GB2312"/>
        </w:rPr>
        <w:t>（</w:t>
      </w:r>
      <w:r>
        <w:rPr>
          <w:rFonts w:ascii="仿宋_GB2312" w:hAnsi="仿宋_GB2312" w:cs="仿宋_GB2312"/>
        </w:rPr>
        <w:t>1</w:t>
      </w:r>
      <w:r>
        <w:rPr>
          <w:rFonts w:hint="eastAsia" w:ascii="仿宋_GB2312" w:hAnsi="仿宋_GB2312" w:cs="仿宋_GB2312"/>
        </w:rPr>
        <w:t>）资金到位率（得分</w:t>
      </w:r>
      <w:r>
        <w:rPr>
          <w:rFonts w:ascii="仿宋_GB2312" w:hAnsi="仿宋_GB2312" w:cs="仿宋_GB2312"/>
        </w:rPr>
        <w:t>1</w:t>
      </w:r>
      <w:r>
        <w:rPr>
          <w:rFonts w:hint="eastAsia" w:ascii="仿宋_GB2312" w:hAnsi="仿宋_GB2312" w:cs="仿宋_GB2312"/>
        </w:rPr>
        <w:t>分）</w:t>
      </w:r>
    </w:p>
    <w:p>
      <w:pPr>
        <w:widowControl/>
        <w:spacing w:line="600" w:lineRule="exact"/>
        <w:ind w:firstLine="900" w:firstLineChars="300"/>
        <w:rPr>
          <w:rFonts w:ascii="仿宋_GB2312"/>
          <w:kern w:val="0"/>
        </w:rPr>
      </w:pPr>
      <w:r>
        <w:rPr>
          <w:rFonts w:hint="eastAsia" w:ascii="仿宋_GB2312" w:hAnsi="仿宋_GB2312" w:cs="仿宋_GB2312"/>
          <w:kern w:val="0"/>
        </w:rPr>
        <w:t>资金到位率</w:t>
      </w:r>
      <w:r>
        <w:rPr>
          <w:rFonts w:ascii="仿宋_GB2312" w:hAnsi="仿宋_GB2312" w:cs="仿宋_GB2312"/>
          <w:kern w:val="0"/>
        </w:rPr>
        <w:t>=</w:t>
      </w:r>
      <w:r>
        <w:rPr>
          <w:rFonts w:hint="eastAsia" w:ascii="仿宋_GB2312" w:hAnsi="仿宋_GB2312" w:cs="仿宋_GB2312"/>
          <w:kern w:val="0"/>
        </w:rPr>
        <w:t>（实际到位资金</w:t>
      </w:r>
      <w:r>
        <w:rPr>
          <w:rFonts w:ascii="仿宋_GB2312" w:hAnsi="仿宋_GB2312" w:cs="仿宋_GB2312"/>
          <w:kern w:val="0"/>
        </w:rPr>
        <w:t>/</w:t>
      </w:r>
      <w:r>
        <w:rPr>
          <w:rFonts w:hint="eastAsia" w:ascii="仿宋_GB2312" w:hAnsi="仿宋_GB2312" w:cs="仿宋_GB2312"/>
          <w:kern w:val="0"/>
        </w:rPr>
        <w:t>预算资金）×</w:t>
      </w:r>
      <w:r>
        <w:rPr>
          <w:rFonts w:ascii="仿宋_GB2312" w:hAnsi="仿宋_GB2312" w:cs="仿宋_GB2312"/>
          <w:kern w:val="0"/>
        </w:rPr>
        <w:t>100%</w:t>
      </w:r>
      <w:r>
        <w:rPr>
          <w:rFonts w:hint="eastAsia" w:ascii="仿宋_GB2312" w:hAnsi="仿宋_GB2312" w:cs="仿宋_GB2312"/>
          <w:kern w:val="0"/>
        </w:rPr>
        <w:t>。</w:t>
      </w:r>
    </w:p>
    <w:p>
      <w:pPr>
        <w:spacing w:line="360" w:lineRule="auto"/>
        <w:ind w:firstLine="600" w:firstLineChars="200"/>
        <w:outlineLvl w:val="0"/>
        <w:rPr>
          <w:rFonts w:ascii="仿宋_GB2312"/>
        </w:rPr>
      </w:pPr>
      <w:r>
        <w:rPr>
          <w:rFonts w:hint="eastAsia" w:ascii="仿宋_GB2312" w:hAnsi="仿宋_GB2312" w:cs="仿宋_GB2312"/>
        </w:rPr>
        <w:t>资金到位率用以反映和考核资金落实情况对项目实施的总体保障程度。资金到位率</w:t>
      </w:r>
      <w:r>
        <w:rPr>
          <w:rFonts w:ascii="仿宋_GB2312" w:hAnsi="仿宋_GB2312" w:cs="仿宋_GB2312"/>
        </w:rPr>
        <w:t>100%</w:t>
      </w:r>
      <w:r>
        <w:rPr>
          <w:rFonts w:hint="eastAsia" w:ascii="仿宋_GB2312" w:hAnsi="仿宋_GB2312" w:cs="仿宋_GB2312"/>
        </w:rPr>
        <w:t>。</w:t>
      </w:r>
    </w:p>
    <w:p>
      <w:pPr>
        <w:spacing w:line="360" w:lineRule="auto"/>
        <w:ind w:left="600" w:leftChars="200"/>
        <w:outlineLvl w:val="0"/>
        <w:rPr>
          <w:rFonts w:ascii="仿宋_GB2312"/>
        </w:rPr>
      </w:pPr>
      <w:r>
        <w:rPr>
          <w:rFonts w:hint="eastAsia" w:ascii="仿宋_GB2312" w:hAnsi="仿宋_GB2312" w:cs="仿宋_GB2312"/>
        </w:rPr>
        <w:t>（</w:t>
      </w:r>
      <w:r>
        <w:rPr>
          <w:rFonts w:ascii="仿宋_GB2312" w:hAnsi="仿宋_GB2312" w:cs="仿宋_GB2312"/>
        </w:rPr>
        <w:t>2</w:t>
      </w:r>
      <w:r>
        <w:rPr>
          <w:rFonts w:hint="eastAsia" w:ascii="仿宋_GB2312" w:hAnsi="仿宋_GB2312" w:cs="仿宋_GB2312"/>
        </w:rPr>
        <w:t>）预算执行率（得分</w:t>
      </w:r>
      <w:r>
        <w:rPr>
          <w:rFonts w:ascii="仿宋_GB2312" w:hAnsi="仿宋_GB2312" w:cs="仿宋_GB2312"/>
        </w:rPr>
        <w:t>0.8</w:t>
      </w:r>
      <w:r>
        <w:rPr>
          <w:rFonts w:hint="eastAsia" w:ascii="仿宋_GB2312" w:hAnsi="仿宋_GB2312" w:cs="仿宋_GB2312"/>
        </w:rPr>
        <w:t>分）</w:t>
      </w:r>
    </w:p>
    <w:p>
      <w:pPr>
        <w:spacing w:line="360" w:lineRule="auto"/>
        <w:ind w:firstLine="600" w:firstLineChars="200"/>
        <w:outlineLvl w:val="0"/>
        <w:rPr>
          <w:rFonts w:ascii="仿宋_GB2312"/>
        </w:rPr>
      </w:pPr>
      <w:r>
        <w:rPr>
          <w:rFonts w:hint="eastAsia" w:ascii="仿宋_GB2312" w:hAnsi="仿宋_GB2312" w:cs="仿宋_GB2312"/>
          <w:kern w:val="0"/>
        </w:rPr>
        <w:t>预算执行率</w:t>
      </w:r>
      <w:r>
        <w:rPr>
          <w:rFonts w:ascii="仿宋_GB2312" w:hAnsi="仿宋_GB2312" w:cs="仿宋_GB2312"/>
          <w:kern w:val="0"/>
        </w:rPr>
        <w:t>=</w:t>
      </w:r>
      <w:r>
        <w:rPr>
          <w:rFonts w:hint="eastAsia" w:ascii="仿宋_GB2312" w:hAnsi="仿宋_GB2312" w:cs="仿宋_GB2312"/>
          <w:kern w:val="0"/>
        </w:rPr>
        <w:t>（实际支出资金</w:t>
      </w:r>
      <w:r>
        <w:rPr>
          <w:rFonts w:ascii="仿宋_GB2312" w:hAnsi="仿宋_GB2312" w:cs="仿宋_GB2312"/>
          <w:kern w:val="0"/>
        </w:rPr>
        <w:t>/</w:t>
      </w:r>
      <w:r>
        <w:rPr>
          <w:rFonts w:hint="eastAsia" w:ascii="仿宋_GB2312" w:hAnsi="仿宋_GB2312" w:cs="仿宋_GB2312"/>
          <w:kern w:val="0"/>
        </w:rPr>
        <w:t>实际到位资金）×</w:t>
      </w:r>
      <w:r>
        <w:rPr>
          <w:rFonts w:ascii="仿宋_GB2312" w:hAnsi="仿宋_GB2312" w:cs="仿宋_GB2312"/>
          <w:kern w:val="0"/>
        </w:rPr>
        <w:t>100%</w:t>
      </w:r>
      <w:r>
        <w:rPr>
          <w:rFonts w:hint="eastAsia" w:ascii="仿宋_GB2312" w:hAnsi="仿宋_GB2312" w:cs="仿宋_GB2312"/>
          <w:kern w:val="0"/>
        </w:rPr>
        <w:t>。</w:t>
      </w:r>
      <w:r>
        <w:rPr>
          <w:rFonts w:hint="eastAsia" w:ascii="仿宋_GB2312" w:hAnsi="仿宋_GB2312" w:cs="仿宋_GB2312"/>
        </w:rPr>
        <w:t>预算执行率用以反映或考核项目预算执行情况。预算执行率</w:t>
      </w:r>
      <w:r>
        <w:rPr>
          <w:rFonts w:ascii="仿宋_GB2312" w:hAnsi="仿宋_GB2312" w:cs="仿宋_GB2312"/>
        </w:rPr>
        <w:t>=100%</w:t>
      </w:r>
      <w:r>
        <w:rPr>
          <w:rFonts w:hint="eastAsia" w:ascii="仿宋_GB2312" w:hAnsi="仿宋_GB2312" w:cs="仿宋_GB2312"/>
        </w:rPr>
        <w:t>。</w:t>
      </w:r>
    </w:p>
    <w:p>
      <w:pPr>
        <w:spacing w:line="360" w:lineRule="auto"/>
        <w:ind w:left="600" w:leftChars="200"/>
        <w:outlineLvl w:val="0"/>
        <w:rPr>
          <w:rFonts w:ascii="仿宋_GB2312"/>
        </w:rPr>
      </w:pPr>
      <w:r>
        <w:rPr>
          <w:rFonts w:hint="eastAsia" w:ascii="仿宋_GB2312" w:hAnsi="仿宋_GB2312" w:cs="仿宋_GB2312"/>
        </w:rPr>
        <w:t>（</w:t>
      </w:r>
      <w:r>
        <w:rPr>
          <w:rFonts w:ascii="仿宋_GB2312" w:hAnsi="仿宋_GB2312" w:cs="仿宋_GB2312"/>
        </w:rPr>
        <w:t>3</w:t>
      </w:r>
      <w:r>
        <w:rPr>
          <w:rFonts w:hint="eastAsia" w:ascii="仿宋_GB2312" w:hAnsi="仿宋_GB2312" w:cs="仿宋_GB2312"/>
        </w:rPr>
        <w:t>）资金使用合规性（得分</w:t>
      </w:r>
      <w:r>
        <w:rPr>
          <w:rFonts w:ascii="仿宋_GB2312" w:hAnsi="仿宋_GB2312" w:cs="仿宋_GB2312"/>
        </w:rPr>
        <w:t>8</w:t>
      </w:r>
      <w:r>
        <w:rPr>
          <w:rFonts w:hint="eastAsia" w:ascii="仿宋_GB2312" w:hAnsi="仿宋_GB2312" w:cs="仿宋_GB2312"/>
        </w:rPr>
        <w:t>分）</w:t>
      </w:r>
    </w:p>
    <w:p>
      <w:pPr>
        <w:spacing w:line="360" w:lineRule="auto"/>
        <w:ind w:left="480" w:leftChars="160"/>
        <w:outlineLvl w:val="0"/>
        <w:rPr>
          <w:rFonts w:ascii="仿宋_GB2312"/>
        </w:rPr>
      </w:pPr>
      <w:r>
        <w:rPr>
          <w:rFonts w:hint="eastAsia" w:ascii="仿宋_GB2312" w:hAnsi="仿宋_GB2312" w:cs="仿宋_GB2312"/>
          <w:kern w:val="0"/>
        </w:rPr>
        <w:t>是符合国家财经法规和财务管理制度以及有关专项资金管理办法的规定；资金的拨付是有完整的审批程序和手续；是符合项目预算批复或合同规定的用途。</w:t>
      </w:r>
    </w:p>
    <w:p>
      <w:pPr>
        <w:spacing w:line="360" w:lineRule="auto"/>
        <w:ind w:left="600"/>
        <w:outlineLvl w:val="0"/>
        <w:rPr>
          <w:rFonts w:ascii="仿宋_GB2312"/>
        </w:rPr>
      </w:pPr>
      <w:r>
        <w:rPr>
          <w:rFonts w:ascii="仿宋_GB2312" w:hAnsi="仿宋_GB2312" w:cs="仿宋_GB2312"/>
        </w:rPr>
        <w:t>2</w:t>
      </w:r>
      <w:r>
        <w:rPr>
          <w:rFonts w:hint="eastAsia" w:ascii="仿宋_GB2312" w:hAnsi="仿宋_GB2312" w:cs="仿宋_GB2312"/>
        </w:rPr>
        <w:t>、组织实施分析（得分</w:t>
      </w:r>
      <w:r>
        <w:rPr>
          <w:rFonts w:ascii="仿宋_GB2312" w:hAnsi="仿宋_GB2312" w:cs="仿宋_GB2312"/>
        </w:rPr>
        <w:t>10</w:t>
      </w:r>
      <w:r>
        <w:rPr>
          <w:rFonts w:hint="eastAsia" w:ascii="仿宋_GB2312" w:hAnsi="仿宋_GB2312" w:cs="仿宋_GB2312"/>
        </w:rPr>
        <w:t>分）</w:t>
      </w:r>
    </w:p>
    <w:p>
      <w:pPr>
        <w:spacing w:line="360" w:lineRule="auto"/>
        <w:ind w:left="600"/>
        <w:outlineLvl w:val="0"/>
        <w:rPr>
          <w:rFonts w:ascii="仿宋_GB2312"/>
        </w:rPr>
      </w:pPr>
      <w:r>
        <w:rPr>
          <w:rFonts w:hint="eastAsia" w:ascii="仿宋_GB2312" w:hAnsi="仿宋_GB2312" w:cs="仿宋_GB2312"/>
        </w:rPr>
        <w:t>（</w:t>
      </w:r>
      <w:r>
        <w:rPr>
          <w:rFonts w:ascii="仿宋_GB2312" w:hAnsi="仿宋_GB2312" w:cs="仿宋_GB2312"/>
        </w:rPr>
        <w:t>1</w:t>
      </w:r>
      <w:r>
        <w:rPr>
          <w:rFonts w:hint="eastAsia" w:ascii="仿宋_GB2312" w:hAnsi="仿宋_GB2312" w:cs="仿宋_GB2312"/>
        </w:rPr>
        <w:t>）管理制度健全性（得分</w:t>
      </w:r>
      <w:r>
        <w:rPr>
          <w:rFonts w:ascii="仿宋_GB2312" w:hAnsi="仿宋_GB2312" w:cs="仿宋_GB2312"/>
        </w:rPr>
        <w:t>6</w:t>
      </w:r>
      <w:r>
        <w:rPr>
          <w:rFonts w:hint="eastAsia" w:ascii="仿宋_GB2312" w:hAnsi="仿宋_GB2312" w:cs="仿宋_GB2312"/>
        </w:rPr>
        <w:t>分）</w:t>
      </w:r>
    </w:p>
    <w:p>
      <w:pPr>
        <w:spacing w:line="360" w:lineRule="auto"/>
        <w:ind w:left="600" w:leftChars="100" w:hanging="300" w:hangingChars="100"/>
        <w:outlineLvl w:val="0"/>
        <w:rPr>
          <w:rFonts w:ascii="仿宋_GB2312"/>
        </w:rPr>
      </w:pPr>
      <w:r>
        <w:rPr>
          <w:rFonts w:ascii="仿宋_GB2312" w:hAnsi="仿宋_GB2312" w:cs="仿宋_GB2312"/>
        </w:rPr>
        <w:t xml:space="preserve">  </w:t>
      </w:r>
      <w:r>
        <w:rPr>
          <w:rFonts w:hint="eastAsia" w:ascii="仿宋_GB2312" w:hAnsi="仿宋_GB2312" w:cs="仿宋_GB2312"/>
          <w:kern w:val="0"/>
        </w:rPr>
        <w:t>具有相应的财务和业务管理制度；财务和业务管理制度是合法、合规、完整。</w:t>
      </w:r>
    </w:p>
    <w:p>
      <w:pPr>
        <w:spacing w:line="360" w:lineRule="auto"/>
        <w:ind w:left="600" w:leftChars="200"/>
        <w:outlineLvl w:val="0"/>
        <w:rPr>
          <w:rFonts w:ascii="仿宋_GB2312"/>
        </w:rPr>
      </w:pPr>
      <w:r>
        <w:rPr>
          <w:rFonts w:hint="eastAsia" w:ascii="仿宋_GB2312" w:hAnsi="仿宋_GB2312" w:cs="仿宋_GB2312"/>
        </w:rPr>
        <w:t>（</w:t>
      </w:r>
      <w:r>
        <w:rPr>
          <w:rFonts w:ascii="仿宋_GB2312" w:hAnsi="仿宋_GB2312" w:cs="仿宋_GB2312"/>
        </w:rPr>
        <w:t>2</w:t>
      </w:r>
      <w:r>
        <w:rPr>
          <w:rFonts w:hint="eastAsia" w:ascii="仿宋_GB2312" w:hAnsi="仿宋_GB2312" w:cs="仿宋_GB2312"/>
        </w:rPr>
        <w:t>）制度执行有效性（得分</w:t>
      </w:r>
      <w:r>
        <w:rPr>
          <w:rFonts w:ascii="仿宋_GB2312" w:hAnsi="仿宋_GB2312" w:cs="仿宋_GB2312"/>
        </w:rPr>
        <w:t>4</w:t>
      </w:r>
      <w:r>
        <w:rPr>
          <w:rFonts w:hint="eastAsia" w:ascii="仿宋_GB2312" w:hAnsi="仿宋_GB2312" w:cs="仿宋_GB2312"/>
        </w:rPr>
        <w:t>分）</w:t>
      </w:r>
    </w:p>
    <w:p>
      <w:pPr>
        <w:spacing w:line="360" w:lineRule="auto"/>
        <w:ind w:left="600" w:hanging="600" w:hangingChars="200"/>
        <w:outlineLvl w:val="0"/>
        <w:rPr>
          <w:rFonts w:ascii="仿宋_GB2312"/>
        </w:rPr>
      </w:pPr>
      <w:r>
        <w:rPr>
          <w:rFonts w:ascii="仿宋_GB2312"/>
        </w:rPr>
        <w:tab/>
      </w:r>
      <w:r>
        <w:rPr>
          <w:rFonts w:ascii="仿宋_GB2312" w:hAnsi="仿宋_GB2312" w:cs="仿宋_GB2312"/>
        </w:rPr>
        <w:t xml:space="preserve"> </w:t>
      </w:r>
      <w:r>
        <w:rPr>
          <w:rFonts w:hint="eastAsia" w:ascii="仿宋_GB2312" w:hAnsi="仿宋_GB2312" w:cs="仿宋_GB2312"/>
          <w:kern w:val="0"/>
        </w:rPr>
        <w:t>遵守相关法律法规和相关管理规定；项目调整及支出调整手续是完备；项目合同书、验收报告、技术鉴定等资料是齐全并及时归档；项目实施的人员条件、场地设备、信息支撑等是落实到位。</w:t>
      </w:r>
    </w:p>
    <w:p>
      <w:pPr>
        <w:spacing w:line="360" w:lineRule="auto"/>
        <w:ind w:firstLine="600" w:firstLineChars="200"/>
        <w:outlineLvl w:val="0"/>
        <w:rPr>
          <w:rFonts w:ascii="仿宋_GB2312"/>
        </w:rPr>
      </w:pPr>
      <w:r>
        <w:rPr>
          <w:rFonts w:hint="eastAsia" w:ascii="仿宋_GB2312" w:hAnsi="仿宋_GB2312" w:cs="仿宋_GB2312"/>
        </w:rPr>
        <w:t>（三）产出情况分析</w:t>
      </w:r>
    </w:p>
    <w:p>
      <w:pPr>
        <w:spacing w:line="360" w:lineRule="auto"/>
        <w:ind w:firstLine="600" w:firstLineChars="200"/>
        <w:outlineLvl w:val="0"/>
        <w:rPr>
          <w:rFonts w:ascii="仿宋_GB2312"/>
        </w:rPr>
      </w:pPr>
      <w:r>
        <w:rPr>
          <w:rFonts w:hint="eastAsia" w:ascii="仿宋_GB2312" w:hAnsi="仿宋_GB2312" w:cs="仿宋_GB2312"/>
        </w:rPr>
        <w:t>项目过程包括产出数量、产出质量、产出时效和产出成本。该项满分为</w:t>
      </w:r>
      <w:r>
        <w:rPr>
          <w:rFonts w:ascii="仿宋_GB2312" w:hAnsi="仿宋_GB2312" w:cs="仿宋_GB2312"/>
        </w:rPr>
        <w:t xml:space="preserve">30 </w:t>
      </w:r>
      <w:r>
        <w:rPr>
          <w:rFonts w:hint="eastAsia" w:ascii="仿宋_GB2312" w:hAnsi="仿宋_GB2312" w:cs="仿宋_GB2312"/>
        </w:rPr>
        <w:t>分，得分</w:t>
      </w:r>
      <w:r>
        <w:rPr>
          <w:rFonts w:ascii="仿宋_GB2312" w:hAnsi="仿宋_GB2312" w:cs="仿宋_GB2312"/>
        </w:rPr>
        <w:t>28</w:t>
      </w:r>
      <w:r>
        <w:rPr>
          <w:rFonts w:hint="eastAsia" w:ascii="仿宋_GB2312" w:hAnsi="仿宋_GB2312" w:cs="仿宋_GB2312"/>
        </w:rPr>
        <w:t>分，得分率</w:t>
      </w:r>
      <w:r>
        <w:rPr>
          <w:rFonts w:ascii="仿宋_GB2312" w:hAnsi="仿宋_GB2312" w:cs="仿宋_GB2312"/>
        </w:rPr>
        <w:t>93.3%</w:t>
      </w:r>
      <w:r>
        <w:rPr>
          <w:rFonts w:hint="eastAsia" w:ascii="仿宋_GB2312" w:hAnsi="仿宋_GB2312" w:cs="仿宋_GB2312"/>
        </w:rPr>
        <w:t>。</w:t>
      </w:r>
    </w:p>
    <w:p>
      <w:pPr>
        <w:numPr>
          <w:ilvl w:val="0"/>
          <w:numId w:val="2"/>
        </w:numPr>
        <w:spacing w:line="360" w:lineRule="auto"/>
        <w:ind w:left="600" w:leftChars="200"/>
        <w:outlineLvl w:val="0"/>
        <w:rPr>
          <w:rFonts w:ascii="仿宋_GB2312"/>
        </w:rPr>
      </w:pPr>
      <w:r>
        <w:rPr>
          <w:rFonts w:hint="eastAsia" w:ascii="仿宋_GB2312" w:hAnsi="仿宋_GB2312" w:cs="仿宋_GB2312"/>
        </w:rPr>
        <w:t>产出数量分析（得分</w:t>
      </w:r>
      <w:r>
        <w:rPr>
          <w:rFonts w:ascii="仿宋_GB2312" w:hAnsi="仿宋_GB2312" w:cs="仿宋_GB2312"/>
        </w:rPr>
        <w:t>8</w:t>
      </w:r>
      <w:r>
        <w:rPr>
          <w:rFonts w:hint="eastAsia" w:ascii="仿宋_GB2312" w:hAnsi="仿宋_GB2312" w:cs="仿宋_GB2312"/>
        </w:rPr>
        <w:t>分）</w:t>
      </w:r>
    </w:p>
    <w:p>
      <w:pPr>
        <w:spacing w:line="360" w:lineRule="auto"/>
        <w:ind w:firstLine="600" w:firstLineChars="200"/>
        <w:outlineLvl w:val="0"/>
        <w:rPr>
          <w:rFonts w:ascii="仿宋_GB2312"/>
        </w:rPr>
      </w:pPr>
      <w:r>
        <w:rPr>
          <w:rFonts w:hint="eastAsia" w:ascii="仿宋_GB2312" w:hAnsi="仿宋_GB2312" w:cs="仿宋_GB2312"/>
        </w:rPr>
        <w:t>实际完成率：</w:t>
      </w:r>
      <w:r>
        <w:rPr>
          <w:rFonts w:ascii="仿宋_GB2312"/>
        </w:rPr>
        <w:tab/>
      </w:r>
      <w:r>
        <w:rPr>
          <w:rFonts w:hint="eastAsia" w:ascii="仿宋_GB2312" w:hAnsi="仿宋_GB2312" w:cs="仿宋_GB2312"/>
        </w:rPr>
        <w:t>项目实施的实际产出数与计划产出数的比率，用以反映和考核项目产出数量目标的实现程度。实际完成率</w:t>
      </w:r>
      <w:r>
        <w:rPr>
          <w:rFonts w:ascii="仿宋_GB2312" w:hAnsi="仿宋_GB2312" w:cs="仿宋_GB2312"/>
        </w:rPr>
        <w:t>=100%</w:t>
      </w:r>
      <w:r>
        <w:rPr>
          <w:rFonts w:hint="eastAsia" w:ascii="仿宋_GB2312" w:hAnsi="仿宋_GB2312" w:cs="仿宋_GB2312"/>
        </w:rPr>
        <w:t>。实际产出数：一定时期（本年度或项目期）内项目实际产出的产品或提供的服务数量。计划产出数：项目绩效目标确定的在一定时期（本年度或项目期）内计划产出的产品或提供的服务数量。本项目实际完成率</w:t>
      </w:r>
      <w:r>
        <w:rPr>
          <w:rFonts w:ascii="仿宋_GB2312" w:hAnsi="仿宋_GB2312" w:cs="仿宋_GB2312"/>
        </w:rPr>
        <w:t>100%</w:t>
      </w:r>
      <w:r>
        <w:rPr>
          <w:rFonts w:hint="eastAsia" w:ascii="仿宋_GB2312" w:hAnsi="仿宋_GB2312" w:cs="仿宋_GB2312"/>
        </w:rPr>
        <w:t>。</w:t>
      </w:r>
    </w:p>
    <w:p>
      <w:pPr>
        <w:numPr>
          <w:ilvl w:val="0"/>
          <w:numId w:val="2"/>
        </w:numPr>
        <w:spacing w:line="360" w:lineRule="auto"/>
        <w:ind w:left="600" w:leftChars="200"/>
        <w:outlineLvl w:val="0"/>
        <w:rPr>
          <w:rFonts w:ascii="仿宋_GB2312"/>
        </w:rPr>
      </w:pPr>
      <w:r>
        <w:rPr>
          <w:rFonts w:hint="eastAsia" w:ascii="仿宋_GB2312" w:hAnsi="仿宋_GB2312" w:cs="仿宋_GB2312"/>
        </w:rPr>
        <w:t>产出质量分析（得分</w:t>
      </w:r>
      <w:r>
        <w:rPr>
          <w:rFonts w:ascii="仿宋_GB2312" w:hAnsi="仿宋_GB2312" w:cs="仿宋_GB2312"/>
        </w:rPr>
        <w:t>10</w:t>
      </w:r>
      <w:r>
        <w:rPr>
          <w:rFonts w:hint="eastAsia" w:ascii="仿宋_GB2312" w:hAnsi="仿宋_GB2312" w:cs="仿宋_GB2312"/>
        </w:rPr>
        <w:t>分）</w:t>
      </w:r>
    </w:p>
    <w:p>
      <w:pPr>
        <w:spacing w:line="360" w:lineRule="auto"/>
        <w:ind w:firstLine="600" w:firstLineChars="200"/>
        <w:outlineLvl w:val="0"/>
        <w:rPr>
          <w:rFonts w:ascii="仿宋_GB2312"/>
        </w:rPr>
      </w:pPr>
      <w:r>
        <w:rPr>
          <w:rFonts w:hint="eastAsia" w:ascii="仿宋_GB2312" w:hAnsi="仿宋_GB2312" w:cs="仿宋_GB2312"/>
        </w:rPr>
        <w:t>质量达标率：项目完成的质量达标产出数与实际产出数的比率，用以反映和考核项目产出质量目标的实现程度。质量达标率</w:t>
      </w:r>
      <w:r>
        <w:rPr>
          <w:rFonts w:ascii="仿宋_GB2312" w:hAnsi="仿宋_GB2312" w:cs="仿宋_GB2312"/>
        </w:rPr>
        <w:t>=</w:t>
      </w:r>
      <w:r>
        <w:rPr>
          <w:rFonts w:hint="eastAsia" w:ascii="仿宋_GB2312" w:hAnsi="仿宋_GB2312" w:cs="仿宋_GB2312"/>
        </w:rPr>
        <w:t>（质量达标产出数</w:t>
      </w:r>
      <w:r>
        <w:rPr>
          <w:rFonts w:ascii="仿宋_GB2312" w:hAnsi="仿宋_GB2312" w:cs="仿宋_GB2312"/>
        </w:rPr>
        <w:t>/</w:t>
      </w:r>
      <w:r>
        <w:rPr>
          <w:rFonts w:hint="eastAsia" w:ascii="仿宋_GB2312" w:hAnsi="仿宋_GB2312" w:cs="仿宋_GB2312"/>
        </w:rPr>
        <w:t>实际产出数）×</w:t>
      </w:r>
      <w:r>
        <w:rPr>
          <w:rFonts w:ascii="仿宋_GB2312" w:hAnsi="仿宋_GB2312" w:cs="仿宋_GB2312"/>
        </w:rPr>
        <w:t>100%</w:t>
      </w:r>
      <w:r>
        <w:rPr>
          <w:rFonts w:hint="eastAsia" w:ascii="仿宋_GB2312" w:hAnsi="仿宋_GB2312" w:cs="仿宋_GB2312"/>
        </w:rPr>
        <w:t>。质量达标产出数：一定时期（本年度或项目期）内实际达到既定质量标准的产品或服务数量。既定质量标准是指项目实施单位设立绩效目标时依据计划标准、行业标准、历史标准或其他标准而设定的绩效指标值。</w:t>
      </w:r>
    </w:p>
    <w:p>
      <w:pPr>
        <w:spacing w:line="360" w:lineRule="auto"/>
        <w:ind w:firstLine="600" w:firstLineChars="200"/>
        <w:outlineLvl w:val="0"/>
        <w:rPr>
          <w:rFonts w:ascii="仿宋_GB2312"/>
        </w:rPr>
      </w:pPr>
      <w:r>
        <w:rPr>
          <w:rFonts w:ascii="仿宋_GB2312" w:hAnsi="仿宋_GB2312" w:cs="仿宋_GB2312"/>
        </w:rPr>
        <w:t>3</w:t>
      </w:r>
      <w:r>
        <w:rPr>
          <w:rFonts w:hint="eastAsia" w:ascii="仿宋_GB2312" w:hAnsi="仿宋_GB2312" w:cs="仿宋_GB2312"/>
        </w:rPr>
        <w:t>、产出时效分析（得分</w:t>
      </w:r>
      <w:r>
        <w:rPr>
          <w:rFonts w:ascii="仿宋_GB2312" w:hAnsi="仿宋_GB2312" w:cs="仿宋_GB2312"/>
        </w:rPr>
        <w:t>5</w:t>
      </w:r>
      <w:r>
        <w:rPr>
          <w:rFonts w:hint="eastAsia" w:ascii="仿宋_GB2312" w:hAnsi="仿宋_GB2312" w:cs="仿宋_GB2312"/>
        </w:rPr>
        <w:t>分）</w:t>
      </w:r>
    </w:p>
    <w:p>
      <w:pPr>
        <w:spacing w:line="360" w:lineRule="auto"/>
        <w:ind w:firstLine="600" w:firstLineChars="200"/>
        <w:outlineLvl w:val="0"/>
        <w:rPr>
          <w:rFonts w:ascii="仿宋_GB2312"/>
        </w:rPr>
      </w:pPr>
      <w:r>
        <w:rPr>
          <w:rFonts w:hint="eastAsia" w:ascii="仿宋_GB2312" w:hAnsi="仿宋_GB2312" w:cs="仿宋_GB2312"/>
        </w:rPr>
        <w:t>完成及时性：项目实际完成时间与计划完成时间的比较，用以反映和考核项目产出时效目标的实现程度。</w:t>
      </w:r>
      <w:r>
        <w:rPr>
          <w:rFonts w:ascii="仿宋_GB2312"/>
        </w:rPr>
        <w:tab/>
      </w:r>
      <w:r>
        <w:rPr>
          <w:rFonts w:hint="eastAsia" w:ascii="仿宋_GB2312" w:hAnsi="仿宋_GB2312" w:cs="仿宋_GB2312"/>
        </w:rPr>
        <w:t>实际完成时间：项目实施单位完成该项目实际所耗用的时间。计划完成时间：按照项目实施计划或相关规定完成该项目所需的时间。</w:t>
      </w:r>
    </w:p>
    <w:p>
      <w:pPr>
        <w:spacing w:line="360" w:lineRule="auto"/>
        <w:ind w:firstLine="600" w:firstLineChars="200"/>
        <w:outlineLvl w:val="0"/>
        <w:rPr>
          <w:rFonts w:ascii="仿宋_GB2312"/>
        </w:rPr>
      </w:pPr>
      <w:r>
        <w:rPr>
          <w:rFonts w:ascii="仿宋_GB2312" w:hAnsi="仿宋_GB2312" w:cs="仿宋_GB2312"/>
        </w:rPr>
        <w:t>4</w:t>
      </w:r>
      <w:r>
        <w:rPr>
          <w:rFonts w:hint="eastAsia" w:ascii="仿宋_GB2312" w:hAnsi="仿宋_GB2312" w:cs="仿宋_GB2312"/>
        </w:rPr>
        <w:t>、产出成本分析（得分</w:t>
      </w:r>
      <w:r>
        <w:rPr>
          <w:rFonts w:ascii="仿宋_GB2312" w:hAnsi="仿宋_GB2312" w:cs="仿宋_GB2312"/>
        </w:rPr>
        <w:t>5</w:t>
      </w:r>
      <w:r>
        <w:rPr>
          <w:rFonts w:hint="eastAsia" w:ascii="仿宋_GB2312" w:hAnsi="仿宋_GB2312" w:cs="仿宋_GB2312"/>
        </w:rPr>
        <w:t>分）</w:t>
      </w:r>
    </w:p>
    <w:p>
      <w:pPr>
        <w:spacing w:line="360" w:lineRule="auto"/>
        <w:ind w:firstLine="600" w:firstLineChars="200"/>
        <w:outlineLvl w:val="0"/>
        <w:rPr>
          <w:rFonts w:ascii="仿宋_GB2312"/>
        </w:rPr>
      </w:pPr>
      <w:r>
        <w:rPr>
          <w:rFonts w:hint="eastAsia" w:ascii="仿宋_GB2312" w:hAnsi="仿宋_GB2312" w:cs="仿宋_GB2312"/>
        </w:rPr>
        <w:t>成本节约率：完成项目计划工作目标的实际节约成本与计划成本的比率，用以反映和考核项目的成本节约程度。</w:t>
      </w:r>
      <w:r>
        <w:rPr>
          <w:rFonts w:ascii="仿宋_GB2312"/>
        </w:rPr>
        <w:tab/>
      </w:r>
      <w:r>
        <w:rPr>
          <w:rFonts w:hint="eastAsia" w:ascii="仿宋_GB2312" w:hAnsi="仿宋_GB2312" w:cs="仿宋_GB2312"/>
        </w:rPr>
        <w:t>成本节约率</w:t>
      </w:r>
      <w:r>
        <w:rPr>
          <w:rFonts w:ascii="仿宋_GB2312" w:hAnsi="仿宋_GB2312" w:cs="仿宋_GB2312"/>
        </w:rPr>
        <w:t>100%</w:t>
      </w:r>
      <w:r>
        <w:rPr>
          <w:rFonts w:hint="eastAsia" w:ascii="仿宋_GB2312" w:hAnsi="仿宋_GB2312" w:cs="仿宋_GB2312"/>
        </w:rPr>
        <w:t>。</w:t>
      </w:r>
    </w:p>
    <w:p>
      <w:pPr>
        <w:spacing w:line="360" w:lineRule="auto"/>
        <w:ind w:firstLine="600" w:firstLineChars="200"/>
        <w:outlineLvl w:val="0"/>
        <w:rPr>
          <w:rFonts w:ascii="仿宋_GB2312"/>
        </w:rPr>
      </w:pPr>
      <w:r>
        <w:rPr>
          <w:rFonts w:hint="eastAsia" w:ascii="仿宋_GB2312" w:hAnsi="仿宋_GB2312" w:cs="仿宋_GB2312"/>
        </w:rPr>
        <w:t>（四）项目效益分析</w:t>
      </w:r>
    </w:p>
    <w:p>
      <w:pPr>
        <w:spacing w:line="360" w:lineRule="auto"/>
        <w:ind w:firstLine="600" w:firstLineChars="200"/>
        <w:outlineLvl w:val="0"/>
        <w:rPr>
          <w:rFonts w:ascii="仿宋_GB2312"/>
        </w:rPr>
      </w:pPr>
      <w:r>
        <w:rPr>
          <w:rFonts w:hint="eastAsia" w:ascii="仿宋_GB2312" w:hAnsi="仿宋_GB2312" w:cs="仿宋_GB2312"/>
        </w:rPr>
        <w:t>项目过程包括实施效益和满意度。该项满分为</w:t>
      </w:r>
      <w:r>
        <w:rPr>
          <w:rFonts w:ascii="仿宋_GB2312" w:hAnsi="仿宋_GB2312" w:cs="仿宋_GB2312"/>
        </w:rPr>
        <w:t xml:space="preserve">30 </w:t>
      </w:r>
      <w:r>
        <w:rPr>
          <w:rFonts w:hint="eastAsia" w:ascii="仿宋_GB2312" w:hAnsi="仿宋_GB2312" w:cs="仿宋_GB2312"/>
        </w:rPr>
        <w:t>分，得分</w:t>
      </w:r>
      <w:r>
        <w:rPr>
          <w:rFonts w:ascii="仿宋_GB2312" w:hAnsi="仿宋_GB2312" w:cs="仿宋_GB2312"/>
        </w:rPr>
        <w:t>28</w:t>
      </w:r>
      <w:r>
        <w:rPr>
          <w:rFonts w:hint="eastAsia" w:ascii="仿宋_GB2312" w:hAnsi="仿宋_GB2312" w:cs="仿宋_GB2312"/>
        </w:rPr>
        <w:t>分，得分率</w:t>
      </w:r>
      <w:r>
        <w:rPr>
          <w:rFonts w:ascii="仿宋_GB2312" w:hAnsi="仿宋_GB2312" w:cs="仿宋_GB2312"/>
        </w:rPr>
        <w:t>93.3%</w:t>
      </w:r>
      <w:r>
        <w:rPr>
          <w:rFonts w:hint="eastAsia" w:ascii="仿宋_GB2312" w:hAnsi="仿宋_GB2312" w:cs="仿宋_GB2312"/>
        </w:rPr>
        <w:t>。　</w:t>
      </w:r>
      <w:r>
        <w:rPr>
          <w:rFonts w:ascii="仿宋_GB2312"/>
        </w:rPr>
        <w:tab/>
      </w:r>
    </w:p>
    <w:p>
      <w:pPr>
        <w:numPr>
          <w:ilvl w:val="0"/>
          <w:numId w:val="3"/>
        </w:numPr>
        <w:spacing w:line="360" w:lineRule="auto"/>
        <w:ind w:firstLine="600" w:firstLineChars="200"/>
        <w:outlineLvl w:val="0"/>
        <w:rPr>
          <w:rFonts w:ascii="仿宋_GB2312"/>
        </w:rPr>
      </w:pPr>
      <w:r>
        <w:rPr>
          <w:rFonts w:hint="eastAsia" w:ascii="仿宋_GB2312" w:hAnsi="仿宋_GB2312" w:cs="仿宋_GB2312"/>
        </w:rPr>
        <w:t>实施效益（得分</w:t>
      </w:r>
      <w:r>
        <w:rPr>
          <w:rFonts w:ascii="仿宋_GB2312" w:hAnsi="仿宋_GB2312" w:cs="仿宋_GB2312"/>
        </w:rPr>
        <w:t>18</w:t>
      </w:r>
      <w:r>
        <w:rPr>
          <w:rFonts w:hint="eastAsia" w:ascii="仿宋_GB2312" w:hAnsi="仿宋_GB2312" w:cs="仿宋_GB2312"/>
        </w:rPr>
        <w:t>分）</w:t>
      </w:r>
    </w:p>
    <w:p>
      <w:pPr>
        <w:spacing w:line="360" w:lineRule="auto"/>
        <w:ind w:firstLine="600" w:firstLineChars="200"/>
        <w:outlineLvl w:val="0"/>
        <w:rPr>
          <w:rFonts w:ascii="仿宋_GB2312"/>
        </w:rPr>
      </w:pPr>
      <w:r>
        <w:rPr>
          <w:rFonts w:hint="eastAsia" w:ascii="仿宋_GB2312" w:hAnsi="仿宋_GB2312" w:cs="仿宋_GB2312"/>
        </w:rPr>
        <w:t>项目产生的社会效益社会提高</w:t>
      </w:r>
      <w:r>
        <w:rPr>
          <w:rFonts w:hint="eastAsia" w:ascii="仿宋_GB2312" w:hAnsi="仿宋_GB2312" w:cs="仿宋_GB2312"/>
          <w:kern w:val="0"/>
        </w:rPr>
        <w:t>社会农牧民家幸福指数，显著提经济效益是增加农牧民家庭的收入。可持续影响是促进了全面小康事业发展。</w:t>
      </w:r>
    </w:p>
    <w:p>
      <w:pPr>
        <w:numPr>
          <w:ilvl w:val="0"/>
          <w:numId w:val="3"/>
        </w:numPr>
        <w:spacing w:line="360" w:lineRule="auto"/>
        <w:ind w:firstLine="600" w:firstLineChars="200"/>
        <w:outlineLvl w:val="0"/>
        <w:rPr>
          <w:rFonts w:ascii="仿宋_GB2312"/>
        </w:rPr>
      </w:pPr>
      <w:r>
        <w:rPr>
          <w:rFonts w:hint="eastAsia" w:ascii="仿宋_GB2312" w:hAnsi="仿宋_GB2312" w:cs="仿宋_GB2312"/>
        </w:rPr>
        <w:t>满意度（得分</w:t>
      </w:r>
      <w:r>
        <w:rPr>
          <w:rFonts w:ascii="仿宋_GB2312" w:hAnsi="仿宋_GB2312" w:cs="仿宋_GB2312"/>
        </w:rPr>
        <w:t>10</w:t>
      </w:r>
      <w:r>
        <w:rPr>
          <w:rFonts w:hint="eastAsia" w:ascii="仿宋_GB2312" w:hAnsi="仿宋_GB2312" w:cs="仿宋_GB2312"/>
        </w:rPr>
        <w:t>分）</w:t>
      </w:r>
    </w:p>
    <w:p>
      <w:pPr>
        <w:spacing w:line="360" w:lineRule="auto"/>
        <w:ind w:firstLine="600" w:firstLineChars="200"/>
        <w:rPr>
          <w:rFonts w:ascii="仿宋_GB2312"/>
        </w:rPr>
      </w:pPr>
      <w:r>
        <w:rPr>
          <w:rFonts w:hint="eastAsia" w:ascii="仿宋_GB2312" w:hAnsi="仿宋_GB2312" w:cs="仿宋_GB2312"/>
        </w:rPr>
        <w:t>项目的实施得到了实施得到当地群众的一致好评，通过问卷调查、电话走访、入户走访等调查方式，按计划完成项目实施，指标完成率为</w:t>
      </w:r>
      <w:r>
        <w:rPr>
          <w:rFonts w:ascii="仿宋_GB2312" w:hAnsi="仿宋_GB2312" w:cs="仿宋_GB2312"/>
        </w:rPr>
        <w:t>100%</w:t>
      </w:r>
      <w:r>
        <w:rPr>
          <w:rFonts w:hint="eastAsia" w:ascii="仿宋_GB2312" w:hAnsi="仿宋_GB2312" w:cs="仿宋_GB2312"/>
        </w:rPr>
        <w:t>。</w:t>
      </w:r>
    </w:p>
    <w:p>
      <w:pPr>
        <w:spacing w:line="600" w:lineRule="exact"/>
        <w:ind w:firstLine="600" w:firstLineChars="200"/>
        <w:rPr>
          <w:rFonts w:ascii="黑体" w:hAnsi="黑体" w:eastAsia="黑体"/>
        </w:rPr>
      </w:pPr>
      <w:r>
        <w:rPr>
          <w:rFonts w:hint="eastAsia" w:ascii="黑体" w:hAnsi="黑体" w:eastAsia="黑体" w:cs="黑体"/>
        </w:rPr>
        <w:t>五、主要经验及做法、存在的问题及原因分析</w:t>
      </w:r>
    </w:p>
    <w:p>
      <w:pPr>
        <w:spacing w:line="600" w:lineRule="exact"/>
        <w:ind w:firstLine="560" w:firstLineChars="200"/>
        <w:outlineLvl w:val="0"/>
        <w:rPr>
          <w:rFonts w:ascii="宋体" w:hAnsi="宋体" w:eastAsia="宋体"/>
          <w:sz w:val="28"/>
          <w:szCs w:val="28"/>
        </w:rPr>
      </w:pPr>
      <w:r>
        <w:rPr>
          <w:rFonts w:hint="eastAsia" w:ascii="宋体" w:hAnsi="宋体" w:eastAsia="宋体" w:cs="宋体"/>
          <w:sz w:val="28"/>
          <w:szCs w:val="28"/>
        </w:rPr>
        <w:t>切实加强自评结果的整理、分析，将自评结果作为本部门、本单位完善政策和改进管理的重要依，加强对社区群众培训力度，完成从物扶贫到技能扶贫。</w:t>
      </w:r>
    </w:p>
    <w:p>
      <w:pPr>
        <w:spacing w:line="600" w:lineRule="exact"/>
        <w:ind w:firstLine="600" w:firstLineChars="200"/>
        <w:rPr>
          <w:rFonts w:ascii="黑体" w:hAnsi="黑体" w:eastAsia="黑体"/>
        </w:rPr>
      </w:pPr>
      <w:r>
        <w:rPr>
          <w:rFonts w:hint="eastAsia" w:ascii="黑体" w:hAnsi="黑体" w:eastAsia="黑体" w:cs="黑体"/>
        </w:rPr>
        <w:t>六、有关建议</w:t>
      </w:r>
    </w:p>
    <w:p>
      <w:pPr>
        <w:spacing w:line="600" w:lineRule="exact"/>
        <w:ind w:firstLine="560" w:firstLineChars="200"/>
        <w:rPr>
          <w:rFonts w:ascii="宋体" w:hAnsi="宋体" w:eastAsia="宋体"/>
          <w:sz w:val="28"/>
          <w:szCs w:val="28"/>
        </w:rPr>
      </w:pPr>
      <w:r>
        <w:rPr>
          <w:rFonts w:hint="eastAsia" w:ascii="宋体" w:hAnsi="宋体" w:eastAsia="宋体" w:cs="宋体"/>
          <w:sz w:val="28"/>
          <w:szCs w:val="28"/>
        </w:rPr>
        <w:t>无</w:t>
      </w:r>
    </w:p>
    <w:p>
      <w:pPr>
        <w:spacing w:line="600" w:lineRule="exact"/>
        <w:ind w:firstLine="600" w:firstLineChars="200"/>
        <w:rPr>
          <w:rFonts w:ascii="黑体" w:hAnsi="黑体" w:eastAsia="黑体"/>
        </w:rPr>
      </w:pPr>
      <w:r>
        <w:rPr>
          <w:rFonts w:hint="eastAsia" w:ascii="黑体" w:hAnsi="黑体" w:eastAsia="黑体" w:cs="黑体"/>
        </w:rPr>
        <w:t>七、其他需要说明的问题</w:t>
      </w:r>
    </w:p>
    <w:p>
      <w:pPr>
        <w:spacing w:line="600" w:lineRule="exact"/>
        <w:ind w:firstLine="560" w:firstLineChars="200"/>
        <w:rPr>
          <w:rFonts w:ascii="宋体" w:hAnsi="宋体" w:eastAsia="宋体"/>
          <w:sz w:val="28"/>
          <w:szCs w:val="28"/>
        </w:rPr>
      </w:pPr>
      <w:r>
        <w:rPr>
          <w:rFonts w:hint="eastAsia" w:ascii="宋体" w:hAnsi="宋体" w:eastAsia="宋体" w:cs="宋体"/>
          <w:sz w:val="28"/>
          <w:szCs w:val="28"/>
        </w:rPr>
        <w:t>无</w:t>
      </w:r>
    </w:p>
    <w:p>
      <w:pPr>
        <w:spacing w:line="600" w:lineRule="exact"/>
        <w:ind w:firstLine="560" w:firstLineChars="200"/>
        <w:rPr>
          <w:rFonts w:ascii="宋体" w:hAnsi="宋体" w:eastAsia="宋体"/>
          <w:sz w:val="28"/>
          <w:szCs w:val="28"/>
        </w:rPr>
      </w:pPr>
    </w:p>
    <w:p>
      <w:pPr>
        <w:spacing w:line="600" w:lineRule="exact"/>
        <w:ind w:firstLine="560" w:firstLineChars="200"/>
        <w:rPr>
          <w:rFonts w:ascii="宋体" w:hAnsi="宋体" w:eastAsia="宋体"/>
          <w:sz w:val="28"/>
          <w:szCs w:val="28"/>
        </w:rPr>
      </w:pPr>
    </w:p>
    <w:p>
      <w:pPr>
        <w:spacing w:line="600" w:lineRule="exact"/>
        <w:ind w:firstLine="560" w:firstLineChars="200"/>
        <w:rPr>
          <w:rFonts w:ascii="宋体" w:hAnsi="宋体" w:eastAsia="宋体"/>
          <w:sz w:val="28"/>
          <w:szCs w:val="28"/>
        </w:rPr>
      </w:pPr>
    </w:p>
    <w:p>
      <w:pPr>
        <w:spacing w:line="600" w:lineRule="exact"/>
        <w:ind w:firstLine="560" w:firstLineChars="200"/>
        <w:rPr>
          <w:rFonts w:ascii="宋体" w:hAnsi="宋体" w:eastAsia="宋体"/>
          <w:sz w:val="28"/>
          <w:szCs w:val="28"/>
        </w:rPr>
        <w:sectPr>
          <w:pgSz w:w="11906" w:h="16838"/>
          <w:pgMar w:top="1928" w:right="1531" w:bottom="1701" w:left="1531" w:header="737" w:footer="851" w:gutter="0"/>
          <w:cols w:space="720" w:num="1"/>
          <w:docGrid w:type="lines" w:linePitch="408" w:charSpace="0"/>
        </w:sectPr>
      </w:pPr>
    </w:p>
    <w:p>
      <w:pPr>
        <w:pStyle w:val="2"/>
        <w:spacing w:before="0" w:after="0" w:line="240" w:lineRule="auto"/>
        <w:jc w:val="center"/>
        <w:rPr>
          <w:rFonts w:ascii="宋体" w:hAnsi="宋体" w:eastAsia="宋体" w:cs="Times New Roman"/>
          <w:color w:val="000000"/>
          <w:sz w:val="36"/>
          <w:szCs w:val="36"/>
        </w:rPr>
      </w:pPr>
      <w:r>
        <w:rPr>
          <w:rFonts w:hint="eastAsia" w:ascii="宋体" w:hAnsi="宋体" w:eastAsia="宋体" w:cs="宋体"/>
          <w:color w:val="000000"/>
          <w:sz w:val="36"/>
          <w:szCs w:val="36"/>
        </w:rPr>
        <w:t>项目支出绩效评价指标体系框架（参考）</w:t>
      </w:r>
    </w:p>
    <w:p>
      <w:pPr>
        <w:pStyle w:val="2"/>
        <w:spacing w:before="0" w:after="0" w:line="240" w:lineRule="auto"/>
        <w:jc w:val="center"/>
        <w:rPr>
          <w:rFonts w:cs="Times New Roman"/>
          <w:color w:val="000000"/>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shd w:val="clear" w:color="auto" w:fill="FFFFFF"/>
            <w:vAlign w:val="center"/>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shd w:val="clear" w:color="auto" w:fill="FFFFFF"/>
            <w:vAlign w:val="center"/>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shd w:val="clear" w:color="auto" w:fill="FFFFFF"/>
            <w:vAlign w:val="center"/>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shd w:val="clear" w:color="auto" w:fill="FFFFFF"/>
            <w:vAlign w:val="center"/>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shd w:val="clear" w:color="auto" w:fill="FFFFFF"/>
            <w:vAlign w:val="center"/>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　</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　</w:t>
            </w:r>
          </w:p>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项目立项（</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　</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立项依据</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充分性</w:t>
            </w:r>
          </w:p>
        </w:tc>
        <w:tc>
          <w:tcPr>
            <w:tcW w:w="2789"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cBorders>
            <w:shd w:val="clear" w:color="auto" w:fill="FFFFFF"/>
            <w:vAlign w:val="center"/>
          </w:tcPr>
          <w:p>
            <w:pPr>
              <w:widowControl/>
              <w:spacing w:line="240" w:lineRule="atLeast"/>
              <w:jc w:val="lef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立项程序</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规范性</w:t>
            </w:r>
          </w:p>
        </w:tc>
        <w:tc>
          <w:tcPr>
            <w:tcW w:w="2789"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shd w:val="clear" w:color="auto" w:fill="FFFFFF"/>
            <w:vAlign w:val="center"/>
          </w:tcPr>
          <w:p>
            <w:pPr>
              <w:widowControl/>
              <w:spacing w:line="240" w:lineRule="atLeast"/>
              <w:jc w:val="lef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绩效目标（</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　</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绩效目标</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vAlign w:val="center"/>
          </w:tcPr>
          <w:p>
            <w:pPr>
              <w:widowControl/>
              <w:spacing w:line="240" w:lineRule="atLeast"/>
              <w:jc w:val="lef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240" w:lineRule="atLeast"/>
              <w:jc w:val="left"/>
              <w:rPr>
                <w:rFonts w:ascii="宋体" w:hAnsi="宋体" w:eastAsia="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绩效目标</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绩效指标</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明确性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ascii="宋体" w:hAnsi="宋体" w:eastAsia="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资金投入（</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w:t>
            </w:r>
          </w:p>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预算编制</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科学性</w:t>
            </w:r>
          </w:p>
        </w:tc>
        <w:tc>
          <w:tcPr>
            <w:tcW w:w="2789"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297"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资金分配</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cBorders>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shd w:val="clear" w:color="auto" w:fill="FFFFFF"/>
            <w:vAlign w:val="center"/>
          </w:tcPr>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p>
        </w:tc>
        <w:tc>
          <w:tcPr>
            <w:tcW w:w="1297"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资金管理（</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资金到位率</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资金到位率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预算资金）×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预算执行率</w:t>
            </w:r>
          </w:p>
        </w:tc>
        <w:tc>
          <w:tcPr>
            <w:tcW w:w="2789"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预算执行率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（实际支出资金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　</w:t>
            </w:r>
          </w:p>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资金管理</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资金使用</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合规性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cBorders>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组织实施（</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管理制度</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健全性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297"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制度执行</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有效性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产出数量（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实际完成率</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实际完成率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产出质量（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质量达标率</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cBorders>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质量达标率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（质量达标产出数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否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shd w:val="clear" w:color="auto" w:fill="FFFFFF"/>
            <w:vAlign w:val="center"/>
          </w:tcPr>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产出时效（</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完成及时性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产出成本（</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成本节约率</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成本节约率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297"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项目效益（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实施效益</w:t>
            </w:r>
          </w:p>
        </w:tc>
        <w:tc>
          <w:tcPr>
            <w:tcW w:w="2789" w:type="dxa"/>
            <w:shd w:val="clear" w:color="auto" w:fill="FFFFFF"/>
            <w:vAlign w:val="center"/>
          </w:tcPr>
          <w:p>
            <w:pPr>
              <w:widowControl/>
              <w:spacing w:line="240" w:lineRule="atLeast"/>
              <w:jc w:val="left"/>
              <w:rPr>
                <w:rFonts w:ascii="宋体" w:hAnsi="宋体" w:eastAsia="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297"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满意度</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社会公众或服务对象是否指因该项目实施而受到影响的部门（单位）、群体或个人。一般采取社会调查的方式。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r>
    </w:tbl>
    <w:p>
      <w:pPr>
        <w:spacing w:line="600" w:lineRule="exact"/>
        <w:rPr>
          <w:rFonts w:ascii="仿宋_GB2312"/>
          <w:sz w:val="32"/>
          <w:szCs w:val="32"/>
        </w:rPr>
        <w:sectPr>
          <w:pgSz w:w="16838" w:h="11906" w:orient="landscape"/>
          <w:pgMar w:top="1531" w:right="1928" w:bottom="1531" w:left="1701" w:header="737" w:footer="851" w:gutter="0"/>
          <w:cols w:space="720" w:num="1"/>
          <w:docGrid w:type="lines" w:linePitch="408" w:charSpace="0"/>
        </w:sectPr>
      </w:pPr>
    </w:p>
    <w:p>
      <w:pPr>
        <w:spacing w:line="600" w:lineRule="exact"/>
        <w:rPr>
          <w:rFonts w:ascii="宋体" w:hAnsi="宋体" w:eastAsia="宋体"/>
          <w:sz w:val="28"/>
          <w:szCs w:val="28"/>
        </w:rPr>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4E20D0"/>
    <w:multiLevelType w:val="singleLevel"/>
    <w:tmpl w:val="A04E20D0"/>
    <w:lvl w:ilvl="0" w:tentative="0">
      <w:start w:val="2"/>
      <w:numFmt w:val="decimal"/>
      <w:suff w:val="nothing"/>
      <w:lvlText w:val="（%1）"/>
      <w:lvlJc w:val="left"/>
    </w:lvl>
  </w:abstractNum>
  <w:abstractNum w:abstractNumId="1">
    <w:nsid w:val="A21D4563"/>
    <w:multiLevelType w:val="singleLevel"/>
    <w:tmpl w:val="A21D4563"/>
    <w:lvl w:ilvl="0" w:tentative="0">
      <w:start w:val="1"/>
      <w:numFmt w:val="decimal"/>
      <w:suff w:val="nothing"/>
      <w:lvlText w:val="%1、"/>
      <w:lvlJc w:val="left"/>
    </w:lvl>
  </w:abstractNum>
  <w:abstractNum w:abstractNumId="2">
    <w:nsid w:val="5248631E"/>
    <w:multiLevelType w:val="singleLevel"/>
    <w:tmpl w:val="5248631E"/>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HorizontalSpacing w:val="150"/>
  <w:drawingGridVerticalSpacing w:val="204"/>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iMzgzMWJiNDVmMjc4YmZhYzYxZmZlMGEwZTI0MDIifQ=="/>
  </w:docVars>
  <w:rsids>
    <w:rsidRoot w:val="00535AC9"/>
    <w:rsid w:val="00020495"/>
    <w:rsid w:val="00064E41"/>
    <w:rsid w:val="000B4E42"/>
    <w:rsid w:val="000F366A"/>
    <w:rsid w:val="00163F63"/>
    <w:rsid w:val="0029017A"/>
    <w:rsid w:val="002B62F0"/>
    <w:rsid w:val="002C414F"/>
    <w:rsid w:val="002D5877"/>
    <w:rsid w:val="002E2167"/>
    <w:rsid w:val="002E3848"/>
    <w:rsid w:val="00315FF8"/>
    <w:rsid w:val="00356C5A"/>
    <w:rsid w:val="003656C3"/>
    <w:rsid w:val="0037070B"/>
    <w:rsid w:val="0038716B"/>
    <w:rsid w:val="003B4119"/>
    <w:rsid w:val="003F6EE7"/>
    <w:rsid w:val="0041304E"/>
    <w:rsid w:val="00422976"/>
    <w:rsid w:val="00424B8F"/>
    <w:rsid w:val="0043448B"/>
    <w:rsid w:val="00475734"/>
    <w:rsid w:val="004922FA"/>
    <w:rsid w:val="004C647A"/>
    <w:rsid w:val="005021A6"/>
    <w:rsid w:val="0050393A"/>
    <w:rsid w:val="00535AC9"/>
    <w:rsid w:val="005B6C6F"/>
    <w:rsid w:val="0063044E"/>
    <w:rsid w:val="0063795D"/>
    <w:rsid w:val="006A1DA6"/>
    <w:rsid w:val="006C7BD2"/>
    <w:rsid w:val="0070703D"/>
    <w:rsid w:val="007455C3"/>
    <w:rsid w:val="008C6F29"/>
    <w:rsid w:val="00977B72"/>
    <w:rsid w:val="009C13C1"/>
    <w:rsid w:val="00A3066F"/>
    <w:rsid w:val="00A83F18"/>
    <w:rsid w:val="00AF5A52"/>
    <w:rsid w:val="00B72BEB"/>
    <w:rsid w:val="00B82CB1"/>
    <w:rsid w:val="00C61ED3"/>
    <w:rsid w:val="00CE7330"/>
    <w:rsid w:val="00CF7B99"/>
    <w:rsid w:val="00D2329C"/>
    <w:rsid w:val="00D645E5"/>
    <w:rsid w:val="00D97913"/>
    <w:rsid w:val="00DA3C59"/>
    <w:rsid w:val="00DA7ADC"/>
    <w:rsid w:val="00DD7F1D"/>
    <w:rsid w:val="00DE65E4"/>
    <w:rsid w:val="00DF3AAA"/>
    <w:rsid w:val="00E22000"/>
    <w:rsid w:val="00E3118B"/>
    <w:rsid w:val="00E34339"/>
    <w:rsid w:val="00E7287C"/>
    <w:rsid w:val="00F14274"/>
    <w:rsid w:val="00F561EB"/>
    <w:rsid w:val="00FA356B"/>
    <w:rsid w:val="00FB0C18"/>
    <w:rsid w:val="00FB350B"/>
    <w:rsid w:val="00FD4EAE"/>
    <w:rsid w:val="00FF5E74"/>
    <w:rsid w:val="07635493"/>
    <w:rsid w:val="2FF224C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paragraph" w:styleId="2">
    <w:name w:val="heading 2"/>
    <w:basedOn w:val="1"/>
    <w:next w:val="1"/>
    <w:link w:val="8"/>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99"/>
    <w:rPr>
      <w:b/>
      <w:bCs/>
    </w:rPr>
  </w:style>
  <w:style w:type="character" w:customStyle="1" w:styleId="8">
    <w:name w:val="标题 2 Char"/>
    <w:basedOn w:val="6"/>
    <w:link w:val="2"/>
    <w:locked/>
    <w:uiPriority w:val="99"/>
    <w:rPr>
      <w:rFonts w:ascii="Arial" w:hAnsi="Arial" w:eastAsia="黑体" w:cs="Arial"/>
      <w:b/>
      <w:bCs/>
      <w:kern w:val="2"/>
      <w:sz w:val="24"/>
      <w:szCs w:val="24"/>
    </w:rPr>
  </w:style>
  <w:style w:type="character" w:customStyle="1" w:styleId="9">
    <w:name w:val="页脚 Char"/>
    <w:basedOn w:val="6"/>
    <w:link w:val="3"/>
    <w:locked/>
    <w:uiPriority w:val="99"/>
    <w:rPr>
      <w:sz w:val="18"/>
      <w:szCs w:val="18"/>
    </w:rPr>
  </w:style>
  <w:style w:type="character" w:customStyle="1" w:styleId="10">
    <w:name w:val="页眉 Char"/>
    <w:basedOn w:val="6"/>
    <w:link w:val="4"/>
    <w:locked/>
    <w:uiPriority w:val="99"/>
    <w:rPr>
      <w:sz w:val="18"/>
      <w:szCs w:val="18"/>
    </w:rPr>
  </w:style>
  <w:style w:type="paragraph" w:customStyle="1" w:styleId="11">
    <w:name w:val="Default"/>
    <w:uiPriority w:val="99"/>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1032</Words>
  <Characters>5887</Characters>
  <Lines>49</Lines>
  <Paragraphs>13</Paragraphs>
  <TotalTime>81</TotalTime>
  <ScaleCrop>false</ScaleCrop>
  <LinksUpToDate>false</LinksUpToDate>
  <CharactersWithSpaces>6906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2020-05-25T02:47:00Z</dcterms:created>
  <dc:creator>CurUserName</dc:creator>
  <cp:lastModifiedBy>Qxb</cp:lastModifiedBy>
  <dcterms:modified xsi:type="dcterms:W3CDTF">2023-07-14T11:08:03Z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81B72E37472A4E65B3FDDE3A050A8342_12</vt:lpwstr>
  </property>
</Properties>
</file>