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巴州党委组织部单位项目支出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cs="宋体"/>
          <w:kern w:val="0"/>
          <w:sz w:val="36"/>
          <w:szCs w:val="36"/>
        </w:rPr>
      </w:pPr>
      <w:r>
        <w:rPr>
          <w:rFonts w:hint="eastAsia" w:hAnsi="宋体" w:cs="宋体"/>
          <w:kern w:val="0"/>
          <w:sz w:val="36"/>
          <w:szCs w:val="36"/>
        </w:rPr>
        <w:t>（2019年度）</w:t>
      </w: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rPr>
          <w:rFonts w:hAnsi="宋体" w:cs="宋体"/>
          <w:kern w:val="0"/>
          <w:szCs w:val="30"/>
        </w:rPr>
      </w:pPr>
    </w:p>
    <w:p>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项目名称：组织事务管理</w:t>
      </w:r>
    </w:p>
    <w:p>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w:t>
      </w:r>
      <w:r>
        <w:rPr>
          <w:rFonts w:hAnsi="宋体" w:cs="宋体"/>
          <w:kern w:val="0"/>
          <w:sz w:val="36"/>
          <w:szCs w:val="36"/>
        </w:rPr>
        <w:t xml:space="preserve"> 巴州党委组织部</w:t>
      </w:r>
    </w:p>
    <w:p>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w:t>
      </w:r>
      <w:r>
        <w:rPr>
          <w:rFonts w:hAnsi="宋体" w:cs="宋体"/>
          <w:kern w:val="0"/>
          <w:sz w:val="36"/>
          <w:szCs w:val="36"/>
        </w:rPr>
        <w:t xml:space="preserve"> 巴州党委</w:t>
      </w:r>
    </w:p>
    <w:p>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项目负责人（签章）：杨玲</w:t>
      </w:r>
      <w:r>
        <w:rPr>
          <w:rFonts w:hAnsi="宋体" w:cs="宋体"/>
          <w:kern w:val="0"/>
          <w:sz w:val="36"/>
          <w:szCs w:val="36"/>
        </w:rPr>
        <w:t xml:space="preserve"> </w:t>
      </w:r>
    </w:p>
    <w:p>
      <w:pPr>
        <w:ind w:firstLine="1080" w:firstLineChars="300"/>
        <w:rPr>
          <w:rFonts w:hint="default" w:ascii="黑体" w:hAnsi="黑体" w:eastAsia="黑体"/>
          <w:lang w:val="en-US" w:eastAsia="zh-CN"/>
        </w:rPr>
        <w:sectPr>
          <w:pgSz w:w="11906" w:h="16838"/>
          <w:pgMar w:top="1928" w:right="1531" w:bottom="1701" w:left="1531" w:header="737" w:footer="851" w:gutter="0"/>
          <w:cols w:space="720" w:num="1"/>
          <w:docGrid w:type="lines" w:linePitch="408" w:charSpace="0"/>
        </w:sectPr>
      </w:pPr>
      <w:r>
        <w:rPr>
          <w:rFonts w:hint="eastAsia" w:hAnsi="宋体" w:cs="宋体"/>
          <w:kern w:val="0"/>
          <w:sz w:val="36"/>
          <w:szCs w:val="36"/>
        </w:rPr>
        <w:t>填报时间： 2020年5月</w:t>
      </w:r>
      <w:r>
        <w:rPr>
          <w:rFonts w:hint="eastAsia" w:ascii="黑体" w:hAnsi="黑体" w:eastAsia="黑体"/>
          <w:lang w:val="en-US" w:eastAsia="zh-CN"/>
        </w:rPr>
        <w:t>12日</w:t>
      </w:r>
    </w:p>
    <w:p>
      <w:pPr>
        <w:spacing w:line="700" w:lineRule="exact"/>
        <w:ind w:firstLine="849" w:firstLineChars="236"/>
        <w:jc w:val="left"/>
        <w:rPr>
          <w:rFonts w:hAnsi="宋体" w:cs="宋体"/>
          <w:kern w:val="0"/>
          <w:sz w:val="36"/>
          <w:szCs w:val="36"/>
        </w:rPr>
      </w:pP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spacing w:before="408" w:beforeLines="100" w:after="408" w:afterLines="100" w:line="600" w:lineRule="exact"/>
        <w:ind w:firstLine="600" w:firstLineChars="200"/>
        <w:rPr>
          <w:rFonts w:ascii="黑体" w:hAnsi="黑体" w:eastAsia="黑体"/>
          <w:szCs w:val="30"/>
        </w:rPr>
      </w:pPr>
      <w:bookmarkStart w:id="0" w:name="_Toc40343117"/>
      <w:r>
        <w:rPr>
          <w:rFonts w:hint="eastAsia" w:ascii="黑体" w:hAnsi="黑体" w:eastAsia="黑体"/>
          <w:szCs w:val="30"/>
        </w:rPr>
        <w:t>一、基本情况</w:t>
      </w:r>
      <w:bookmarkEnd w:id="0"/>
    </w:p>
    <w:p>
      <w:pPr>
        <w:pStyle w:val="13"/>
        <w:ind w:left="600"/>
        <w:rPr>
          <w:sz w:val="30"/>
          <w:szCs w:val="30"/>
        </w:rPr>
      </w:pPr>
      <w:bookmarkStart w:id="1" w:name="_Toc40343118"/>
      <w:r>
        <w:rPr>
          <w:rFonts w:hint="eastAsia"/>
          <w:sz w:val="30"/>
          <w:szCs w:val="30"/>
        </w:rPr>
        <w:t>（一）项目概况：</w:t>
      </w:r>
      <w:bookmarkEnd w:id="1"/>
    </w:p>
    <w:p>
      <w:pPr>
        <w:pStyle w:val="11"/>
        <w:ind w:firstLine="600"/>
        <w:rPr>
          <w:sz w:val="30"/>
          <w:szCs w:val="30"/>
          <w:lang w:eastAsia="zh-CN"/>
        </w:rPr>
      </w:pPr>
      <w:bookmarkStart w:id="2" w:name="_Toc40343119"/>
      <w:r>
        <w:rPr>
          <w:rFonts w:hint="eastAsia"/>
          <w:sz w:val="30"/>
          <w:szCs w:val="30"/>
          <w:lang w:eastAsia="zh-CN"/>
        </w:rPr>
        <w:t>1.项目背景：巴州党委组织部是自治州党委主管组织工作和干部工作的职能部门，承担着党的建设、干部队伍建设、基层组织建设、干部教育培训工作、人才及援疆工作、内地务工经商工作组、自身工作及其他专项工作、负责自治州“访惠聚”等工作。</w:t>
      </w:r>
    </w:p>
    <w:p>
      <w:pPr>
        <w:pStyle w:val="11"/>
        <w:ind w:firstLine="600"/>
        <w:rPr>
          <w:sz w:val="30"/>
          <w:szCs w:val="30"/>
          <w:lang w:eastAsia="zh-CN"/>
        </w:rPr>
      </w:pPr>
      <w:r>
        <w:rPr>
          <w:rFonts w:hint="eastAsia"/>
          <w:sz w:val="30"/>
          <w:szCs w:val="30"/>
          <w:lang w:eastAsia="zh-CN"/>
        </w:rPr>
        <w:t>2.主要内容及实施情况：</w:t>
      </w:r>
      <w:r>
        <w:rPr>
          <w:rFonts w:hint="eastAsia"/>
          <w:sz w:val="30"/>
          <w:szCs w:val="30"/>
        </w:rPr>
        <w:t>该项目经费主要用于州委组织部2019年全年日常工作的开展，主要包括组织部日常办公用品和办公设施采购、优秀干部的提拔考核、全州县级干部的年终考核以及相关工作会议的召开和领导干部的思想能力建设。</w:t>
      </w:r>
    </w:p>
    <w:p>
      <w:pPr>
        <w:pStyle w:val="11"/>
        <w:ind w:firstLine="560"/>
        <w:rPr>
          <w:color w:val="FF0000"/>
          <w:lang w:eastAsia="zh-CN"/>
        </w:rPr>
      </w:pPr>
      <w:r>
        <w:rPr>
          <w:rFonts w:hint="eastAsia"/>
          <w:lang w:val="en-US" w:eastAsia="zh-CN"/>
        </w:rPr>
        <w:t>3、资金投入和使用情况：</w:t>
      </w:r>
      <w:r>
        <w:rPr>
          <w:rFonts w:hint="eastAsia"/>
          <w:lang w:eastAsia="zh-CN"/>
        </w:rPr>
        <w:t>2019年巴州党委组织部组织事务管理财政拨款收入项目资金145.35万元，用于基层干部队伍建设、各项培训工作的正常开展、机关自身建设、办公用品采购、全州优秀干部考核、年终考核等工作。</w:t>
      </w:r>
    </w:p>
    <w:p>
      <w:pPr>
        <w:pStyle w:val="13"/>
        <w:ind w:left="600"/>
        <w:rPr>
          <w:sz w:val="30"/>
          <w:szCs w:val="30"/>
        </w:rPr>
      </w:pPr>
      <w:r>
        <w:rPr>
          <w:rFonts w:hint="eastAsia"/>
          <w:sz w:val="30"/>
          <w:szCs w:val="30"/>
        </w:rPr>
        <w:t>（二）项目绩效目标:</w:t>
      </w:r>
      <w:bookmarkEnd w:id="2"/>
    </w:p>
    <w:p>
      <w:pPr>
        <w:pStyle w:val="11"/>
        <w:ind w:firstLine="600"/>
        <w:rPr>
          <w:sz w:val="30"/>
          <w:szCs w:val="30"/>
          <w:lang w:eastAsia="zh-CN"/>
        </w:rPr>
      </w:pPr>
      <w:r>
        <w:rPr>
          <w:rFonts w:hint="eastAsia"/>
          <w:sz w:val="30"/>
          <w:szCs w:val="30"/>
        </w:rPr>
        <w:tab/>
      </w:r>
      <w:r>
        <w:rPr>
          <w:rFonts w:hint="eastAsia"/>
          <w:sz w:val="30"/>
          <w:szCs w:val="30"/>
        </w:rPr>
        <w:t>总体目标：按照上级部门有关规定和自治州组织工作会议精神，加强基层干部队伍建设，为各级党政机关培养和输送有基层工作经历的高素质工作人员;为保证基层干部异地挂职培训工作正常开展，保证各项培训工作的正常开展。同时负责做好部机关机要、文秘、信访、会议、固定资产等工作的计划安排和管理；负责机关自身建设；负责老干部综合服务和保障工作；负责新闻工作网宣与舆情监控、处置；负责组织史征编工作；组织系统信息化建设。以及其他经费支出。</w:t>
      </w:r>
    </w:p>
    <w:p>
      <w:pPr>
        <w:pStyle w:val="11"/>
        <w:ind w:firstLine="600"/>
        <w:rPr>
          <w:sz w:val="30"/>
          <w:szCs w:val="30"/>
        </w:rPr>
      </w:pPr>
      <w:r>
        <w:rPr>
          <w:rFonts w:hint="eastAsia"/>
          <w:sz w:val="30"/>
          <w:szCs w:val="30"/>
        </w:rPr>
        <w:t>阶段性目标：　</w:t>
      </w:r>
    </w:p>
    <w:p>
      <w:pPr>
        <w:pStyle w:val="11"/>
        <w:ind w:firstLine="600"/>
        <w:rPr>
          <w:sz w:val="30"/>
          <w:szCs w:val="30"/>
        </w:rPr>
      </w:pPr>
      <w:r>
        <w:rPr>
          <w:rFonts w:hint="eastAsia"/>
          <w:sz w:val="30"/>
          <w:szCs w:val="30"/>
        </w:rPr>
        <w:t>1、召开年初工作部署会议，制定组织部半年工作计划，确定各科室年初工作任务细化、办公用品采购计划等。</w:t>
      </w:r>
    </w:p>
    <w:p>
      <w:pPr>
        <w:pStyle w:val="11"/>
        <w:ind w:firstLine="600"/>
        <w:rPr>
          <w:sz w:val="30"/>
          <w:szCs w:val="30"/>
        </w:rPr>
      </w:pPr>
      <w:r>
        <w:rPr>
          <w:rFonts w:hint="eastAsia"/>
          <w:sz w:val="30"/>
          <w:szCs w:val="30"/>
        </w:rPr>
        <w:t>2、选派干部参加各县市、单位优秀干部考察工作。</w:t>
      </w:r>
    </w:p>
    <w:p>
      <w:pPr>
        <w:pStyle w:val="11"/>
        <w:ind w:firstLine="600"/>
        <w:rPr>
          <w:sz w:val="30"/>
          <w:szCs w:val="30"/>
        </w:rPr>
      </w:pPr>
      <w:r>
        <w:rPr>
          <w:rFonts w:hint="eastAsia"/>
          <w:sz w:val="30"/>
          <w:szCs w:val="30"/>
        </w:rPr>
        <w:t>3、根据自治区、自治州党委安排，及时召开相关会议，传达相关会议精神和部署相关工作安排。</w:t>
      </w:r>
    </w:p>
    <w:p>
      <w:pPr>
        <w:pStyle w:val="11"/>
        <w:ind w:firstLine="600"/>
        <w:rPr>
          <w:sz w:val="30"/>
          <w:szCs w:val="30"/>
          <w:lang w:eastAsia="zh-CN"/>
        </w:rPr>
      </w:pPr>
      <w:r>
        <w:rPr>
          <w:rFonts w:hint="eastAsia"/>
          <w:sz w:val="30"/>
          <w:szCs w:val="30"/>
        </w:rPr>
        <w:t>4、做好</w:t>
      </w:r>
      <w:r>
        <w:rPr>
          <w:rFonts w:hint="eastAsia"/>
          <w:sz w:val="30"/>
          <w:szCs w:val="30"/>
          <w:lang w:eastAsia="zh-CN"/>
        </w:rPr>
        <w:t>2019年年底各县市年终考核工作。</w:t>
      </w:r>
    </w:p>
    <w:p>
      <w:pPr>
        <w:pStyle w:val="11"/>
        <w:ind w:firstLine="600"/>
        <w:rPr>
          <w:sz w:val="30"/>
          <w:szCs w:val="30"/>
          <w:lang w:eastAsia="zh-CN"/>
        </w:rPr>
      </w:pPr>
      <w:r>
        <w:rPr>
          <w:rFonts w:hint="eastAsia"/>
          <w:sz w:val="30"/>
          <w:szCs w:val="30"/>
          <w:lang w:eastAsia="zh-CN"/>
        </w:rPr>
        <w:t>5</w:t>
      </w:r>
      <w:r>
        <w:rPr>
          <w:rFonts w:hint="eastAsia"/>
          <w:sz w:val="30"/>
          <w:szCs w:val="30"/>
        </w:rPr>
        <w:t>、按照州党委保密和档案工作的要求，配备专用保密工作设施；购置办公用品及耗材，保障单位工作正常运转。</w:t>
      </w:r>
    </w:p>
    <w:p>
      <w:pPr>
        <w:spacing w:before="408" w:beforeLines="100" w:after="408" w:afterLines="100" w:line="600" w:lineRule="exact"/>
        <w:ind w:firstLine="600" w:firstLineChars="200"/>
        <w:rPr>
          <w:rFonts w:ascii="黑体" w:hAnsi="黑体" w:eastAsia="黑体"/>
          <w:szCs w:val="30"/>
        </w:rPr>
      </w:pPr>
      <w:r>
        <w:rPr>
          <w:rFonts w:hint="eastAsia" w:ascii="黑体" w:hAnsi="黑体" w:eastAsia="黑体"/>
          <w:szCs w:val="30"/>
        </w:rPr>
        <w:t>二、绩效评价工作开展情况</w:t>
      </w:r>
    </w:p>
    <w:p>
      <w:pPr>
        <w:pStyle w:val="11"/>
        <w:ind w:firstLine="602"/>
        <w:rPr>
          <w:b/>
          <w:sz w:val="30"/>
          <w:szCs w:val="30"/>
        </w:rPr>
      </w:pPr>
      <w:r>
        <w:rPr>
          <w:rFonts w:hint="eastAsia"/>
          <w:b/>
          <w:sz w:val="30"/>
          <w:szCs w:val="30"/>
        </w:rPr>
        <w:t>（一）绩效评价目的、对象和范围:</w:t>
      </w:r>
    </w:p>
    <w:p>
      <w:pPr>
        <w:pStyle w:val="11"/>
        <w:ind w:firstLine="600"/>
        <w:rPr>
          <w:sz w:val="30"/>
          <w:szCs w:val="30"/>
        </w:rPr>
      </w:pPr>
      <w:r>
        <w:rPr>
          <w:rFonts w:hint="eastAsia"/>
          <w:sz w:val="30"/>
          <w:szCs w:val="30"/>
        </w:rPr>
        <w:t>目的：为加强部门整体支出管理，提高资金和资产的使用效益，提高财务工作的精细化管理水平。</w:t>
      </w:r>
    </w:p>
    <w:p>
      <w:pPr>
        <w:pStyle w:val="11"/>
        <w:ind w:firstLine="600"/>
        <w:rPr>
          <w:sz w:val="30"/>
          <w:szCs w:val="30"/>
        </w:rPr>
      </w:pPr>
      <w:r>
        <w:rPr>
          <w:rFonts w:hint="eastAsia"/>
          <w:sz w:val="30"/>
          <w:szCs w:val="30"/>
        </w:rPr>
        <w:t>对象：巴州党委组织事务管理</w:t>
      </w:r>
    </w:p>
    <w:p>
      <w:pPr>
        <w:pStyle w:val="11"/>
        <w:ind w:firstLine="600"/>
        <w:rPr>
          <w:sz w:val="30"/>
          <w:szCs w:val="30"/>
        </w:rPr>
      </w:pPr>
      <w:r>
        <w:rPr>
          <w:rFonts w:hint="eastAsia"/>
          <w:sz w:val="30"/>
          <w:szCs w:val="30"/>
        </w:rPr>
        <w:t>范围：涉及范围包括州委组织部各科室及相关业务各县市。</w:t>
      </w:r>
    </w:p>
    <w:p>
      <w:pPr>
        <w:pStyle w:val="11"/>
        <w:ind w:firstLine="602"/>
        <w:rPr>
          <w:b/>
          <w:sz w:val="30"/>
          <w:szCs w:val="30"/>
        </w:rPr>
      </w:pPr>
      <w:r>
        <w:rPr>
          <w:rFonts w:hint="eastAsia"/>
          <w:b/>
          <w:sz w:val="30"/>
          <w:szCs w:val="30"/>
        </w:rPr>
        <w:t>（二）绩效评价原则、评价指标体系（附表说明）、评价方法、评价标准等:</w:t>
      </w:r>
    </w:p>
    <w:p>
      <w:pPr>
        <w:pStyle w:val="11"/>
        <w:ind w:firstLine="600"/>
        <w:rPr>
          <w:sz w:val="30"/>
          <w:szCs w:val="30"/>
        </w:rPr>
      </w:pPr>
      <w:r>
        <w:rPr>
          <w:rFonts w:hint="eastAsia"/>
          <w:sz w:val="30"/>
          <w:szCs w:val="30"/>
        </w:rPr>
        <w:t>1、绩效评价原则：</w:t>
      </w:r>
    </w:p>
    <w:p>
      <w:pPr>
        <w:pStyle w:val="11"/>
        <w:ind w:firstLine="600"/>
        <w:rPr>
          <w:sz w:val="30"/>
          <w:szCs w:val="30"/>
        </w:rPr>
      </w:pPr>
      <w:r>
        <w:rPr>
          <w:rFonts w:hint="eastAsia"/>
          <w:sz w:val="30"/>
          <w:szCs w:val="30"/>
        </w:rPr>
        <w:t>项目绩效评价坚持科学规范、干部年度考核结果公正公开、干部服务管理整体能力分级分类和绩效相关的原则,坚持经济效益、社会效益和生态效益相结合的原则。</w:t>
      </w:r>
    </w:p>
    <w:p>
      <w:pPr>
        <w:pStyle w:val="11"/>
        <w:ind w:firstLine="600"/>
        <w:rPr>
          <w:sz w:val="30"/>
          <w:szCs w:val="30"/>
        </w:rPr>
      </w:pPr>
      <w:r>
        <w:rPr>
          <w:rFonts w:hint="eastAsia"/>
          <w:sz w:val="30"/>
          <w:szCs w:val="30"/>
        </w:rPr>
        <w:t>2、评价指标体系：评价标准从数量指标、质量指标、时效指标和群众满意度等方面分别计分。（详见附表）</w:t>
      </w:r>
    </w:p>
    <w:p>
      <w:pPr>
        <w:pStyle w:val="11"/>
        <w:ind w:firstLine="600"/>
        <w:rPr>
          <w:sz w:val="30"/>
          <w:szCs w:val="30"/>
        </w:rPr>
      </w:pPr>
      <w:r>
        <w:rPr>
          <w:rFonts w:hint="eastAsia"/>
          <w:sz w:val="30"/>
          <w:szCs w:val="30"/>
        </w:rPr>
        <w:t>3、评价方法：为加强部门整体支出管理，提高资金和资产的使用效益，提高财务工作的精细化管理水平，结合我单位实际情况，本次绩效采用比较法、因素分析法。</w:t>
      </w:r>
    </w:p>
    <w:p>
      <w:pPr>
        <w:pStyle w:val="11"/>
        <w:ind w:firstLine="600"/>
        <w:rPr>
          <w:sz w:val="30"/>
          <w:szCs w:val="30"/>
        </w:rPr>
      </w:pPr>
      <w:r>
        <w:rPr>
          <w:rFonts w:hint="eastAsia"/>
          <w:sz w:val="30"/>
          <w:szCs w:val="30"/>
        </w:rPr>
        <w:t>4、评价标准：以计划标准为评价标准，主要对项目产出指标、效益指标和满意度指标进行综合分析评定，主要包括考察人数、考察组数、干部年度考核率、干部服务管理整体能力和服务对象满意度等综合评定，综合得分</w:t>
      </w:r>
      <w:r>
        <w:rPr>
          <w:rFonts w:hint="eastAsia"/>
          <w:sz w:val="30"/>
          <w:szCs w:val="30"/>
          <w:lang w:eastAsia="zh-CN"/>
        </w:rPr>
        <w:t>80分（含）以上为优秀，60-80分为及格，60分（不含）以下为不及格。</w:t>
      </w:r>
      <w:r>
        <w:rPr>
          <w:rFonts w:hint="eastAsia"/>
          <w:sz w:val="30"/>
          <w:szCs w:val="30"/>
        </w:rPr>
        <w:tab/>
      </w:r>
      <w:r>
        <w:rPr>
          <w:rFonts w:hint="eastAsia"/>
          <w:sz w:val="30"/>
          <w:szCs w:val="30"/>
        </w:rPr>
        <w:tab/>
      </w:r>
      <w:r>
        <w:rPr>
          <w:rFonts w:hint="eastAsia"/>
          <w:sz w:val="30"/>
          <w:szCs w:val="30"/>
        </w:rPr>
        <w:tab/>
      </w:r>
      <w:r>
        <w:rPr>
          <w:rFonts w:hint="eastAsia"/>
          <w:sz w:val="30"/>
          <w:szCs w:val="30"/>
        </w:rPr>
        <w:tab/>
      </w:r>
      <w:r>
        <w:rPr>
          <w:rFonts w:hint="eastAsia"/>
          <w:sz w:val="30"/>
          <w:szCs w:val="30"/>
        </w:rPr>
        <w:tab/>
      </w:r>
      <w:r>
        <w:rPr>
          <w:rFonts w:hint="eastAsia"/>
          <w:sz w:val="30"/>
          <w:szCs w:val="30"/>
        </w:rPr>
        <w:tab/>
      </w:r>
    </w:p>
    <w:p>
      <w:pPr>
        <w:pStyle w:val="11"/>
        <w:ind w:firstLine="600"/>
        <w:rPr>
          <w:sz w:val="30"/>
          <w:szCs w:val="30"/>
        </w:rPr>
      </w:pPr>
      <w:r>
        <w:rPr>
          <w:rFonts w:hint="eastAsia"/>
          <w:sz w:val="30"/>
          <w:szCs w:val="30"/>
        </w:rPr>
        <w:t>（三）绩效评价工作过程:</w:t>
      </w:r>
    </w:p>
    <w:p>
      <w:pPr>
        <w:pStyle w:val="11"/>
        <w:ind w:firstLine="600"/>
        <w:rPr>
          <w:sz w:val="30"/>
          <w:szCs w:val="30"/>
        </w:rPr>
      </w:pPr>
      <w:r>
        <w:rPr>
          <w:rFonts w:hint="eastAsia"/>
          <w:sz w:val="30"/>
          <w:szCs w:val="30"/>
        </w:rPr>
        <w:tab/>
      </w:r>
      <w:r>
        <w:rPr>
          <w:rFonts w:hint="eastAsia"/>
          <w:sz w:val="30"/>
          <w:szCs w:val="30"/>
        </w:rPr>
        <w:t>1.前期准备：一是成立预算绩效管理评价工作领导小组，负责预算绩效评价工作的领导管理工作，领导小组下设办公室，由部办公室负责财政支出绩效自评工作的具体组织、协调工作。二是开展预算绩效管理业务培训，宣传预算绩效管理工作的重要性。三是建立事前绩效目标编制工作，构建事中绩效跟踪和绩效评价机制。为确保绩效目标如期实现，根据确定的部门整体支出绩效目标和项目支出绩效目标，对绩效目标的完成进行跟踪和绩效自评。</w:t>
      </w:r>
    </w:p>
    <w:p>
      <w:pPr>
        <w:pStyle w:val="11"/>
        <w:ind w:firstLine="600"/>
        <w:rPr>
          <w:sz w:val="30"/>
          <w:szCs w:val="30"/>
        </w:rPr>
      </w:pPr>
      <w:r>
        <w:rPr>
          <w:rFonts w:hint="eastAsia"/>
          <w:sz w:val="30"/>
          <w:szCs w:val="30"/>
        </w:rPr>
        <w:t>2.组织实施：在部门整体支出绩效评价指标体系框架的基础上，结合年初预算批复的部门整体支出绩效指标，部门职责以及项目特点，补充设计个性指标，确定部门整体支出和项目的绩效自评指标体系、绩效考评实施方案，并开展相关绩效自评工作，得出绩效自评结论，形成部门整体支出绩效自评报告。</w:t>
      </w:r>
    </w:p>
    <w:p>
      <w:pPr>
        <w:pStyle w:val="11"/>
        <w:ind w:firstLine="600"/>
        <w:rPr>
          <w:sz w:val="30"/>
          <w:szCs w:val="30"/>
          <w:lang w:eastAsia="zh-CN"/>
        </w:rPr>
      </w:pPr>
      <w:r>
        <w:rPr>
          <w:rFonts w:hint="eastAsia"/>
          <w:sz w:val="30"/>
          <w:szCs w:val="30"/>
        </w:rPr>
        <w:t>3.2019年各项预算收入的各项绩效工作全部纳入巴州党委组织部年度单位绩效考评工作，相关工作所涉及的基础数据和资料来及佐证材料已通过检查和考核。</w:t>
      </w:r>
    </w:p>
    <w:p>
      <w:pPr>
        <w:spacing w:before="408" w:beforeLines="100" w:after="408" w:afterLines="100" w:line="600" w:lineRule="exact"/>
        <w:ind w:firstLine="600" w:firstLineChars="200"/>
        <w:rPr>
          <w:rFonts w:ascii="黑体" w:hAnsi="黑体" w:eastAsia="黑体"/>
          <w:szCs w:val="30"/>
        </w:rPr>
      </w:pPr>
      <w:r>
        <w:rPr>
          <w:rFonts w:hint="eastAsia" w:ascii="黑体" w:hAnsi="黑体" w:eastAsia="黑体"/>
          <w:szCs w:val="30"/>
        </w:rPr>
        <w:t>三、综合评价情况及评价结论</w:t>
      </w:r>
    </w:p>
    <w:p>
      <w:pPr>
        <w:pStyle w:val="11"/>
        <w:ind w:firstLine="600"/>
        <w:rPr>
          <w:sz w:val="30"/>
          <w:szCs w:val="30"/>
          <w:lang w:eastAsia="zh-CN"/>
        </w:rPr>
      </w:pPr>
      <w:r>
        <w:rPr>
          <w:rFonts w:hint="eastAsia"/>
          <w:sz w:val="30"/>
          <w:szCs w:val="30"/>
        </w:rPr>
        <w:tab/>
      </w:r>
      <w:r>
        <w:rPr>
          <w:rFonts w:hint="eastAsia"/>
          <w:sz w:val="30"/>
          <w:szCs w:val="30"/>
        </w:rPr>
        <w:t>2019年巴州党委组织部组织事务管理财政拨款收入项目资金145.35万元，用于基层干部队伍建设、各项培训工作的正常开展、机关自身建设、办公用品采购、全州优秀干部考核、年终考核等工作。自评得分</w:t>
      </w:r>
      <w:r>
        <w:rPr>
          <w:rFonts w:hint="eastAsia"/>
          <w:sz w:val="30"/>
          <w:szCs w:val="30"/>
          <w:lang w:val="en-US" w:eastAsia="zh-CN"/>
        </w:rPr>
        <w:t>95</w:t>
      </w:r>
      <w:r>
        <w:rPr>
          <w:rFonts w:hint="eastAsia"/>
          <w:sz w:val="30"/>
          <w:szCs w:val="30"/>
        </w:rPr>
        <w:t>分。</w:t>
      </w:r>
    </w:p>
    <w:p>
      <w:pPr>
        <w:spacing w:before="408" w:beforeLines="100" w:after="408" w:afterLines="100" w:line="600" w:lineRule="exact"/>
        <w:ind w:firstLine="600" w:firstLineChars="200"/>
        <w:rPr>
          <w:rFonts w:ascii="黑体" w:hAnsi="黑体" w:eastAsia="黑体"/>
          <w:szCs w:val="30"/>
        </w:rPr>
      </w:pPr>
      <w:r>
        <w:rPr>
          <w:rFonts w:hint="eastAsia" w:ascii="黑体" w:hAnsi="黑体" w:eastAsia="黑体"/>
          <w:szCs w:val="30"/>
        </w:rPr>
        <w:t>四、绩效评价指标分析</w:t>
      </w:r>
    </w:p>
    <w:p>
      <w:pPr>
        <w:pStyle w:val="11"/>
        <w:ind w:firstLine="600"/>
        <w:rPr>
          <w:sz w:val="30"/>
          <w:szCs w:val="30"/>
        </w:rPr>
      </w:pPr>
      <w:r>
        <w:rPr>
          <w:rFonts w:hint="eastAsia"/>
          <w:sz w:val="30"/>
          <w:szCs w:val="30"/>
        </w:rPr>
        <w:t>（一）项目决策情况。</w:t>
      </w:r>
    </w:p>
    <w:p>
      <w:pPr>
        <w:pStyle w:val="11"/>
        <w:ind w:firstLine="600"/>
        <w:rPr>
          <w:sz w:val="30"/>
          <w:szCs w:val="30"/>
        </w:rPr>
      </w:pPr>
      <w:r>
        <w:rPr>
          <w:rFonts w:hint="eastAsia"/>
          <w:sz w:val="30"/>
          <w:szCs w:val="30"/>
        </w:rPr>
        <w:t>项目决策指标主要从项目立项、绩效目标和资金投入三个方面来体现，三级指标有：立项依据充分性、立项程序规范性、绩效目标合理性、绩效指标明确性、预算编制科学性、资金分配合理性，共计6个具体评分点，详细得分见下表：</w:t>
      </w:r>
    </w:p>
    <w:p>
      <w:pPr>
        <w:pStyle w:val="11"/>
        <w:spacing w:before="408" w:beforeLines="100" w:after="408" w:afterLines="100"/>
        <w:ind w:firstLine="600"/>
        <w:jc w:val="center"/>
        <w:rPr>
          <w:sz w:val="30"/>
          <w:szCs w:val="30"/>
        </w:rPr>
      </w:pPr>
      <w:r>
        <w:rPr>
          <w:rFonts w:hint="eastAsia"/>
          <w:sz w:val="30"/>
          <w:szCs w:val="30"/>
        </w:rPr>
        <w:t>项目决策指标评分表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1812"/>
        <w:gridCol w:w="1812"/>
        <w:gridCol w:w="1812"/>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二级指标</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三级指标</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标准分值</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实际得分</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项目立项（5分）</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立项依据充分性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pPr>
              <w:spacing w:line="560" w:lineRule="exact"/>
              <w:ind w:firstLine="420"/>
              <w:jc w:val="center"/>
              <w:outlineLvl w:val="0"/>
              <w:rPr>
                <w:rFonts w:ascii="方正仿宋_GBK" w:hAnsi="方正仿宋_GBK" w:eastAsia="方正仿宋_GBK" w:cs="方正仿宋_GBK"/>
                <w:kern w:val="0"/>
                <w:sz w:val="21"/>
                <w:szCs w:val="21"/>
              </w:rPr>
            </w:pP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立项程序规范性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绩效目标（10分）</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绩效目标合理性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pPr>
              <w:spacing w:line="560" w:lineRule="exact"/>
              <w:ind w:firstLine="420"/>
              <w:jc w:val="center"/>
              <w:outlineLvl w:val="0"/>
              <w:rPr>
                <w:rFonts w:ascii="方正仿宋_GBK" w:hAnsi="方正仿宋_GBK" w:eastAsia="方正仿宋_GBK" w:cs="方正仿宋_GBK"/>
                <w:kern w:val="0"/>
                <w:sz w:val="21"/>
                <w:szCs w:val="21"/>
              </w:rPr>
            </w:pP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绩效指标明确性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pPr>
              <w:spacing w:line="560" w:lineRule="exact"/>
              <w:ind w:firstLine="420"/>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资金投入（5分）</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预算编制科学性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pPr>
              <w:spacing w:line="560" w:lineRule="exact"/>
              <w:ind w:firstLine="420"/>
              <w:jc w:val="center"/>
              <w:outlineLvl w:val="0"/>
              <w:rPr>
                <w:rFonts w:ascii="方正仿宋_GBK" w:hAnsi="方正仿宋_GBK" w:eastAsia="方正仿宋_GBK" w:cs="方正仿宋_GBK"/>
                <w:kern w:val="0"/>
                <w:sz w:val="21"/>
                <w:szCs w:val="21"/>
              </w:rPr>
            </w:pP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资金分配合理性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24" w:type="dxa"/>
            <w:gridSpan w:val="2"/>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决策得分合计</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20</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20</w:t>
            </w:r>
          </w:p>
        </w:tc>
        <w:tc>
          <w:tcPr>
            <w:tcW w:w="1812" w:type="dxa"/>
            <w:vAlign w:val="center"/>
          </w:tcPr>
          <w:p>
            <w:pPr>
              <w:spacing w:line="560" w:lineRule="exact"/>
              <w:ind w:firstLine="420"/>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kern w:val="0"/>
                <w:sz w:val="21"/>
                <w:szCs w:val="21"/>
              </w:rPr>
              <w:t>100%</w:t>
            </w:r>
          </w:p>
        </w:tc>
      </w:tr>
    </w:tbl>
    <w:p>
      <w:pPr>
        <w:pStyle w:val="11"/>
        <w:ind w:firstLine="600"/>
        <w:rPr>
          <w:sz w:val="30"/>
          <w:szCs w:val="30"/>
        </w:rPr>
      </w:pPr>
      <w:r>
        <w:rPr>
          <w:rFonts w:hint="eastAsia"/>
          <w:sz w:val="30"/>
          <w:szCs w:val="30"/>
        </w:rPr>
        <w:t>根据本次绩效评价体系及评分标准值，2019年巴州党委组织事务管理项目，决策指标权重20分，得分总值20分，得分率100%。</w:t>
      </w:r>
    </w:p>
    <w:p>
      <w:pPr>
        <w:pStyle w:val="11"/>
        <w:ind w:firstLine="600"/>
        <w:rPr>
          <w:sz w:val="30"/>
          <w:szCs w:val="30"/>
        </w:rPr>
      </w:pPr>
      <w:r>
        <w:rPr>
          <w:rFonts w:hint="eastAsia"/>
          <w:sz w:val="30"/>
          <w:szCs w:val="30"/>
        </w:rPr>
        <w:t>1.立项依据充分性2.5分。该项目符合自治区组织工作要点和自治州党委对组织工作各项要求。因此，项目立项依据充分性指标得分2.5分，得分率100%。</w:t>
      </w:r>
    </w:p>
    <w:p>
      <w:pPr>
        <w:pStyle w:val="11"/>
        <w:ind w:firstLine="600"/>
        <w:rPr>
          <w:sz w:val="30"/>
          <w:szCs w:val="30"/>
        </w:rPr>
      </w:pPr>
      <w:r>
        <w:rPr>
          <w:rFonts w:hint="eastAsia"/>
          <w:sz w:val="30"/>
          <w:szCs w:val="30"/>
        </w:rPr>
        <w:t>2.项目立项规范性2.5分。该项目根据自治区组织工作要点和自治州党委对组织工作各项工作部署，项目申报程序规范，符合相关要求。因此，项目立项规范性指标得分2.5分，得分率100%。</w:t>
      </w:r>
    </w:p>
    <w:p>
      <w:pPr>
        <w:pStyle w:val="11"/>
        <w:ind w:firstLine="600"/>
        <w:rPr>
          <w:sz w:val="30"/>
          <w:szCs w:val="30"/>
        </w:rPr>
      </w:pPr>
      <w:r>
        <w:rPr>
          <w:rFonts w:hint="eastAsia"/>
          <w:sz w:val="30"/>
          <w:szCs w:val="30"/>
        </w:rPr>
        <w:t>3.绩效目标合理性5分。该项目设立了长期目标、年度目标、绩效目标，项目实施产生积极影响，根据绩效目标与项目完成情况的对比分析，项目预期产出效益和效果基本符合正常业务水平，项目资金预算与绩效目标相匹配。因此，绩效目标合理性指标得分5分，得分率100%。</w:t>
      </w:r>
    </w:p>
    <w:p>
      <w:pPr>
        <w:pStyle w:val="11"/>
        <w:ind w:firstLine="600"/>
        <w:rPr>
          <w:sz w:val="30"/>
          <w:szCs w:val="30"/>
        </w:rPr>
      </w:pPr>
      <w:r>
        <w:rPr>
          <w:rFonts w:hint="eastAsia"/>
          <w:sz w:val="30"/>
          <w:szCs w:val="30"/>
        </w:rPr>
        <w:t>4.绩效目标明确性5分。该项目设立的绩效目标清晰、可量化、可衡量、目标任务数、计划数等相对应。因此，绩效目标明确性指标得分5分，得分率100%。</w:t>
      </w:r>
    </w:p>
    <w:p>
      <w:pPr>
        <w:pStyle w:val="11"/>
        <w:ind w:firstLine="600"/>
        <w:rPr>
          <w:sz w:val="30"/>
          <w:szCs w:val="30"/>
        </w:rPr>
      </w:pPr>
      <w:r>
        <w:rPr>
          <w:rFonts w:hint="eastAsia"/>
          <w:sz w:val="30"/>
          <w:szCs w:val="30"/>
        </w:rPr>
        <w:t>5.预算编制科学性2.5分。该项目预算编制经过充分论证、预算内容与项目内容匹配，预算额度测算合力、符合行业标准，预算投资金额与计划工作量相匹配。因此，预算编制科学性指标得分2.5分，得分率100%。</w:t>
      </w:r>
    </w:p>
    <w:p>
      <w:pPr>
        <w:pStyle w:val="11"/>
        <w:ind w:firstLine="600"/>
        <w:rPr>
          <w:sz w:val="30"/>
          <w:szCs w:val="30"/>
        </w:rPr>
      </w:pPr>
      <w:r>
        <w:rPr>
          <w:rFonts w:hint="eastAsia"/>
          <w:sz w:val="30"/>
          <w:szCs w:val="30"/>
        </w:rPr>
        <w:t>6.资金分配合理性2.5分。根据财政预算下达指标，该项目总投入</w:t>
      </w:r>
      <w:r>
        <w:rPr>
          <w:rFonts w:hint="eastAsia"/>
          <w:lang w:eastAsia="zh-CN"/>
        </w:rPr>
        <w:t>145.35万元</w:t>
      </w:r>
      <w:r>
        <w:rPr>
          <w:rFonts w:hint="eastAsia"/>
          <w:sz w:val="30"/>
          <w:szCs w:val="30"/>
        </w:rPr>
        <w:t>，实行国库集中支付制度。截止2019年12月31日，该项目实际支出</w:t>
      </w:r>
      <w:r>
        <w:rPr>
          <w:sz w:val="30"/>
          <w:szCs w:val="30"/>
        </w:rPr>
        <w:t>106.79</w:t>
      </w:r>
      <w:r>
        <w:rPr>
          <w:rFonts w:hint="eastAsia"/>
          <w:sz w:val="30"/>
          <w:szCs w:val="30"/>
        </w:rPr>
        <w:t>万元，未支付</w:t>
      </w:r>
      <w:r>
        <w:rPr>
          <w:rFonts w:hint="eastAsia"/>
          <w:sz w:val="30"/>
          <w:szCs w:val="30"/>
          <w:lang w:eastAsia="zh-CN"/>
        </w:rPr>
        <w:t>38.56</w:t>
      </w:r>
      <w:r>
        <w:rPr>
          <w:rFonts w:hint="eastAsia"/>
          <w:sz w:val="30"/>
          <w:szCs w:val="30"/>
        </w:rPr>
        <w:t>万元，资金执行率</w:t>
      </w:r>
      <w:r>
        <w:rPr>
          <w:rFonts w:hint="eastAsia"/>
          <w:sz w:val="30"/>
          <w:szCs w:val="30"/>
          <w:lang w:eastAsia="zh-CN"/>
        </w:rPr>
        <w:t>73.47</w:t>
      </w:r>
      <w:r>
        <w:rPr>
          <w:rFonts w:hint="eastAsia"/>
          <w:sz w:val="30"/>
          <w:szCs w:val="30"/>
        </w:rPr>
        <w:t>%。因此，资金投入合理性指标得分2.5分，得分率100%。</w:t>
      </w:r>
    </w:p>
    <w:p>
      <w:pPr>
        <w:pStyle w:val="11"/>
        <w:ind w:firstLine="600"/>
        <w:rPr>
          <w:sz w:val="30"/>
          <w:szCs w:val="30"/>
        </w:rPr>
      </w:pPr>
      <w:r>
        <w:rPr>
          <w:rFonts w:hint="eastAsia"/>
          <w:sz w:val="30"/>
          <w:szCs w:val="30"/>
        </w:rPr>
        <w:t>（二）项目过程情况:</w:t>
      </w:r>
    </w:p>
    <w:p>
      <w:pPr>
        <w:pStyle w:val="11"/>
        <w:ind w:firstLine="600"/>
        <w:rPr>
          <w:sz w:val="30"/>
          <w:szCs w:val="30"/>
        </w:rPr>
      </w:pPr>
      <w:r>
        <w:rPr>
          <w:rFonts w:hint="eastAsia"/>
          <w:sz w:val="30"/>
          <w:szCs w:val="30"/>
        </w:rPr>
        <w:tab/>
      </w:r>
      <w:r>
        <w:rPr>
          <w:rFonts w:hint="eastAsia"/>
          <w:sz w:val="30"/>
          <w:szCs w:val="30"/>
        </w:rPr>
        <w:t>巴州党委组织部组织事务管理2019年度工作计划分阶段组织实施。资金使用过程中，能规范项目资金管理，提高项目资金、财务管理水平和资金使用效益，统一申报、建设、考评和验收程序，严格按照《会计核算制度》《政府采购制度》、资金审查审批程序和财务制度进行管理，坚决贯彻执行各级财政预算资金管理规定，全面提高财务人员的业务工作能力，制定项目实施的各项保障制度，主要包括项目管理制度建设、日常检查监督管理等。</w:t>
      </w:r>
    </w:p>
    <w:p>
      <w:pPr>
        <w:pStyle w:val="11"/>
        <w:ind w:firstLine="600"/>
        <w:rPr>
          <w:sz w:val="30"/>
          <w:szCs w:val="30"/>
        </w:rPr>
      </w:pPr>
    </w:p>
    <w:p>
      <w:pPr>
        <w:pStyle w:val="11"/>
        <w:ind w:firstLine="600"/>
        <w:rPr>
          <w:sz w:val="30"/>
          <w:szCs w:val="30"/>
        </w:rPr>
      </w:pPr>
      <w:r>
        <w:rPr>
          <w:rFonts w:hint="eastAsia"/>
          <w:sz w:val="30"/>
          <w:szCs w:val="30"/>
        </w:rPr>
        <w:t>（三）项目产出情况:</w:t>
      </w:r>
    </w:p>
    <w:p>
      <w:pPr>
        <w:pStyle w:val="11"/>
        <w:ind w:firstLine="600"/>
        <w:rPr>
          <w:sz w:val="30"/>
          <w:szCs w:val="30"/>
          <w:lang w:eastAsia="zh-CN"/>
        </w:rPr>
      </w:pPr>
      <w:r>
        <w:rPr>
          <w:rFonts w:hint="eastAsia"/>
          <w:sz w:val="30"/>
          <w:szCs w:val="30"/>
        </w:rPr>
        <w:t>截至2019年12月31日，州委组织部全年累计考察干部51人，派出考察组20组，完成全州1127名左右县级干部年度考核工作，召开相关工作会议5次，干部服务管理整体能力不断提升。</w:t>
      </w:r>
    </w:p>
    <w:p>
      <w:pPr>
        <w:pStyle w:val="11"/>
        <w:ind w:firstLine="600"/>
        <w:rPr>
          <w:sz w:val="30"/>
          <w:szCs w:val="30"/>
        </w:rPr>
      </w:pPr>
      <w:r>
        <w:rPr>
          <w:rFonts w:hint="eastAsia"/>
          <w:sz w:val="30"/>
          <w:szCs w:val="30"/>
        </w:rPr>
        <w:t>（四）项目效益情况:</w:t>
      </w:r>
    </w:p>
    <w:p>
      <w:pPr>
        <w:pStyle w:val="11"/>
        <w:ind w:firstLine="600"/>
        <w:rPr>
          <w:sz w:val="30"/>
          <w:szCs w:val="30"/>
        </w:rPr>
      </w:pPr>
      <w:r>
        <w:rPr>
          <w:rFonts w:hint="eastAsia"/>
          <w:sz w:val="30"/>
          <w:szCs w:val="30"/>
        </w:rPr>
        <w:t>巴州党委组织部组织事务管理为非盈利项目，不产生经济效益，因此无产出。主要是履行工作职能，满足单位正常运行和办公需要。</w:t>
      </w:r>
    </w:p>
    <w:p>
      <w:pPr>
        <w:pStyle w:val="11"/>
        <w:ind w:firstLine="600"/>
        <w:rPr>
          <w:sz w:val="30"/>
          <w:szCs w:val="30"/>
        </w:rPr>
      </w:pPr>
    </w:p>
    <w:p>
      <w:pPr>
        <w:spacing w:before="408" w:beforeLines="100" w:after="408" w:afterLines="100" w:line="600" w:lineRule="exact"/>
        <w:ind w:firstLine="600" w:firstLineChars="200"/>
        <w:rPr>
          <w:rFonts w:ascii="黑体" w:hAnsi="黑体" w:eastAsia="黑体"/>
          <w:szCs w:val="30"/>
        </w:rPr>
      </w:pPr>
      <w:r>
        <w:rPr>
          <w:rFonts w:hint="eastAsia" w:ascii="黑体" w:hAnsi="黑体" w:eastAsia="黑体"/>
          <w:szCs w:val="30"/>
        </w:rPr>
        <w:t>五、主要经验及做法、存在的问题及原因分析</w:t>
      </w:r>
    </w:p>
    <w:p>
      <w:pPr>
        <w:pStyle w:val="11"/>
        <w:ind w:firstLine="600"/>
        <w:rPr>
          <w:sz w:val="30"/>
          <w:szCs w:val="30"/>
        </w:rPr>
      </w:pPr>
      <w:r>
        <w:rPr>
          <w:rFonts w:hint="eastAsia"/>
          <w:sz w:val="30"/>
          <w:szCs w:val="30"/>
        </w:rPr>
        <w:t>通过对照年初制定的项目数量目标，整体项目数量较为合理，项目产出质量达到预期绩效目标，产出时效与预期相符，并按照调整后绩效目标严格控制产出成本，通过项目合理有序实施，取得较大的社会效益，最大程度提升了服务对象满意程度。</w:t>
      </w:r>
    </w:p>
    <w:p>
      <w:pPr>
        <w:spacing w:before="408" w:beforeLines="100" w:after="408" w:afterLines="100" w:line="600" w:lineRule="exact"/>
        <w:ind w:firstLine="600" w:firstLineChars="200"/>
        <w:rPr>
          <w:rFonts w:ascii="黑体" w:hAnsi="黑体" w:eastAsia="黑体"/>
          <w:szCs w:val="30"/>
        </w:rPr>
      </w:pPr>
      <w:r>
        <w:rPr>
          <w:rFonts w:hint="eastAsia" w:ascii="黑体" w:hAnsi="黑体" w:eastAsia="黑体"/>
          <w:szCs w:val="30"/>
        </w:rPr>
        <w:t>六、有关建议</w:t>
      </w:r>
    </w:p>
    <w:p>
      <w:pPr>
        <w:pStyle w:val="11"/>
        <w:ind w:firstLine="600"/>
        <w:rPr>
          <w:sz w:val="30"/>
          <w:szCs w:val="30"/>
        </w:rPr>
      </w:pPr>
      <w:r>
        <w:rPr>
          <w:rFonts w:hint="eastAsia"/>
          <w:sz w:val="30"/>
          <w:szCs w:val="30"/>
        </w:rPr>
        <w:tab/>
      </w:r>
      <w:r>
        <w:rPr>
          <w:rFonts w:hint="eastAsia"/>
          <w:sz w:val="30"/>
          <w:szCs w:val="30"/>
        </w:rPr>
        <w:t>建议财政部门从实际工作需要出发，拨付工作经费，保证工作工作有效开展。</w:t>
      </w:r>
    </w:p>
    <w:p>
      <w:pPr>
        <w:pStyle w:val="11"/>
        <w:ind w:firstLine="600"/>
        <w:rPr>
          <w:sz w:val="30"/>
          <w:szCs w:val="30"/>
        </w:rPr>
      </w:pPr>
    </w:p>
    <w:p>
      <w:pPr>
        <w:spacing w:before="408" w:beforeLines="100" w:after="408" w:afterLines="100" w:line="600" w:lineRule="exact"/>
        <w:ind w:firstLine="600" w:firstLineChars="200"/>
        <w:rPr>
          <w:rFonts w:ascii="黑体" w:hAnsi="黑体" w:eastAsia="黑体"/>
          <w:szCs w:val="30"/>
        </w:rPr>
      </w:pPr>
      <w:r>
        <w:rPr>
          <w:rFonts w:hint="eastAsia" w:ascii="黑体" w:hAnsi="黑体" w:eastAsia="黑体"/>
          <w:szCs w:val="30"/>
        </w:rPr>
        <w:t>七、其他需要说明的问题</w:t>
      </w:r>
    </w:p>
    <w:p>
      <w:pPr>
        <w:pStyle w:val="11"/>
        <w:ind w:firstLine="600"/>
        <w:rPr>
          <w:sz w:val="30"/>
          <w:szCs w:val="30"/>
          <w:lang w:eastAsia="zh-CN"/>
        </w:rPr>
      </w:pPr>
      <w:r>
        <w:rPr>
          <w:rFonts w:hint="eastAsia"/>
          <w:sz w:val="30"/>
          <w:szCs w:val="30"/>
        </w:rPr>
        <w:tab/>
      </w:r>
      <w:r>
        <w:rPr>
          <w:rFonts w:hint="eastAsia"/>
          <w:sz w:val="30"/>
          <w:szCs w:val="30"/>
        </w:rPr>
        <w:t>无</w:t>
      </w: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pPr>
    </w:p>
    <w:p>
      <w:pPr>
        <w:pStyle w:val="11"/>
        <w:ind w:firstLine="600"/>
        <w:rPr>
          <w:sz w:val="30"/>
          <w:szCs w:val="30"/>
          <w:lang w:eastAsia="zh-CN"/>
        </w:rPr>
        <w:sectPr>
          <w:pgSz w:w="11906" w:h="16838"/>
          <w:pgMar w:top="1928" w:right="1531" w:bottom="1701" w:left="1531" w:header="737" w:footer="851" w:gutter="0"/>
          <w:cols w:space="720" w:num="1"/>
          <w:docGrid w:type="lines" w:linePitch="408" w:charSpace="0"/>
        </w:sectPr>
      </w:pPr>
    </w:p>
    <w:p>
      <w:pPr>
        <w:pStyle w:val="11"/>
        <w:ind w:firstLine="600"/>
        <w:rPr>
          <w:sz w:val="30"/>
          <w:szCs w:val="30"/>
          <w:lang w:eastAsia="zh-CN"/>
        </w:rPr>
      </w:pPr>
    </w:p>
    <w:p>
      <w:pPr>
        <w:pStyle w:val="2"/>
        <w:spacing w:before="0" w:after="0" w:line="240" w:lineRule="auto"/>
        <w:ind w:firstLine="723"/>
        <w:jc w:val="center"/>
        <w:rPr>
          <w:color w:val="000000"/>
        </w:rPr>
      </w:pPr>
      <w:r>
        <w:rPr>
          <w:rFonts w:hint="eastAsia" w:ascii="宋体" w:hAnsi="宋体" w:eastAsia="宋体" w:cs="宋体"/>
          <w:color w:val="000000"/>
          <w:sz w:val="36"/>
          <w:szCs w:val="28"/>
        </w:rPr>
        <w:t>项目支出绩效评价指标体系框架</w:t>
      </w:r>
    </w:p>
    <w:p>
      <w:pPr>
        <w:spacing w:line="600" w:lineRule="exact"/>
        <w:ind w:firstLine="600" w:firstLineChars="200"/>
        <w:rPr>
          <w:rFonts w:ascii="仿宋_GB2312" w:hAnsi="黑体"/>
          <w:szCs w:val="30"/>
        </w:rPr>
      </w:pP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489"/>
        <w:gridCol w:w="7087"/>
        <w:gridCol w:w="1077"/>
        <w:gridCol w:w="1228"/>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489"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087"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1077" w:type="dxa"/>
            <w:tcBorders>
              <w:top w:val="single" w:color="auto" w:sz="4" w:space="0"/>
              <w:bottom w:val="single" w:color="auto" w:sz="4" w:space="0"/>
              <w:right w:val="single" w:color="auto" w:sz="4" w:space="0"/>
            </w:tcBorders>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1240" w:type="dxa"/>
            <w:gridSpan w:val="2"/>
            <w:tcBorders>
              <w:top w:val="single" w:color="auto" w:sz="4" w:space="0"/>
              <w:left w:val="single" w:color="auto" w:sz="4" w:space="0"/>
              <w:bottom w:val="single" w:color="auto" w:sz="4" w:space="0"/>
              <w:right w:val="single" w:color="auto" w:sz="4" w:space="0"/>
            </w:tcBorders>
          </w:tcPr>
          <w:p>
            <w:pPr>
              <w:widowControl/>
              <w:ind w:firstLine="442"/>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ind w:firstLine="442"/>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087" w:type="dxa"/>
            <w:tcBorders>
              <w:bottom w:val="single" w:color="auto" w:sz="4" w:space="0"/>
              <w:tl2br w:val="nil"/>
              <w:tr2bl w:val="nil"/>
            </w:tcBorders>
            <w:shd w:val="clear" w:color="auto"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1077" w:type="dxa"/>
            <w:tcBorders>
              <w:top w:val="single" w:color="auto" w:sz="4" w:space="0"/>
              <w:bottom w:val="single" w:color="auto" w:sz="4" w:space="0"/>
              <w:right w:val="single" w:color="auto" w:sz="4" w:space="0"/>
            </w:tcBorders>
            <w:vAlign w:val="center"/>
          </w:tcPr>
          <w:p>
            <w:pPr>
              <w:widowControl/>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1240" w:type="dxa"/>
            <w:gridSpan w:val="2"/>
            <w:tcBorders>
              <w:top w:val="single" w:color="auto" w:sz="4" w:space="0"/>
              <w:left w:val="single" w:color="auto" w:sz="4" w:space="0"/>
              <w:bottom w:val="single" w:color="auto" w:sz="4" w:space="0"/>
              <w:right w:val="single" w:color="auto" w:sz="4" w:space="0"/>
            </w:tcBorders>
            <w:vAlign w:val="center"/>
          </w:tcPr>
          <w:p>
            <w:pPr>
              <w:widowControl/>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087" w:type="dxa"/>
            <w:tcBorders>
              <w:tl2br w:val="nil"/>
              <w:tr2bl w:val="nil"/>
            </w:tcBorders>
            <w:shd w:val="clear" w:color="auto"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1077" w:type="dxa"/>
            <w:tcBorders>
              <w:top w:val="single" w:color="auto" w:sz="4" w:space="0"/>
              <w:bottom w:val="single" w:color="auto" w:sz="4" w:space="0"/>
              <w:right w:val="single" w:color="auto" w:sz="4" w:space="0"/>
            </w:tcBorders>
          </w:tcPr>
          <w:p>
            <w:pPr>
              <w:widowControl/>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1240" w:type="dxa"/>
            <w:gridSpan w:val="2"/>
            <w:tcBorders>
              <w:top w:val="single" w:color="auto" w:sz="4" w:space="0"/>
              <w:left w:val="single" w:color="auto" w:sz="4" w:space="0"/>
              <w:bottom w:val="single" w:color="auto" w:sz="4" w:space="0"/>
              <w:right w:val="single" w:color="auto" w:sz="4" w:space="0"/>
            </w:tcBorders>
          </w:tcPr>
          <w:p>
            <w:pPr>
              <w:widowControl/>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087" w:type="dxa"/>
            <w:tcBorders>
              <w:tl2br w:val="nil"/>
              <w:tr2bl w:val="nil"/>
            </w:tcBorders>
            <w:shd w:val="clear" w:color="000000"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1077" w:type="dxa"/>
            <w:tcBorders>
              <w:top w:val="single" w:color="auto" w:sz="4" w:space="0"/>
              <w:bottom w:val="single" w:color="auto" w:sz="4" w:space="0"/>
              <w:right w:val="single" w:color="auto" w:sz="4" w:space="0"/>
            </w:tcBorders>
          </w:tcPr>
          <w:p>
            <w:pPr>
              <w:widowControl/>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240" w:type="dxa"/>
            <w:gridSpan w:val="2"/>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240" w:type="dxa"/>
            <w:gridSpan w:val="2"/>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087"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1240" w:type="dxa"/>
            <w:gridSpan w:val="2"/>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087" w:type="dxa"/>
            <w:tcBorders>
              <w:bottom w:val="single" w:color="auto" w:sz="4" w:space="0"/>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1240" w:type="dxa"/>
            <w:gridSpan w:val="2"/>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1240" w:type="dxa"/>
            <w:gridSpan w:val="2"/>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087"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1240" w:type="dxa"/>
            <w:gridSpan w:val="2"/>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087" w:type="dxa"/>
            <w:tcBorders>
              <w:bottom w:val="single" w:color="auto" w:sz="4" w:space="0"/>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1228" w:type="dxa"/>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228" w:type="dxa"/>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228" w:type="dxa"/>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228" w:type="dxa"/>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087" w:type="dxa"/>
            <w:tcBorders>
              <w:bottom w:val="single" w:color="auto" w:sz="4" w:space="0"/>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251"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251"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251"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489" w:type="dxa"/>
            <w:tcBorders>
              <w:tl2br w:val="nil"/>
              <w:tr2bl w:val="nil"/>
            </w:tcBorders>
            <w:shd w:val="clear" w:color="auto"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087"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1251"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1251"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1</w:t>
            </w:r>
            <w:r>
              <w:rPr>
                <w:rFonts w:hint="eastAsia" w:ascii="宋体" w:hAnsi="宋体" w:eastAsia="宋体" w:cs="宋体"/>
                <w:color w:val="000000"/>
                <w:kern w:val="0"/>
                <w:sz w:val="22"/>
                <w:szCs w:val="22"/>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3047" w:type="dxa"/>
            <w:gridSpan w:val="5"/>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总计</w:t>
            </w:r>
          </w:p>
        </w:tc>
        <w:tc>
          <w:tcPr>
            <w:tcW w:w="1077"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1251"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95</w:t>
            </w:r>
            <w:bookmarkStart w:id="3" w:name="_GoBack"/>
            <w:bookmarkEnd w:id="3"/>
          </w:p>
        </w:tc>
      </w:tr>
    </w:tbl>
    <w:p>
      <w:pPr>
        <w:pStyle w:val="11"/>
        <w:ind w:firstLine="600"/>
        <w:rPr>
          <w:sz w:val="30"/>
          <w:szCs w:val="30"/>
          <w:lang w:eastAsia="zh-CN"/>
        </w:rPr>
        <w:sectPr>
          <w:pgSz w:w="16838" w:h="11906" w:orient="landscape"/>
          <w:pgMar w:top="1531" w:right="1701" w:bottom="1531" w:left="1928" w:header="737" w:footer="851" w:gutter="0"/>
          <w:cols w:space="720" w:num="1"/>
          <w:docGrid w:type="lines" w:linePitch="408" w:charSpace="0"/>
        </w:sectPr>
      </w:pPr>
    </w:p>
    <w:p>
      <w:pPr>
        <w:pStyle w:val="11"/>
        <w:ind w:firstLine="600"/>
        <w:rPr>
          <w:sz w:val="30"/>
          <w:szCs w:val="30"/>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2C5158-6E23-4DA2-8442-DCC5C8EE12F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FD42027-7C3A-4E55-A861-03DCE5ABC949}"/>
  </w:font>
  <w:font w:name="仿宋_GB2312">
    <w:altName w:val="仿宋"/>
    <w:panose1 w:val="02010609030101010101"/>
    <w:charset w:val="86"/>
    <w:family w:val="modern"/>
    <w:pitch w:val="default"/>
    <w:sig w:usb0="00000000" w:usb1="00000000" w:usb2="00000010" w:usb3="00000000" w:csb0="00040000" w:csb1="00000000"/>
    <w:embedRegular r:id="rId3" w:fontKey="{646CA26D-2FBC-4FAD-92BB-84E4F002AFC2}"/>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embedRegular r:id="rId4" w:fontKey="{0ED10914-9A28-4024-AA06-6FBC4D348BDD}"/>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B4E42"/>
    <w:rsid w:val="00154D4B"/>
    <w:rsid w:val="00211CCC"/>
    <w:rsid w:val="002A26B0"/>
    <w:rsid w:val="002F133F"/>
    <w:rsid w:val="00372191"/>
    <w:rsid w:val="0037374E"/>
    <w:rsid w:val="0043448B"/>
    <w:rsid w:val="004472ED"/>
    <w:rsid w:val="00535AC9"/>
    <w:rsid w:val="0057433A"/>
    <w:rsid w:val="00691543"/>
    <w:rsid w:val="007C7A6F"/>
    <w:rsid w:val="008051CA"/>
    <w:rsid w:val="008060FE"/>
    <w:rsid w:val="00890D1B"/>
    <w:rsid w:val="00930CAC"/>
    <w:rsid w:val="00A23A50"/>
    <w:rsid w:val="00B17B88"/>
    <w:rsid w:val="00B46182"/>
    <w:rsid w:val="00B84673"/>
    <w:rsid w:val="00C02D60"/>
    <w:rsid w:val="00CA54E7"/>
    <w:rsid w:val="00CE7DF3"/>
    <w:rsid w:val="00D1021C"/>
    <w:rsid w:val="00D37A08"/>
    <w:rsid w:val="00DE5555"/>
    <w:rsid w:val="00DF495D"/>
    <w:rsid w:val="00E3118B"/>
    <w:rsid w:val="00E324AE"/>
    <w:rsid w:val="00FA7C9A"/>
    <w:rsid w:val="00FD41AD"/>
    <w:rsid w:val="291E6F22"/>
    <w:rsid w:val="7A4C6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8"/>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页眉 Char"/>
    <w:basedOn w:val="8"/>
    <w:link w:val="5"/>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闻政-正文段落文字"/>
    <w:basedOn w:val="1"/>
    <w:link w:val="12"/>
    <w:qFormat/>
    <w:uiPriority w:val="3"/>
    <w:pPr>
      <w:spacing w:line="500" w:lineRule="exact"/>
      <w:ind w:firstLine="200" w:firstLineChars="200"/>
    </w:pPr>
    <w:rPr>
      <w:kern w:val="0"/>
      <w:sz w:val="28"/>
      <w:szCs w:val="28"/>
      <w:lang w:val="zh-CN" w:eastAsia="zh-CN"/>
    </w:rPr>
  </w:style>
  <w:style w:type="character" w:customStyle="1" w:styleId="12">
    <w:name w:val="闻政-正文段落文字 Char"/>
    <w:link w:val="11"/>
    <w:qFormat/>
    <w:uiPriority w:val="3"/>
    <w:rPr>
      <w:rFonts w:ascii="Times New Roman" w:hAnsi="Times New Roman" w:eastAsia="仿宋_GB2312" w:cs="Times New Roman"/>
      <w:kern w:val="0"/>
      <w:sz w:val="28"/>
      <w:szCs w:val="28"/>
      <w:lang w:val="zh-CN" w:eastAsia="zh-CN"/>
    </w:rPr>
  </w:style>
  <w:style w:type="paragraph" w:customStyle="1" w:styleId="13">
    <w:name w:val="闻政-正文二级标题"/>
    <w:basedOn w:val="2"/>
    <w:next w:val="11"/>
    <w:link w:val="14"/>
    <w:qFormat/>
    <w:uiPriority w:val="0"/>
    <w:pPr>
      <w:spacing w:before="120" w:after="60" w:line="500" w:lineRule="exact"/>
      <w:ind w:left="200" w:leftChars="200"/>
      <w:jc w:val="left"/>
    </w:pPr>
    <w:rPr>
      <w:rFonts w:ascii="Times New Roman" w:hAnsi="Times New Roman" w:eastAsia="仿宋_GB2312" w:cs="Times New Roman"/>
      <w:kern w:val="0"/>
      <w:sz w:val="28"/>
    </w:rPr>
  </w:style>
  <w:style w:type="character" w:customStyle="1" w:styleId="14">
    <w:name w:val="闻政-正文二级标题 Char"/>
    <w:link w:val="13"/>
    <w:qFormat/>
    <w:uiPriority w:val="0"/>
    <w:rPr>
      <w:rFonts w:ascii="Times New Roman" w:hAnsi="Times New Roman" w:eastAsia="仿宋_GB2312" w:cs="Times New Roman"/>
      <w:b/>
      <w:bCs/>
      <w:kern w:val="0"/>
      <w:sz w:val="28"/>
      <w:szCs w:val="32"/>
    </w:rPr>
  </w:style>
  <w:style w:type="paragraph" w:customStyle="1" w:styleId="15">
    <w:name w:val="闻政-正文一级标题"/>
    <w:basedOn w:val="3"/>
    <w:next w:val="11"/>
    <w:link w:val="16"/>
    <w:qFormat/>
    <w:uiPriority w:val="0"/>
    <w:pPr>
      <w:spacing w:before="120" w:after="60" w:line="500" w:lineRule="exact"/>
      <w:jc w:val="left"/>
      <w:outlineLvl w:val="0"/>
    </w:pPr>
    <w:rPr>
      <w:rFonts w:ascii="黑体" w:hAnsi="黑体" w:eastAsia="黑体"/>
      <w:b w:val="0"/>
      <w:kern w:val="0"/>
    </w:rPr>
  </w:style>
  <w:style w:type="character" w:customStyle="1" w:styleId="16">
    <w:name w:val="闻政-正文一级标题 Char"/>
    <w:link w:val="15"/>
    <w:qFormat/>
    <w:uiPriority w:val="0"/>
    <w:rPr>
      <w:rFonts w:ascii="黑体" w:hAnsi="黑体" w:eastAsia="黑体" w:cs="Times New Roman"/>
      <w:bCs/>
      <w:kern w:val="0"/>
      <w:sz w:val="32"/>
      <w:szCs w:val="32"/>
    </w:rPr>
  </w:style>
  <w:style w:type="character" w:customStyle="1" w:styleId="17">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8">
    <w:name w:val="标题 3 Char"/>
    <w:basedOn w:val="8"/>
    <w:link w:val="3"/>
    <w:semiHidden/>
    <w:qFormat/>
    <w:uiPriority w:val="9"/>
    <w:rPr>
      <w:rFonts w:ascii="Times New Roman" w:hAnsi="Times New Roman" w:eastAsia="仿宋_GB2312"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9BAC9E-8635-41DF-BACA-E8192B9BCB2E}">
  <ds:schemaRefs/>
</ds:datastoreItem>
</file>

<file path=docProps/app.xml><?xml version="1.0" encoding="utf-8"?>
<Properties xmlns="http://schemas.openxmlformats.org/officeDocument/2006/extended-properties" xmlns:vt="http://schemas.openxmlformats.org/officeDocument/2006/docPropsVTypes">
  <Template>Normal</Template>
  <Pages>15</Pages>
  <Words>921</Words>
  <Characters>5253</Characters>
  <Lines>43</Lines>
  <Paragraphs>12</Paragraphs>
  <TotalTime>1</TotalTime>
  <ScaleCrop>false</ScaleCrop>
  <LinksUpToDate>false</LinksUpToDate>
  <CharactersWithSpaces>6162</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xzzf</cp:lastModifiedBy>
  <dcterms:modified xsi:type="dcterms:W3CDTF">2020-06-08T09:54:45Z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