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巴州党委组织部单位项目支出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cs="宋体"/>
          <w:kern w:val="0"/>
          <w:sz w:val="36"/>
          <w:szCs w:val="36"/>
        </w:rPr>
      </w:pPr>
      <w:r>
        <w:rPr>
          <w:rFonts w:hint="eastAsia" w:hAnsi="宋体" w:cs="宋体"/>
          <w:kern w:val="0"/>
          <w:sz w:val="36"/>
          <w:szCs w:val="36"/>
        </w:rPr>
        <w:t>（2019年度）</w:t>
      </w: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rPr>
          <w:rFonts w:hAnsi="宋体" w:cs="宋体"/>
          <w:kern w:val="0"/>
          <w:szCs w:val="30"/>
        </w:rPr>
      </w:pPr>
    </w:p>
    <w:p>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项目名称：自治州干部专项考核学习班培训经费</w:t>
      </w:r>
    </w:p>
    <w:p>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w:t>
      </w:r>
      <w:r>
        <w:rPr>
          <w:rFonts w:hAnsi="宋体" w:cs="宋体"/>
          <w:kern w:val="0"/>
          <w:sz w:val="36"/>
          <w:szCs w:val="36"/>
        </w:rPr>
        <w:t xml:space="preserve"> 巴州党委组织部</w:t>
      </w:r>
    </w:p>
    <w:p>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w:t>
      </w:r>
      <w:r>
        <w:rPr>
          <w:rFonts w:hAnsi="宋体" w:cs="宋体"/>
          <w:kern w:val="0"/>
          <w:sz w:val="36"/>
          <w:szCs w:val="36"/>
        </w:rPr>
        <w:t xml:space="preserve"> 巴州党委</w:t>
      </w:r>
    </w:p>
    <w:p>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w:t>
      </w:r>
      <w:r>
        <w:rPr>
          <w:rFonts w:hAnsi="宋体" w:cs="宋体"/>
          <w:kern w:val="0"/>
          <w:sz w:val="36"/>
          <w:szCs w:val="36"/>
        </w:rPr>
        <w:t xml:space="preserve"> 刘发平</w:t>
      </w:r>
    </w:p>
    <w:p>
      <w:pPr>
        <w:ind w:firstLine="1080" w:firstLineChars="300"/>
        <w:rPr>
          <w:rFonts w:hint="default" w:ascii="黑体" w:hAnsi="黑体" w:eastAsia="黑体"/>
          <w:lang w:val="en-US" w:eastAsia="zh-CN"/>
        </w:rPr>
        <w:sectPr>
          <w:pgSz w:w="11906" w:h="16838"/>
          <w:pgMar w:top="1928" w:right="1531" w:bottom="1701" w:left="1531" w:header="737" w:footer="851" w:gutter="0"/>
          <w:cols w:space="720" w:num="1"/>
          <w:docGrid w:type="lines" w:linePitch="408" w:charSpace="0"/>
        </w:sectPr>
      </w:pPr>
      <w:r>
        <w:rPr>
          <w:rFonts w:hint="eastAsia" w:hAnsi="宋体" w:cs="宋体"/>
          <w:kern w:val="0"/>
          <w:sz w:val="36"/>
          <w:szCs w:val="36"/>
        </w:rPr>
        <w:t>填报时间：2020年5月</w:t>
      </w:r>
      <w:r>
        <w:rPr>
          <w:rFonts w:hint="eastAsia" w:ascii="黑体" w:hAnsi="黑体" w:eastAsia="黑体"/>
          <w:lang w:val="en-US" w:eastAsia="zh-CN"/>
        </w:rPr>
        <w:t>12日</w:t>
      </w:r>
    </w:p>
    <w:p>
      <w:pPr>
        <w:spacing w:line="700" w:lineRule="exact"/>
        <w:ind w:firstLine="849" w:firstLineChars="236"/>
        <w:jc w:val="left"/>
        <w:rPr>
          <w:rFonts w:hAnsi="宋体" w:cs="宋体"/>
          <w:kern w:val="0"/>
          <w:sz w:val="36"/>
          <w:szCs w:val="36"/>
        </w:rPr>
      </w:pPr>
    </w:p>
    <w:p>
      <w:pPr>
        <w:rPr>
          <w:rFonts w:ascii="黑体" w:hAnsi="黑体" w:eastAsia="黑体"/>
        </w:rPr>
      </w:pPr>
      <w:r>
        <w:rPr>
          <w:rFonts w:hint="eastAsia" w:ascii="黑体" w:hAnsi="黑体" w:eastAsia="黑体"/>
        </w:rPr>
        <w:t>附2</w:t>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spacing w:line="600" w:lineRule="exact"/>
        <w:ind w:firstLine="600" w:firstLineChars="200"/>
        <w:rPr>
          <w:rFonts w:ascii="黑体" w:hAnsi="黑体" w:eastAsia="黑体"/>
          <w:szCs w:val="30"/>
        </w:rPr>
      </w:pPr>
      <w:bookmarkStart w:id="0" w:name="_Toc40343129"/>
      <w:r>
        <w:rPr>
          <w:rFonts w:hint="eastAsia" w:ascii="黑体" w:hAnsi="黑体" w:eastAsia="黑体"/>
          <w:szCs w:val="30"/>
        </w:rPr>
        <w:t>一、基本情况</w:t>
      </w:r>
    </w:p>
    <w:p>
      <w:pPr>
        <w:spacing w:line="600" w:lineRule="exact"/>
        <w:ind w:firstLine="602" w:firstLineChars="200"/>
        <w:rPr>
          <w:rFonts w:ascii="仿宋_GB2312" w:hAnsi="黑体"/>
          <w:b/>
          <w:szCs w:val="30"/>
        </w:rPr>
      </w:pPr>
      <w:r>
        <w:rPr>
          <w:rFonts w:hint="eastAsia" w:ascii="仿宋_GB2312" w:hAnsi="黑体"/>
          <w:b/>
          <w:szCs w:val="30"/>
        </w:rPr>
        <w:t>（一）项目概况：</w:t>
      </w:r>
    </w:p>
    <w:p>
      <w:pPr>
        <w:spacing w:line="600" w:lineRule="exact"/>
        <w:ind w:firstLine="600" w:firstLineChars="200"/>
        <w:rPr>
          <w:rFonts w:ascii="仿宋_GB2312" w:hAnsi="黑体"/>
          <w:szCs w:val="30"/>
        </w:rPr>
      </w:pPr>
      <w:r>
        <w:rPr>
          <w:rFonts w:hint="eastAsia" w:ascii="仿宋_GB2312" w:hAnsi="黑体"/>
          <w:szCs w:val="30"/>
        </w:rPr>
        <w:t>1、项目背景：保障自治州干部专项考核学习班正常运转。项目经费主要用于采购费，考核培训、其他开支等。有序推进干部考核学习培训工作进行。</w:t>
      </w:r>
    </w:p>
    <w:p>
      <w:pPr>
        <w:spacing w:line="600" w:lineRule="exact"/>
        <w:ind w:firstLine="600" w:firstLineChars="200"/>
        <w:rPr>
          <w:rFonts w:ascii="仿宋_GB2312" w:hAnsi="黑体"/>
          <w:szCs w:val="30"/>
        </w:rPr>
      </w:pPr>
      <w:r>
        <w:rPr>
          <w:rFonts w:hint="eastAsia" w:ascii="仿宋_GB2312" w:hAnsi="黑体"/>
          <w:szCs w:val="30"/>
        </w:rPr>
        <w:t xml:space="preserve">2、主要内容及实施情况：自治州干部专项考核学习班培训经费主要用于培训学员证件采购、培训手册印发、第一、二学期伙食费、相关学习用品采购费用等。   </w:t>
      </w:r>
    </w:p>
    <w:p>
      <w:pPr>
        <w:spacing w:line="600" w:lineRule="exact"/>
        <w:ind w:firstLine="600" w:firstLineChars="200"/>
        <w:rPr>
          <w:rFonts w:ascii="仿宋_GB2312" w:hAnsi="黑体"/>
          <w:szCs w:val="30"/>
        </w:rPr>
      </w:pPr>
      <w:r>
        <w:rPr>
          <w:rFonts w:hint="eastAsia" w:ascii="仿宋_GB2312" w:hAnsi="黑体"/>
          <w:szCs w:val="30"/>
        </w:rPr>
        <w:t>3、资金投入和使用情况：自治州干部专项考核学习班培训经费财政拨款收入项目资金7.15万元，全部用于考核学习班培训经费主要用于培训学员证件采购、培训手册印发、第一、二学期伙食费、相关学习用品采购费用等。</w:t>
      </w:r>
    </w:p>
    <w:p>
      <w:pPr>
        <w:spacing w:line="600" w:lineRule="exact"/>
        <w:ind w:firstLine="602" w:firstLineChars="200"/>
        <w:rPr>
          <w:rFonts w:ascii="仿宋_GB2312" w:hAnsi="黑体"/>
          <w:b/>
          <w:szCs w:val="30"/>
        </w:rPr>
      </w:pPr>
      <w:r>
        <w:rPr>
          <w:rFonts w:hint="eastAsia" w:ascii="仿宋_GB2312" w:hAnsi="黑体"/>
          <w:b/>
          <w:szCs w:val="30"/>
        </w:rPr>
        <w:t>（二）项目绩效目标:</w:t>
      </w:r>
    </w:p>
    <w:p>
      <w:pPr>
        <w:spacing w:line="600" w:lineRule="exact"/>
        <w:ind w:firstLine="600" w:firstLineChars="200"/>
        <w:rPr>
          <w:rFonts w:ascii="仿宋_GB2312" w:hAnsi="黑体"/>
          <w:szCs w:val="30"/>
        </w:rPr>
      </w:pPr>
      <w:r>
        <w:rPr>
          <w:rFonts w:hint="eastAsia" w:ascii="仿宋_GB2312" w:hAnsi="黑体"/>
          <w:szCs w:val="30"/>
        </w:rPr>
        <w:t>总体目标：通过开展此次干部专项培训业务，极大提高干部业务水平和服务能力，提高国家机关办事人员工作效率，提高人民群众满意度。</w:t>
      </w:r>
    </w:p>
    <w:p>
      <w:pPr>
        <w:spacing w:line="600" w:lineRule="exact"/>
        <w:ind w:firstLine="600" w:firstLineChars="200"/>
        <w:rPr>
          <w:rFonts w:ascii="黑体" w:hAnsi="黑体" w:eastAsia="黑体"/>
          <w:szCs w:val="30"/>
        </w:rPr>
      </w:pPr>
      <w:r>
        <w:rPr>
          <w:rFonts w:hint="eastAsia" w:ascii="黑体" w:hAnsi="黑体" w:eastAsia="黑体"/>
          <w:szCs w:val="30"/>
        </w:rPr>
        <w:t>阶段性目标：　</w:t>
      </w:r>
    </w:p>
    <w:p>
      <w:pPr>
        <w:spacing w:line="600" w:lineRule="exact"/>
        <w:ind w:firstLine="600" w:firstLineChars="200"/>
        <w:rPr>
          <w:rFonts w:ascii="仿宋_GB2312" w:hAnsi="黑体"/>
          <w:szCs w:val="30"/>
        </w:rPr>
      </w:pPr>
      <w:r>
        <w:rPr>
          <w:rFonts w:hint="eastAsia" w:ascii="仿宋_GB2312" w:hAnsi="黑体"/>
          <w:szCs w:val="30"/>
        </w:rPr>
        <w:t>1、召开专项干部培训专题会议，制定年内干部培训班次、人数及具体时间。</w:t>
      </w:r>
    </w:p>
    <w:p>
      <w:pPr>
        <w:spacing w:line="600" w:lineRule="exact"/>
        <w:ind w:firstLine="600" w:firstLineChars="200"/>
        <w:rPr>
          <w:rFonts w:ascii="仿宋_GB2312" w:hAnsi="黑体"/>
          <w:szCs w:val="30"/>
        </w:rPr>
      </w:pPr>
      <w:r>
        <w:rPr>
          <w:rFonts w:hint="eastAsia" w:ascii="仿宋_GB2312" w:hAnsi="黑体"/>
          <w:szCs w:val="30"/>
        </w:rPr>
        <w:t>2、选派干部参加业务培训,通过各县市及各单位上报具体人数确定学习用品和伙食标准。</w:t>
      </w:r>
    </w:p>
    <w:p>
      <w:pPr>
        <w:spacing w:line="600" w:lineRule="exact"/>
        <w:ind w:firstLine="600" w:firstLineChars="200"/>
        <w:rPr>
          <w:rFonts w:ascii="仿宋_GB2312" w:hAnsi="黑体"/>
          <w:szCs w:val="30"/>
        </w:rPr>
      </w:pPr>
      <w:r>
        <w:rPr>
          <w:rFonts w:hint="eastAsia" w:ascii="仿宋_GB2312" w:hAnsi="黑体"/>
          <w:szCs w:val="30"/>
        </w:rPr>
        <w:t>3、进行专项干部培训所需学习用品采购、培训手册印发等工作。</w:t>
      </w:r>
    </w:p>
    <w:p>
      <w:pPr>
        <w:spacing w:line="600" w:lineRule="exact"/>
        <w:ind w:firstLine="600" w:firstLineChars="200"/>
        <w:rPr>
          <w:rFonts w:ascii="仿宋_GB2312" w:hAnsi="黑体"/>
          <w:szCs w:val="30"/>
        </w:rPr>
      </w:pPr>
      <w:r>
        <w:rPr>
          <w:rFonts w:hint="eastAsia" w:ascii="仿宋_GB2312" w:hAnsi="黑体"/>
          <w:szCs w:val="30"/>
        </w:rPr>
        <w:t>4、按照实际培训情况，汇总相关培训数据，总结培训工作相关经验和不足，并及时上报学习情况。</w:t>
      </w:r>
    </w:p>
    <w:p>
      <w:pPr>
        <w:spacing w:line="600" w:lineRule="exact"/>
        <w:ind w:firstLine="600" w:firstLineChars="200"/>
        <w:rPr>
          <w:rFonts w:ascii="黑体" w:hAnsi="黑体" w:eastAsia="黑体"/>
          <w:szCs w:val="30"/>
        </w:rPr>
      </w:pPr>
      <w:r>
        <w:rPr>
          <w:rFonts w:hint="eastAsia" w:ascii="黑体" w:hAnsi="黑体" w:eastAsia="黑体"/>
          <w:szCs w:val="30"/>
        </w:rPr>
        <w:t>二、绩效评价工作开展情况</w:t>
      </w:r>
    </w:p>
    <w:p>
      <w:pPr>
        <w:spacing w:line="600" w:lineRule="exact"/>
        <w:ind w:firstLine="602" w:firstLineChars="200"/>
        <w:rPr>
          <w:rFonts w:ascii="仿宋_GB2312" w:hAnsi="黑体"/>
          <w:b/>
          <w:szCs w:val="30"/>
        </w:rPr>
      </w:pPr>
      <w:r>
        <w:rPr>
          <w:rFonts w:hint="eastAsia" w:ascii="仿宋_GB2312" w:hAnsi="黑体"/>
          <w:b/>
          <w:szCs w:val="30"/>
        </w:rPr>
        <w:t>（一）绩效评价目的、对象和范围:</w:t>
      </w:r>
    </w:p>
    <w:p>
      <w:pPr>
        <w:spacing w:line="600" w:lineRule="exact"/>
        <w:ind w:firstLine="600" w:firstLineChars="200"/>
        <w:rPr>
          <w:rFonts w:ascii="仿宋_GB2312" w:hAnsi="黑体"/>
          <w:szCs w:val="30"/>
        </w:rPr>
      </w:pPr>
      <w:r>
        <w:rPr>
          <w:rFonts w:hint="eastAsia" w:ascii="仿宋_GB2312" w:hAnsi="黑体"/>
          <w:szCs w:val="30"/>
        </w:rPr>
        <w:t>目的：为加强部门整体支出管理，提高资金和资产的使用效益，提高财务工作的精细化管理水平。</w:t>
      </w:r>
    </w:p>
    <w:p>
      <w:pPr>
        <w:spacing w:line="600" w:lineRule="exact"/>
        <w:ind w:firstLine="600" w:firstLineChars="200"/>
        <w:rPr>
          <w:rFonts w:ascii="仿宋_GB2312" w:hAnsi="黑体"/>
          <w:szCs w:val="30"/>
        </w:rPr>
      </w:pPr>
      <w:r>
        <w:rPr>
          <w:rFonts w:hint="eastAsia" w:ascii="仿宋_GB2312" w:hAnsi="黑体"/>
          <w:szCs w:val="30"/>
        </w:rPr>
        <w:t>对象：自治州干部专项考核学习班培训经费</w:t>
      </w:r>
    </w:p>
    <w:p>
      <w:pPr>
        <w:spacing w:line="600" w:lineRule="exact"/>
        <w:ind w:firstLine="600" w:firstLineChars="200"/>
        <w:rPr>
          <w:rFonts w:ascii="仿宋_GB2312" w:hAnsi="黑体"/>
          <w:szCs w:val="30"/>
        </w:rPr>
      </w:pPr>
      <w:r>
        <w:rPr>
          <w:rFonts w:hint="eastAsia" w:ascii="仿宋_GB2312" w:hAnsi="黑体"/>
          <w:szCs w:val="30"/>
        </w:rPr>
        <w:t>范围：涉及范围包括州直及县市参加培训业务工作人员。</w:t>
      </w:r>
    </w:p>
    <w:p>
      <w:pPr>
        <w:spacing w:line="600" w:lineRule="exact"/>
        <w:ind w:firstLine="602" w:firstLineChars="200"/>
        <w:rPr>
          <w:rFonts w:ascii="仿宋_GB2312" w:hAnsi="黑体"/>
          <w:szCs w:val="30"/>
        </w:rPr>
      </w:pPr>
      <w:r>
        <w:rPr>
          <w:rFonts w:hint="eastAsia" w:ascii="仿宋_GB2312" w:hAnsi="黑体"/>
          <w:b/>
          <w:szCs w:val="30"/>
        </w:rPr>
        <w:t>（二）绩效评价原则、评价指标体系（附表说明）、评价方法、</w:t>
      </w:r>
      <w:r>
        <w:rPr>
          <w:rFonts w:hint="eastAsia" w:ascii="仿宋_GB2312" w:hAnsi="黑体"/>
          <w:szCs w:val="30"/>
        </w:rPr>
        <w:t>评价标准等:</w:t>
      </w:r>
    </w:p>
    <w:p>
      <w:pPr>
        <w:spacing w:line="600" w:lineRule="exact"/>
        <w:ind w:firstLine="600" w:firstLineChars="200"/>
        <w:rPr>
          <w:rFonts w:ascii="仿宋_GB2312" w:hAnsi="黑体"/>
          <w:szCs w:val="30"/>
        </w:rPr>
      </w:pPr>
      <w:r>
        <w:rPr>
          <w:rFonts w:hint="eastAsia" w:ascii="仿宋_GB2312" w:hAnsi="黑体"/>
          <w:szCs w:val="30"/>
        </w:rPr>
        <w:t>1、绩效评价原则：自治州干部专项考核学习班培训经费项目绩效评价坚持科学规范、保证干部专项学习考核结果公正公开、分级分类和绩效相关的原则,坚持经济效益、社会效益和生态效益相结合的原则。</w:t>
      </w:r>
    </w:p>
    <w:p>
      <w:pPr>
        <w:spacing w:line="600" w:lineRule="exact"/>
        <w:ind w:firstLine="600" w:firstLineChars="200"/>
        <w:rPr>
          <w:rFonts w:ascii="仿宋_GB2312" w:hAnsi="黑体"/>
          <w:szCs w:val="30"/>
        </w:rPr>
      </w:pPr>
      <w:r>
        <w:rPr>
          <w:rFonts w:hint="eastAsia" w:ascii="仿宋_GB2312" w:hAnsi="黑体"/>
          <w:szCs w:val="30"/>
        </w:rPr>
        <w:t>2、评价指标体系：评价标准从数量指标、质量指标、时效指标和群众满意度等方面分别计分。(详见附表)</w:t>
      </w:r>
    </w:p>
    <w:p>
      <w:pPr>
        <w:spacing w:line="600" w:lineRule="exact"/>
        <w:ind w:firstLine="600" w:firstLineChars="200"/>
        <w:rPr>
          <w:rFonts w:ascii="仿宋_GB2312" w:hAnsi="黑体"/>
          <w:szCs w:val="30"/>
        </w:rPr>
      </w:pPr>
      <w:r>
        <w:rPr>
          <w:rFonts w:hint="eastAsia" w:ascii="仿宋_GB2312" w:hAnsi="黑体"/>
          <w:szCs w:val="30"/>
        </w:rPr>
        <w:t>3、评价方法：为加强部门整体支出管理，提高资金和资产的使用效益，提高财务工作的精细化管理水平，结合我单位实际情况，本次绩效采用比较法、因素分析法。</w:t>
      </w:r>
    </w:p>
    <w:p>
      <w:pPr>
        <w:spacing w:line="600" w:lineRule="exact"/>
        <w:ind w:firstLine="600" w:firstLineChars="200"/>
        <w:rPr>
          <w:rFonts w:ascii="仿宋_GB2312" w:hAnsi="黑体"/>
          <w:szCs w:val="30"/>
        </w:rPr>
      </w:pPr>
      <w:r>
        <w:rPr>
          <w:rFonts w:hint="eastAsia" w:ascii="仿宋_GB2312" w:hAnsi="黑体"/>
          <w:szCs w:val="30"/>
        </w:rPr>
        <w:t>4、评价标准：以计划标准为评价标准，主要对项目产出指标、效益指标和满意度指标进行综合分析评定，主要包括培训干部结业率、培训学院满意度等综合评定，综合得分80分（含）以上为优秀，60-80分为及格，60分（不含）以下为不及格。</w:t>
      </w:r>
    </w:p>
    <w:p>
      <w:pPr>
        <w:spacing w:line="600" w:lineRule="exact"/>
        <w:ind w:firstLine="602" w:firstLineChars="200"/>
        <w:rPr>
          <w:rFonts w:ascii="仿宋_GB2312" w:hAnsi="黑体"/>
          <w:b/>
          <w:szCs w:val="30"/>
        </w:rPr>
      </w:pPr>
      <w:r>
        <w:rPr>
          <w:rFonts w:hint="eastAsia" w:ascii="仿宋_GB2312" w:hAnsi="黑体"/>
          <w:b/>
          <w:szCs w:val="30"/>
        </w:rPr>
        <w:t>（三）绩效评价工作过程:</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1.前期准备：一是成立预算绩效管理评价工作领导小组，负责预算绩效评价工作的领导管理工作，领导小组下设办公室，由办公室负责财政支出绩效自评工作的具体组织、协调工作。二是开展预算绩效管理业务培训，宣传预算绩效管理工作的重要性。三是建立事前绩效目标编制工作，构建事中绩效跟踪和绩效评价机制。为确保绩效目标如期实现，根据确定的部门整体支出绩效目标和项目支出绩效目标，对绩效目标的完成进行跟踪和绩效自评。</w:t>
      </w:r>
    </w:p>
    <w:p>
      <w:pPr>
        <w:spacing w:line="600" w:lineRule="exact"/>
        <w:ind w:firstLine="600" w:firstLineChars="200"/>
        <w:rPr>
          <w:rFonts w:ascii="仿宋_GB2312" w:hAnsi="黑体"/>
          <w:szCs w:val="30"/>
        </w:rPr>
      </w:pPr>
      <w:r>
        <w:rPr>
          <w:rFonts w:hint="eastAsia" w:ascii="仿宋_GB2312" w:hAnsi="黑体"/>
          <w:szCs w:val="30"/>
        </w:rPr>
        <w:t>2.组织实施：在部门整体支出绩效评价指标体系框架的基础上，结合年初预算批复的部门整体支出绩效指标，部门职责以及项目特点，补充设计个性指标，确定部门整体支出和项目的绩效自评指标体系、绩效考评实施方案，并开展相关绩效自评工作，得出绩效自评结论，形成部门整体支出绩效自评报告。</w:t>
      </w:r>
    </w:p>
    <w:p>
      <w:pPr>
        <w:spacing w:line="600" w:lineRule="exact"/>
        <w:ind w:firstLine="600" w:firstLineChars="200"/>
        <w:rPr>
          <w:rFonts w:ascii="仿宋_GB2312" w:hAnsi="黑体"/>
          <w:szCs w:val="30"/>
        </w:rPr>
      </w:pPr>
      <w:r>
        <w:rPr>
          <w:rFonts w:hint="eastAsia" w:ascii="仿宋_GB2312" w:hAnsi="黑体"/>
          <w:szCs w:val="30"/>
        </w:rPr>
        <w:t>3.2019年各项预算收入的各项绩效工作全部纳入巴州党委组织部2019年度单位绩效考评工作。</w:t>
      </w:r>
    </w:p>
    <w:p>
      <w:pPr>
        <w:spacing w:line="600" w:lineRule="exact"/>
        <w:ind w:firstLine="600" w:firstLineChars="200"/>
        <w:rPr>
          <w:rFonts w:ascii="黑体" w:hAnsi="黑体" w:eastAsia="黑体"/>
          <w:szCs w:val="30"/>
        </w:rPr>
      </w:pPr>
      <w:r>
        <w:rPr>
          <w:rFonts w:hint="eastAsia" w:ascii="黑体" w:hAnsi="黑体" w:eastAsia="黑体"/>
          <w:szCs w:val="30"/>
        </w:rPr>
        <w:t>三、综合评价情况及评价结论</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2019年自治州干部专项考核学习班培训经费财政拨款收入项目资金7.15万元，自筹资金0元，全部用于考核学习班培训经费主要用于培训学员证件采购、培训手册印发、第一、二学期伙食费、相关学习用品采购费用等。截止2019年12月底，此项工作已圆满完成，自评得分</w:t>
      </w:r>
      <w:r>
        <w:rPr>
          <w:rFonts w:hint="eastAsia" w:ascii="仿宋_GB2312" w:hAnsi="黑体"/>
          <w:szCs w:val="30"/>
          <w:lang w:val="en-US" w:eastAsia="zh-CN"/>
        </w:rPr>
        <w:t>95</w:t>
      </w:r>
      <w:bookmarkStart w:id="1" w:name="_GoBack"/>
      <w:bookmarkEnd w:id="1"/>
      <w:r>
        <w:rPr>
          <w:rFonts w:hint="eastAsia" w:ascii="仿宋_GB2312" w:hAnsi="黑体"/>
          <w:szCs w:val="30"/>
        </w:rPr>
        <w:t>分。</w:t>
      </w:r>
    </w:p>
    <w:p>
      <w:pPr>
        <w:spacing w:line="600" w:lineRule="exact"/>
        <w:ind w:firstLine="600" w:firstLineChars="200"/>
        <w:rPr>
          <w:rFonts w:ascii="黑体" w:hAnsi="黑体" w:eastAsia="黑体"/>
          <w:szCs w:val="30"/>
        </w:rPr>
      </w:pPr>
      <w:r>
        <w:rPr>
          <w:rFonts w:hint="eastAsia" w:ascii="黑体" w:hAnsi="黑体" w:eastAsia="黑体"/>
          <w:szCs w:val="30"/>
        </w:rPr>
        <w:t>四、绩效评价指标分析</w:t>
      </w:r>
    </w:p>
    <w:p>
      <w:pPr>
        <w:spacing w:line="600" w:lineRule="exact"/>
        <w:ind w:firstLine="602" w:firstLineChars="200"/>
        <w:rPr>
          <w:rFonts w:ascii="仿宋_GB2312" w:hAnsi="黑体"/>
          <w:b/>
          <w:szCs w:val="30"/>
        </w:rPr>
      </w:pPr>
      <w:r>
        <w:rPr>
          <w:rFonts w:hint="eastAsia" w:ascii="仿宋_GB2312" w:hAnsi="黑体"/>
          <w:b/>
          <w:szCs w:val="30"/>
        </w:rPr>
        <w:t>（一）项目决策情况。</w:t>
      </w:r>
    </w:p>
    <w:p>
      <w:pPr>
        <w:spacing w:line="600" w:lineRule="exact"/>
        <w:ind w:firstLine="600" w:firstLineChars="200"/>
        <w:rPr>
          <w:rFonts w:ascii="仿宋_GB2312" w:hAnsi="黑体"/>
          <w:szCs w:val="30"/>
        </w:rPr>
      </w:pPr>
      <w:r>
        <w:rPr>
          <w:rFonts w:hint="eastAsia" w:ascii="仿宋_GB2312" w:hAnsi="黑体"/>
          <w:szCs w:val="30"/>
        </w:rPr>
        <w:t>项目决策指标主要从项目立项、绩效目标和资金投入三个方面来体现，三级指标有：立项依据充分性、立项程序规范性、绩效目标合理性、绩效指标明确性、预算编制科学性、资金分配合理性，共计6个具体评分点，详细得分见下表：</w:t>
      </w:r>
    </w:p>
    <w:p>
      <w:pPr>
        <w:tabs>
          <w:tab w:val="left" w:pos="3790"/>
        </w:tabs>
        <w:spacing w:before="204" w:beforeLines="50" w:after="204" w:afterLines="50" w:line="600" w:lineRule="exact"/>
        <w:ind w:firstLine="600" w:firstLineChars="200"/>
        <w:jc w:val="center"/>
        <w:rPr>
          <w:rFonts w:ascii="仿宋_GB2312" w:hAnsi="黑体"/>
          <w:szCs w:val="30"/>
        </w:rPr>
      </w:pPr>
      <w:r>
        <w:rPr>
          <w:rFonts w:hint="eastAsia" w:ascii="仿宋_GB2312" w:hAnsi="黑体"/>
          <w:szCs w:val="30"/>
        </w:rPr>
        <w:t>项目决策指标评分表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1812"/>
        <w:gridCol w:w="1812"/>
        <w:gridCol w:w="1812"/>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二级指标</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三级指标</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标准分值</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实际得分</w:t>
            </w:r>
          </w:p>
        </w:tc>
        <w:tc>
          <w:tcPr>
            <w:tcW w:w="1812" w:type="dxa"/>
            <w:vAlign w:val="center"/>
          </w:tcPr>
          <w:p>
            <w:pPr>
              <w:spacing w:line="560" w:lineRule="exact"/>
              <w:ind w:firstLine="422"/>
              <w:jc w:val="center"/>
              <w:outlineLvl w:val="0"/>
              <w:rPr>
                <w:rFonts w:ascii="方正仿宋_GBK" w:hAnsi="方正仿宋_GBK" w:eastAsia="方正仿宋_GBK" w:cs="方正仿宋_GBK"/>
                <w:b/>
                <w:bCs/>
                <w:kern w:val="0"/>
                <w:sz w:val="21"/>
                <w:szCs w:val="21"/>
              </w:rPr>
            </w:pPr>
            <w:r>
              <w:rPr>
                <w:rFonts w:hint="eastAsia" w:ascii="方正仿宋_GBK" w:hAnsi="方正仿宋_GBK" w:eastAsia="方正仿宋_GBK" w:cs="方正仿宋_GBK"/>
                <w:b/>
                <w:bCs/>
                <w:kern w:val="0"/>
                <w:sz w:val="21"/>
                <w:szCs w:val="21"/>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项目立项（5分）</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立项依据充分性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pPr>
              <w:spacing w:line="560" w:lineRule="exact"/>
              <w:ind w:firstLine="420"/>
              <w:jc w:val="center"/>
              <w:outlineLvl w:val="0"/>
              <w:rPr>
                <w:rFonts w:ascii="方正仿宋_GBK" w:hAnsi="方正仿宋_GBK" w:eastAsia="方正仿宋_GBK" w:cs="方正仿宋_GBK"/>
                <w:kern w:val="0"/>
                <w:sz w:val="21"/>
                <w:szCs w:val="21"/>
              </w:rPr>
            </w:pP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立项程序规范性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绩效目标（10分）</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绩效目标合理性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pPr>
              <w:spacing w:line="560" w:lineRule="exact"/>
              <w:ind w:firstLine="420"/>
              <w:jc w:val="center"/>
              <w:outlineLvl w:val="0"/>
              <w:rPr>
                <w:rFonts w:ascii="方正仿宋_GBK" w:hAnsi="方正仿宋_GBK" w:eastAsia="方正仿宋_GBK" w:cs="方正仿宋_GBK"/>
                <w:kern w:val="0"/>
                <w:sz w:val="21"/>
                <w:szCs w:val="21"/>
              </w:rPr>
            </w:pP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绩效指标明确性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pPr>
              <w:spacing w:line="560" w:lineRule="exact"/>
              <w:ind w:firstLine="420"/>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资金投入（5分）</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预算编制科学性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pPr>
              <w:spacing w:line="560" w:lineRule="exact"/>
              <w:ind w:firstLine="420"/>
              <w:jc w:val="center"/>
              <w:outlineLvl w:val="0"/>
              <w:rPr>
                <w:rFonts w:ascii="方正仿宋_GBK" w:hAnsi="方正仿宋_GBK" w:eastAsia="方正仿宋_GBK" w:cs="方正仿宋_GBK"/>
                <w:kern w:val="0"/>
                <w:sz w:val="21"/>
                <w:szCs w:val="21"/>
              </w:rPr>
            </w:pP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资金分配合理性</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2.5</w:t>
            </w:r>
          </w:p>
        </w:tc>
        <w:tc>
          <w:tcPr>
            <w:tcW w:w="1812" w:type="dxa"/>
            <w:vAlign w:val="center"/>
          </w:tcPr>
          <w:p>
            <w:pPr>
              <w:spacing w:line="560" w:lineRule="exact"/>
              <w:ind w:firstLine="420"/>
              <w:jc w:val="center"/>
              <w:outlineLvl w:val="0"/>
              <w:rPr>
                <w:rFonts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100%</w:t>
            </w:r>
          </w:p>
        </w:tc>
      </w:tr>
    </w:tbl>
    <w:p>
      <w:pPr>
        <w:spacing w:line="600" w:lineRule="exact"/>
        <w:ind w:firstLine="600" w:firstLineChars="200"/>
        <w:rPr>
          <w:rFonts w:ascii="仿宋_GB2312" w:hAnsi="黑体"/>
          <w:szCs w:val="30"/>
        </w:rPr>
      </w:pPr>
      <w:r>
        <w:rPr>
          <w:rFonts w:hint="eastAsia" w:ascii="仿宋_GB2312" w:hAnsi="黑体"/>
          <w:szCs w:val="30"/>
        </w:rPr>
        <w:t>根据本次绩效评价体系及评分标准值，2019年自治州干部专项考核学习班培训经费项目，决策指标权重20分，得分总值20分，得分率100%。</w:t>
      </w:r>
    </w:p>
    <w:p>
      <w:pPr>
        <w:spacing w:line="600" w:lineRule="exact"/>
        <w:ind w:firstLine="600" w:firstLineChars="200"/>
        <w:rPr>
          <w:rFonts w:ascii="仿宋_GB2312" w:hAnsi="黑体"/>
          <w:szCs w:val="30"/>
        </w:rPr>
      </w:pPr>
      <w:r>
        <w:rPr>
          <w:rFonts w:hint="eastAsia" w:ascii="仿宋_GB2312" w:hAnsi="黑体"/>
          <w:szCs w:val="30"/>
        </w:rPr>
        <w:t>1.立项依据充分性2.5分。该项目符合自治区干部培训年度工作要点和自治州党委对干部培训工作各项要求。因此，项目立项依据充分性指标得分2.5分，得分率100%。</w:t>
      </w:r>
    </w:p>
    <w:p>
      <w:pPr>
        <w:spacing w:line="600" w:lineRule="exact"/>
        <w:ind w:firstLine="600" w:firstLineChars="200"/>
        <w:rPr>
          <w:rFonts w:ascii="仿宋_GB2312" w:hAnsi="黑体"/>
          <w:szCs w:val="30"/>
        </w:rPr>
      </w:pPr>
      <w:r>
        <w:rPr>
          <w:rFonts w:hint="eastAsia" w:ascii="仿宋_GB2312" w:hAnsi="黑体"/>
          <w:szCs w:val="30"/>
        </w:rPr>
        <w:t>2.项目立项规范性2.5分。该项目根据自治区干部培训年度工作要点和自治州党委对干部培训工作各项要求工作部署，项目申报程序规范，符合相关要求。因此，项目立项规范性指标得分2.5分，得分率100%。</w:t>
      </w:r>
    </w:p>
    <w:p>
      <w:pPr>
        <w:spacing w:line="600" w:lineRule="exact"/>
        <w:ind w:firstLine="600" w:firstLineChars="200"/>
        <w:rPr>
          <w:rFonts w:ascii="仿宋_GB2312" w:hAnsi="黑体"/>
          <w:szCs w:val="30"/>
        </w:rPr>
      </w:pPr>
      <w:r>
        <w:rPr>
          <w:rFonts w:hint="eastAsia" w:ascii="仿宋_GB2312" w:hAnsi="黑体"/>
          <w:szCs w:val="30"/>
        </w:rPr>
        <w:t>3.绩效目标合理性5分。该项目设立了长期目标、年度目标、绩效目标，项目实施产生积极影响，根据绩效目标与项目完成情况的对比分析，项目预期产出效益和效果基本符合正常业务水平，项目资金预算与绩效目标相匹配。因此，绩效目标合理性指标得分5分，得分率100%。</w:t>
      </w:r>
    </w:p>
    <w:p>
      <w:pPr>
        <w:spacing w:line="600" w:lineRule="exact"/>
        <w:ind w:firstLine="600" w:firstLineChars="200"/>
        <w:rPr>
          <w:rFonts w:ascii="仿宋_GB2312" w:hAnsi="黑体"/>
          <w:szCs w:val="30"/>
        </w:rPr>
      </w:pPr>
      <w:r>
        <w:rPr>
          <w:rFonts w:hint="eastAsia" w:ascii="仿宋_GB2312" w:hAnsi="黑体"/>
          <w:szCs w:val="30"/>
        </w:rPr>
        <w:t>4.绩效目标明确性5分。该项目设立的绩效目标清晰、可量化、可衡量、目标任务数、计划数等相对应。因此，绩效目标明确性指标得分5分，得分率100%。</w:t>
      </w:r>
    </w:p>
    <w:p>
      <w:pPr>
        <w:spacing w:line="600" w:lineRule="exact"/>
        <w:ind w:firstLine="600" w:firstLineChars="200"/>
        <w:rPr>
          <w:rFonts w:ascii="仿宋_GB2312" w:hAnsi="黑体"/>
          <w:szCs w:val="30"/>
        </w:rPr>
      </w:pPr>
      <w:r>
        <w:rPr>
          <w:rFonts w:hint="eastAsia" w:ascii="仿宋_GB2312" w:hAnsi="黑体"/>
          <w:szCs w:val="30"/>
        </w:rPr>
        <w:t>5.预算编制科学性2.5分。该项目预算编制经过充分论证、预算内容与项目内容匹配，预算额度测算合力、符合行业标准，预算投资金额与计划工作量相匹配。因此，预算编制科学性指标得分2.5分，得分率100%。</w:t>
      </w:r>
    </w:p>
    <w:p>
      <w:pPr>
        <w:spacing w:line="600" w:lineRule="exact"/>
        <w:ind w:firstLine="600" w:firstLineChars="200"/>
        <w:rPr>
          <w:rFonts w:ascii="仿宋_GB2312" w:hAnsi="黑体"/>
          <w:szCs w:val="30"/>
        </w:rPr>
      </w:pPr>
      <w:r>
        <w:rPr>
          <w:rFonts w:hint="eastAsia" w:ascii="仿宋_GB2312" w:hAnsi="黑体"/>
          <w:szCs w:val="30"/>
        </w:rPr>
        <w:t>6.资金分配合理性2.5分。根据财政预算下达指标，该项目总投入7.15万元，实行国库集中支付制度。截止2019年12月31日，该项目实际支出7.15万元，未支付0万元，资金执行率100%。因此，资金投入合理性指标得分2.5分，得分率100%。</w:t>
      </w:r>
    </w:p>
    <w:p>
      <w:pPr>
        <w:spacing w:line="600" w:lineRule="exact"/>
        <w:ind w:firstLine="602" w:firstLineChars="200"/>
        <w:rPr>
          <w:rFonts w:ascii="仿宋_GB2312" w:hAnsi="黑体"/>
          <w:b/>
          <w:szCs w:val="30"/>
        </w:rPr>
      </w:pPr>
      <w:r>
        <w:rPr>
          <w:rFonts w:hint="eastAsia" w:ascii="仿宋_GB2312" w:hAnsi="黑体"/>
          <w:b/>
          <w:szCs w:val="30"/>
        </w:rPr>
        <w:t>（二）项目过程情况:</w:t>
      </w:r>
    </w:p>
    <w:p>
      <w:pPr>
        <w:spacing w:line="600" w:lineRule="exact"/>
        <w:ind w:firstLine="600" w:firstLineChars="200"/>
        <w:rPr>
          <w:rFonts w:ascii="仿宋_GB2312" w:hAnsi="黑体"/>
          <w:szCs w:val="30"/>
        </w:rPr>
      </w:pPr>
      <w:r>
        <w:rPr>
          <w:rFonts w:hint="eastAsia" w:ascii="仿宋_GB2312" w:hAnsi="黑体"/>
          <w:szCs w:val="30"/>
        </w:rPr>
        <w:t>自治州干部专项考核学习班培训经费按照2019年度工作计划分阶段组织实施。资金使用过程中，能规范项目资金管理，提高项目资金、财务管理水平和资金使用效益，统一申报、建设、考评和验收程序，严格按照《会计核算制度》《政府采购制度》、资金审查审批程序和财务制度进行管理，坚决贯彻执行各级财政预算资金管理规定，全面提高财务人员的业务工作能力，制定项目实施的各项保障制度，主要包括项目管理制度建设、日常检查监督管理等。</w:t>
      </w:r>
    </w:p>
    <w:p>
      <w:pPr>
        <w:spacing w:line="600" w:lineRule="exact"/>
        <w:ind w:firstLine="602" w:firstLineChars="200"/>
        <w:rPr>
          <w:rFonts w:ascii="仿宋_GB2312" w:hAnsi="黑体"/>
          <w:b/>
          <w:szCs w:val="30"/>
        </w:rPr>
      </w:pPr>
      <w:r>
        <w:rPr>
          <w:rFonts w:hint="eastAsia" w:ascii="仿宋_GB2312" w:hAnsi="黑体"/>
          <w:b/>
          <w:szCs w:val="30"/>
        </w:rPr>
        <w:t>（三）项目产出情况:</w:t>
      </w:r>
    </w:p>
    <w:p>
      <w:pPr>
        <w:spacing w:line="600" w:lineRule="exact"/>
        <w:ind w:firstLine="600" w:firstLineChars="200"/>
        <w:rPr>
          <w:rFonts w:ascii="仿宋_GB2312" w:hAnsi="黑体"/>
          <w:szCs w:val="30"/>
        </w:rPr>
      </w:pPr>
      <w:r>
        <w:rPr>
          <w:rFonts w:hint="eastAsia" w:ascii="仿宋_GB2312" w:hAnsi="黑体"/>
          <w:szCs w:val="30"/>
        </w:rPr>
        <w:t>学员证件采购55个工作人员，证件采购50个，培训手册配发60册，第一期伙食费46000元，第二期伙食费12350元，采购费用13105元，学习班培训任务2019年12月底顺利完成，学习班2019年12月底结业，干部专项考核工作显著提升，培训工作人员满意度达到95%，学员满意度达到95%以上。</w:t>
      </w:r>
    </w:p>
    <w:p>
      <w:pPr>
        <w:spacing w:line="600" w:lineRule="exact"/>
        <w:ind w:firstLine="602" w:firstLineChars="200"/>
        <w:rPr>
          <w:rFonts w:ascii="仿宋_GB2312" w:hAnsi="黑体"/>
          <w:b/>
          <w:szCs w:val="30"/>
        </w:rPr>
      </w:pPr>
      <w:r>
        <w:rPr>
          <w:rFonts w:hint="eastAsia" w:ascii="仿宋_GB2312" w:hAnsi="黑体"/>
          <w:b/>
          <w:szCs w:val="30"/>
        </w:rPr>
        <w:t>（四）项目效益情况:</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自治州干部专项考核学习班培训经费专项业务工作为非盈利项目，不产生经济效益，因此无产出。主要是履行工作职能，满足单位正常运行和办公需要。</w:t>
      </w:r>
    </w:p>
    <w:p>
      <w:pPr>
        <w:spacing w:line="600" w:lineRule="exact"/>
        <w:ind w:firstLine="600" w:firstLineChars="200"/>
        <w:rPr>
          <w:rFonts w:ascii="仿宋_GB2312" w:hAnsi="黑体"/>
          <w:szCs w:val="30"/>
        </w:rPr>
      </w:pPr>
    </w:p>
    <w:p>
      <w:pPr>
        <w:spacing w:line="600" w:lineRule="exact"/>
        <w:ind w:firstLine="600" w:firstLineChars="200"/>
        <w:rPr>
          <w:rFonts w:ascii="黑体" w:hAnsi="黑体" w:eastAsia="黑体"/>
          <w:szCs w:val="30"/>
        </w:rPr>
      </w:pPr>
      <w:r>
        <w:rPr>
          <w:rFonts w:hint="eastAsia" w:ascii="黑体" w:hAnsi="黑体" w:eastAsia="黑体"/>
          <w:szCs w:val="30"/>
        </w:rPr>
        <w:t>五、主要经验及做法、存在的问题及原因分析</w:t>
      </w:r>
    </w:p>
    <w:p>
      <w:pPr>
        <w:spacing w:line="600" w:lineRule="exact"/>
        <w:ind w:firstLine="600" w:firstLineChars="200"/>
        <w:rPr>
          <w:rFonts w:ascii="仿宋_GB2312" w:hAnsi="黑体"/>
          <w:szCs w:val="30"/>
        </w:rPr>
      </w:pPr>
      <w:r>
        <w:rPr>
          <w:rFonts w:hint="eastAsia" w:ascii="仿宋_GB2312" w:hAnsi="黑体"/>
          <w:szCs w:val="30"/>
        </w:rPr>
        <w:t>通过对照年初制定的项目数量目标，整体项目数量较为合理，项目产出质量达到预期绩效目标，产出时效与预期相符，并按照调整后绩效目标严格控制产出成本，通过项目合理有序实施，取得较大的社会效益，最大程度提升了服务对象满意程度。</w:t>
      </w:r>
    </w:p>
    <w:p>
      <w:pPr>
        <w:spacing w:line="600" w:lineRule="exact"/>
        <w:ind w:firstLine="600" w:firstLineChars="200"/>
        <w:rPr>
          <w:rFonts w:ascii="黑体" w:hAnsi="黑体" w:eastAsia="黑体"/>
          <w:szCs w:val="30"/>
        </w:rPr>
      </w:pPr>
      <w:r>
        <w:rPr>
          <w:rFonts w:hint="eastAsia" w:ascii="黑体" w:hAnsi="黑体" w:eastAsia="黑体"/>
          <w:szCs w:val="30"/>
        </w:rPr>
        <w:t>六、有关建议</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建议财政部门从实际工作需要出发，拨付工作经费，保证工作工作有效开展。</w:t>
      </w:r>
    </w:p>
    <w:p>
      <w:pPr>
        <w:spacing w:line="600" w:lineRule="exact"/>
        <w:ind w:firstLine="600" w:firstLineChars="200"/>
        <w:rPr>
          <w:rFonts w:ascii="黑体" w:hAnsi="黑体" w:eastAsia="黑体"/>
          <w:szCs w:val="30"/>
        </w:rPr>
      </w:pPr>
      <w:r>
        <w:rPr>
          <w:rFonts w:hint="eastAsia" w:ascii="黑体" w:hAnsi="黑体" w:eastAsia="黑体"/>
          <w:szCs w:val="30"/>
        </w:rPr>
        <w:t>七、其他需要说明的问题</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无</w:t>
      </w: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sectPr>
          <w:pgSz w:w="11906" w:h="16838"/>
          <w:pgMar w:top="1928" w:right="1531" w:bottom="1701" w:left="1531" w:header="737" w:footer="851" w:gutter="0"/>
          <w:cols w:space="720" w:num="1"/>
          <w:docGrid w:type="lines" w:linePitch="408" w:charSpace="0"/>
        </w:sectPr>
      </w:pPr>
    </w:p>
    <w:p>
      <w:pPr>
        <w:spacing w:line="600" w:lineRule="exact"/>
        <w:ind w:firstLine="600" w:firstLineChars="200"/>
        <w:rPr>
          <w:rFonts w:ascii="仿宋_GB2312" w:hAnsi="黑体"/>
          <w:szCs w:val="30"/>
        </w:rPr>
      </w:pPr>
    </w:p>
    <w:p>
      <w:pPr>
        <w:pStyle w:val="2"/>
        <w:spacing w:before="0" w:after="0" w:line="240" w:lineRule="auto"/>
        <w:ind w:firstLine="723"/>
        <w:jc w:val="center"/>
        <w:rPr>
          <w:color w:val="000000"/>
        </w:rPr>
      </w:pPr>
      <w:r>
        <w:rPr>
          <w:rFonts w:hint="eastAsia" w:ascii="宋体" w:hAnsi="宋体" w:eastAsia="宋体" w:cs="宋体"/>
          <w:color w:val="000000"/>
          <w:sz w:val="36"/>
          <w:szCs w:val="28"/>
        </w:rPr>
        <w:t>项目支出绩效评价指标体系框架</w:t>
      </w:r>
    </w:p>
    <w:p>
      <w:pPr>
        <w:spacing w:line="600" w:lineRule="exact"/>
        <w:ind w:firstLine="600" w:firstLineChars="200"/>
        <w:rPr>
          <w:rFonts w:ascii="仿宋_GB2312" w:hAnsi="黑体"/>
          <w:szCs w:val="30"/>
        </w:rPr>
      </w:pPr>
    </w:p>
    <w:bookmarkEnd w:id="0"/>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489"/>
        <w:gridCol w:w="7087"/>
        <w:gridCol w:w="1383"/>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489"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087"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1395" w:type="dxa"/>
            <w:gridSpan w:val="2"/>
            <w:tcBorders>
              <w:top w:val="single" w:color="auto" w:sz="4" w:space="0"/>
              <w:bottom w:val="single" w:color="auto" w:sz="4" w:space="0"/>
              <w:right w:val="single" w:color="auto" w:sz="4" w:space="0"/>
            </w:tcBorders>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2"/>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ind w:firstLine="442"/>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087" w:type="dxa"/>
            <w:tcBorders>
              <w:bottom w:val="single" w:color="auto" w:sz="4" w:space="0"/>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087" w:type="dxa"/>
            <w:tcBorders>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087" w:type="dxa"/>
            <w:tcBorders>
              <w:tl2br w:val="nil"/>
              <w:tr2bl w:val="nil"/>
            </w:tcBorders>
            <w:shd w:val="clear" w:color="000000"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087" w:type="dxa"/>
            <w:tcBorders>
              <w:bottom w:val="single" w:color="auto" w:sz="4" w:space="0"/>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087" w:type="dxa"/>
            <w:tcBorders>
              <w:bottom w:val="single" w:color="auto" w:sz="4" w:space="0"/>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1383"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1383"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1383"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1383"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8"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087" w:type="dxa"/>
            <w:tcBorders>
              <w:bottom w:val="single" w:color="auto" w:sz="4" w:space="0"/>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8"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71"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489" w:type="dxa"/>
            <w:tcBorders>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3047" w:type="dxa"/>
            <w:gridSpan w:val="5"/>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总计</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95</w:t>
            </w:r>
          </w:p>
        </w:tc>
      </w:tr>
    </w:tbl>
    <w:p>
      <w:pPr>
        <w:spacing w:line="600" w:lineRule="exact"/>
        <w:rPr>
          <w:rFonts w:ascii="仿宋_GB2312"/>
          <w:bCs/>
          <w:sz w:val="32"/>
          <w:szCs w:val="32"/>
        </w:rPr>
        <w:sectPr>
          <w:pgSz w:w="16838" w:h="11906" w:orient="landscape"/>
          <w:pgMar w:top="1531" w:right="1701" w:bottom="1531" w:left="1928" w:header="737" w:footer="851" w:gutter="0"/>
          <w:cols w:space="720" w:num="1"/>
          <w:docGrid w:type="lines" w:linePitch="408" w:charSpace="0"/>
        </w:sectPr>
      </w:pPr>
    </w:p>
    <w:p>
      <w:pPr>
        <w:spacing w:line="600" w:lineRule="exact"/>
        <w:rPr>
          <w:rFonts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20EDF657-F6A4-4DDF-A39F-E78766D13447}"/>
  </w:font>
  <w:font w:name="黑体">
    <w:panose1 w:val="02010609060101010101"/>
    <w:charset w:val="86"/>
    <w:family w:val="auto"/>
    <w:pitch w:val="default"/>
    <w:sig w:usb0="800002BF" w:usb1="38CF7CFA" w:usb2="00000016" w:usb3="00000000" w:csb0="00040001" w:csb1="00000000"/>
    <w:embedRegular r:id="rId2" w:fontKey="{5F783B03-D853-4249-B5A6-F539CECE74A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F21FA46B-1A63-46D6-8725-0EAF5108AB46}"/>
  </w:font>
  <w:font w:name="仿宋_GB2312">
    <w:altName w:val="仿宋"/>
    <w:panose1 w:val="02010609030101010101"/>
    <w:charset w:val="86"/>
    <w:family w:val="modern"/>
    <w:pitch w:val="default"/>
    <w:sig w:usb0="00000000" w:usb1="00000000" w:usb2="00000010" w:usb3="00000000" w:csb0="00040000" w:csb1="00000000"/>
    <w:embedRegular r:id="rId4" w:fontKey="{206D29A2-3EB0-49BA-AB0D-303078F85D5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embedRegular r:id="rId5" w:fontKey="{92726307-17A4-4F04-BC9D-93D197C99F7F}"/>
  </w:font>
  <w:font w:name="方正小标宋_GBK">
    <w:altName w:val="微软雅黑"/>
    <w:panose1 w:val="03000509000000000000"/>
    <w:charset w:val="86"/>
    <w:family w:val="script"/>
    <w:pitch w:val="default"/>
    <w:sig w:usb0="00000000" w:usb1="00000000" w:usb2="00000010" w:usb3="00000000" w:csb0="00040000" w:csb1="00000000"/>
    <w:embedRegular r:id="rId6" w:fontKey="{53EA6181-3512-4FF0-B640-F91C16A1DDF6}"/>
  </w:font>
  <w:font w:name="方正仿宋_GBK">
    <w:panose1 w:val="02000000000000000000"/>
    <w:charset w:val="86"/>
    <w:family w:val="script"/>
    <w:pitch w:val="default"/>
    <w:sig w:usb0="A00002BF" w:usb1="38CF7CFA" w:usb2="00082016" w:usb3="00000000" w:csb0="00040001" w:csb1="00000000"/>
    <w:embedRegular r:id="rId7" w:fontKey="{1B2923F9-AC05-4822-B1F7-D7BB0FA0EEAB}"/>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96C2B"/>
    <w:rsid w:val="000B4E42"/>
    <w:rsid w:val="00262E71"/>
    <w:rsid w:val="0043448B"/>
    <w:rsid w:val="0046177F"/>
    <w:rsid w:val="004C7A48"/>
    <w:rsid w:val="00535AC9"/>
    <w:rsid w:val="005829D1"/>
    <w:rsid w:val="00645A80"/>
    <w:rsid w:val="0064780B"/>
    <w:rsid w:val="006C121A"/>
    <w:rsid w:val="006C204E"/>
    <w:rsid w:val="006C61B7"/>
    <w:rsid w:val="006D0C8E"/>
    <w:rsid w:val="0076533F"/>
    <w:rsid w:val="007C337B"/>
    <w:rsid w:val="00817189"/>
    <w:rsid w:val="008A7C65"/>
    <w:rsid w:val="008B147A"/>
    <w:rsid w:val="008F6A3A"/>
    <w:rsid w:val="00A22456"/>
    <w:rsid w:val="00A4658A"/>
    <w:rsid w:val="00B115F5"/>
    <w:rsid w:val="00CD55CE"/>
    <w:rsid w:val="00D861E8"/>
    <w:rsid w:val="00E3118B"/>
    <w:rsid w:val="00E57AFF"/>
    <w:rsid w:val="00E94D22"/>
    <w:rsid w:val="00EA1E5A"/>
    <w:rsid w:val="00F07E05"/>
    <w:rsid w:val="00F2400E"/>
    <w:rsid w:val="1B4B3134"/>
    <w:rsid w:val="3B460945"/>
    <w:rsid w:val="47187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8"/>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闻政-正文段落文字"/>
    <w:basedOn w:val="1"/>
    <w:link w:val="12"/>
    <w:qFormat/>
    <w:uiPriority w:val="0"/>
    <w:pPr>
      <w:spacing w:line="500" w:lineRule="exact"/>
      <w:ind w:firstLine="200" w:firstLineChars="200"/>
    </w:pPr>
    <w:rPr>
      <w:kern w:val="0"/>
      <w:sz w:val="28"/>
      <w:szCs w:val="28"/>
      <w:lang w:val="zh-CN" w:eastAsia="zh-CN"/>
    </w:rPr>
  </w:style>
  <w:style w:type="character" w:customStyle="1" w:styleId="12">
    <w:name w:val="闻政-正文段落文字 Char"/>
    <w:link w:val="11"/>
    <w:qFormat/>
    <w:uiPriority w:val="0"/>
    <w:rPr>
      <w:rFonts w:ascii="Times New Roman" w:hAnsi="Times New Roman" w:eastAsia="仿宋_GB2312" w:cs="Times New Roman"/>
      <w:kern w:val="0"/>
      <w:sz w:val="28"/>
      <w:szCs w:val="28"/>
      <w:lang w:val="zh-CN" w:eastAsia="zh-CN"/>
    </w:rPr>
  </w:style>
  <w:style w:type="paragraph" w:customStyle="1" w:styleId="13">
    <w:name w:val="闻政-正文二级标题"/>
    <w:basedOn w:val="2"/>
    <w:next w:val="11"/>
    <w:link w:val="14"/>
    <w:qFormat/>
    <w:uiPriority w:val="0"/>
    <w:pPr>
      <w:spacing w:before="120" w:after="60" w:line="500" w:lineRule="exact"/>
      <w:ind w:left="200" w:leftChars="200"/>
      <w:jc w:val="left"/>
    </w:pPr>
    <w:rPr>
      <w:rFonts w:ascii="Times New Roman" w:hAnsi="Times New Roman" w:eastAsia="仿宋_GB2312" w:cs="Times New Roman"/>
      <w:kern w:val="0"/>
      <w:sz w:val="28"/>
    </w:rPr>
  </w:style>
  <w:style w:type="character" w:customStyle="1" w:styleId="14">
    <w:name w:val="闻政-正文二级标题 Char"/>
    <w:link w:val="13"/>
    <w:qFormat/>
    <w:uiPriority w:val="0"/>
    <w:rPr>
      <w:rFonts w:ascii="Times New Roman" w:hAnsi="Times New Roman" w:eastAsia="仿宋_GB2312" w:cs="Times New Roman"/>
      <w:b/>
      <w:bCs/>
      <w:kern w:val="0"/>
      <w:sz w:val="28"/>
      <w:szCs w:val="32"/>
    </w:rPr>
  </w:style>
  <w:style w:type="paragraph" w:customStyle="1" w:styleId="15">
    <w:name w:val="闻政-正文一级标题"/>
    <w:basedOn w:val="3"/>
    <w:next w:val="11"/>
    <w:link w:val="16"/>
    <w:qFormat/>
    <w:uiPriority w:val="0"/>
    <w:pPr>
      <w:spacing w:before="120" w:after="60" w:line="500" w:lineRule="exact"/>
      <w:jc w:val="left"/>
      <w:outlineLvl w:val="0"/>
    </w:pPr>
    <w:rPr>
      <w:rFonts w:ascii="黑体" w:hAnsi="黑体" w:eastAsia="黑体"/>
      <w:b w:val="0"/>
      <w:kern w:val="0"/>
    </w:rPr>
  </w:style>
  <w:style w:type="character" w:customStyle="1" w:styleId="16">
    <w:name w:val="闻政-正文一级标题 Char"/>
    <w:link w:val="15"/>
    <w:qFormat/>
    <w:uiPriority w:val="0"/>
    <w:rPr>
      <w:rFonts w:ascii="黑体" w:hAnsi="黑体" w:eastAsia="黑体" w:cs="Times New Roman"/>
      <w:bCs/>
      <w:kern w:val="0"/>
      <w:sz w:val="32"/>
      <w:szCs w:val="32"/>
    </w:rPr>
  </w:style>
  <w:style w:type="character" w:customStyle="1" w:styleId="17">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8">
    <w:name w:val="标题 3 Char"/>
    <w:basedOn w:val="8"/>
    <w:link w:val="3"/>
    <w:semiHidden/>
    <w:qFormat/>
    <w:uiPriority w:val="9"/>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889</Words>
  <Characters>5072</Characters>
  <Lines>42</Lines>
  <Paragraphs>11</Paragraphs>
  <TotalTime>2</TotalTime>
  <ScaleCrop>false</ScaleCrop>
  <LinksUpToDate>false</LinksUpToDate>
  <CharactersWithSpaces>5950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xzzf</cp:lastModifiedBy>
  <dcterms:modified xsi:type="dcterms:W3CDTF">2020-06-08T09:50:05Z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