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巴州党委组织部单位项目支出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rPr>
          <w:rFonts w:hAnsi="宋体" w:cs="宋体"/>
          <w:kern w:val="0"/>
          <w:szCs w:val="30"/>
        </w:rPr>
      </w:pPr>
    </w:p>
    <w:p>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项目名称：为民办实事工作经费</w:t>
      </w:r>
    </w:p>
    <w:p>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巴州党委组织部</w:t>
      </w:r>
    </w:p>
    <w:p>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巴州党委</w:t>
      </w:r>
    </w:p>
    <w:p>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w:t>
      </w:r>
      <w:r>
        <w:rPr>
          <w:rFonts w:hAnsi="宋体" w:cs="宋体"/>
          <w:kern w:val="0"/>
          <w:sz w:val="36"/>
          <w:szCs w:val="36"/>
        </w:rPr>
        <w:t xml:space="preserve"> 刘发平</w:t>
      </w:r>
    </w:p>
    <w:p>
      <w:pPr>
        <w:spacing w:line="700" w:lineRule="exact"/>
        <w:ind w:firstLine="849" w:firstLineChars="236"/>
        <w:jc w:val="left"/>
        <w:rPr>
          <w:rFonts w:hint="eastAsia" w:hAnsi="宋体" w:cs="宋体"/>
          <w:kern w:val="0"/>
          <w:sz w:val="36"/>
          <w:szCs w:val="36"/>
          <w:lang w:val="en-US" w:eastAsia="zh-CN"/>
        </w:rPr>
        <w:sectPr>
          <w:pgSz w:w="11906" w:h="16838"/>
          <w:pgMar w:top="1928" w:right="1531" w:bottom="1701" w:left="1531" w:header="737" w:footer="851" w:gutter="0"/>
          <w:cols w:space="720" w:num="1"/>
          <w:docGrid w:type="lines" w:linePitch="408" w:charSpace="0"/>
        </w:sectPr>
      </w:pPr>
      <w:r>
        <w:rPr>
          <w:rFonts w:hint="eastAsia" w:hAnsi="宋体" w:cs="宋体"/>
          <w:kern w:val="0"/>
          <w:sz w:val="36"/>
          <w:szCs w:val="36"/>
        </w:rPr>
        <w:t>填报时间：  2020年5月</w:t>
      </w:r>
      <w:r>
        <w:rPr>
          <w:rFonts w:hint="eastAsia" w:hAnsi="宋体" w:cs="宋体"/>
          <w:kern w:val="0"/>
          <w:sz w:val="36"/>
          <w:szCs w:val="36"/>
          <w:lang w:val="en-US" w:eastAsia="zh-CN"/>
        </w:rPr>
        <w:t>3日</w:t>
      </w:r>
    </w:p>
    <w:p>
      <w:pPr>
        <w:rPr>
          <w:rFonts w:ascii="黑体" w:hAnsi="黑体" w:eastAsia="黑体"/>
        </w:rPr>
      </w:pPr>
      <w:r>
        <w:rPr>
          <w:rFonts w:hint="eastAsia" w:ascii="黑体" w:hAnsi="黑体" w:eastAsia="黑体"/>
        </w:rPr>
        <w:t>附2</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600" w:lineRule="exact"/>
        <w:ind w:firstLine="600" w:firstLineChars="200"/>
        <w:rPr>
          <w:rFonts w:ascii="黑体" w:hAnsi="黑体" w:eastAsia="黑体"/>
          <w:szCs w:val="30"/>
        </w:rPr>
      </w:pPr>
      <w:bookmarkStart w:id="0" w:name="_Toc40343129"/>
      <w:r>
        <w:rPr>
          <w:rFonts w:hint="eastAsia" w:ascii="黑体" w:hAnsi="黑体" w:eastAsia="黑体"/>
          <w:szCs w:val="30"/>
        </w:rPr>
        <w:t>一、基本情况</w:t>
      </w:r>
    </w:p>
    <w:p>
      <w:pPr>
        <w:spacing w:line="600" w:lineRule="exact"/>
        <w:ind w:firstLine="602" w:firstLineChars="200"/>
        <w:rPr>
          <w:rFonts w:ascii="仿宋_GB2312" w:hAnsi="黑体"/>
          <w:b/>
          <w:szCs w:val="30"/>
        </w:rPr>
      </w:pPr>
      <w:r>
        <w:rPr>
          <w:rFonts w:hint="eastAsia" w:ascii="仿宋_GB2312" w:hAnsi="黑体"/>
          <w:b/>
          <w:szCs w:val="30"/>
        </w:rPr>
        <w:t>（一）项目概况：</w:t>
      </w:r>
    </w:p>
    <w:p>
      <w:pPr>
        <w:spacing w:line="600" w:lineRule="exact"/>
        <w:ind w:firstLine="600" w:firstLineChars="200"/>
        <w:rPr>
          <w:rFonts w:ascii="仿宋_GB2312" w:hAnsi="黑体"/>
          <w:szCs w:val="30"/>
        </w:rPr>
      </w:pPr>
      <w:r>
        <w:rPr>
          <w:rFonts w:hint="eastAsia" w:ascii="仿宋_GB2312" w:hAnsi="黑体"/>
          <w:szCs w:val="30"/>
        </w:rPr>
        <w:t>1、项目背景：切实落实和完成自治区党委《关于推进“访民情惠民生聚民心”驻村工作常态化长效化制度化的意见》党新发【2018】38号文件中（三）始终抓实“1+2+5”项任务中第七项工作：办实事、办好事的指示精神，州党委组织部以全心全意为人民服务为宗旨，解决群众最关心的实际困难。</w:t>
      </w:r>
    </w:p>
    <w:p>
      <w:pPr>
        <w:spacing w:line="600" w:lineRule="exact"/>
        <w:ind w:firstLine="600" w:firstLineChars="200"/>
        <w:rPr>
          <w:rFonts w:ascii="仿宋_GB2312" w:hAnsi="黑体"/>
          <w:szCs w:val="30"/>
        </w:rPr>
      </w:pPr>
      <w:r>
        <w:rPr>
          <w:rFonts w:hint="eastAsia" w:ascii="仿宋_GB2312" w:hAnsi="黑体"/>
          <w:szCs w:val="30"/>
        </w:rPr>
        <w:t>2、主要内容及实施情况：州党委组织部以全心全意为人民服务为宗旨，在和静县哈尔莫墩镇乌兰尕扎尔村扎实开展“访民情惠民生聚民心”驻村工作，解决群众最关心的实际困难，用于访贫问苦，为群众送信息、送服务、送温暖，帮助困难群众、房屋修缮、基础设施维护、技能培训、开展活动等。</w:t>
      </w:r>
    </w:p>
    <w:p>
      <w:pPr>
        <w:pStyle w:val="11"/>
        <w:ind w:firstLine="560"/>
        <w:rPr>
          <w:sz w:val="30"/>
          <w:szCs w:val="30"/>
        </w:rPr>
      </w:pPr>
      <w:r>
        <w:rPr>
          <w:rFonts w:hint="eastAsia" w:ascii="仿宋_GB2312" w:hAnsi="黑体"/>
          <w:szCs w:val="30"/>
        </w:rPr>
        <w:t>3、资金投入和使用情况：2019年为民办实事工作经费财政拨款共计15万元，无其他资金来源，截止2019年12月31日，为民办实事经费15万元全部支出完成，主要用于</w:t>
      </w:r>
      <w:r>
        <w:rPr>
          <w:rFonts w:hint="eastAsia"/>
          <w:sz w:val="30"/>
          <w:szCs w:val="30"/>
        </w:rPr>
        <w:t>走访贫困户、低保人员、特殊困难人员为重点，及时了解掌握各族群众的生产生活情况</w:t>
      </w:r>
      <w:r>
        <w:rPr>
          <w:rFonts w:hint="eastAsia"/>
          <w:sz w:val="30"/>
          <w:szCs w:val="30"/>
          <w:lang w:eastAsia="zh-CN"/>
        </w:rPr>
        <w:t>；</w:t>
      </w:r>
      <w:r>
        <w:rPr>
          <w:rFonts w:hint="eastAsia"/>
          <w:sz w:val="30"/>
          <w:szCs w:val="30"/>
        </w:rPr>
        <w:t>以慰问等形式帮助贫困户、低保户、特殊困难人员切实解决生产生活上的困难</w:t>
      </w:r>
      <w:r>
        <w:rPr>
          <w:rFonts w:hint="eastAsia"/>
          <w:sz w:val="30"/>
          <w:szCs w:val="30"/>
          <w:lang w:eastAsia="zh-CN"/>
        </w:rPr>
        <w:t>；</w:t>
      </w:r>
      <w:r>
        <w:rPr>
          <w:rFonts w:hint="eastAsia"/>
          <w:sz w:val="30"/>
          <w:szCs w:val="30"/>
        </w:rPr>
        <w:t>积极组织村民开展丰富多彩的文化、体育活动提高村民的文化素养</w:t>
      </w:r>
    </w:p>
    <w:p>
      <w:pPr>
        <w:spacing w:line="600" w:lineRule="exact"/>
        <w:ind w:firstLine="600" w:firstLineChars="200"/>
        <w:rPr>
          <w:rFonts w:ascii="仿宋_GB2312" w:hAnsi="黑体"/>
          <w:szCs w:val="30"/>
          <w:lang w:val="zh-CN"/>
        </w:rPr>
      </w:pPr>
    </w:p>
    <w:p>
      <w:pPr>
        <w:spacing w:line="600" w:lineRule="exact"/>
        <w:ind w:firstLine="602" w:firstLineChars="200"/>
        <w:rPr>
          <w:rFonts w:ascii="仿宋_GB2312" w:hAnsi="黑体"/>
          <w:b/>
          <w:szCs w:val="30"/>
        </w:rPr>
      </w:pPr>
      <w:r>
        <w:rPr>
          <w:rFonts w:hint="eastAsia" w:ascii="仿宋_GB2312" w:hAnsi="黑体"/>
          <w:b/>
          <w:szCs w:val="30"/>
        </w:rPr>
        <w:t>（二）项目绩效目标:</w:t>
      </w:r>
    </w:p>
    <w:p>
      <w:pPr>
        <w:spacing w:line="600" w:lineRule="exact"/>
        <w:ind w:firstLine="600" w:firstLineChars="200"/>
        <w:rPr>
          <w:rFonts w:ascii="仿宋_GB2312" w:hAnsi="黑体"/>
          <w:szCs w:val="30"/>
        </w:rPr>
      </w:pPr>
      <w:r>
        <w:rPr>
          <w:rFonts w:hint="eastAsia" w:ascii="仿宋_GB2312" w:hAnsi="黑体"/>
          <w:szCs w:val="30"/>
        </w:rPr>
        <w:t>总体目标：为民办实事是我们党从中国特色社会主义事业总体布局和</w:t>
      </w:r>
      <w:r>
        <w:rPr>
          <w:rFonts w:hint="eastAsia" w:ascii="仿宋_GB2312" w:hAnsi="黑体"/>
          <w:szCs w:val="30"/>
          <w:lang w:eastAsia="zh-CN"/>
        </w:rPr>
        <w:t>全面建成小康社会</w:t>
      </w:r>
      <w:bookmarkStart w:id="1" w:name="_GoBack"/>
      <w:bookmarkEnd w:id="1"/>
      <w:r>
        <w:rPr>
          <w:rFonts w:hint="eastAsia" w:ascii="仿宋_GB2312" w:hAnsi="黑体"/>
          <w:szCs w:val="30"/>
        </w:rPr>
        <w:t>全局出发提出的重大战略任务。从人民群众最关心、最直接、最现实的利益问题入手,建立和完善为民办实事长效机制,解决民生问题、推进和谐社会建设。</w:t>
      </w:r>
    </w:p>
    <w:p>
      <w:pPr>
        <w:spacing w:line="600" w:lineRule="exact"/>
        <w:ind w:firstLine="600" w:firstLineChars="200"/>
        <w:rPr>
          <w:rFonts w:ascii="黑体" w:hAnsi="黑体" w:eastAsia="黑体"/>
          <w:szCs w:val="30"/>
        </w:rPr>
      </w:pPr>
      <w:r>
        <w:rPr>
          <w:rFonts w:hint="eastAsia" w:ascii="黑体" w:hAnsi="黑体" w:eastAsia="黑体"/>
          <w:szCs w:val="30"/>
        </w:rPr>
        <w:t>阶段性目标：　</w:t>
      </w:r>
    </w:p>
    <w:p>
      <w:pPr>
        <w:pStyle w:val="11"/>
        <w:ind w:firstLine="600"/>
        <w:rPr>
          <w:sz w:val="30"/>
          <w:szCs w:val="30"/>
        </w:rPr>
      </w:pPr>
      <w:r>
        <w:rPr>
          <w:rFonts w:hint="eastAsia"/>
          <w:sz w:val="30"/>
          <w:szCs w:val="30"/>
        </w:rPr>
        <w:t>1、以走访贫困户、低保人员、特殊困难人员为重点，及时了解掌握各族群众的生产生活情况</w:t>
      </w:r>
    </w:p>
    <w:p>
      <w:pPr>
        <w:pStyle w:val="11"/>
        <w:ind w:firstLine="600"/>
        <w:rPr>
          <w:sz w:val="30"/>
          <w:szCs w:val="30"/>
        </w:rPr>
      </w:pPr>
      <w:r>
        <w:rPr>
          <w:rFonts w:hint="eastAsia"/>
          <w:sz w:val="30"/>
          <w:szCs w:val="30"/>
        </w:rPr>
        <w:t>2、以慰问等形式帮助贫困户、低保户、特殊困难人员切实解决生产生活上的困难</w:t>
      </w:r>
    </w:p>
    <w:p>
      <w:pPr>
        <w:pStyle w:val="11"/>
        <w:ind w:firstLine="600"/>
        <w:rPr>
          <w:sz w:val="30"/>
          <w:szCs w:val="30"/>
          <w:lang w:eastAsia="zh-CN"/>
        </w:rPr>
      </w:pPr>
      <w:r>
        <w:rPr>
          <w:rFonts w:hint="eastAsia"/>
          <w:sz w:val="30"/>
          <w:szCs w:val="30"/>
        </w:rPr>
        <w:t>3、积极组织村民开展丰富多彩的文化、体育活动提高村民的文化素养</w:t>
      </w:r>
    </w:p>
    <w:p>
      <w:pPr>
        <w:spacing w:line="600" w:lineRule="exact"/>
        <w:ind w:firstLine="600" w:firstLineChars="200"/>
        <w:rPr>
          <w:rFonts w:ascii="黑体" w:hAnsi="黑体" w:eastAsia="黑体"/>
          <w:szCs w:val="30"/>
        </w:rPr>
      </w:pPr>
      <w:r>
        <w:rPr>
          <w:rFonts w:hint="eastAsia" w:ascii="黑体" w:hAnsi="黑体" w:eastAsia="黑体"/>
          <w:szCs w:val="30"/>
        </w:rPr>
        <w:t>二、绩效评价工作开展情况</w:t>
      </w:r>
    </w:p>
    <w:p>
      <w:pPr>
        <w:spacing w:line="600" w:lineRule="exact"/>
        <w:ind w:firstLine="602" w:firstLineChars="200"/>
        <w:rPr>
          <w:rFonts w:ascii="仿宋_GB2312" w:hAnsi="黑体"/>
          <w:b/>
          <w:szCs w:val="30"/>
        </w:rPr>
      </w:pPr>
      <w:r>
        <w:rPr>
          <w:rFonts w:hint="eastAsia" w:ascii="仿宋_GB2312" w:hAnsi="黑体"/>
          <w:b/>
          <w:szCs w:val="30"/>
        </w:rPr>
        <w:t>（一）绩效评价目的、对象和范围:</w:t>
      </w:r>
    </w:p>
    <w:p>
      <w:pPr>
        <w:spacing w:line="600" w:lineRule="exact"/>
        <w:ind w:firstLine="600" w:firstLineChars="200"/>
        <w:rPr>
          <w:rFonts w:ascii="仿宋_GB2312" w:hAnsi="黑体"/>
          <w:szCs w:val="30"/>
        </w:rPr>
      </w:pPr>
      <w:r>
        <w:rPr>
          <w:rFonts w:hint="eastAsia" w:ascii="仿宋_GB2312" w:hAnsi="黑体"/>
          <w:szCs w:val="30"/>
        </w:rPr>
        <w:t>目的：州党委组织部以全心全意为人民服务为宗旨，解决群众最关心、最急需解决的实际困难。</w:t>
      </w:r>
    </w:p>
    <w:p>
      <w:pPr>
        <w:spacing w:line="600" w:lineRule="exact"/>
        <w:ind w:firstLine="600" w:firstLineChars="200"/>
        <w:rPr>
          <w:rFonts w:ascii="仿宋_GB2312" w:hAnsi="黑体"/>
          <w:szCs w:val="30"/>
        </w:rPr>
      </w:pPr>
      <w:r>
        <w:rPr>
          <w:rFonts w:hint="eastAsia" w:ascii="仿宋_GB2312" w:hAnsi="黑体"/>
          <w:szCs w:val="30"/>
        </w:rPr>
        <w:t>对象：为民办实事专项经费</w:t>
      </w:r>
    </w:p>
    <w:p>
      <w:pPr>
        <w:spacing w:line="600" w:lineRule="exact"/>
        <w:ind w:firstLine="600" w:firstLineChars="200"/>
        <w:rPr>
          <w:rFonts w:ascii="仿宋_GB2312" w:hAnsi="黑体"/>
          <w:szCs w:val="30"/>
        </w:rPr>
      </w:pPr>
      <w:r>
        <w:rPr>
          <w:rFonts w:hint="eastAsia" w:ascii="仿宋_GB2312" w:hAnsi="黑体"/>
          <w:szCs w:val="30"/>
        </w:rPr>
        <w:t>范围：涉及范围包括“访惠聚”办公室及帮扶对象。</w:t>
      </w:r>
    </w:p>
    <w:p>
      <w:pPr>
        <w:spacing w:line="600" w:lineRule="exact"/>
        <w:ind w:firstLine="602" w:firstLineChars="200"/>
        <w:rPr>
          <w:rFonts w:ascii="仿宋_GB2312" w:hAnsi="黑体"/>
          <w:szCs w:val="30"/>
        </w:rPr>
      </w:pPr>
      <w:r>
        <w:rPr>
          <w:rFonts w:hint="eastAsia" w:ascii="仿宋_GB2312" w:hAnsi="黑体"/>
          <w:b/>
          <w:szCs w:val="30"/>
        </w:rPr>
        <w:t>（二）绩效评价原则、评价指标体系（附表说明）、评价方法、</w:t>
      </w:r>
      <w:r>
        <w:rPr>
          <w:rFonts w:hint="eastAsia" w:ascii="仿宋_GB2312" w:hAnsi="黑体"/>
          <w:szCs w:val="30"/>
        </w:rPr>
        <w:t>评价标准等:</w:t>
      </w:r>
    </w:p>
    <w:p>
      <w:pPr>
        <w:spacing w:line="600" w:lineRule="exact"/>
        <w:ind w:firstLine="600" w:firstLineChars="200"/>
        <w:rPr>
          <w:rFonts w:ascii="仿宋_GB2312" w:hAnsi="黑体"/>
          <w:szCs w:val="30"/>
        </w:rPr>
      </w:pPr>
      <w:r>
        <w:rPr>
          <w:rFonts w:hint="eastAsia" w:ascii="仿宋_GB2312" w:hAnsi="黑体"/>
          <w:szCs w:val="30"/>
        </w:rPr>
        <w:t>1、绩效评价原则：为民办实事经费项目绩效评价坚持科学规范、保证项目资金分配合理规范、帮扶过程公开公正绩效相关的原则,坚持社会效益和生态效益相结合的原则。</w:t>
      </w:r>
    </w:p>
    <w:p>
      <w:pPr>
        <w:spacing w:line="600" w:lineRule="exact"/>
        <w:ind w:firstLine="600" w:firstLineChars="200"/>
        <w:rPr>
          <w:rFonts w:ascii="仿宋_GB2312" w:hAnsi="黑体"/>
          <w:szCs w:val="30"/>
        </w:rPr>
      </w:pPr>
      <w:r>
        <w:rPr>
          <w:rFonts w:hint="eastAsia" w:ascii="仿宋_GB2312" w:hAnsi="黑体"/>
          <w:szCs w:val="30"/>
        </w:rPr>
        <w:t>2、评价指标体系：评价标准从数量指标、质量指标、时效指标和群众满意度等方面分别计分。(详见附表)</w:t>
      </w:r>
    </w:p>
    <w:p>
      <w:pPr>
        <w:spacing w:line="600" w:lineRule="exact"/>
        <w:ind w:firstLine="600" w:firstLineChars="200"/>
        <w:rPr>
          <w:rFonts w:ascii="仿宋_GB2312" w:hAnsi="黑体"/>
          <w:szCs w:val="30"/>
        </w:rPr>
      </w:pPr>
      <w:r>
        <w:rPr>
          <w:rFonts w:hint="eastAsia" w:ascii="仿宋_GB2312" w:hAnsi="黑体"/>
          <w:szCs w:val="30"/>
        </w:rPr>
        <w:t>3、评价方法：为加强部门整体支出管理，提高资金和资产的使用效益，提高财务工作的精细化管理水平，结合我单位实际情况，本次绩效采用比较法、因素分析法。</w:t>
      </w:r>
    </w:p>
    <w:p>
      <w:pPr>
        <w:spacing w:line="600" w:lineRule="exact"/>
        <w:ind w:firstLine="600" w:firstLineChars="200"/>
        <w:rPr>
          <w:rFonts w:ascii="仿宋_GB2312" w:hAnsi="黑体"/>
          <w:szCs w:val="30"/>
        </w:rPr>
      </w:pPr>
      <w:r>
        <w:rPr>
          <w:rFonts w:hint="eastAsia" w:ascii="仿宋_GB2312" w:hAnsi="黑体"/>
          <w:szCs w:val="30"/>
        </w:rPr>
        <w:t>4、评价标准：以计划标准为评价标准，主要对项目产出指标、效益指标和满意度指标进行综合分析评定，主要包括解决群众实际困难覆盖率、村民满意度等综合评定，综合得分80分（含）以上为优秀，60-80分为及格，60分（不含）以下为不及格。</w:t>
      </w:r>
    </w:p>
    <w:p>
      <w:pPr>
        <w:spacing w:line="600" w:lineRule="exact"/>
        <w:ind w:firstLine="602" w:firstLineChars="200"/>
        <w:rPr>
          <w:rFonts w:ascii="仿宋_GB2312" w:hAnsi="黑体"/>
          <w:b/>
          <w:szCs w:val="30"/>
        </w:rPr>
      </w:pPr>
      <w:r>
        <w:rPr>
          <w:rFonts w:hint="eastAsia" w:ascii="仿宋_GB2312" w:hAnsi="黑体"/>
          <w:b/>
          <w:szCs w:val="30"/>
        </w:rPr>
        <w:t>（三）绩效评价工作过程:</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1.前期准备：一是成立预算绩效管理评价工作领导小组，负责预算绩效评价工作的领导管理工作，领导小组下设办公室，由访惠聚办公室负责财政支出绩效自评工作的具体组织、协调工作。二是开展预算绩效管理业务培训，宣传预算绩效管理工作的重要性。三是建立事前绩效目标编制工作，构建事中绩效跟踪和绩效评价机制。为确保绩效目标如期实现，根据确定的部门整体支出绩效目标和项目支出绩效目标，对绩效目标的完成进行跟踪和绩效自评。</w:t>
      </w:r>
    </w:p>
    <w:p>
      <w:pPr>
        <w:spacing w:line="600" w:lineRule="exact"/>
        <w:ind w:firstLine="600" w:firstLineChars="200"/>
        <w:rPr>
          <w:rFonts w:ascii="仿宋_GB2312" w:hAnsi="黑体"/>
          <w:szCs w:val="30"/>
        </w:rPr>
      </w:pPr>
      <w:r>
        <w:rPr>
          <w:rFonts w:hint="eastAsia" w:ascii="仿宋_GB2312" w:hAnsi="黑体"/>
          <w:szCs w:val="30"/>
        </w:rPr>
        <w:t>2.组织实施：在部门整体支出绩效评价指标体系框架的基础上，结合年初预算批复的部门整体支出绩效指标，部门职责以及项目特点，补充设计个性指标，确定部门整体支出和项目的绩效自评指标体系、绩效考评实施方案，并开展相关绩效自评工作，得出绩效自评结论，形成部门整体支出绩效自评报告。</w:t>
      </w:r>
    </w:p>
    <w:p>
      <w:pPr>
        <w:spacing w:line="600" w:lineRule="exact"/>
        <w:ind w:firstLine="600" w:firstLineChars="200"/>
        <w:rPr>
          <w:rFonts w:ascii="仿宋_GB2312" w:hAnsi="黑体"/>
          <w:szCs w:val="30"/>
        </w:rPr>
      </w:pPr>
      <w:r>
        <w:rPr>
          <w:rFonts w:hint="eastAsia" w:ascii="仿宋_GB2312" w:hAnsi="黑体"/>
          <w:szCs w:val="30"/>
        </w:rPr>
        <w:t>3.2019年各项预算收入的各项绩效工作全部纳入巴州党委组织部2019年度单位绩效考评工作。</w:t>
      </w:r>
    </w:p>
    <w:p>
      <w:pPr>
        <w:spacing w:line="600" w:lineRule="exact"/>
        <w:ind w:firstLine="600" w:firstLineChars="200"/>
        <w:rPr>
          <w:rFonts w:ascii="黑体" w:hAnsi="黑体" w:eastAsia="黑体"/>
          <w:szCs w:val="30"/>
        </w:rPr>
      </w:pPr>
      <w:r>
        <w:rPr>
          <w:rFonts w:hint="eastAsia" w:ascii="黑体" w:hAnsi="黑体" w:eastAsia="黑体"/>
          <w:szCs w:val="30"/>
        </w:rPr>
        <w:t>三、综合评价情况及评价结论</w:t>
      </w:r>
    </w:p>
    <w:p>
      <w:pPr>
        <w:spacing w:line="600" w:lineRule="exact"/>
        <w:ind w:firstLine="600" w:firstLineChars="200"/>
        <w:rPr>
          <w:rFonts w:ascii="仿宋_GB2312" w:hAnsi="黑体"/>
          <w:szCs w:val="30"/>
        </w:rPr>
      </w:pPr>
      <w:r>
        <w:rPr>
          <w:rFonts w:hint="eastAsia" w:ascii="仿宋_GB2312" w:hAnsi="黑体"/>
          <w:szCs w:val="30"/>
        </w:rPr>
        <w:t>2019年民办实事工作经费财政拨款收入项目资金15万元，主要用于在和静县哈尔莫墩镇开展活动场次3次；专项经费使用效率≥90%；全年解决群众实际困难覆盖率≥90%；全年走访慰问贫困群众覆盖率≥90%；村民各项活动参与率≥75%；村民满意度≥90%</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2019年民办实事工作经费财政拨款收入项目资金15万元，自筹资金0元，全部用于解决群众最关心的实际困难，用于访贫问苦，为群众送信息、送服务、送温暖，帮助困难群众、房屋修缮、基础设施维护、技能培训、开展活动等。截止2019年12月31日，此项工作已圆满完成，自评得分</w:t>
      </w:r>
      <w:r>
        <w:rPr>
          <w:rFonts w:hint="eastAsia" w:ascii="仿宋_GB2312" w:hAnsi="黑体"/>
          <w:szCs w:val="30"/>
          <w:lang w:val="en-US" w:eastAsia="zh-CN"/>
        </w:rPr>
        <w:t>90</w:t>
      </w:r>
      <w:r>
        <w:rPr>
          <w:rFonts w:hint="eastAsia" w:ascii="仿宋_GB2312" w:hAnsi="黑体"/>
          <w:szCs w:val="30"/>
        </w:rPr>
        <w:t>分。</w:t>
      </w:r>
    </w:p>
    <w:p>
      <w:pPr>
        <w:spacing w:line="600" w:lineRule="exact"/>
        <w:ind w:firstLine="600" w:firstLineChars="200"/>
        <w:rPr>
          <w:rFonts w:ascii="黑体" w:hAnsi="黑体" w:eastAsia="黑体"/>
          <w:szCs w:val="30"/>
        </w:rPr>
      </w:pPr>
      <w:r>
        <w:rPr>
          <w:rFonts w:hint="eastAsia" w:ascii="黑体" w:hAnsi="黑体" w:eastAsia="黑体"/>
          <w:szCs w:val="30"/>
        </w:rPr>
        <w:t>四、绩效评价指标分析</w:t>
      </w:r>
    </w:p>
    <w:p>
      <w:pPr>
        <w:spacing w:line="600" w:lineRule="exact"/>
        <w:ind w:firstLine="602" w:firstLineChars="200"/>
        <w:rPr>
          <w:rFonts w:ascii="仿宋_GB2312" w:hAnsi="黑体"/>
          <w:b/>
          <w:szCs w:val="30"/>
        </w:rPr>
      </w:pPr>
      <w:r>
        <w:rPr>
          <w:rFonts w:hint="eastAsia" w:ascii="仿宋_GB2312" w:hAnsi="黑体"/>
          <w:b/>
          <w:szCs w:val="30"/>
        </w:rPr>
        <w:t>（一）项目决策情况。</w:t>
      </w:r>
    </w:p>
    <w:p>
      <w:pPr>
        <w:spacing w:line="600" w:lineRule="exact"/>
        <w:ind w:firstLine="600" w:firstLineChars="200"/>
        <w:rPr>
          <w:rFonts w:ascii="仿宋_GB2312" w:hAnsi="黑体"/>
          <w:szCs w:val="30"/>
        </w:rPr>
      </w:pPr>
      <w:r>
        <w:rPr>
          <w:rFonts w:hint="eastAsia" w:ascii="仿宋_GB2312" w:hAnsi="黑体"/>
          <w:szCs w:val="30"/>
        </w:rPr>
        <w:t>项目决策指标主要从项目立项、绩效目标和资金投入三个方面来体现，三级指标有：立项依据充分性、立项程序规范性、绩效目标合理性、绩效指标明确性、预算编制科学性、资金分配合理性，共计以下6个具体评分点：</w:t>
      </w:r>
    </w:p>
    <w:p>
      <w:pPr>
        <w:spacing w:line="600" w:lineRule="exact"/>
        <w:ind w:firstLine="600" w:firstLineChars="200"/>
        <w:rPr>
          <w:rFonts w:ascii="仿宋_GB2312" w:hAnsi="黑体"/>
          <w:szCs w:val="30"/>
        </w:rPr>
      </w:pPr>
      <w:r>
        <w:rPr>
          <w:rFonts w:hint="eastAsia" w:ascii="仿宋_GB2312" w:hAnsi="黑体"/>
          <w:szCs w:val="30"/>
        </w:rPr>
        <w:t>根据本次绩效评价体系及评分标准值，2019年为民办实事专项经费项目，决策指标权重20分，得分总值20分，得分率100%。</w:t>
      </w:r>
    </w:p>
    <w:p>
      <w:pPr>
        <w:spacing w:line="600" w:lineRule="exact"/>
        <w:ind w:firstLine="600" w:firstLineChars="200"/>
        <w:rPr>
          <w:rFonts w:ascii="仿宋_GB2312" w:hAnsi="黑体"/>
          <w:szCs w:val="30"/>
        </w:rPr>
      </w:pPr>
      <w:r>
        <w:rPr>
          <w:rFonts w:hint="eastAsia" w:ascii="仿宋_GB2312" w:hAnsi="黑体"/>
          <w:szCs w:val="30"/>
        </w:rPr>
        <w:t>1.立项依据充分性2.5分。该项目符合自治区为民办实事工作要点和自治州党委2019年度为民办实事工作各项要求。因此，项目立项依据充分性指标得分2.5分，得分率100%。</w:t>
      </w:r>
    </w:p>
    <w:p>
      <w:pPr>
        <w:spacing w:line="600" w:lineRule="exact"/>
        <w:ind w:firstLine="600" w:firstLineChars="200"/>
        <w:rPr>
          <w:rFonts w:ascii="仿宋_GB2312" w:hAnsi="黑体"/>
          <w:szCs w:val="30"/>
        </w:rPr>
      </w:pPr>
      <w:r>
        <w:rPr>
          <w:rFonts w:hint="eastAsia" w:ascii="仿宋_GB2312" w:hAnsi="黑体"/>
          <w:szCs w:val="30"/>
        </w:rPr>
        <w:t>2.项目立项规范性2.5分。该项目根据自治区为民办实事年度工作要点和自治州党委对为民办实事工作各项要求工作部署，项目申报程序规范，符合相关要求。因此，项目立项规范性指标得分2.5分，得分率100%。</w:t>
      </w:r>
    </w:p>
    <w:p>
      <w:pPr>
        <w:spacing w:line="600" w:lineRule="exact"/>
        <w:ind w:firstLine="600" w:firstLineChars="200"/>
        <w:rPr>
          <w:rFonts w:ascii="仿宋_GB2312" w:hAnsi="黑体"/>
          <w:szCs w:val="30"/>
        </w:rPr>
      </w:pPr>
      <w:r>
        <w:rPr>
          <w:rFonts w:hint="eastAsia" w:ascii="仿宋_GB2312" w:hAnsi="黑体"/>
          <w:szCs w:val="30"/>
        </w:rPr>
        <w:t>3.绩效目标合理性5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5分，得分率100%。</w:t>
      </w:r>
    </w:p>
    <w:p>
      <w:pPr>
        <w:spacing w:line="600" w:lineRule="exact"/>
        <w:ind w:firstLine="600" w:firstLineChars="200"/>
        <w:rPr>
          <w:rFonts w:ascii="仿宋_GB2312" w:hAnsi="黑体"/>
          <w:szCs w:val="30"/>
        </w:rPr>
      </w:pPr>
      <w:r>
        <w:rPr>
          <w:rFonts w:hint="eastAsia" w:ascii="仿宋_GB2312" w:hAnsi="黑体"/>
          <w:szCs w:val="30"/>
        </w:rPr>
        <w:t>4.绩效目标明确性5分。该项目设立的绩效目标清晰、可量化、可衡量、目标任务数、计划数等相对应。因此，绩效目标明确性指标得分5分，得分率100%。</w:t>
      </w:r>
    </w:p>
    <w:p>
      <w:pPr>
        <w:spacing w:line="600" w:lineRule="exact"/>
        <w:ind w:firstLine="600" w:firstLineChars="200"/>
        <w:rPr>
          <w:rFonts w:ascii="仿宋_GB2312" w:hAnsi="黑体"/>
          <w:szCs w:val="30"/>
        </w:rPr>
      </w:pPr>
      <w:r>
        <w:rPr>
          <w:rFonts w:hint="eastAsia" w:ascii="仿宋_GB2312" w:hAnsi="黑体"/>
          <w:szCs w:val="30"/>
        </w:rPr>
        <w:t>5.预算编制科学性2.5分。该项目预算编制经过充分论证、预算内容与项目内容匹配，预算额度测算合力、符合行业标准，预算投资金额与计划工作量相匹配。因此，预算编制科学性指标得分2分，得分率</w:t>
      </w:r>
      <w:r>
        <w:rPr>
          <w:rFonts w:hint="eastAsia" w:ascii="仿宋_GB2312" w:hAnsi="黑体"/>
          <w:szCs w:val="30"/>
          <w:lang w:val="en-US" w:eastAsia="zh-CN"/>
        </w:rPr>
        <w:t>80</w:t>
      </w:r>
      <w:r>
        <w:rPr>
          <w:rFonts w:hint="eastAsia" w:ascii="仿宋_GB2312" w:hAnsi="黑体"/>
          <w:szCs w:val="30"/>
        </w:rPr>
        <w:t>%。</w:t>
      </w:r>
    </w:p>
    <w:p>
      <w:pPr>
        <w:spacing w:line="600" w:lineRule="exact"/>
        <w:ind w:firstLine="600" w:firstLineChars="200"/>
        <w:rPr>
          <w:rFonts w:ascii="仿宋_GB2312" w:hAnsi="黑体"/>
          <w:szCs w:val="30"/>
        </w:rPr>
      </w:pPr>
      <w:r>
        <w:rPr>
          <w:rFonts w:hint="eastAsia" w:ascii="仿宋_GB2312" w:hAnsi="黑体"/>
          <w:szCs w:val="30"/>
        </w:rPr>
        <w:t>6.资金分配合理性2.5分。根据财政预算下达指标，该项目总投入15万元，实行国库集中支付制度。截止2019年12月31日，该项目实际支出15万元，未支付0万元，资金执行率100%。因此，资金投入合理性指标得分</w:t>
      </w:r>
      <w:r>
        <w:rPr>
          <w:rFonts w:hint="eastAsia" w:ascii="仿宋_GB2312" w:hAnsi="黑体"/>
          <w:szCs w:val="30"/>
          <w:lang w:val="en-US" w:eastAsia="zh-CN"/>
        </w:rPr>
        <w:t>2</w:t>
      </w:r>
      <w:r>
        <w:rPr>
          <w:rFonts w:hint="eastAsia" w:ascii="仿宋_GB2312" w:hAnsi="黑体"/>
          <w:szCs w:val="30"/>
        </w:rPr>
        <w:t>分，得分率</w:t>
      </w:r>
      <w:r>
        <w:rPr>
          <w:rFonts w:hint="eastAsia" w:ascii="仿宋_GB2312" w:hAnsi="黑体"/>
          <w:szCs w:val="30"/>
          <w:lang w:val="en-US" w:eastAsia="zh-CN"/>
        </w:rPr>
        <w:t>80</w:t>
      </w:r>
      <w:r>
        <w:rPr>
          <w:rFonts w:hint="eastAsia" w:ascii="仿宋_GB2312" w:hAnsi="黑体"/>
          <w:szCs w:val="30"/>
        </w:rPr>
        <w:t>%。</w:t>
      </w:r>
    </w:p>
    <w:p>
      <w:pPr>
        <w:spacing w:line="600" w:lineRule="exact"/>
        <w:ind w:firstLine="602" w:firstLineChars="200"/>
        <w:rPr>
          <w:rFonts w:ascii="仿宋_GB2312" w:hAnsi="黑体"/>
          <w:b/>
          <w:szCs w:val="30"/>
        </w:rPr>
      </w:pPr>
      <w:r>
        <w:rPr>
          <w:rFonts w:hint="eastAsia" w:ascii="仿宋_GB2312" w:hAnsi="黑体"/>
          <w:b/>
          <w:szCs w:val="30"/>
        </w:rPr>
        <w:t>（二）项目过程情况:</w:t>
      </w:r>
    </w:p>
    <w:p>
      <w:pPr>
        <w:spacing w:line="600" w:lineRule="exact"/>
        <w:ind w:firstLine="600" w:firstLineChars="200"/>
        <w:rPr>
          <w:rFonts w:ascii="仿宋_GB2312" w:hAnsi="黑体"/>
          <w:szCs w:val="30"/>
        </w:rPr>
      </w:pPr>
      <w:r>
        <w:rPr>
          <w:rFonts w:hint="eastAsia" w:ascii="仿宋_GB2312" w:hAnsi="黑体"/>
          <w:szCs w:val="30"/>
        </w:rPr>
        <w:t>为民办实事工作经费按照2019年度工作计划分阶段组织实施。资金使用过程中，能规范项目资金管理，提高项目资金、财务管理水平和资金使用效益，统一申报、建设、考评和验收程序，严格按照《会计核算制度》《政府采购制度》、资金审查审批程序和财务制度进行管理，坚决贯彻执行各级财政预算资金管理规定，全面提高财务人员的业务工作能力，制定项目实施的各项保障制度，主要包括项目管理制度建设、日常检查监督管理等。</w:t>
      </w:r>
    </w:p>
    <w:p>
      <w:pPr>
        <w:spacing w:line="600" w:lineRule="exact"/>
        <w:ind w:firstLine="602" w:firstLineChars="200"/>
        <w:rPr>
          <w:rFonts w:ascii="仿宋_GB2312" w:hAnsi="黑体"/>
          <w:b/>
          <w:szCs w:val="30"/>
        </w:rPr>
      </w:pPr>
      <w:r>
        <w:rPr>
          <w:rFonts w:hint="eastAsia" w:ascii="仿宋_GB2312" w:hAnsi="黑体"/>
          <w:b/>
          <w:szCs w:val="30"/>
        </w:rPr>
        <w:t>（三）项目产出情况:</w:t>
      </w:r>
    </w:p>
    <w:p>
      <w:pPr>
        <w:spacing w:line="600" w:lineRule="exact"/>
        <w:ind w:firstLine="600" w:firstLineChars="200"/>
        <w:rPr>
          <w:rFonts w:ascii="仿宋_GB2312" w:hAnsi="黑体"/>
          <w:szCs w:val="30"/>
        </w:rPr>
      </w:pPr>
      <w:r>
        <w:rPr>
          <w:rFonts w:hint="eastAsia" w:ascii="仿宋_GB2312" w:hAnsi="黑体"/>
          <w:szCs w:val="30"/>
        </w:rPr>
        <w:t>开展活动场次3次；专项经费使用效率≥90%；全年解决群众实际困难覆盖率≥90%；全年走访慰问贫困群众覆盖率≥90%；村民各项活动参与率≥75%；为民办实事项目完成时间2019年12月底；年底为民办实事工作经费15万元；提高村民文化素养明显增强；村民满意度≥90%。</w:t>
      </w:r>
    </w:p>
    <w:p>
      <w:pPr>
        <w:spacing w:line="600" w:lineRule="exact"/>
        <w:ind w:firstLine="602" w:firstLineChars="200"/>
        <w:rPr>
          <w:rFonts w:ascii="仿宋_GB2312" w:hAnsi="黑体"/>
          <w:b/>
          <w:szCs w:val="30"/>
        </w:rPr>
      </w:pPr>
      <w:r>
        <w:rPr>
          <w:rFonts w:hint="eastAsia" w:ascii="仿宋_GB2312" w:hAnsi="黑体"/>
          <w:b/>
          <w:szCs w:val="30"/>
        </w:rPr>
        <w:t>（四）项目效益情况:</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为民办实事工作经费专项业务工作为非盈利项目，不产生经济效益，因此无经济效益产出。</w:t>
      </w:r>
    </w:p>
    <w:p>
      <w:pPr>
        <w:spacing w:line="600" w:lineRule="exact"/>
        <w:ind w:firstLine="600" w:firstLineChars="200"/>
        <w:rPr>
          <w:rFonts w:ascii="黑体" w:hAnsi="黑体" w:eastAsia="黑体"/>
          <w:szCs w:val="30"/>
        </w:rPr>
      </w:pPr>
      <w:r>
        <w:rPr>
          <w:rFonts w:hint="eastAsia" w:ascii="黑体" w:hAnsi="黑体" w:eastAsia="黑体"/>
          <w:szCs w:val="30"/>
        </w:rPr>
        <w:t>五、主要经验及做法、存在的问题及原因分析</w:t>
      </w:r>
    </w:p>
    <w:p>
      <w:pPr>
        <w:spacing w:line="600" w:lineRule="exact"/>
        <w:ind w:firstLine="602" w:firstLineChars="200"/>
        <w:rPr>
          <w:rFonts w:hint="eastAsia" w:ascii="仿宋_GB2312" w:hAnsi="黑体"/>
          <w:b/>
          <w:szCs w:val="30"/>
        </w:rPr>
      </w:pPr>
      <w:r>
        <w:rPr>
          <w:rFonts w:hint="eastAsia" w:ascii="仿宋_GB2312" w:hAnsi="黑体"/>
          <w:b/>
          <w:szCs w:val="30"/>
        </w:rPr>
        <w:t>（一）主要经验及做法：</w:t>
      </w:r>
    </w:p>
    <w:p>
      <w:pPr>
        <w:spacing w:line="600" w:lineRule="exact"/>
        <w:ind w:firstLine="600" w:firstLineChars="200"/>
        <w:rPr>
          <w:rFonts w:hint="eastAsia" w:ascii="仿宋_GB2312" w:hAnsi="黑体"/>
          <w:szCs w:val="30"/>
        </w:rPr>
      </w:pPr>
      <w:r>
        <w:rPr>
          <w:rFonts w:hint="eastAsia" w:ascii="仿宋_GB2312" w:hAnsi="黑体"/>
          <w:szCs w:val="30"/>
        </w:rPr>
        <w:t>通过对照年初制定的项目数量目标，整体项目数量较为合理，项目产出质量达到预期绩效目标，产出时效与预期相符，并按照调整后绩效目标严格控制产出成本，通过项目合理有序实施，取得较大的社会效益，最大程度提升了服务对象满意程度。</w:t>
      </w:r>
    </w:p>
    <w:p>
      <w:pPr>
        <w:spacing w:line="600" w:lineRule="exact"/>
        <w:ind w:firstLine="602" w:firstLineChars="200"/>
        <w:rPr>
          <w:rFonts w:hint="eastAsia" w:ascii="仿宋_GB2312" w:hAnsi="黑体"/>
          <w:b/>
          <w:szCs w:val="30"/>
        </w:rPr>
      </w:pPr>
      <w:r>
        <w:rPr>
          <w:rFonts w:hint="eastAsia" w:ascii="仿宋_GB2312" w:hAnsi="黑体"/>
          <w:b/>
          <w:szCs w:val="30"/>
        </w:rPr>
        <w:t>（二）存在的问题及原因分析：</w:t>
      </w:r>
    </w:p>
    <w:p>
      <w:pPr>
        <w:spacing w:line="600" w:lineRule="exact"/>
        <w:ind w:firstLine="600" w:firstLineChars="200"/>
        <w:rPr>
          <w:rFonts w:ascii="仿宋_GB2312" w:hAnsi="黑体"/>
          <w:szCs w:val="30"/>
        </w:rPr>
      </w:pPr>
      <w:r>
        <w:rPr>
          <w:rFonts w:hint="eastAsia" w:ascii="仿宋_GB2312" w:hAnsi="黑体"/>
          <w:szCs w:val="30"/>
        </w:rPr>
        <w:t>无</w:t>
      </w:r>
    </w:p>
    <w:p>
      <w:pPr>
        <w:spacing w:line="600" w:lineRule="exact"/>
        <w:ind w:firstLine="600" w:firstLineChars="200"/>
        <w:rPr>
          <w:rFonts w:ascii="黑体" w:hAnsi="黑体" w:eastAsia="黑体"/>
          <w:szCs w:val="30"/>
        </w:rPr>
      </w:pPr>
      <w:r>
        <w:rPr>
          <w:rFonts w:hint="eastAsia" w:ascii="黑体" w:hAnsi="黑体" w:eastAsia="黑体"/>
          <w:szCs w:val="30"/>
        </w:rPr>
        <w:t>六、有关建议</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建议财政部门从实际工作需要出发，拨付工作经费，保证工作工作有效开展。</w:t>
      </w:r>
    </w:p>
    <w:p>
      <w:pPr>
        <w:spacing w:line="600" w:lineRule="exact"/>
        <w:ind w:firstLine="600" w:firstLineChars="200"/>
        <w:rPr>
          <w:rFonts w:ascii="黑体" w:hAnsi="黑体" w:eastAsia="黑体"/>
          <w:szCs w:val="30"/>
        </w:rPr>
      </w:pPr>
      <w:r>
        <w:rPr>
          <w:rFonts w:hint="eastAsia" w:ascii="黑体" w:hAnsi="黑体" w:eastAsia="黑体"/>
          <w:szCs w:val="30"/>
        </w:rPr>
        <w:t>七、其他需要说明的问题</w:t>
      </w:r>
    </w:p>
    <w:p>
      <w:pPr>
        <w:spacing w:line="600" w:lineRule="exact"/>
        <w:ind w:firstLine="600" w:firstLineChars="200"/>
        <w:rPr>
          <w:rFonts w:ascii="仿宋_GB2312" w:hAnsi="黑体"/>
          <w:szCs w:val="30"/>
        </w:rPr>
      </w:pPr>
      <w:r>
        <w:rPr>
          <w:rFonts w:hint="eastAsia" w:ascii="仿宋_GB2312" w:hAnsi="黑体"/>
          <w:szCs w:val="30"/>
        </w:rPr>
        <w:tab/>
      </w:r>
      <w:r>
        <w:rPr>
          <w:rFonts w:hint="eastAsia" w:ascii="仿宋_GB2312" w:hAnsi="黑体"/>
          <w:szCs w:val="30"/>
        </w:rPr>
        <w:t>无</w:t>
      </w: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pPr>
    </w:p>
    <w:p>
      <w:pPr>
        <w:spacing w:line="600" w:lineRule="exact"/>
        <w:ind w:firstLine="600" w:firstLineChars="200"/>
        <w:rPr>
          <w:rFonts w:ascii="仿宋_GB2312" w:hAnsi="黑体"/>
          <w:szCs w:val="30"/>
        </w:rPr>
        <w:sectPr>
          <w:pgSz w:w="11906" w:h="16838"/>
          <w:pgMar w:top="1928" w:right="1531" w:bottom="1701" w:left="1531" w:header="737" w:footer="851" w:gutter="0"/>
          <w:cols w:space="720" w:num="1"/>
          <w:docGrid w:type="lines" w:linePitch="408" w:charSpace="0"/>
        </w:sectPr>
      </w:pPr>
    </w:p>
    <w:p>
      <w:pPr>
        <w:spacing w:line="600" w:lineRule="exact"/>
        <w:ind w:firstLine="600" w:firstLineChars="200"/>
        <w:rPr>
          <w:rFonts w:ascii="仿宋_GB2312" w:hAnsi="黑体"/>
          <w:szCs w:val="30"/>
        </w:rPr>
      </w:pPr>
    </w:p>
    <w:p>
      <w:pPr>
        <w:pStyle w:val="2"/>
        <w:spacing w:before="0" w:after="0" w:line="240" w:lineRule="auto"/>
        <w:ind w:firstLine="723"/>
        <w:jc w:val="center"/>
        <w:rPr>
          <w:color w:val="000000"/>
        </w:rPr>
      </w:pPr>
      <w:r>
        <w:rPr>
          <w:rFonts w:hint="eastAsia" w:ascii="宋体" w:hAnsi="宋体" w:eastAsia="宋体" w:cs="宋体"/>
          <w:color w:val="000000"/>
          <w:sz w:val="36"/>
          <w:szCs w:val="28"/>
        </w:rPr>
        <w:t>项目支出绩效评价指标体系框架</w:t>
      </w:r>
    </w:p>
    <w:p>
      <w:pPr>
        <w:spacing w:line="600" w:lineRule="exact"/>
        <w:ind w:firstLine="600" w:firstLineChars="200"/>
        <w:rPr>
          <w:rFonts w:ascii="仿宋_GB2312" w:hAnsi="黑体"/>
          <w:szCs w:val="30"/>
        </w:rPr>
      </w:pPr>
    </w:p>
    <w:bookmarkEnd w:id="0"/>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489"/>
        <w:gridCol w:w="7087"/>
        <w:gridCol w:w="1383"/>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489"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087" w:type="dxa"/>
            <w:tcBorders>
              <w:tl2br w:val="nil"/>
              <w:tr2bl w:val="nil"/>
            </w:tcBorders>
            <w:shd w:val="clear" w:color="auto" w:fill="FFFFFF"/>
            <w:vAlign w:val="center"/>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1395" w:type="dxa"/>
            <w:gridSpan w:val="2"/>
            <w:tcBorders>
              <w:top w:val="single" w:color="auto" w:sz="4" w:space="0"/>
              <w:bottom w:val="single" w:color="auto" w:sz="4" w:space="0"/>
              <w:right w:val="single" w:color="auto" w:sz="4" w:space="0"/>
            </w:tcBorders>
          </w:tcPr>
          <w:p>
            <w:pPr>
              <w:widowControl/>
              <w:spacing w:line="0" w:lineRule="atLeast"/>
              <w:ind w:firstLine="442"/>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ind w:firstLine="442"/>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087"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087" w:type="dxa"/>
            <w:tcBorders>
              <w:tl2br w:val="nil"/>
              <w:tr2bl w:val="nil"/>
            </w:tcBorders>
            <w:shd w:val="clear" w:color="000000"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087" w:type="dxa"/>
            <w:tcBorders>
              <w:bottom w:val="single" w:color="auto" w:sz="4" w:space="0"/>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489"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1395" w:type="dxa"/>
            <w:gridSpan w:val="2"/>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1383" w:type="dxa"/>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8"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087" w:type="dxa"/>
            <w:tcBorders>
              <w:bottom w:val="single" w:color="auto" w:sz="4" w:space="0"/>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763" w:type="dxa"/>
            <w:vMerge w:val="continue"/>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1"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489" w:type="dxa"/>
            <w:tcBorders>
              <w:tl2br w:val="nil"/>
              <w:tr2bl w:val="nil"/>
            </w:tcBorders>
            <w:shd w:val="clear" w:color="auto" w:fill="FFFFFF"/>
            <w:vAlign w:val="center"/>
          </w:tcPr>
          <w:p>
            <w:pPr>
              <w:widowControl/>
              <w:spacing w:line="0" w:lineRule="atLeast"/>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087" w:type="dxa"/>
            <w:tcBorders>
              <w:tl2br w:val="nil"/>
              <w:tr2bl w:val="nil"/>
            </w:tcBorders>
            <w:shd w:val="clear" w:color="auto"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489"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087" w:type="dxa"/>
            <w:tcBorders>
              <w:tl2br w:val="nil"/>
              <w:tr2bl w:val="nil"/>
            </w:tcBorders>
            <w:shd w:val="clear" w:color="000000" w:fill="FFFFFF"/>
            <w:vAlign w:val="center"/>
          </w:tcPr>
          <w:p>
            <w:pPr>
              <w:widowControl/>
              <w:spacing w:line="0" w:lineRule="atLeast"/>
              <w:ind w:firstLine="44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ind w:firstLine="44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047" w:type="dxa"/>
            <w:gridSpan w:val="5"/>
            <w:tcBorders>
              <w:tl2br w:val="nil"/>
              <w:tr2bl w:val="nil"/>
            </w:tcBorders>
            <w:shd w:val="clear" w:color="auto" w:fill="FFFFFF"/>
            <w:vAlign w:val="center"/>
          </w:tcPr>
          <w:p>
            <w:pPr>
              <w:widowControl/>
              <w:spacing w:line="0" w:lineRule="atLeast"/>
              <w:ind w:firstLine="44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总计</w:t>
            </w:r>
          </w:p>
        </w:tc>
        <w:tc>
          <w:tcPr>
            <w:tcW w:w="1406" w:type="dxa"/>
            <w:gridSpan w:val="3"/>
            <w:tcBorders>
              <w:top w:val="single" w:color="auto" w:sz="4" w:space="0"/>
              <w:bottom w:val="single" w:color="auto" w:sz="4" w:space="0"/>
              <w:right w:val="single" w:color="auto" w:sz="4" w:space="0"/>
            </w:tcBorders>
          </w:tcPr>
          <w:p>
            <w:pPr>
              <w:widowControl/>
              <w:ind w:firstLine="44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w:t>
            </w:r>
            <w:r>
              <w:rPr>
                <w:rFonts w:hint="eastAsia" w:ascii="宋体" w:hAnsi="宋体" w:eastAsia="宋体" w:cs="宋体"/>
                <w:color w:val="000000"/>
                <w:kern w:val="0"/>
                <w:sz w:val="22"/>
                <w:szCs w:val="22"/>
              </w:rPr>
              <w:t>0</w:t>
            </w:r>
          </w:p>
        </w:tc>
      </w:tr>
    </w:tbl>
    <w:p>
      <w:pPr>
        <w:spacing w:line="600" w:lineRule="exact"/>
        <w:rPr>
          <w:rFonts w:ascii="仿宋_GB2312"/>
          <w:bCs/>
          <w:sz w:val="32"/>
          <w:szCs w:val="32"/>
        </w:rPr>
        <w:sectPr>
          <w:pgSz w:w="16838" w:h="11906" w:orient="landscape"/>
          <w:pgMar w:top="1531" w:right="1701" w:bottom="1531" w:left="1928" w:header="737" w:footer="851" w:gutter="0"/>
          <w:cols w:space="720" w:num="1"/>
          <w:docGrid w:type="lines" w:linePitch="408" w:charSpace="0"/>
        </w:sectPr>
      </w:pPr>
    </w:p>
    <w:p>
      <w:pPr>
        <w:spacing w:line="600" w:lineRule="exact"/>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535AC9"/>
    <w:rsid w:val="00096C2B"/>
    <w:rsid w:val="000B4E42"/>
    <w:rsid w:val="00262E71"/>
    <w:rsid w:val="002F39A8"/>
    <w:rsid w:val="0032452C"/>
    <w:rsid w:val="003B00CA"/>
    <w:rsid w:val="0043448B"/>
    <w:rsid w:val="00437096"/>
    <w:rsid w:val="0046177F"/>
    <w:rsid w:val="004C7A48"/>
    <w:rsid w:val="00535AC9"/>
    <w:rsid w:val="005829D1"/>
    <w:rsid w:val="006001CC"/>
    <w:rsid w:val="00645A80"/>
    <w:rsid w:val="0064780B"/>
    <w:rsid w:val="006C121A"/>
    <w:rsid w:val="006C204E"/>
    <w:rsid w:val="006C61B7"/>
    <w:rsid w:val="006D0C8E"/>
    <w:rsid w:val="0076533F"/>
    <w:rsid w:val="007C337B"/>
    <w:rsid w:val="00817189"/>
    <w:rsid w:val="008634DF"/>
    <w:rsid w:val="008A7C65"/>
    <w:rsid w:val="008B147A"/>
    <w:rsid w:val="008F6A3A"/>
    <w:rsid w:val="00A22456"/>
    <w:rsid w:val="00A4658A"/>
    <w:rsid w:val="00B115F5"/>
    <w:rsid w:val="00CD55CE"/>
    <w:rsid w:val="00D861E8"/>
    <w:rsid w:val="00E3118B"/>
    <w:rsid w:val="00E34961"/>
    <w:rsid w:val="00E57AFF"/>
    <w:rsid w:val="00E8106C"/>
    <w:rsid w:val="00E94D22"/>
    <w:rsid w:val="00EA1E5A"/>
    <w:rsid w:val="00EF1885"/>
    <w:rsid w:val="00F07E05"/>
    <w:rsid w:val="00F2400E"/>
    <w:rsid w:val="268A3388"/>
    <w:rsid w:val="2E636046"/>
    <w:rsid w:val="388C3CF7"/>
    <w:rsid w:val="7A6E0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8"/>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页眉 Char"/>
    <w:basedOn w:val="8"/>
    <w:link w:val="5"/>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闻政-正文段落文字"/>
    <w:basedOn w:val="1"/>
    <w:link w:val="12"/>
    <w:qFormat/>
    <w:uiPriority w:val="0"/>
    <w:pPr>
      <w:spacing w:line="500" w:lineRule="exact"/>
      <w:ind w:firstLine="200" w:firstLineChars="200"/>
    </w:pPr>
    <w:rPr>
      <w:kern w:val="0"/>
      <w:sz w:val="28"/>
      <w:szCs w:val="28"/>
      <w:lang w:val="zh-CN" w:eastAsia="zh-CN"/>
    </w:rPr>
  </w:style>
  <w:style w:type="character" w:customStyle="1" w:styleId="12">
    <w:name w:val="闻政-正文段落文字 Char"/>
    <w:link w:val="11"/>
    <w:qFormat/>
    <w:uiPriority w:val="0"/>
    <w:rPr>
      <w:rFonts w:ascii="Times New Roman" w:hAnsi="Times New Roman" w:eastAsia="仿宋_GB2312" w:cs="Times New Roman"/>
      <w:kern w:val="0"/>
      <w:sz w:val="28"/>
      <w:szCs w:val="28"/>
      <w:lang w:val="zh-CN" w:eastAsia="zh-CN"/>
    </w:rPr>
  </w:style>
  <w:style w:type="paragraph" w:customStyle="1" w:styleId="13">
    <w:name w:val="闻政-正文二级标题"/>
    <w:basedOn w:val="2"/>
    <w:next w:val="11"/>
    <w:link w:val="14"/>
    <w:qFormat/>
    <w:uiPriority w:val="0"/>
    <w:pPr>
      <w:spacing w:before="120" w:after="60" w:line="500" w:lineRule="exact"/>
      <w:ind w:left="200" w:leftChars="200"/>
      <w:jc w:val="left"/>
    </w:pPr>
    <w:rPr>
      <w:rFonts w:ascii="Times New Roman" w:hAnsi="Times New Roman" w:eastAsia="仿宋_GB2312" w:cs="Times New Roman"/>
      <w:kern w:val="0"/>
      <w:sz w:val="28"/>
    </w:rPr>
  </w:style>
  <w:style w:type="character" w:customStyle="1" w:styleId="14">
    <w:name w:val="闻政-正文二级标题 Char"/>
    <w:link w:val="13"/>
    <w:uiPriority w:val="0"/>
    <w:rPr>
      <w:rFonts w:ascii="Times New Roman" w:hAnsi="Times New Roman" w:eastAsia="仿宋_GB2312" w:cs="Times New Roman"/>
      <w:b/>
      <w:bCs/>
      <w:kern w:val="0"/>
      <w:sz w:val="28"/>
      <w:szCs w:val="32"/>
    </w:rPr>
  </w:style>
  <w:style w:type="paragraph" w:customStyle="1" w:styleId="15">
    <w:name w:val="闻政-正文一级标题"/>
    <w:basedOn w:val="3"/>
    <w:next w:val="11"/>
    <w:link w:val="16"/>
    <w:qFormat/>
    <w:uiPriority w:val="0"/>
    <w:pPr>
      <w:spacing w:before="120" w:after="60" w:line="500" w:lineRule="exact"/>
      <w:jc w:val="left"/>
      <w:outlineLvl w:val="0"/>
    </w:pPr>
    <w:rPr>
      <w:rFonts w:ascii="黑体" w:hAnsi="黑体" w:eastAsia="黑体"/>
      <w:b w:val="0"/>
      <w:kern w:val="0"/>
    </w:rPr>
  </w:style>
  <w:style w:type="character" w:customStyle="1" w:styleId="16">
    <w:name w:val="闻政-正文一级标题 Char"/>
    <w:link w:val="15"/>
    <w:qFormat/>
    <w:uiPriority w:val="0"/>
    <w:rPr>
      <w:rFonts w:ascii="黑体" w:hAnsi="黑体" w:eastAsia="黑体" w:cs="Times New Roman"/>
      <w:bCs/>
      <w:kern w:val="0"/>
      <w:sz w:val="32"/>
      <w:szCs w:val="32"/>
    </w:rPr>
  </w:style>
  <w:style w:type="character" w:customStyle="1" w:styleId="17">
    <w:name w:val="标题 2 Char"/>
    <w:basedOn w:val="8"/>
    <w:link w:val="2"/>
    <w:semiHidden/>
    <w:uiPriority w:val="9"/>
    <w:rPr>
      <w:rFonts w:asciiTheme="majorHAnsi" w:hAnsiTheme="majorHAnsi" w:eastAsiaTheme="majorEastAsia" w:cstheme="majorBidi"/>
      <w:b/>
      <w:bCs/>
      <w:sz w:val="32"/>
      <w:szCs w:val="32"/>
    </w:rPr>
  </w:style>
  <w:style w:type="character" w:customStyle="1" w:styleId="18">
    <w:name w:val="标题 3 Char"/>
    <w:basedOn w:val="8"/>
    <w:link w:val="3"/>
    <w:semiHidden/>
    <w:qFormat/>
    <w:uiPriority w:val="9"/>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5540</Words>
  <Characters>5734</Characters>
  <Lines>42</Lines>
  <Paragraphs>12</Paragraphs>
  <TotalTime>106</TotalTime>
  <ScaleCrop>false</ScaleCrop>
  <LinksUpToDate>false</LinksUpToDate>
  <CharactersWithSpaces>5757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dcterms:modified xsi:type="dcterms:W3CDTF">2023-07-14T11:10:04Z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351C70E20AFA4B6E9926EB64BEFDBD51_12</vt:lpwstr>
  </property>
</Properties>
</file>