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rPr>
      </w:pPr>
      <w:r>
        <w:rPr>
          <w:rFonts w:hint="eastAsia" w:ascii="黑体" w:hAnsi="黑体" w:eastAsia="黑体"/>
        </w:rPr>
        <w:t>附</w:t>
      </w:r>
      <w:r>
        <w:rPr>
          <w:rFonts w:ascii="黑体" w:hAnsi="黑体" w:eastAsia="黑体"/>
        </w:rPr>
        <w:t>2</w:t>
      </w:r>
    </w:p>
    <w:p>
      <w:pPr>
        <w:jc w:val="center"/>
        <w:rPr>
          <w:rFonts w:ascii="方正小标宋_GBK" w:hAnsi="Arial" w:eastAsia="方正小标宋_GBK" w:cs="Arial"/>
          <w:b/>
          <w:bCs/>
          <w:sz w:val="36"/>
          <w:szCs w:val="36"/>
        </w:rPr>
      </w:pPr>
      <w:r>
        <w:rPr>
          <w:rFonts w:hint="eastAsia" w:ascii="方正小标宋_GBK" w:hAnsi="仿宋_GB2312" w:eastAsia="方正小标宋_GBK" w:cs="仿宋_GB2312"/>
          <w:sz w:val="32"/>
          <w:szCs w:val="32"/>
        </w:rPr>
        <w:t>归还男生公寓楼维修工程欠款项目支出绩效评价报告</w:t>
      </w:r>
    </w:p>
    <w:p>
      <w:pPr>
        <w:spacing w:line="600" w:lineRule="exact"/>
        <w:ind w:firstLine="600" w:firstLineChars="200"/>
        <w:rPr>
          <w:rFonts w:ascii="仿宋_GB2312"/>
        </w:rPr>
      </w:pPr>
    </w:p>
    <w:p>
      <w:pPr>
        <w:spacing w:line="56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rPr>
          <w:rFonts w:hint="eastAsia" w:ascii="仿宋_GB2312" w:hAnsi="仿宋_GB2312" w:cs="仿宋_GB2312"/>
          <w:bCs/>
          <w:szCs w:val="30"/>
          <w:lang w:bidi="en-US"/>
        </w:rPr>
      </w:pPr>
      <w:r>
        <w:rPr>
          <w:rFonts w:hint="eastAsia" w:ascii="仿宋_GB2312" w:hAnsi="仿宋_GB2312" w:cs="仿宋_GB2312"/>
          <w:bCs/>
          <w:szCs w:val="30"/>
          <w:lang w:bidi="en-US"/>
        </w:rPr>
        <w:t>（一）项目概况。</w:t>
      </w:r>
    </w:p>
    <w:p>
      <w:pPr>
        <w:spacing w:line="600" w:lineRule="exact"/>
        <w:ind w:firstLine="600" w:firstLineChars="200"/>
        <w:rPr>
          <w:rFonts w:hint="eastAsia" w:ascii="仿宋_GB2312" w:hAnsi="仿宋_GB2312" w:cs="仿宋_GB2312"/>
          <w:bCs/>
          <w:szCs w:val="30"/>
          <w:lang w:bidi="en-US"/>
        </w:rPr>
      </w:pPr>
      <w:r>
        <w:rPr>
          <w:rFonts w:hint="eastAsia" w:ascii="仿宋_GB2312" w:hAnsi="仿宋_GB2312" w:cs="仿宋_GB2312"/>
          <w:bCs/>
          <w:szCs w:val="30"/>
          <w:lang w:bidi="en-US"/>
        </w:rPr>
        <w:t>2019年度巴州第三中学按照财政要求，进一步清理单位债务，做好防范化解债务风险的工作，其中：男生公寓楼维修工程项目，该项目于2011年7月13日开工建设，2011年8月20日完工，由巴州财政局政府采购办批准实施自行分散采购，由新疆双雄建设（集团）有限责任公司承建，该工程竣工验收后经由巴州财政局委托新疆华龙建设项目管理咨询公司审核，最终审计定案价为91.06万元，此项目于2011年累计已支付55万元（2011年部门预算项目支出资金），本项目举债时间为2011年12月31日，举债金额36.06万元。该项目化解债务方案为2018年12月31前化解债务10万元，资金来源为调整2018年项目经费指标化解归还；2019年12月31日前化解债务10万元，资金来源为压缩我校部门预算项目支出经费，2020年12月31日前化解债务16.06万元，截止2019年底该项目工程欠款已全部化解完毕。</w:t>
      </w:r>
    </w:p>
    <w:p>
      <w:pPr>
        <w:spacing w:line="600" w:lineRule="exact"/>
        <w:ind w:firstLine="600" w:firstLineChars="200"/>
        <w:rPr>
          <w:rFonts w:hint="eastAsia" w:ascii="仿宋_GB2312" w:hAnsi="仿宋_GB2312" w:cs="仿宋_GB2312"/>
          <w:bCs/>
          <w:szCs w:val="30"/>
          <w:lang w:bidi="en-US"/>
        </w:rPr>
      </w:pPr>
      <w:r>
        <w:rPr>
          <w:rFonts w:hint="eastAsia" w:ascii="仿宋_GB2312" w:hAnsi="仿宋_GB2312" w:cs="仿宋_GB2312"/>
          <w:bCs/>
          <w:szCs w:val="30"/>
          <w:lang w:bidi="en-US"/>
        </w:rPr>
        <w:t>（二）项目绩效目标。包括总体目标和阶段性目标。</w:t>
      </w:r>
    </w:p>
    <w:p>
      <w:pPr>
        <w:spacing w:line="600" w:lineRule="exact"/>
        <w:ind w:firstLine="600" w:firstLineChars="200"/>
        <w:rPr>
          <w:rFonts w:hint="eastAsia" w:ascii="仿宋_GB2312" w:hAnsi="仿宋_GB2312" w:cs="仿宋_GB2312"/>
          <w:bCs/>
          <w:szCs w:val="30"/>
          <w:lang w:bidi="en-US"/>
        </w:rPr>
      </w:pPr>
      <w:r>
        <w:rPr>
          <w:rFonts w:hint="eastAsia" w:ascii="仿宋_GB2312" w:hAnsi="仿宋_GB2312" w:cs="仿宋_GB2312"/>
          <w:bCs/>
          <w:szCs w:val="30"/>
          <w:lang w:bidi="en-US"/>
        </w:rPr>
        <w:t>项目绩效总体目标：</w:t>
      </w:r>
    </w:p>
    <w:p>
      <w:pPr>
        <w:spacing w:line="600" w:lineRule="exact"/>
        <w:ind w:firstLine="600" w:firstLineChars="200"/>
        <w:rPr>
          <w:rFonts w:hint="eastAsia" w:ascii="仿宋_GB2312" w:hAnsi="仿宋_GB2312" w:cs="仿宋_GB2312"/>
          <w:bCs/>
          <w:szCs w:val="30"/>
          <w:lang w:bidi="en-US"/>
        </w:rPr>
      </w:pPr>
      <w:r>
        <w:rPr>
          <w:rFonts w:hint="eastAsia" w:ascii="仿宋_GB2312" w:hAnsi="仿宋_GB2312" w:cs="仿宋_GB2312"/>
          <w:bCs/>
          <w:szCs w:val="30"/>
          <w:lang w:bidi="en-US"/>
        </w:rPr>
        <w:t>2019年度巴州第三中学有一项工程欠款项目，其中：男生公寓楼维修工程项目欠款26.06万元；根据我校制定的还欠款计划，2019年初部门预算中安排项目资金10万元，调整预算项目资金3.06万元，年终追加安排项目资金13万元，用于偿还此项目工程欠款，通过该项目的实施，进一步提升学校的基础设施建设，保障教育教学水平的显著提升。</w:t>
      </w:r>
    </w:p>
    <w:p>
      <w:pPr>
        <w:spacing w:line="600" w:lineRule="exact"/>
        <w:ind w:firstLine="600" w:firstLineChars="200"/>
        <w:rPr>
          <w:rFonts w:hint="eastAsia" w:ascii="仿宋_GB2312" w:hAnsi="仿宋_GB2312" w:cs="仿宋_GB2312"/>
          <w:bCs/>
          <w:szCs w:val="30"/>
          <w:lang w:val="en-US" w:eastAsia="zh-CN" w:bidi="en-US"/>
        </w:rPr>
      </w:pPr>
      <w:r>
        <w:rPr>
          <w:rFonts w:hint="eastAsia" w:ascii="仿宋_GB2312" w:hAnsi="仿宋_GB2312" w:cs="仿宋_GB2312"/>
          <w:bCs/>
          <w:szCs w:val="30"/>
          <w:lang w:val="en-US" w:eastAsia="zh-CN" w:bidi="en-US"/>
        </w:rPr>
        <w:t>阶段性目标</w:t>
      </w:r>
    </w:p>
    <w:p>
      <w:pPr>
        <w:spacing w:line="600" w:lineRule="exact"/>
        <w:ind w:firstLine="600" w:firstLineChars="200"/>
        <w:rPr>
          <w:rFonts w:hint="eastAsia" w:ascii="仿宋_GB2312" w:hAnsi="仿宋_GB2312" w:cs="仿宋_GB2312"/>
          <w:bCs/>
          <w:szCs w:val="30"/>
          <w:lang w:val="en-US" w:eastAsia="zh-CN" w:bidi="en-US"/>
        </w:rPr>
      </w:pPr>
      <w:r>
        <w:rPr>
          <w:rFonts w:hint="eastAsia" w:ascii="仿宋_GB2312" w:hAnsi="仿宋_GB2312" w:cs="仿宋_GB2312"/>
          <w:bCs/>
          <w:szCs w:val="30"/>
          <w:lang w:val="en-US" w:eastAsia="zh-CN" w:bidi="en-US"/>
        </w:rPr>
        <w:t>该项目为当年项目，无阶段性目标。</w:t>
      </w:r>
    </w:p>
    <w:p>
      <w:pPr>
        <w:spacing w:line="560" w:lineRule="exact"/>
        <w:ind w:firstLine="600" w:firstLineChars="200"/>
        <w:rPr>
          <w:rFonts w:ascii="黑体" w:hAnsi="黑体" w:eastAsia="黑体"/>
        </w:rPr>
      </w:pPr>
      <w:r>
        <w:rPr>
          <w:rFonts w:hint="eastAsia" w:ascii="黑体" w:hAnsi="黑体" w:eastAsia="黑体"/>
        </w:rPr>
        <w:t>二、绩效评价工作开展情况</w:t>
      </w:r>
    </w:p>
    <w:p>
      <w:pPr>
        <w:spacing w:line="560" w:lineRule="exact"/>
        <w:ind w:firstLine="600" w:firstLineChars="200"/>
        <w:rPr>
          <w:rFonts w:ascii="仿宋_GB2312"/>
        </w:rPr>
      </w:pPr>
      <w:r>
        <w:rPr>
          <w:rFonts w:hint="eastAsia" w:ascii="仿宋_GB2312"/>
        </w:rPr>
        <w:t>（一）绩效评价目的、对象和范围。</w:t>
      </w:r>
    </w:p>
    <w:p>
      <w:pPr>
        <w:spacing w:line="600" w:lineRule="exact"/>
        <w:ind w:firstLine="600" w:firstLineChars="200"/>
        <w:rPr>
          <w:rFonts w:ascii="仿宋_GB2312" w:hAnsi="仿宋_GB2312" w:cs="仿宋_GB2312"/>
          <w:bCs/>
          <w:szCs w:val="30"/>
          <w:lang w:bidi="en-US"/>
        </w:rPr>
      </w:pPr>
      <w:r>
        <w:rPr>
          <w:rFonts w:hint="eastAsia" w:ascii="仿宋_GB2312" w:hAnsi="仿宋_GB2312" w:cs="仿宋_GB2312"/>
          <w:bCs/>
          <w:szCs w:val="30"/>
          <w:lang w:bidi="en-US"/>
        </w:rPr>
        <w:t>绩效评价旨在通过评价改善预算部门的财政支出管理，优化资源配置及提高公共服务水平。本次绩效评价遵循《中共中央 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巴州第</w:t>
      </w:r>
      <w:r>
        <w:rPr>
          <w:rFonts w:hint="eastAsia" w:ascii="仿宋_GB2312" w:hAnsi="仿宋_GB2312" w:cs="仿宋_GB2312"/>
          <w:bCs/>
          <w:szCs w:val="30"/>
          <w:lang w:eastAsia="zh-CN" w:bidi="en-US"/>
        </w:rPr>
        <w:t>三</w:t>
      </w:r>
      <w:r>
        <w:rPr>
          <w:rFonts w:hint="eastAsia" w:ascii="仿宋_GB2312" w:hAnsi="仿宋_GB2312" w:cs="仿宋_GB2312"/>
          <w:bCs/>
          <w:szCs w:val="30"/>
          <w:lang w:bidi="en-US"/>
        </w:rPr>
        <w:t>中学还工程欠款项目，及时总结经验，分析存在问题及原因，切实采取有效措施进一步改进和加强财政专项资金管理，推动财政资金聚力增效，提高公共服务供给质量，增强政府公信力和执行力。</w:t>
      </w:r>
    </w:p>
    <w:p>
      <w:pPr>
        <w:spacing w:line="600" w:lineRule="exact"/>
        <w:ind w:firstLine="600" w:firstLineChars="200"/>
        <w:rPr>
          <w:rFonts w:hint="eastAsia" w:ascii="仿宋_GB2312" w:hAnsi="仿宋_GB2312" w:cs="仿宋_GB2312"/>
          <w:bCs/>
          <w:szCs w:val="30"/>
          <w:lang w:eastAsia="zh-CN" w:bidi="en-US"/>
        </w:rPr>
      </w:pPr>
      <w:r>
        <w:rPr>
          <w:rFonts w:hint="eastAsia" w:ascii="仿宋_GB2312" w:hAnsi="仿宋_GB2312" w:cs="仿宋_GB2312"/>
          <w:bCs/>
          <w:szCs w:val="30"/>
          <w:lang w:bidi="en-US"/>
        </w:rPr>
        <w:t>绩效评价</w:t>
      </w:r>
      <w:r>
        <w:rPr>
          <w:rFonts w:ascii="仿宋_GB2312" w:hAnsi="仿宋_GB2312" w:cs="仿宋_GB2312"/>
          <w:bCs/>
          <w:szCs w:val="30"/>
          <w:lang w:bidi="en-US"/>
        </w:rPr>
        <w:t>的对象：</w:t>
      </w:r>
      <w:r>
        <w:rPr>
          <w:rFonts w:hint="eastAsia" w:ascii="仿宋_GB2312" w:hAnsi="仿宋_GB2312" w:cs="仿宋_GB2312"/>
          <w:bCs/>
          <w:szCs w:val="30"/>
          <w:lang w:bidi="en-US"/>
        </w:rPr>
        <w:t>巴州第</w:t>
      </w:r>
      <w:r>
        <w:rPr>
          <w:rFonts w:hint="eastAsia" w:ascii="仿宋_GB2312" w:hAnsi="仿宋_GB2312" w:cs="仿宋_GB2312"/>
          <w:bCs/>
          <w:szCs w:val="30"/>
          <w:lang w:eastAsia="zh-CN" w:bidi="en-US"/>
        </w:rPr>
        <w:t>三</w:t>
      </w:r>
      <w:r>
        <w:rPr>
          <w:rFonts w:hint="eastAsia" w:ascii="仿宋_GB2312" w:hAnsi="仿宋_GB2312" w:cs="仿宋_GB2312"/>
          <w:bCs/>
          <w:szCs w:val="30"/>
          <w:lang w:bidi="en-US"/>
        </w:rPr>
        <w:t>中学</w:t>
      </w:r>
      <w:r>
        <w:rPr>
          <w:rFonts w:hint="eastAsia" w:ascii="仿宋_GB2312" w:hAnsi="仿宋_GB2312" w:cs="仿宋_GB2312"/>
          <w:bCs/>
          <w:szCs w:val="30"/>
          <w:lang w:eastAsia="zh-CN" w:bidi="en-US"/>
        </w:rPr>
        <w:t>归还男生公寓楼维修工程欠款项目</w:t>
      </w:r>
    </w:p>
    <w:p>
      <w:pPr>
        <w:spacing w:line="600" w:lineRule="exact"/>
        <w:ind w:firstLine="600" w:firstLineChars="200"/>
      </w:pPr>
      <w:r>
        <w:rPr>
          <w:rFonts w:hint="eastAsia" w:ascii="仿宋_GB2312" w:hAnsi="仿宋_GB2312" w:cs="仿宋_GB2312"/>
          <w:bCs/>
          <w:szCs w:val="30"/>
          <w:lang w:bidi="en-US"/>
        </w:rPr>
        <w:t>绩效评价</w:t>
      </w:r>
      <w:r>
        <w:rPr>
          <w:rFonts w:ascii="仿宋_GB2312" w:hAnsi="仿宋_GB2312" w:cs="仿宋_GB2312"/>
          <w:bCs/>
          <w:szCs w:val="30"/>
          <w:lang w:bidi="en-US"/>
        </w:rPr>
        <w:t>的范围：对</w:t>
      </w:r>
      <w:r>
        <w:rPr>
          <w:rFonts w:hint="eastAsia" w:ascii="仿宋_GB2312" w:hAnsi="仿宋_GB2312" w:cs="仿宋_GB2312"/>
          <w:bCs/>
          <w:szCs w:val="30"/>
          <w:lang w:bidi="en-US"/>
        </w:rPr>
        <w:t>巴州第</w:t>
      </w:r>
      <w:r>
        <w:rPr>
          <w:rFonts w:hint="eastAsia" w:ascii="仿宋_GB2312" w:hAnsi="仿宋_GB2312" w:cs="仿宋_GB2312"/>
          <w:bCs/>
          <w:szCs w:val="30"/>
          <w:lang w:eastAsia="zh-CN" w:bidi="en-US"/>
        </w:rPr>
        <w:t>三</w:t>
      </w:r>
      <w:r>
        <w:rPr>
          <w:rFonts w:hint="eastAsia" w:ascii="仿宋_GB2312" w:hAnsi="仿宋_GB2312" w:cs="仿宋_GB2312"/>
          <w:bCs/>
          <w:szCs w:val="30"/>
          <w:lang w:bidi="en-US"/>
        </w:rPr>
        <w:t>中学</w:t>
      </w:r>
      <w:r>
        <w:rPr>
          <w:rFonts w:hint="eastAsia" w:ascii="仿宋_GB2312" w:hAnsi="仿宋_GB2312" w:cs="仿宋_GB2312"/>
          <w:bCs/>
          <w:szCs w:val="30"/>
          <w:lang w:eastAsia="zh-CN" w:bidi="en-US"/>
        </w:rPr>
        <w:t>归还男生公寓楼维修工程欠款项目</w:t>
      </w:r>
      <w:r>
        <w:rPr>
          <w:rFonts w:hint="eastAsia" w:ascii="仿宋_GB2312"/>
        </w:rPr>
        <w:t>。</w:t>
      </w:r>
    </w:p>
    <w:p>
      <w:pPr>
        <w:spacing w:line="560" w:lineRule="exact"/>
        <w:ind w:firstLine="600" w:firstLineChars="200"/>
        <w:rPr>
          <w:rFonts w:ascii="仿宋_GB2312"/>
        </w:rPr>
      </w:pPr>
      <w:r>
        <w:rPr>
          <w:rFonts w:hint="eastAsia" w:ascii="仿宋_GB2312"/>
        </w:rPr>
        <w:t>（二）绩效评价原则、评价指标体系、评价方法、评价标准等。</w:t>
      </w:r>
    </w:p>
    <w:p>
      <w:pPr>
        <w:spacing w:line="600" w:lineRule="exact"/>
        <w:ind w:firstLine="640"/>
        <w:rPr>
          <w:rFonts w:ascii="仿宋_GB2312" w:hAnsi="仿宋_GB2312" w:cs="仿宋_GB2312"/>
          <w:bCs/>
          <w:szCs w:val="30"/>
        </w:rPr>
      </w:pPr>
      <w:r>
        <w:rPr>
          <w:rFonts w:hint="eastAsia" w:ascii="仿宋_GB2312" w:hAnsi="仿宋_GB2312" w:cs="仿宋_GB2312"/>
          <w:bCs/>
          <w:szCs w:val="30"/>
        </w:rPr>
        <w:t>1、绩效评价原则：</w:t>
      </w:r>
    </w:p>
    <w:p>
      <w:pPr>
        <w:spacing w:line="600" w:lineRule="exact"/>
        <w:ind w:firstLine="640"/>
        <w:rPr>
          <w:rFonts w:hint="eastAsia" w:ascii="仿宋_GB2312" w:hAnsi="仿宋_GB2312" w:cs="仿宋_GB2312"/>
          <w:bCs/>
          <w:szCs w:val="30"/>
        </w:rPr>
      </w:pPr>
      <w:r>
        <w:rPr>
          <w:rFonts w:hint="eastAsia" w:ascii="仿宋_GB2312" w:hAnsi="仿宋_GB2312" w:cs="仿宋_GB2312"/>
          <w:bCs/>
          <w:szCs w:val="30"/>
        </w:rPr>
        <w:t>（1）科学公正。绩效评价应当运用科学合理的方法，按照规范的程序，对项目绩效进行客观、公正的反映。</w:t>
      </w:r>
    </w:p>
    <w:p>
      <w:pPr>
        <w:spacing w:line="600" w:lineRule="exact"/>
        <w:ind w:firstLine="640"/>
        <w:rPr>
          <w:rFonts w:hint="eastAsia" w:ascii="仿宋_GB2312" w:hAnsi="仿宋_GB2312" w:cs="仿宋_GB2312"/>
          <w:bCs/>
          <w:szCs w:val="30"/>
        </w:rPr>
      </w:pPr>
      <w:r>
        <w:rPr>
          <w:rFonts w:hint="eastAsia" w:ascii="仿宋_GB2312" w:hAnsi="仿宋_GB2312" w:cs="仿宋_GB2312"/>
          <w:bCs/>
          <w:szCs w:val="30"/>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hint="eastAsia" w:ascii="仿宋_GB2312" w:hAnsi="仿宋_GB2312" w:cs="仿宋_GB2312"/>
          <w:bCs/>
          <w:szCs w:val="30"/>
        </w:rPr>
      </w:pPr>
      <w:r>
        <w:rPr>
          <w:rFonts w:hint="eastAsia" w:ascii="仿宋_GB2312" w:hAnsi="仿宋_GB2312" w:cs="仿宋_GB2312"/>
          <w:bCs/>
          <w:szCs w:val="30"/>
        </w:rPr>
        <w:t>（3）激励约束。绩效评价结果应与预算安排、政策调整、改进管理实质性挂钩，体现奖优罚劣和激励相容导向，有效要安排、低效要压减、无效要问责。</w:t>
      </w:r>
    </w:p>
    <w:p>
      <w:pPr>
        <w:spacing w:line="600" w:lineRule="exact"/>
        <w:ind w:firstLine="640"/>
        <w:rPr>
          <w:rFonts w:hint="eastAsia" w:ascii="仿宋_GB2312" w:hAnsi="仿宋_GB2312" w:cs="仿宋_GB2312"/>
          <w:bCs/>
          <w:szCs w:val="30"/>
        </w:rPr>
      </w:pPr>
      <w:r>
        <w:rPr>
          <w:rFonts w:hint="eastAsia" w:ascii="仿宋_GB2312" w:hAnsi="仿宋_GB2312" w:cs="仿宋_GB2312"/>
          <w:bCs/>
          <w:szCs w:val="30"/>
        </w:rPr>
        <w:t>（4）公开透明。绩效评价结果应依法依规公开，并自觉接受社会监督。</w:t>
      </w:r>
    </w:p>
    <w:p>
      <w:pPr>
        <w:spacing w:line="600" w:lineRule="exact"/>
        <w:ind w:firstLine="600" w:firstLineChars="200"/>
        <w:rPr>
          <w:rFonts w:ascii="仿宋_GB2312" w:hAnsi="仿宋_GB2312" w:cs="仿宋_GB2312"/>
          <w:bCs/>
          <w:szCs w:val="30"/>
        </w:rPr>
      </w:pPr>
      <w:r>
        <w:rPr>
          <w:rFonts w:hint="eastAsia" w:ascii="仿宋_GB2312" w:hAnsi="仿宋_GB2312" w:cs="仿宋_GB2312"/>
          <w:bCs/>
          <w:szCs w:val="30"/>
        </w:rPr>
        <w:t>2、</w:t>
      </w:r>
      <w:r>
        <w:rPr>
          <w:rFonts w:hint="eastAsia" w:ascii="仿宋_GB2312" w:hAnsi="仿宋_GB2312" w:cs="仿宋_GB2312"/>
          <w:szCs w:val="30"/>
        </w:rPr>
        <w:t>项</w:t>
      </w:r>
      <w:r>
        <w:rPr>
          <w:rFonts w:hint="eastAsia" w:ascii="仿宋_GB2312" w:hAnsi="仿宋_GB2312" w:cs="仿宋_GB2312"/>
          <w:bCs/>
          <w:szCs w:val="30"/>
        </w:rPr>
        <w:t>支出绩效评价指标体系框架：</w:t>
      </w:r>
    </w:p>
    <w:p>
      <w:pPr>
        <w:pStyle w:val="8"/>
        <w:spacing w:line="520" w:lineRule="exact"/>
        <w:ind w:firstLine="699" w:firstLineChars="233"/>
        <w:rPr>
          <w:rFonts w:hint="eastAsia" w:ascii="仿宋_GB2312" w:hAnsi="仿宋_GB2312" w:eastAsia="仿宋_GB2312" w:cs="仿宋_GB2312"/>
          <w:bCs/>
          <w:color w:val="auto"/>
          <w:kern w:val="2"/>
          <w:sz w:val="30"/>
          <w:szCs w:val="30"/>
          <w:lang w:val="en-US" w:eastAsia="zh-CN" w:bidi="ar-SA"/>
        </w:rPr>
      </w:pPr>
      <w:r>
        <w:rPr>
          <w:rFonts w:hint="eastAsia" w:ascii="仿宋_GB2312" w:hAnsi="仿宋_GB2312" w:eastAsia="仿宋_GB2312" w:cs="仿宋_GB2312"/>
          <w:bCs/>
          <w:color w:val="auto"/>
          <w:kern w:val="2"/>
          <w:sz w:val="30"/>
          <w:szCs w:val="30"/>
          <w:lang w:val="en-US" w:eastAsia="zh-CN" w:bidi="ar-SA"/>
        </w:rPr>
        <w:t>巴州第三中学还工程欠款项目绩效评价指标体系的设计参照财政部《项目支出绩效评价指标体系框架》决策和过程在此框架的基础上结合项目的特点适当进行完善，产出和效益根据项目特点进行了细化。</w:t>
      </w:r>
    </w:p>
    <w:p>
      <w:pPr>
        <w:pStyle w:val="8"/>
        <w:spacing w:line="520" w:lineRule="exact"/>
        <w:ind w:firstLine="699" w:firstLineChars="233"/>
        <w:rPr>
          <w:rFonts w:ascii="Times New Roman" w:eastAsia="仿宋_GB2312" w:cs="Times New Roman"/>
          <w:spacing w:val="-8"/>
          <w:sz w:val="32"/>
          <w:szCs w:val="32"/>
        </w:rPr>
      </w:pPr>
      <w:r>
        <w:rPr>
          <w:rFonts w:hint="eastAsia" w:ascii="仿宋_GB2312" w:hAnsi="仿宋_GB2312" w:eastAsia="仿宋_GB2312" w:cs="仿宋_GB2312"/>
          <w:bCs/>
          <w:color w:val="auto"/>
          <w:kern w:val="2"/>
          <w:sz w:val="30"/>
          <w:szCs w:val="30"/>
          <w:lang w:val="en-US" w:eastAsia="zh-CN" w:bidi="ar-SA"/>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巴州第三中学还工程欠款项目绩效评价指标体系。</w:t>
      </w:r>
    </w:p>
    <w:p>
      <w:pPr>
        <w:numPr>
          <w:ilvl w:val="0"/>
          <w:numId w:val="1"/>
        </w:numPr>
        <w:spacing w:line="560" w:lineRule="exact"/>
        <w:ind w:firstLine="600" w:firstLineChars="200"/>
        <w:rPr>
          <w:rFonts w:hint="eastAsia" w:ascii="仿宋_GB2312"/>
        </w:rPr>
      </w:pPr>
      <w:r>
        <w:rPr>
          <w:rFonts w:hint="eastAsia" w:ascii="仿宋_GB2312"/>
        </w:rPr>
        <w:t>评价方法：</w:t>
      </w:r>
    </w:p>
    <w:p>
      <w:pPr>
        <w:spacing w:line="580" w:lineRule="exact"/>
        <w:ind w:firstLine="600" w:firstLineChars="200"/>
        <w:rPr>
          <w:rFonts w:ascii="仿宋_GB2312"/>
        </w:rPr>
      </w:pPr>
      <w:r>
        <w:rPr>
          <w:rFonts w:hint="eastAsia" w:ascii="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hint="eastAsia" w:ascii="仿宋_GB2312"/>
        </w:rPr>
        <w:t>我单位采用了比较法进行评价。</w:t>
      </w:r>
    </w:p>
    <w:p>
      <w:pPr>
        <w:pStyle w:val="8"/>
        <w:spacing w:line="520" w:lineRule="exact"/>
        <w:ind w:firstLine="600" w:firstLineChars="200"/>
        <w:rPr>
          <w:rFonts w:ascii="仿宋_GB2312" w:eastAsia="仿宋_GB2312" w:cs="Times New Roman"/>
          <w:color w:val="auto"/>
          <w:kern w:val="2"/>
          <w:sz w:val="30"/>
        </w:rPr>
      </w:pPr>
      <w:r>
        <w:rPr>
          <w:rFonts w:hint="eastAsia" w:ascii="仿宋_GB2312" w:eastAsia="仿宋_GB2312" w:cs="Times New Roman"/>
          <w:color w:val="auto"/>
          <w:kern w:val="2"/>
          <w:sz w:val="30"/>
        </w:rPr>
        <w:t>比较法。采用比较法进行评价</w:t>
      </w:r>
      <w:r>
        <w:rPr>
          <w:rFonts w:hint="eastAsia" w:ascii="仿宋_GB2312" w:eastAsia="仿宋_GB2312" w:cs="Times New Roman"/>
          <w:color w:val="auto"/>
          <w:kern w:val="2"/>
          <w:sz w:val="30"/>
          <w:lang w:eastAsia="zh-CN"/>
        </w:rPr>
        <w:t>，</w:t>
      </w:r>
      <w:bookmarkStart w:id="0" w:name="_GoBack"/>
      <w:bookmarkEnd w:id="0"/>
      <w:r>
        <w:rPr>
          <w:rFonts w:hint="eastAsia" w:ascii="仿宋_GB2312" w:eastAsia="仿宋_GB2312" w:cs="Times New Roman"/>
          <w:color w:val="auto"/>
          <w:kern w:val="2"/>
          <w:sz w:val="30"/>
        </w:rPr>
        <w:t>针对财政支出确定的目标，在目标效益额相同的情况下，对支出项目中发生的各种正常开支和费用等进行比较，将实际项目完成情况与绩效指标完成情况进行比较，在此基础上进行评价。通过该项目的实施，进一步提升学校的基础设施建设，保障教育教学水平的显著提升。</w:t>
      </w:r>
    </w:p>
    <w:p>
      <w:pPr>
        <w:spacing w:line="520" w:lineRule="exact"/>
        <w:ind w:firstLine="699" w:firstLineChars="233"/>
        <w:outlineLvl w:val="0"/>
        <w:rPr>
          <w:rFonts w:hint="eastAsia" w:ascii="仿宋_GB2312" w:hAnsi="Times New Roman" w:eastAsia="仿宋_GB2312" w:cs="Times New Roman"/>
          <w:color w:val="auto"/>
          <w:kern w:val="2"/>
          <w:sz w:val="30"/>
          <w:szCs w:val="24"/>
          <w:lang w:val="en-US" w:eastAsia="zh-CN" w:bidi="ar-SA"/>
        </w:rPr>
      </w:pPr>
      <w:r>
        <w:rPr>
          <w:rFonts w:hint="eastAsia" w:ascii="仿宋_GB2312" w:hAnsi="Times New Roman" w:eastAsia="仿宋_GB2312" w:cs="Times New Roman"/>
          <w:color w:val="auto"/>
          <w:kern w:val="2"/>
          <w:sz w:val="30"/>
          <w:szCs w:val="24"/>
          <w:lang w:val="en-US" w:eastAsia="zh-CN" w:bidi="ar-SA"/>
        </w:rPr>
        <w:t>4.绩效评价标准</w:t>
      </w:r>
    </w:p>
    <w:p>
      <w:pPr>
        <w:pStyle w:val="8"/>
        <w:spacing w:line="520" w:lineRule="exact"/>
        <w:ind w:firstLine="600" w:firstLineChars="200"/>
        <w:rPr>
          <w:rFonts w:hint="eastAsia" w:ascii="仿宋_GB2312" w:hAnsi="Times New Roman" w:eastAsia="仿宋_GB2312" w:cs="Times New Roman"/>
          <w:color w:val="auto"/>
          <w:kern w:val="2"/>
          <w:sz w:val="30"/>
          <w:szCs w:val="24"/>
          <w:lang w:val="en-US" w:eastAsia="zh-CN" w:bidi="ar-SA"/>
        </w:rPr>
      </w:pPr>
      <w:r>
        <w:rPr>
          <w:rFonts w:hint="eastAsia" w:ascii="仿宋_GB2312" w:hAnsi="Times New Roman" w:eastAsia="仿宋_GB2312" w:cs="Times New Roman"/>
          <w:color w:val="auto"/>
          <w:kern w:val="2"/>
          <w:sz w:val="30"/>
          <w:szCs w:val="24"/>
          <w:lang w:val="en-US" w:eastAsia="zh-CN" w:bidi="ar-SA"/>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spacing w:line="560" w:lineRule="exact"/>
        <w:ind w:firstLine="600" w:firstLineChars="200"/>
        <w:rPr>
          <w:rFonts w:ascii="仿宋_GB2312"/>
        </w:rPr>
      </w:pPr>
      <w:r>
        <w:rPr>
          <w:rFonts w:hint="eastAsia" w:ascii="仿宋_GB2312"/>
        </w:rPr>
        <w:t>（三）绩效评价工作过程。</w:t>
      </w:r>
    </w:p>
    <w:p>
      <w:pPr>
        <w:spacing w:line="580" w:lineRule="exact"/>
        <w:ind w:firstLine="600" w:firstLineChars="200"/>
        <w:rPr>
          <w:rFonts w:ascii="仿宋_GB2312"/>
        </w:rPr>
      </w:pPr>
      <w:r>
        <w:rPr>
          <w:rFonts w:hint="eastAsia" w:ascii="仿宋_GB2312"/>
        </w:rPr>
        <w:t>为了提高财政资金分配的科学性、有效性，加强财政专项资金管理，提高支出效益，我单位自项目下达之日高度重视，专门成立了绩效评价工作小组，具体绩效评价工作过程如下:</w:t>
      </w:r>
    </w:p>
    <w:p>
      <w:pPr>
        <w:spacing w:line="580" w:lineRule="exact"/>
        <w:ind w:firstLine="600" w:firstLineChars="200"/>
        <w:rPr>
          <w:rFonts w:ascii="仿宋_GB2312"/>
        </w:rPr>
      </w:pPr>
      <w:r>
        <w:rPr>
          <w:rFonts w:hint="eastAsia" w:ascii="仿宋_GB2312"/>
        </w:rPr>
        <w:t>1、确定绩效评价对象和范围</w:t>
      </w:r>
    </w:p>
    <w:p>
      <w:pPr>
        <w:spacing w:line="580" w:lineRule="exact"/>
        <w:ind w:firstLine="600" w:firstLineChars="200"/>
        <w:rPr>
          <w:rFonts w:ascii="仿宋_GB2312"/>
        </w:rPr>
      </w:pPr>
      <w:r>
        <w:rPr>
          <w:rFonts w:hint="eastAsia" w:ascii="仿宋_GB2312"/>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pPr>
        <w:spacing w:line="580" w:lineRule="exact"/>
        <w:ind w:firstLine="600" w:firstLineChars="200"/>
        <w:rPr>
          <w:rFonts w:ascii="仿宋_GB2312"/>
        </w:rPr>
      </w:pPr>
      <w:r>
        <w:rPr>
          <w:rFonts w:hint="eastAsia" w:ascii="仿宋_GB2312"/>
        </w:rPr>
        <w:t>2、研究制订绩效评价工作方案</w:t>
      </w:r>
    </w:p>
    <w:p>
      <w:pPr>
        <w:spacing w:line="580" w:lineRule="exact"/>
        <w:ind w:firstLine="600" w:firstLineChars="200"/>
        <w:rPr>
          <w:rFonts w:ascii="仿宋_GB2312"/>
        </w:rPr>
      </w:pPr>
      <w:r>
        <w:rPr>
          <w:rFonts w:hint="eastAsia" w:ascii="仿宋_GB2312"/>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pPr>
        <w:spacing w:line="580" w:lineRule="exact"/>
        <w:ind w:firstLine="600" w:firstLineChars="200"/>
        <w:rPr>
          <w:rFonts w:ascii="仿宋_GB2312"/>
        </w:rPr>
      </w:pPr>
      <w:r>
        <w:rPr>
          <w:rFonts w:hint="eastAsia" w:ascii="仿宋_GB2312"/>
        </w:rPr>
        <w:t>3、核实有关情况，分析形成初步结论</w:t>
      </w:r>
    </w:p>
    <w:p>
      <w:pPr>
        <w:spacing w:line="580" w:lineRule="exact"/>
        <w:ind w:firstLine="600" w:firstLineChars="200"/>
        <w:rPr>
          <w:rFonts w:ascii="仿宋_GB2312"/>
        </w:rPr>
      </w:pPr>
      <w:r>
        <w:rPr>
          <w:rFonts w:hint="eastAsia" w:ascii="仿宋_GB2312"/>
        </w:rPr>
        <w:t>对于收集的基础资料和相关数据，绩效评价小组成员核实有关数据的全面性、真实性，进而整理出可供财政资金绩效评价之用的相关资料和基础数据。</w:t>
      </w:r>
    </w:p>
    <w:p>
      <w:pPr>
        <w:spacing w:line="580" w:lineRule="exact"/>
        <w:ind w:firstLine="600" w:firstLineChars="200"/>
        <w:rPr>
          <w:rFonts w:ascii="仿宋_GB2312"/>
        </w:rPr>
      </w:pPr>
      <w:r>
        <w:rPr>
          <w:rFonts w:hint="eastAsia" w:ascii="仿宋_GB2312"/>
        </w:rPr>
        <w:t>4、综合分析并形成评价结论</w:t>
      </w:r>
    </w:p>
    <w:p>
      <w:pPr>
        <w:spacing w:line="580" w:lineRule="exact"/>
        <w:ind w:firstLine="600" w:firstLineChars="200"/>
        <w:rPr>
          <w:rFonts w:ascii="仿宋_GB2312"/>
        </w:rPr>
      </w:pPr>
      <w:r>
        <w:rPr>
          <w:rFonts w:hint="eastAsia" w:ascii="仿宋_GB2312"/>
        </w:rPr>
        <w:t>评价小组按照评价方案的要求进行评价工作，并作出评价的初步结论。</w:t>
      </w:r>
    </w:p>
    <w:p>
      <w:pPr>
        <w:spacing w:line="580" w:lineRule="exact"/>
        <w:ind w:firstLine="600" w:firstLineChars="200"/>
        <w:rPr>
          <w:rFonts w:ascii="仿宋_GB2312"/>
        </w:rPr>
      </w:pPr>
      <w:r>
        <w:rPr>
          <w:rFonts w:hint="eastAsia" w:ascii="仿宋_GB2312"/>
        </w:rPr>
        <w:t>5、提交绩效评价报告</w:t>
      </w:r>
    </w:p>
    <w:p>
      <w:pPr>
        <w:pStyle w:val="8"/>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p>
    <w:p>
      <w:pPr>
        <w:spacing w:line="560" w:lineRule="exact"/>
        <w:ind w:firstLine="600" w:firstLineChars="200"/>
        <w:rPr>
          <w:rFonts w:ascii="仿宋_GB2312"/>
        </w:rPr>
      </w:pPr>
      <w:r>
        <w:rPr>
          <w:rFonts w:hint="eastAsia" w:ascii="黑体" w:hAnsi="黑体" w:eastAsia="黑体"/>
        </w:rPr>
        <w:t>三、综合评价情况及评价结论</w:t>
      </w:r>
    </w:p>
    <w:p>
      <w:pPr>
        <w:spacing w:line="560" w:lineRule="exact"/>
        <w:ind w:firstLine="600" w:firstLineChars="200"/>
        <w:rPr>
          <w:rFonts w:ascii="仿宋_GB2312"/>
        </w:rPr>
      </w:pPr>
      <w:r>
        <w:rPr>
          <w:rFonts w:hint="eastAsia" w:ascii="仿宋_GB2312"/>
        </w:rPr>
        <w:t>该项目实施完毕后，在进行绩效评价过程中，学校绩效评价小组组织财务、总务相关业务科室负责人、经办人对该项目从年初立项、安排部门预算资金、项目实施管理、项目支出绩效评价等情况，按照年初设定的指标值，通过项目支出绩效评价体系结合评价方法、评价标准进行评价，首先要求相关科室负责人对该项目的规模、资金使用情况和管理制度进行学习了解熟悉，按照项目实施后达到的目的和效果制定评价方案，明确了绩效评价的目标、评价技术线路、评价依据、指标体系架构以及指标分值分配原则等。</w:t>
      </w:r>
    </w:p>
    <w:p>
      <w:pPr>
        <w:spacing w:line="560" w:lineRule="exact"/>
        <w:ind w:firstLine="600" w:firstLineChars="200"/>
        <w:rPr>
          <w:rFonts w:ascii="黑体" w:hAnsi="黑体" w:eastAsia="黑体"/>
        </w:rPr>
      </w:pPr>
      <w:r>
        <w:rPr>
          <w:rFonts w:hint="eastAsia" w:ascii="黑体" w:hAnsi="黑体" w:eastAsia="黑体"/>
        </w:rPr>
        <w:t>四、绩效评价指标分析</w:t>
      </w:r>
    </w:p>
    <w:p>
      <w:pPr>
        <w:spacing w:line="560" w:lineRule="exact"/>
        <w:ind w:firstLine="600" w:firstLineChars="200"/>
        <w:outlineLvl w:val="0"/>
        <w:rPr>
          <w:rFonts w:ascii="仿宋_GB2312"/>
        </w:rPr>
      </w:pPr>
      <w:r>
        <w:rPr>
          <w:rFonts w:hint="eastAsia" w:ascii="仿宋_GB2312"/>
        </w:rPr>
        <w:t>（一）项目决策情况。</w:t>
      </w:r>
    </w:p>
    <w:p>
      <w:pPr>
        <w:spacing w:line="560" w:lineRule="exact"/>
        <w:ind w:firstLine="600" w:firstLineChars="200"/>
        <w:outlineLvl w:val="0"/>
        <w:rPr>
          <w:rFonts w:ascii="仿宋_GB2312"/>
        </w:rPr>
      </w:pPr>
      <w:r>
        <w:rPr>
          <w:rFonts w:ascii="仿宋_GB2312"/>
        </w:rPr>
        <w:t>2019</w:t>
      </w:r>
      <w:r>
        <w:rPr>
          <w:rFonts w:hint="eastAsia" w:ascii="仿宋_GB2312"/>
        </w:rPr>
        <w:t>年度巴州第三中学党委按照财政要求，进一步清理单位债务，做好防范化解债务风险的工作，2</w:t>
      </w:r>
      <w:r>
        <w:rPr>
          <w:rFonts w:ascii="仿宋_GB2312"/>
        </w:rPr>
        <w:t>019</w:t>
      </w:r>
      <w:r>
        <w:rPr>
          <w:rFonts w:hint="eastAsia" w:ascii="仿宋_GB2312"/>
        </w:rPr>
        <w:t>年度巴州第三中学有一项工程欠款项目，其中：男生公寓楼维修工程项目欠款26.06万元。</w:t>
      </w:r>
    </w:p>
    <w:p>
      <w:pPr>
        <w:spacing w:line="560" w:lineRule="exact"/>
        <w:ind w:firstLine="600" w:firstLineChars="200"/>
        <w:outlineLvl w:val="0"/>
        <w:rPr>
          <w:rFonts w:ascii="仿宋_GB2312"/>
        </w:rPr>
      </w:pPr>
      <w:r>
        <w:rPr>
          <w:rFonts w:hint="eastAsia" w:ascii="仿宋_GB2312"/>
        </w:rPr>
        <w:t>（二）项目过程情况。</w:t>
      </w:r>
    </w:p>
    <w:p>
      <w:pPr>
        <w:spacing w:line="560" w:lineRule="exact"/>
        <w:ind w:firstLine="600" w:firstLineChars="200"/>
        <w:outlineLvl w:val="0"/>
        <w:rPr>
          <w:rFonts w:ascii="仿宋_GB2312"/>
        </w:rPr>
      </w:pPr>
      <w:r>
        <w:rPr>
          <w:rFonts w:hint="eastAsia" w:ascii="仿宋_GB2312"/>
        </w:rPr>
        <w:t>此次绩效评价由项目实施科室总务处和财务室共同完成。根据项目绩效目标进行，一是前期准备，明确工作分工、了解基本情况、设计指标体系；二是收集信息，分别落实工作；三是对照检查核实，提出意见建议。</w:t>
      </w:r>
    </w:p>
    <w:p>
      <w:pPr>
        <w:spacing w:line="560" w:lineRule="exact"/>
        <w:ind w:firstLine="600" w:firstLineChars="200"/>
        <w:outlineLvl w:val="0"/>
        <w:rPr>
          <w:rFonts w:ascii="仿宋_GB2312"/>
        </w:rPr>
      </w:pPr>
      <w:r>
        <w:rPr>
          <w:rFonts w:hint="eastAsia" w:ascii="仿宋_GB2312"/>
        </w:rPr>
        <w:t>（三）项目产出情况。</w:t>
      </w:r>
    </w:p>
    <w:p>
      <w:pPr>
        <w:spacing w:line="560" w:lineRule="exact"/>
        <w:ind w:firstLine="600" w:firstLineChars="200"/>
        <w:outlineLvl w:val="0"/>
        <w:rPr>
          <w:rFonts w:ascii="仿宋_GB2312"/>
        </w:rPr>
      </w:pPr>
      <w:r>
        <w:rPr>
          <w:rFonts w:hint="eastAsia" w:ascii="仿宋_GB2312"/>
        </w:rPr>
        <w:t>结合该项目支出绩效自评表年初该项目设定的产出指标分析：</w:t>
      </w:r>
    </w:p>
    <w:p>
      <w:pPr>
        <w:spacing w:line="560" w:lineRule="exact"/>
        <w:ind w:firstLine="600" w:firstLineChars="200"/>
        <w:outlineLvl w:val="0"/>
        <w:rPr>
          <w:rFonts w:ascii="仿宋_GB2312"/>
        </w:rPr>
      </w:pPr>
      <w:r>
        <w:rPr>
          <w:rFonts w:ascii="仿宋_GB2312"/>
        </w:rPr>
        <w:t>1</w:t>
      </w:r>
      <w:r>
        <w:rPr>
          <w:rFonts w:hint="eastAsia" w:ascii="仿宋_GB2312"/>
        </w:rPr>
        <w:t>、数量指标：按照</w:t>
      </w:r>
      <w:r>
        <w:rPr>
          <w:rFonts w:ascii="仿宋_GB2312"/>
        </w:rPr>
        <w:t>2019</w:t>
      </w:r>
      <w:r>
        <w:rPr>
          <w:rFonts w:hint="eastAsia" w:ascii="仿宋_GB2312"/>
        </w:rPr>
        <w:t>年度学校实际存在一项工程欠款项目分别设置：还工程欠款项目个数和清欠债务完成率两个指标，指标值分别为：1和</w:t>
      </w:r>
      <w:r>
        <w:rPr>
          <w:rFonts w:ascii="仿宋_GB2312"/>
        </w:rPr>
        <w:t>100%</w:t>
      </w:r>
      <w:r>
        <w:rPr>
          <w:rFonts w:hint="eastAsia" w:ascii="仿宋_GB2312"/>
        </w:rPr>
        <w:t>；年末，该项目实际完成值为1和</w:t>
      </w:r>
      <w:r>
        <w:rPr>
          <w:rFonts w:ascii="仿宋_GB2312"/>
        </w:rPr>
        <w:t>100%</w:t>
      </w:r>
      <w:r>
        <w:rPr>
          <w:rFonts w:hint="eastAsia" w:ascii="仿宋_GB2312"/>
        </w:rPr>
        <w:t>，指标完成率为</w:t>
      </w:r>
      <w:r>
        <w:rPr>
          <w:rFonts w:ascii="仿宋_GB2312"/>
        </w:rPr>
        <w:t>100%</w:t>
      </w:r>
      <w:r>
        <w:rPr>
          <w:rFonts w:hint="eastAsia" w:ascii="仿宋_GB2312"/>
        </w:rPr>
        <w:t>，完成了年初设定的指标值，达到了年初设定的指标值。</w:t>
      </w:r>
    </w:p>
    <w:p>
      <w:pPr>
        <w:spacing w:line="560" w:lineRule="exact"/>
        <w:ind w:firstLine="600" w:firstLineChars="200"/>
        <w:outlineLvl w:val="0"/>
        <w:rPr>
          <w:rFonts w:ascii="仿宋_GB2312"/>
        </w:rPr>
      </w:pPr>
      <w:r>
        <w:rPr>
          <w:rFonts w:ascii="仿宋_GB2312"/>
        </w:rPr>
        <w:t>2</w:t>
      </w:r>
      <w:r>
        <w:rPr>
          <w:rFonts w:hint="eastAsia" w:ascii="仿宋_GB2312"/>
        </w:rPr>
        <w:t>、时效指标：按照该项目清欠计划和部门预算安排分别为一项指标设定了</w:t>
      </w:r>
      <w:r>
        <w:rPr>
          <w:rFonts w:ascii="仿宋_GB2312"/>
        </w:rPr>
        <w:t>2019</w:t>
      </w:r>
      <w:r>
        <w:rPr>
          <w:rFonts w:hint="eastAsia" w:ascii="仿宋_GB2312"/>
        </w:rPr>
        <w:t>年6月至12月的完成时效，该项目在</w:t>
      </w:r>
      <w:r>
        <w:rPr>
          <w:rFonts w:ascii="仿宋_GB2312"/>
        </w:rPr>
        <w:t>2019</w:t>
      </w:r>
      <w:r>
        <w:rPr>
          <w:rFonts w:hint="eastAsia" w:ascii="仿宋_GB2312"/>
        </w:rPr>
        <w:t>年12月25日完成目标值，指标完成率为</w:t>
      </w:r>
      <w:r>
        <w:rPr>
          <w:rFonts w:ascii="仿宋_GB2312"/>
        </w:rPr>
        <w:t>100%</w:t>
      </w:r>
      <w:r>
        <w:rPr>
          <w:rFonts w:hint="eastAsia" w:ascii="仿宋_GB2312"/>
        </w:rPr>
        <w:t>，完成了年初设定的指标值。</w:t>
      </w:r>
    </w:p>
    <w:p>
      <w:pPr>
        <w:spacing w:line="560" w:lineRule="exact"/>
        <w:ind w:firstLine="600" w:firstLineChars="200"/>
        <w:outlineLvl w:val="0"/>
        <w:rPr>
          <w:rFonts w:ascii="仿宋_GB2312"/>
        </w:rPr>
      </w:pPr>
      <w:r>
        <w:rPr>
          <w:rFonts w:ascii="仿宋_GB2312"/>
        </w:rPr>
        <w:t>3</w:t>
      </w:r>
      <w:r>
        <w:rPr>
          <w:rFonts w:hint="eastAsia" w:ascii="仿宋_GB2312"/>
        </w:rPr>
        <w:t>、成本指标：按照实际欠工程款的情况分别设置成本指标：≤26.06万元；实际完成值为：≤26.06万元，指标完成率为</w:t>
      </w:r>
      <w:r>
        <w:rPr>
          <w:rFonts w:ascii="仿宋_GB2312"/>
        </w:rPr>
        <w:t>100%</w:t>
      </w:r>
      <w:r>
        <w:rPr>
          <w:rFonts w:hint="eastAsia" w:ascii="仿宋_GB2312"/>
        </w:rPr>
        <w:t>，完成了年初设定的指标值。</w:t>
      </w:r>
    </w:p>
    <w:p>
      <w:pPr>
        <w:spacing w:line="560" w:lineRule="exact"/>
        <w:ind w:firstLine="600" w:firstLineChars="200"/>
        <w:outlineLvl w:val="0"/>
        <w:rPr>
          <w:rFonts w:ascii="仿宋_GB2312"/>
        </w:rPr>
      </w:pPr>
      <w:r>
        <w:rPr>
          <w:rFonts w:hint="eastAsia" w:ascii="仿宋_GB2312"/>
        </w:rPr>
        <w:t>从以上分析情况看，产出指标按年初制订的目标已全部完成。</w:t>
      </w:r>
    </w:p>
    <w:p>
      <w:pPr>
        <w:spacing w:line="560" w:lineRule="exact"/>
        <w:ind w:firstLine="600" w:firstLineChars="200"/>
        <w:outlineLvl w:val="0"/>
        <w:rPr>
          <w:rFonts w:ascii="仿宋_GB2312"/>
        </w:rPr>
      </w:pPr>
      <w:r>
        <w:rPr>
          <w:rFonts w:hint="eastAsia" w:ascii="仿宋_GB2312"/>
        </w:rPr>
        <w:t>（四）项目效益情况。</w:t>
      </w:r>
    </w:p>
    <w:p>
      <w:pPr>
        <w:spacing w:line="560" w:lineRule="exact"/>
        <w:ind w:firstLine="600" w:firstLineChars="200"/>
        <w:outlineLvl w:val="0"/>
        <w:rPr>
          <w:rFonts w:ascii="仿宋_GB2312"/>
        </w:rPr>
      </w:pPr>
      <w:r>
        <w:rPr>
          <w:rFonts w:ascii="仿宋_GB2312"/>
        </w:rPr>
        <w:t>1</w:t>
      </w:r>
      <w:r>
        <w:rPr>
          <w:rFonts w:hint="eastAsia" w:ascii="仿宋_GB2312"/>
        </w:rPr>
        <w:t>、社会效益指标：通过该项目的实施，改善了学校的办学条件，提高学校的教育教学质量，通过以前年度对比，该项指标完成率为85</w:t>
      </w:r>
      <w:r>
        <w:rPr>
          <w:rFonts w:ascii="仿宋_GB2312"/>
        </w:rPr>
        <w:t>%</w:t>
      </w:r>
      <w:r>
        <w:rPr>
          <w:rFonts w:hint="eastAsia" w:ascii="仿宋_GB2312"/>
        </w:rPr>
        <w:t>。</w:t>
      </w:r>
    </w:p>
    <w:p>
      <w:pPr>
        <w:spacing w:line="560" w:lineRule="exact"/>
        <w:ind w:firstLine="600" w:firstLineChars="200"/>
        <w:outlineLvl w:val="0"/>
        <w:rPr>
          <w:rFonts w:ascii="仿宋_GB2312"/>
        </w:rPr>
      </w:pPr>
      <w:r>
        <w:rPr>
          <w:rFonts w:ascii="仿宋_GB2312"/>
        </w:rPr>
        <w:t>2</w:t>
      </w:r>
      <w:r>
        <w:rPr>
          <w:rFonts w:hint="eastAsia" w:ascii="仿宋_GB2312"/>
        </w:rPr>
        <w:t>、可持续影响指标：通过该项目的实施，化解学校债务风险，改善办学条件，通过以前年度对比，该项指标完成率为85</w:t>
      </w:r>
      <w:r>
        <w:rPr>
          <w:rFonts w:ascii="仿宋_GB2312"/>
        </w:rPr>
        <w:t>%</w:t>
      </w:r>
      <w:r>
        <w:rPr>
          <w:rFonts w:hint="eastAsia" w:ascii="仿宋_GB2312"/>
        </w:rPr>
        <w:t>。</w:t>
      </w:r>
    </w:p>
    <w:p>
      <w:pPr>
        <w:spacing w:line="56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560" w:lineRule="exact"/>
        <w:ind w:firstLine="600" w:firstLineChars="200"/>
        <w:rPr>
          <w:rFonts w:ascii="仿宋_GB2312" w:hAnsi="黑体"/>
        </w:rPr>
      </w:pPr>
      <w:r>
        <w:rPr>
          <w:rFonts w:ascii="仿宋_GB2312" w:hAnsi="黑体"/>
        </w:rPr>
        <w:t>1</w:t>
      </w:r>
      <w:r>
        <w:rPr>
          <w:rFonts w:hint="eastAsia" w:ascii="仿宋_GB2312" w:hAnsi="黑体"/>
        </w:rPr>
        <w:t>、主要经验及做法</w:t>
      </w:r>
    </w:p>
    <w:p>
      <w:pPr>
        <w:spacing w:line="560" w:lineRule="exact"/>
        <w:ind w:firstLine="600" w:firstLineChars="200"/>
        <w:rPr>
          <w:rFonts w:ascii="仿宋_GB2312" w:hAnsi="黑体"/>
        </w:rPr>
      </w:pPr>
      <w:r>
        <w:rPr>
          <w:rFonts w:hint="eastAsia" w:ascii="仿宋_GB2312" w:hAnsi="黑体"/>
        </w:rPr>
        <w:t>资金项目实施过程中主要有以下经验和做法：</w:t>
      </w:r>
    </w:p>
    <w:p>
      <w:pPr>
        <w:spacing w:line="560" w:lineRule="exact"/>
        <w:ind w:firstLine="600" w:firstLineChars="200"/>
        <w:rPr>
          <w:rFonts w:ascii="仿宋_GB2312" w:hAnsi="黑体"/>
        </w:rPr>
      </w:pPr>
      <w:r>
        <w:rPr>
          <w:rFonts w:ascii="仿宋_GB2312" w:hAnsi="黑体"/>
        </w:rPr>
        <w:t>2</w:t>
      </w:r>
      <w:r>
        <w:rPr>
          <w:rFonts w:hint="eastAsia" w:ascii="仿宋_GB2312" w:hAnsi="黑体"/>
        </w:rPr>
        <w:t>、财务室加强配合，监管有力，及时按年初预算支付经费，为项目实施做好资金保障。</w:t>
      </w:r>
    </w:p>
    <w:p>
      <w:pPr>
        <w:spacing w:line="560" w:lineRule="exact"/>
        <w:ind w:firstLine="600" w:firstLineChars="200"/>
        <w:rPr>
          <w:rFonts w:ascii="仿宋_GB2312" w:hAnsi="黑体"/>
        </w:rPr>
      </w:pPr>
      <w:r>
        <w:rPr>
          <w:rFonts w:ascii="仿宋_GB2312" w:hAnsi="黑体"/>
        </w:rPr>
        <w:t>3</w:t>
      </w:r>
      <w:r>
        <w:rPr>
          <w:rFonts w:hint="eastAsia" w:ascii="仿宋_GB2312" w:hAnsi="黑体"/>
        </w:rPr>
        <w:t>、项目执行科室总务科提出项目资金的使用计划，较为规范地组织实施，有条不紊开展相关工作，并做好资料收集整理工作。</w:t>
      </w:r>
    </w:p>
    <w:p>
      <w:pPr>
        <w:spacing w:line="560" w:lineRule="exact"/>
        <w:ind w:firstLine="600" w:firstLineChars="200"/>
        <w:rPr>
          <w:rFonts w:ascii="仿宋_GB2312"/>
        </w:rPr>
      </w:pPr>
      <w:r>
        <w:rPr>
          <w:rFonts w:ascii="仿宋_GB2312"/>
        </w:rPr>
        <w:t>4</w:t>
      </w:r>
      <w:r>
        <w:rPr>
          <w:rFonts w:hint="eastAsia" w:ascii="仿宋_GB2312"/>
        </w:rPr>
        <w:t>、存在的问题及原因分析：对于此项绩效管理工作经验不足，项目的部分成果无法用量化指标形式表示，在绩效考评指标的设计上，有待完善。</w:t>
      </w:r>
    </w:p>
    <w:p>
      <w:pPr>
        <w:spacing w:line="560" w:lineRule="exact"/>
        <w:ind w:firstLine="600" w:firstLineChars="200"/>
        <w:rPr>
          <w:rFonts w:ascii="黑体" w:hAnsi="黑体" w:eastAsia="黑体"/>
        </w:rPr>
      </w:pPr>
      <w:r>
        <w:rPr>
          <w:rFonts w:hint="eastAsia" w:ascii="黑体" w:hAnsi="黑体" w:eastAsia="黑体"/>
        </w:rPr>
        <w:t>六、有关建议</w:t>
      </w:r>
    </w:p>
    <w:p>
      <w:pPr>
        <w:spacing w:line="560" w:lineRule="exact"/>
        <w:ind w:firstLine="600" w:firstLineChars="200"/>
        <w:rPr>
          <w:rFonts w:ascii="仿宋_GB2312"/>
        </w:rPr>
      </w:pPr>
      <w:r>
        <w:rPr>
          <w:rFonts w:hint="eastAsia" w:ascii="仿宋_GB2312"/>
        </w:rPr>
        <w:t>项目资金使用具有不可预见性和不可计划性，因此部分指标并不适宜作为绩效考核，例如经济效益指标、服务对象满意度等指标。建议研究制订适合专项资金的支出绩效评价共性指标。</w:t>
      </w:r>
    </w:p>
    <w:p>
      <w:pPr>
        <w:spacing w:line="560" w:lineRule="exact"/>
        <w:ind w:firstLine="600" w:firstLineChars="200"/>
        <w:rPr>
          <w:rFonts w:ascii="黑体" w:hAnsi="黑体" w:eastAsia="黑体"/>
        </w:rPr>
      </w:pPr>
      <w:r>
        <w:rPr>
          <w:rFonts w:hint="eastAsia" w:ascii="黑体" w:hAnsi="黑体" w:eastAsia="黑体"/>
        </w:rPr>
        <w:t>七、其他需要说明的问题</w:t>
      </w:r>
    </w:p>
    <w:p>
      <w:pPr>
        <w:spacing w:line="560" w:lineRule="exact"/>
        <w:ind w:firstLine="600" w:firstLineChars="200"/>
        <w:rPr>
          <w:rFonts w:ascii="仿宋_GB2312" w:hAnsi="黑体"/>
        </w:rPr>
      </w:pPr>
      <w:r>
        <w:rPr>
          <w:rFonts w:hint="eastAsia" w:ascii="仿宋_GB2312" w:hAnsi="黑体"/>
        </w:rPr>
        <w:t>无</w:t>
      </w: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ind w:firstLine="600" w:firstLineChars="200"/>
        <w:rPr>
          <w:rFonts w:ascii="仿宋_GB2312" w:hAnsi="黑体"/>
        </w:rPr>
      </w:pPr>
    </w:p>
    <w:p>
      <w:pPr>
        <w:spacing w:line="560" w:lineRule="exact"/>
        <w:rPr>
          <w:rFonts w:ascii="仿宋_GB2312" w:hAnsi="黑体"/>
        </w:rPr>
        <w:sectPr>
          <w:pgSz w:w="11906" w:h="16838"/>
          <w:pgMar w:top="1928" w:right="1531" w:bottom="1701" w:left="1531" w:header="737" w:footer="851" w:gutter="0"/>
          <w:cols w:space="720" w:num="1"/>
          <w:docGrid w:type="lines" w:linePitch="408" w:charSpace="0"/>
        </w:sectPr>
      </w:pPr>
    </w:p>
    <w:tbl>
      <w:tblPr>
        <w:tblStyle w:val="4"/>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02" w:hRule="atLeast"/>
          <w:tblHeader/>
          <w:jc w:val="center"/>
        </w:trPr>
        <w:tc>
          <w:tcPr>
            <w:tcW w:w="763"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shd w:val="clear" w:color="auto" w:fill="FFFFFF"/>
            <w:noWrap/>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noWrap/>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003"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　</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01"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shd w:val="clear" w:color="auto"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574"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170"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592"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0"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shd w:val="clear" w:color="auto" w:fill="FFFFFF"/>
            <w:noWrap/>
            <w:vAlign w:val="center"/>
          </w:tcPr>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592"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410"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600" w:hRule="atLeast"/>
          <w:jc w:val="center"/>
        </w:trPr>
        <w:tc>
          <w:tcPr>
            <w:tcW w:w="763"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0"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6" w:hRule="atLeast"/>
          <w:jc w:val="center"/>
        </w:trPr>
        <w:tc>
          <w:tcPr>
            <w:tcW w:w="763" w:type="dxa"/>
            <w:vMerge w:val="continue"/>
            <w:shd w:val="clear" w:color="auto" w:fill="FFFFFF"/>
            <w:noWrap/>
            <w:vAlign w:val="center"/>
          </w:tcPr>
          <w:p>
            <w:pPr>
              <w:spacing w:line="240" w:lineRule="exact"/>
              <w:jc w:val="center"/>
              <w:rPr>
                <w:rFonts w:ascii="宋体" w:hAnsi="宋体" w:eastAsia="宋体" w:cs="宋体"/>
                <w:color w:val="000000"/>
                <w:kern w:val="0"/>
                <w:sz w:val="22"/>
                <w:szCs w:val="22"/>
              </w:rPr>
            </w:pPr>
          </w:p>
        </w:tc>
        <w:tc>
          <w:tcPr>
            <w:tcW w:w="1297" w:type="dxa"/>
            <w:shd w:val="clear" w:color="auto" w:fill="FFFFFF"/>
            <w:noWrap/>
            <w:vAlign w:val="center"/>
          </w:tcPr>
          <w:p>
            <w:pPr>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92"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297" w:type="dxa"/>
            <w:vMerge w:val="restart"/>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shd w:val="clear" w:color="auto" w:fill="FFFFFF"/>
            <w:noWrap/>
            <w:vAlign w:val="center"/>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shd w:val="clear" w:color="auto"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297" w:type="dxa"/>
            <w:vMerge w:val="continue"/>
            <w:shd w:val="clear" w:color="auto" w:fill="FFFFFF"/>
            <w:noWrap/>
            <w:vAlign w:val="center"/>
          </w:tcPr>
          <w:p>
            <w:pPr>
              <w:widowControl/>
              <w:spacing w:line="240" w:lineRule="exact"/>
              <w:jc w:val="center"/>
              <w:rPr>
                <w:rFonts w:ascii="宋体" w:hAnsi="宋体" w:eastAsia="宋体" w:cs="宋体"/>
                <w:color w:val="000000"/>
                <w:kern w:val="0"/>
                <w:sz w:val="22"/>
                <w:szCs w:val="22"/>
              </w:rPr>
            </w:pPr>
          </w:p>
        </w:tc>
        <w:tc>
          <w:tcPr>
            <w:tcW w:w="1411" w:type="dxa"/>
            <w:shd w:val="clear" w:color="auto" w:fill="FFFFFF"/>
            <w:noWrap/>
            <w:vAlign w:val="center"/>
          </w:tcPr>
          <w:p>
            <w:pPr>
              <w:widowControl/>
              <w:spacing w:line="24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shd w:val="clear" w:color="000000" w:fill="FFFFFF"/>
            <w:noWrap/>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p>
          <w:p>
            <w:pPr>
              <w:widowControl/>
              <w:spacing w:line="240" w:lineRule="exact"/>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noWrap/>
          </w:tcPr>
          <w:p>
            <w:pPr>
              <w:widowControl/>
              <w:spacing w:line="240" w:lineRule="exac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p>
      <w:pPr>
        <w:spacing w:line="560" w:lineRule="exact"/>
        <w:rPr>
          <w:rFonts w:ascii="仿宋_GB2312" w:hAnsi="黑体"/>
        </w:rPr>
      </w:pPr>
    </w:p>
    <w:sectPr>
      <w:pgSz w:w="16838" w:h="11906" w:orient="landscape"/>
      <w:pgMar w:top="1531" w:right="1928" w:bottom="1531" w:left="170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w..">
    <w:altName w:val="宋体"/>
    <w:panose1 w:val="00000000000000000000"/>
    <w:charset w:val="86"/>
    <w:family w:val="roma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EFC2CD"/>
    <w:multiLevelType w:val="singleLevel"/>
    <w:tmpl w:val="E6EFC2C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21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AC9"/>
    <w:rsid w:val="000B4E42"/>
    <w:rsid w:val="000B6168"/>
    <w:rsid w:val="00113B50"/>
    <w:rsid w:val="002C7969"/>
    <w:rsid w:val="002F5E56"/>
    <w:rsid w:val="003521C1"/>
    <w:rsid w:val="003A4FD3"/>
    <w:rsid w:val="003C1501"/>
    <w:rsid w:val="003D519D"/>
    <w:rsid w:val="004050FD"/>
    <w:rsid w:val="00406017"/>
    <w:rsid w:val="00433D7E"/>
    <w:rsid w:val="0043448B"/>
    <w:rsid w:val="004A18E2"/>
    <w:rsid w:val="004B0683"/>
    <w:rsid w:val="005314CB"/>
    <w:rsid w:val="00535AC9"/>
    <w:rsid w:val="005751AF"/>
    <w:rsid w:val="005D3238"/>
    <w:rsid w:val="005F11EE"/>
    <w:rsid w:val="005F4E3A"/>
    <w:rsid w:val="006F260A"/>
    <w:rsid w:val="0073642D"/>
    <w:rsid w:val="00764F44"/>
    <w:rsid w:val="0076579D"/>
    <w:rsid w:val="00801097"/>
    <w:rsid w:val="00810868"/>
    <w:rsid w:val="00825595"/>
    <w:rsid w:val="00825C76"/>
    <w:rsid w:val="00856D76"/>
    <w:rsid w:val="00873448"/>
    <w:rsid w:val="00932327"/>
    <w:rsid w:val="00935505"/>
    <w:rsid w:val="00A10E03"/>
    <w:rsid w:val="00A239D9"/>
    <w:rsid w:val="00A31F21"/>
    <w:rsid w:val="00A464BE"/>
    <w:rsid w:val="00AD189C"/>
    <w:rsid w:val="00AE21AA"/>
    <w:rsid w:val="00AE29E1"/>
    <w:rsid w:val="00AE6A9A"/>
    <w:rsid w:val="00B457C5"/>
    <w:rsid w:val="00B66BF2"/>
    <w:rsid w:val="00B805AF"/>
    <w:rsid w:val="00BA0F3E"/>
    <w:rsid w:val="00BE78A9"/>
    <w:rsid w:val="00C20991"/>
    <w:rsid w:val="00CC070D"/>
    <w:rsid w:val="00D93392"/>
    <w:rsid w:val="00E137C0"/>
    <w:rsid w:val="00E3118B"/>
    <w:rsid w:val="00F62D79"/>
    <w:rsid w:val="01434B12"/>
    <w:rsid w:val="0E466F8F"/>
    <w:rsid w:val="1086045B"/>
    <w:rsid w:val="147D7F3A"/>
    <w:rsid w:val="24B93F91"/>
    <w:rsid w:val="2913681C"/>
    <w:rsid w:val="3619001F"/>
    <w:rsid w:val="379433A3"/>
    <w:rsid w:val="393C7205"/>
    <w:rsid w:val="3B66050F"/>
    <w:rsid w:val="3EF636A9"/>
    <w:rsid w:val="4C1E6CE7"/>
    <w:rsid w:val="4E6211EF"/>
    <w:rsid w:val="5C760877"/>
    <w:rsid w:val="65AF324C"/>
    <w:rsid w:val="65EF083D"/>
    <w:rsid w:val="68115315"/>
    <w:rsid w:val="6C38797F"/>
    <w:rsid w:val="793E7F09"/>
    <w:rsid w:val="7CAF2DD7"/>
    <w:rsid w:val="7E1C4F6C"/>
    <w:rsid w:val="7EE009A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cs="Times New Roman"/>
      <w:sz w:val="18"/>
      <w:szCs w:val="18"/>
    </w:rPr>
  </w:style>
  <w:style w:type="character" w:customStyle="1" w:styleId="7">
    <w:name w:val="页脚 Char"/>
    <w:basedOn w:val="5"/>
    <w:link w:val="2"/>
    <w:semiHidden/>
    <w:qFormat/>
    <w:locked/>
    <w:uiPriority w:val="99"/>
    <w:rPr>
      <w:rFonts w:cs="Times New Roman"/>
      <w:sz w:val="18"/>
      <w:szCs w:val="18"/>
    </w:rPr>
  </w:style>
  <w:style w:type="paragraph" w:customStyle="1" w:styleId="8">
    <w:name w:val="Defaul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790</Words>
  <Characters>4503</Characters>
  <Lines>37</Lines>
  <Paragraphs>10</Paragraphs>
  <TotalTime>6</TotalTime>
  <ScaleCrop>false</ScaleCrop>
  <LinksUpToDate>false</LinksUpToDate>
  <CharactersWithSpaces>5283</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2020-04-07T04:11:00Z</dcterms:created>
  <dc:creator>CurUserName</dc:creator>
  <cp:lastModifiedBy>丫丫</cp:lastModifiedBy>
  <dcterms:modified xsi:type="dcterms:W3CDTF">2020-06-03T11:06:02Z</dcterms:modified>
  <dc:title>附1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