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rPr>
      </w:pPr>
      <w:bookmarkStart w:id="0" w:name="_GoBack"/>
      <w:bookmarkEnd w:id="0"/>
      <w:r>
        <w:rPr>
          <w:rFonts w:hint="eastAsia" w:ascii="黑体" w:hAnsi="黑体" w:eastAsia="黑体"/>
        </w:rPr>
        <w:t>附件·2</w:t>
      </w:r>
    </w:p>
    <w:p>
      <w:pPr>
        <w:jc w:val="center"/>
        <w:rPr>
          <w:rFonts w:ascii="Arial" w:hAnsi="Arial" w:eastAsia="宋体" w:cs="Arial"/>
          <w:b/>
          <w:bCs/>
          <w:sz w:val="36"/>
          <w:szCs w:val="36"/>
        </w:rPr>
      </w:pPr>
      <w:r>
        <w:rPr>
          <w:rFonts w:hint="eastAsia" w:ascii="宋体" w:hAnsi="宋体" w:eastAsia="宋体" w:cs="Arial"/>
          <w:b/>
          <w:bCs/>
          <w:sz w:val="36"/>
          <w:szCs w:val="36"/>
        </w:rPr>
        <w:t>自治区国有企业改革成本（石油二中划转地方安置经费）项目支出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spacing w:line="600" w:lineRule="exact"/>
        <w:ind w:firstLine="600" w:firstLineChars="200"/>
        <w:rPr>
          <w:rFonts w:ascii="黑体" w:hAnsi="黑体" w:eastAsia="黑体"/>
        </w:rPr>
      </w:pPr>
      <w:r>
        <w:rPr>
          <w:rFonts w:hint="eastAsia" w:ascii="黑体" w:hAnsi="黑体" w:eastAsia="黑体"/>
        </w:rPr>
        <w:t>一、基本情况</w:t>
      </w:r>
    </w:p>
    <w:p>
      <w:pPr>
        <w:pStyle w:val="10"/>
        <w:ind w:firstLine="560"/>
        <w:rPr>
          <w:rFonts w:ascii="仿宋_GB2312"/>
          <w:color w:val="auto"/>
          <w:kern w:val="2"/>
          <w:szCs w:val="24"/>
        </w:rPr>
      </w:pPr>
      <w:r>
        <w:rPr>
          <w:rFonts w:hint="eastAsia" w:ascii="仿宋_GB2312"/>
          <w:color w:val="auto"/>
          <w:kern w:val="2"/>
          <w:szCs w:val="24"/>
        </w:rPr>
        <w:t>（一）项目概况。</w:t>
      </w:r>
    </w:p>
    <w:p>
      <w:pPr>
        <w:pStyle w:val="10"/>
        <w:spacing w:line="540" w:lineRule="exact"/>
        <w:ind w:firstLine="560"/>
        <w:rPr>
          <w:rFonts w:hint="eastAsia" w:ascii="仿宋_GB2312" w:eastAsia="仿宋_GB2312"/>
          <w:kern w:val="2"/>
          <w:szCs w:val="24"/>
          <w:lang w:eastAsia="zh-CN"/>
        </w:rPr>
      </w:pPr>
      <w:r>
        <w:rPr>
          <w:rFonts w:hint="eastAsia" w:ascii="仿宋_GB2312"/>
          <w:kern w:val="2"/>
          <w:szCs w:val="24"/>
        </w:rPr>
        <w:t>巴州石油二中是一所九年制义务教育学校，职能是实施基础教育，促进教育事业发展，组织实施中小学教育、教学管理与监督的部门。单位原属于中国石油天然气股份有限公司塔里木油田分公司塔西南勘探开发公司所办的石油子弟学校。</w:t>
      </w:r>
      <w:r>
        <w:rPr>
          <w:rFonts w:hint="eastAsia" w:ascii="仿宋_GB2312"/>
          <w:kern w:val="2"/>
          <w:szCs w:val="24"/>
          <w:lang w:eastAsia="zh-CN"/>
        </w:rPr>
        <w:t>根据《国务院关于办公厅关于中央企业分离办社会职能试点工作有关问题的通知》等文件精神，</w:t>
      </w:r>
      <w:r>
        <w:rPr>
          <w:rFonts w:hint="eastAsia" w:ascii="仿宋_GB2312"/>
          <w:kern w:val="2"/>
          <w:szCs w:val="24"/>
        </w:rPr>
        <w:t>2004年底，</w:t>
      </w:r>
      <w:r>
        <w:rPr>
          <w:rFonts w:hint="eastAsia" w:ascii="仿宋_GB2312"/>
          <w:kern w:val="2"/>
          <w:szCs w:val="24"/>
          <w:lang w:eastAsia="zh-CN"/>
        </w:rPr>
        <w:t>石油二中</w:t>
      </w:r>
      <w:r>
        <w:rPr>
          <w:rFonts w:hint="eastAsia" w:ascii="仿宋_GB2312"/>
          <w:kern w:val="2"/>
          <w:szCs w:val="24"/>
        </w:rPr>
        <w:t>移交巴州教育局管理。</w:t>
      </w:r>
      <w:r>
        <w:rPr>
          <w:rFonts w:hint="eastAsia" w:ascii="仿宋_GB2312"/>
          <w:kern w:val="2"/>
          <w:szCs w:val="24"/>
          <w:lang w:eastAsia="zh-CN"/>
        </w:rPr>
        <w:t>为了提高移交前退休人员的待遇，</w:t>
      </w:r>
      <w:r>
        <w:rPr>
          <w:rFonts w:hint="eastAsia" w:ascii="仿宋_GB2312"/>
          <w:kern w:val="2"/>
          <w:szCs w:val="24"/>
        </w:rPr>
        <w:t>根据</w:t>
      </w:r>
      <w:r>
        <w:rPr>
          <w:rFonts w:hint="eastAsia" w:ascii="仿宋_GB2312"/>
        </w:rPr>
        <w:t>新财企（2018）0157号和巴财企（2019）16号文件精神</w:t>
      </w:r>
      <w:r>
        <w:rPr>
          <w:rFonts w:hint="eastAsia" w:ascii="仿宋_GB2312"/>
          <w:kern w:val="2"/>
          <w:szCs w:val="24"/>
          <w:lang w:val="en-US" w:eastAsia="zh-CN"/>
        </w:rPr>
        <w:t>，</w:t>
      </w:r>
      <w:r>
        <w:rPr>
          <w:rFonts w:hint="eastAsia" w:ascii="仿宋_GB2312"/>
          <w:kern w:val="2"/>
          <w:szCs w:val="24"/>
        </w:rPr>
        <w:t>2019年度，自治区财政拨付单位</w:t>
      </w:r>
      <w:r>
        <w:rPr>
          <w:rFonts w:hint="eastAsia" w:ascii="仿宋_GB2312"/>
          <w:kern w:val="2"/>
          <w:szCs w:val="24"/>
          <w:lang w:eastAsia="zh-CN"/>
        </w:rPr>
        <w:t>退休人员</w:t>
      </w:r>
      <w:r>
        <w:rPr>
          <w:rFonts w:hint="eastAsia" w:ascii="仿宋_GB2312"/>
          <w:kern w:val="2"/>
          <w:szCs w:val="24"/>
        </w:rPr>
        <w:t>专项经费192.80万元</w:t>
      </w:r>
      <w:r>
        <w:rPr>
          <w:rFonts w:hint="eastAsia" w:ascii="仿宋_GB2312"/>
          <w:kern w:val="2"/>
          <w:szCs w:val="24"/>
          <w:lang w:eastAsia="zh-CN"/>
        </w:rPr>
        <w:t>。为了</w:t>
      </w:r>
      <w:r>
        <w:rPr>
          <w:rFonts w:hint="eastAsia" w:ascii="仿宋_GB2312"/>
          <w:kern w:val="2"/>
          <w:szCs w:val="24"/>
        </w:rPr>
        <w:t>保证移交退休人员的退休待遇</w:t>
      </w:r>
      <w:r>
        <w:rPr>
          <w:rFonts w:hint="eastAsia" w:ascii="仿宋_GB2312"/>
          <w:kern w:val="2"/>
          <w:szCs w:val="24"/>
          <w:lang w:eastAsia="zh-CN"/>
        </w:rPr>
        <w:t>，</w:t>
      </w:r>
      <w:r>
        <w:rPr>
          <w:rFonts w:hint="eastAsia" w:ascii="仿宋_GB2312"/>
          <w:kern w:val="2"/>
          <w:szCs w:val="24"/>
          <w:lang w:val="en-US" w:eastAsia="zh-CN"/>
        </w:rPr>
        <w:t>2019年初，巴州石油二中立项《自治区国有企业改革成本（石油二中划转地方安》专项资金项目</w:t>
      </w:r>
      <w:r>
        <w:rPr>
          <w:rFonts w:hint="eastAsia" w:ascii="仿宋_GB2312"/>
          <w:kern w:val="2"/>
          <w:szCs w:val="24"/>
        </w:rPr>
        <w:t>。2019年度，单位按月、按标准、先后12批次向移交前102名退休人员（2019年8月去世1人，实发人数101人）发放退休费191.93万元。该项目专项资金有利于保障巴州石油二中退休人员102人的退休金正常支出。从而有利于教师队伍的稳定，促进社会的和谐</w:t>
      </w:r>
      <w:r>
        <w:rPr>
          <w:rFonts w:hint="eastAsia" w:ascii="仿宋_GB2312"/>
          <w:kern w:val="2"/>
          <w:szCs w:val="24"/>
          <w:lang w:eastAsia="zh-CN"/>
        </w:rPr>
        <w:t>。</w:t>
      </w:r>
    </w:p>
    <w:p>
      <w:pPr>
        <w:numPr>
          <w:ilvl w:val="0"/>
          <w:numId w:val="1"/>
        </w:numPr>
        <w:spacing w:line="540" w:lineRule="exact"/>
        <w:ind w:firstLine="600" w:firstLineChars="200"/>
        <w:rPr>
          <w:rFonts w:ascii="仿宋_GB2312"/>
          <w:color w:val="auto"/>
        </w:rPr>
      </w:pPr>
      <w:r>
        <w:rPr>
          <w:rFonts w:hint="eastAsia" w:ascii="仿宋_GB2312"/>
          <w:color w:val="auto"/>
        </w:rPr>
        <w:t>项目绩效目标。包括总体目标和阶段性目标。</w:t>
      </w:r>
    </w:p>
    <w:p>
      <w:pPr>
        <w:pStyle w:val="10"/>
        <w:spacing w:line="540" w:lineRule="exact"/>
        <w:ind w:firstLine="560"/>
        <w:rPr>
          <w:rFonts w:hint="eastAsia" w:ascii="仿宋_GB2312" w:eastAsia="仿宋_GB2312"/>
          <w:kern w:val="2"/>
          <w:szCs w:val="24"/>
          <w:lang w:eastAsia="zh-CN"/>
        </w:rPr>
      </w:pPr>
      <w:r>
        <w:rPr>
          <w:rFonts w:hint="eastAsia" w:ascii="仿宋_GB2312"/>
          <w:lang w:val="en-US" w:eastAsia="zh-CN"/>
        </w:rPr>
        <w:t>1、项目总体目标：保证移交前退休人员</w:t>
      </w:r>
      <w:r>
        <w:rPr>
          <w:rFonts w:hint="eastAsia" w:ascii="仿宋_GB2312"/>
          <w:kern w:val="2"/>
          <w:szCs w:val="24"/>
        </w:rPr>
        <w:t>退休金正常支出</w:t>
      </w:r>
      <w:r>
        <w:rPr>
          <w:rFonts w:hint="eastAsia" w:ascii="仿宋_GB2312"/>
          <w:kern w:val="2"/>
          <w:szCs w:val="24"/>
          <w:lang w:eastAsia="zh-CN"/>
        </w:rPr>
        <w:t>，稳定</w:t>
      </w:r>
      <w:r>
        <w:rPr>
          <w:rFonts w:hint="eastAsia" w:ascii="仿宋_GB2312"/>
          <w:kern w:val="2"/>
          <w:szCs w:val="24"/>
        </w:rPr>
        <w:t>教师队伍，促进社会的和谐</w:t>
      </w:r>
      <w:r>
        <w:rPr>
          <w:rFonts w:hint="eastAsia" w:ascii="仿宋_GB2312"/>
          <w:kern w:val="2"/>
          <w:szCs w:val="24"/>
          <w:lang w:eastAsia="zh-CN"/>
        </w:rPr>
        <w:t>。</w:t>
      </w:r>
    </w:p>
    <w:p>
      <w:pPr>
        <w:spacing w:line="540" w:lineRule="exact"/>
        <w:jc w:val="left"/>
        <w:rPr>
          <w:rFonts w:hint="eastAsia" w:ascii="仿宋_GB2312" w:eastAsia="仿宋_GB2312"/>
          <w:lang w:val="en-US" w:eastAsia="zh-CN"/>
        </w:rPr>
      </w:pPr>
    </w:p>
    <w:p>
      <w:pPr>
        <w:spacing w:line="540" w:lineRule="exact"/>
        <w:ind w:firstLine="600" w:firstLineChars="200"/>
        <w:jc w:val="left"/>
        <w:rPr>
          <w:rFonts w:ascii="仿宋_GB2312"/>
        </w:rPr>
      </w:pPr>
      <w:r>
        <w:rPr>
          <w:rFonts w:hint="eastAsia" w:ascii="仿宋_GB2312"/>
          <w:lang w:val="en-US" w:eastAsia="zh-CN"/>
        </w:rPr>
        <w:t>2、项目阶段目标：</w:t>
      </w:r>
      <w:r>
        <w:rPr>
          <w:rFonts w:hint="eastAsia" w:ascii="仿宋_GB2312"/>
        </w:rPr>
        <w:t>2019年，</w:t>
      </w:r>
      <w:r>
        <w:rPr>
          <w:rFonts w:hint="eastAsia" w:ascii="仿宋_GB2312"/>
          <w:lang w:eastAsia="zh-CN"/>
        </w:rPr>
        <w:t>及时、规范向</w:t>
      </w:r>
      <w:r>
        <w:rPr>
          <w:rFonts w:hint="eastAsia" w:ascii="仿宋_GB2312"/>
        </w:rPr>
        <w:t>巴州石油二中102名退休人员的</w:t>
      </w:r>
      <w:r>
        <w:rPr>
          <w:rFonts w:hint="eastAsia" w:ascii="仿宋_GB2312"/>
          <w:lang w:eastAsia="zh-CN"/>
        </w:rPr>
        <w:t>发放</w:t>
      </w:r>
      <w:r>
        <w:rPr>
          <w:rFonts w:hint="eastAsia" w:ascii="仿宋_GB2312"/>
          <w:lang w:val="en-US" w:eastAsia="zh-CN"/>
        </w:rPr>
        <w:t>192.8万元</w:t>
      </w:r>
      <w:r>
        <w:rPr>
          <w:rFonts w:hint="eastAsia" w:ascii="仿宋_GB2312"/>
        </w:rPr>
        <w:t>退休金</w:t>
      </w:r>
      <w:r>
        <w:rPr>
          <w:rFonts w:hint="eastAsia" w:ascii="仿宋_GB2312"/>
          <w:lang w:eastAsia="zh-CN"/>
        </w:rPr>
        <w:t>。</w:t>
      </w:r>
    </w:p>
    <w:p>
      <w:pPr>
        <w:spacing w:line="540" w:lineRule="exact"/>
        <w:ind w:firstLine="600" w:firstLineChars="200"/>
        <w:rPr>
          <w:rFonts w:ascii="仿宋_GB2312"/>
        </w:rPr>
      </w:pPr>
      <w:r>
        <w:rPr>
          <w:rFonts w:hint="eastAsia" w:ascii="仿宋_GB2312"/>
        </w:rPr>
        <w:t>二、绩效评价工作开展情况</w:t>
      </w:r>
    </w:p>
    <w:p>
      <w:pPr>
        <w:spacing w:line="540" w:lineRule="exact"/>
        <w:ind w:firstLine="600" w:firstLineChars="200"/>
        <w:rPr>
          <w:rFonts w:ascii="仿宋_GB2312"/>
          <w:color w:val="auto"/>
        </w:rPr>
      </w:pPr>
      <w:r>
        <w:rPr>
          <w:rFonts w:hint="eastAsia" w:ascii="仿宋_GB2312"/>
          <w:color w:val="auto"/>
        </w:rPr>
        <w:t>（一）绩效评价目的、对象和范围。</w:t>
      </w:r>
    </w:p>
    <w:p>
      <w:pPr>
        <w:spacing w:line="600" w:lineRule="exact"/>
        <w:ind w:firstLine="600" w:firstLineChars="200"/>
        <w:rPr>
          <w:rFonts w:hint="eastAsia" w:ascii="仿宋_GB2312"/>
          <w:color w:val="auto"/>
          <w:lang w:val="en-US" w:eastAsia="zh-CN"/>
        </w:rPr>
      </w:pPr>
      <w:r>
        <w:rPr>
          <w:rFonts w:hint="eastAsia" w:ascii="仿宋_GB2312"/>
          <w:color w:val="auto"/>
          <w:lang w:val="en-US" w:eastAsia="zh-CN"/>
        </w:rPr>
        <w:t>1、目的：</w:t>
      </w:r>
      <w:r>
        <w:rPr>
          <w:rFonts w:hint="eastAsia" w:ascii="仿宋_GB2312" w:hAnsi="仿宋_GB2312" w:cs="仿宋_GB2312"/>
          <w:bCs/>
          <w:color w:val="auto"/>
          <w:szCs w:val="30"/>
          <w:lang w:bidi="en-US"/>
        </w:rPr>
        <w:t>绩效评价旨在通过评价改善预算部门的财政支出管理，优化资源配置及提高公共服务水平。本次绩效评价遵循《中共中央 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采用科学、规范的方法，依据既定的评价技术体系，为加强财政预算资金管理，客观公正地核查该项目，及时总结经验，分析存在问题及原因，切实采取有效措施进一步改进和加强财政专项资金管理，推动财政资金聚力增效，提高公共服务供给质量，增强政府公信力和执行力。</w:t>
      </w:r>
    </w:p>
    <w:p>
      <w:pPr>
        <w:spacing w:line="540" w:lineRule="exact"/>
        <w:ind w:firstLine="600" w:firstLineChars="200"/>
        <w:rPr>
          <w:rFonts w:hint="eastAsia" w:ascii="仿宋_GB2312"/>
          <w:color w:val="0000FF"/>
        </w:rPr>
      </w:pPr>
      <w:r>
        <w:rPr>
          <w:rFonts w:hint="eastAsia" w:ascii="仿宋_GB2312"/>
          <w:color w:val="auto"/>
          <w:lang w:val="en-US" w:eastAsia="zh-CN"/>
        </w:rPr>
        <w:t>2、对象：</w:t>
      </w:r>
      <w:r>
        <w:rPr>
          <w:rFonts w:hint="eastAsia" w:ascii="仿宋_GB2312"/>
          <w:kern w:val="2"/>
          <w:szCs w:val="24"/>
          <w:lang w:val="en-US" w:eastAsia="zh-CN"/>
        </w:rPr>
        <w:t>《自治区国有企业改革成本（石油二中划转地方安》专项资金项目</w:t>
      </w:r>
      <w:r>
        <w:rPr>
          <w:rFonts w:hint="eastAsia" w:ascii="仿宋_GB2312"/>
          <w:color w:val="0000FF"/>
        </w:rPr>
        <w:t>。</w:t>
      </w:r>
    </w:p>
    <w:p>
      <w:pPr>
        <w:spacing w:line="540" w:lineRule="exact"/>
        <w:ind w:firstLine="600" w:firstLineChars="200"/>
        <w:rPr>
          <w:rFonts w:hint="eastAsia" w:ascii="仿宋_GB2312" w:eastAsia="仿宋_GB2312"/>
          <w:color w:val="auto"/>
          <w:lang w:val="en-US" w:eastAsia="zh-CN"/>
        </w:rPr>
      </w:pPr>
      <w:r>
        <w:rPr>
          <w:rFonts w:hint="eastAsia" w:ascii="仿宋_GB2312"/>
          <w:color w:val="auto"/>
          <w:lang w:val="en-US" w:eastAsia="zh-CN"/>
        </w:rPr>
        <w:t>3、范围：足额发放</w:t>
      </w:r>
      <w:r>
        <w:rPr>
          <w:rFonts w:hint="eastAsia" w:ascii="仿宋_GB2312"/>
          <w:color w:val="auto"/>
        </w:rPr>
        <w:t>学校102名</w:t>
      </w:r>
      <w:r>
        <w:rPr>
          <w:rFonts w:hint="eastAsia" w:ascii="仿宋_GB2312"/>
          <w:color w:val="auto"/>
          <w:lang w:eastAsia="zh-CN"/>
        </w:rPr>
        <w:t>移交前</w:t>
      </w:r>
      <w:r>
        <w:rPr>
          <w:rFonts w:hint="eastAsia" w:ascii="仿宋_GB2312"/>
          <w:color w:val="auto"/>
        </w:rPr>
        <w:t>退休人员</w:t>
      </w:r>
      <w:r>
        <w:rPr>
          <w:rFonts w:hint="eastAsia" w:ascii="仿宋_GB2312"/>
          <w:color w:val="auto"/>
          <w:lang w:eastAsia="zh-CN"/>
        </w:rPr>
        <w:t>的退休金</w:t>
      </w:r>
      <w:r>
        <w:rPr>
          <w:rFonts w:hint="eastAsia" w:ascii="仿宋_GB2312"/>
          <w:color w:val="auto"/>
        </w:rPr>
        <w:t>。</w:t>
      </w:r>
    </w:p>
    <w:p>
      <w:pPr>
        <w:spacing w:line="600" w:lineRule="exact"/>
        <w:ind w:firstLine="602" w:firstLineChars="200"/>
        <w:rPr>
          <w:rFonts w:ascii="仿宋_GB2312" w:hAnsi="仿宋_GB2312" w:cs="仿宋_GB2312"/>
          <w:b/>
        </w:rPr>
      </w:pPr>
      <w:r>
        <w:rPr>
          <w:rFonts w:hint="eastAsia" w:ascii="仿宋_GB2312" w:hAnsi="仿宋_GB2312" w:cs="仿宋_GB2312"/>
          <w:b/>
        </w:rPr>
        <w:t>（二）绩效评价原则、评价指标体系（附表说明）、评价方法、评价标准等。</w:t>
      </w:r>
    </w:p>
    <w:p>
      <w:pPr>
        <w:spacing w:line="600" w:lineRule="exact"/>
        <w:ind w:firstLine="640"/>
        <w:rPr>
          <w:rFonts w:hint="eastAsia" w:ascii="仿宋_GB2312" w:hAnsi="仿宋_GB2312" w:cs="仿宋_GB2312"/>
          <w:bCs/>
          <w:szCs w:val="30"/>
        </w:rPr>
      </w:pPr>
      <w:r>
        <w:rPr>
          <w:rFonts w:hint="eastAsia" w:ascii="仿宋_GB2312" w:hAnsi="仿宋_GB2312" w:cs="仿宋_GB2312"/>
          <w:bCs/>
          <w:szCs w:val="30"/>
        </w:rPr>
        <w:t>1、绩效评价原则：</w:t>
      </w:r>
    </w:p>
    <w:p>
      <w:pPr>
        <w:spacing w:line="600" w:lineRule="exact"/>
        <w:ind w:firstLine="640"/>
        <w:rPr>
          <w:rFonts w:ascii="仿宋_GB2312"/>
          <w:bCs/>
          <w:sz w:val="32"/>
          <w:szCs w:val="32"/>
        </w:rPr>
      </w:pPr>
      <w:r>
        <w:rPr>
          <w:rFonts w:hint="eastAsia" w:ascii="仿宋_GB2312"/>
          <w:bCs/>
          <w:sz w:val="32"/>
          <w:szCs w:val="32"/>
        </w:rPr>
        <w:t>（1）科学公正。绩效评价应当运用科学合理的方法，按照规范的程序，对项目绩效进行客观、公正的反映。</w:t>
      </w:r>
    </w:p>
    <w:p>
      <w:pPr>
        <w:spacing w:line="600" w:lineRule="exact"/>
        <w:ind w:firstLine="640"/>
        <w:rPr>
          <w:rFonts w:ascii="仿宋_GB2312"/>
          <w:bCs/>
          <w:sz w:val="32"/>
          <w:szCs w:val="32"/>
        </w:rPr>
      </w:pPr>
      <w:r>
        <w:rPr>
          <w:rFonts w:hint="eastAsia" w:ascii="仿宋_GB2312"/>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rPr>
      </w:pPr>
      <w:r>
        <w:rPr>
          <w:rFonts w:hint="eastAsia" w:ascii="仿宋_GB2312"/>
          <w:bCs/>
          <w:sz w:val="32"/>
          <w:szCs w:val="32"/>
        </w:rPr>
        <w:t>（3）激励约束。绩效评价结果应与预算安排、政策调整、改进管理实质性挂钩，体现奖优罚劣和激励相容导向，有效要安排、低效要压减、无效要问责。</w:t>
      </w:r>
    </w:p>
    <w:p>
      <w:pPr>
        <w:spacing w:line="600" w:lineRule="exact"/>
        <w:ind w:firstLine="640" w:firstLineChars="200"/>
        <w:rPr>
          <w:rFonts w:ascii="仿宋_GB2312"/>
        </w:rPr>
      </w:pPr>
      <w:r>
        <w:rPr>
          <w:rFonts w:hint="eastAsia" w:ascii="仿宋_GB2312"/>
          <w:bCs/>
          <w:sz w:val="32"/>
          <w:szCs w:val="32"/>
        </w:rPr>
        <w:t>（4）公开透明。绩效评价结果应依法依规公开，并自觉接受社会监督。</w:t>
      </w:r>
    </w:p>
    <w:p>
      <w:pPr>
        <w:spacing w:line="600" w:lineRule="exact"/>
        <w:ind w:firstLine="600" w:firstLineChars="200"/>
        <w:rPr>
          <w:rFonts w:hint="eastAsia" w:ascii="仿宋_GB2312" w:hAnsi="仿宋_GB2312" w:cs="仿宋_GB2312"/>
          <w:bCs/>
          <w:szCs w:val="30"/>
          <w:lang w:eastAsia="zh-CN"/>
        </w:rPr>
      </w:pPr>
      <w:r>
        <w:rPr>
          <w:rFonts w:hint="eastAsia" w:ascii="仿宋_GB2312" w:hAnsi="仿宋_GB2312" w:cs="仿宋_GB2312"/>
          <w:bCs/>
          <w:szCs w:val="30"/>
        </w:rPr>
        <w:t>2、</w:t>
      </w:r>
      <w:r>
        <w:rPr>
          <w:rFonts w:hint="eastAsia" w:ascii="仿宋_GB2312" w:hAnsi="仿宋_GB2312" w:cs="仿宋_GB2312"/>
          <w:bCs/>
          <w:szCs w:val="30"/>
          <w:lang w:eastAsia="zh-CN"/>
        </w:rPr>
        <w:t>专</w:t>
      </w:r>
      <w:r>
        <w:rPr>
          <w:rFonts w:hint="eastAsia" w:ascii="仿宋_GB2312" w:hAnsi="仿宋_GB2312" w:cs="仿宋_GB2312"/>
          <w:szCs w:val="30"/>
        </w:rPr>
        <w:t>项</w:t>
      </w:r>
      <w:r>
        <w:rPr>
          <w:rFonts w:hint="eastAsia" w:ascii="仿宋_GB2312" w:hAnsi="仿宋_GB2312" w:cs="仿宋_GB2312"/>
          <w:bCs/>
          <w:szCs w:val="30"/>
        </w:rPr>
        <w:t>支出绩效评价指标体系框架（附表）</w:t>
      </w:r>
      <w:r>
        <w:rPr>
          <w:rFonts w:hint="eastAsia" w:ascii="仿宋_GB2312" w:hAnsi="仿宋_GB2312" w:cs="仿宋_GB2312"/>
          <w:bCs/>
          <w:szCs w:val="30"/>
          <w:lang w:eastAsia="zh-CN"/>
        </w:rPr>
        <w:t>：</w:t>
      </w:r>
    </w:p>
    <w:p>
      <w:pPr>
        <w:pStyle w:val="11"/>
        <w:spacing w:line="520" w:lineRule="exact"/>
        <w:ind w:firstLine="699" w:firstLineChars="233"/>
        <w:rPr>
          <w:rFonts w:hint="eastAsia" w:ascii="仿宋_GB2312" w:hAnsi="仿宋_GB2312" w:eastAsia="仿宋_GB2312" w:cs="仿宋_GB2312"/>
          <w:bCs/>
          <w:color w:val="auto"/>
          <w:kern w:val="2"/>
          <w:sz w:val="30"/>
          <w:szCs w:val="30"/>
          <w:lang w:val="en-US" w:eastAsia="zh-CN" w:bidi="ar-SA"/>
        </w:rPr>
      </w:pPr>
      <w:r>
        <w:rPr>
          <w:rFonts w:hint="eastAsia" w:ascii="仿宋_GB2312" w:hAnsi="仿宋_GB2312" w:eastAsia="仿宋_GB2312" w:cs="仿宋_GB2312"/>
          <w:bCs/>
          <w:color w:val="auto"/>
          <w:kern w:val="2"/>
          <w:sz w:val="30"/>
          <w:szCs w:val="30"/>
          <w:lang w:val="en-US" w:eastAsia="zh-CN" w:bidi="ar-SA"/>
        </w:rPr>
        <w:t>自治区国有企业改革成本（石油二中划转地方安》专项资金项目绩效评价指标体系的设计参照财政部《项目支出绩效评价指标体系框架》决策和过程在此框架的基础上结合项目的特点适当进行完善，产出和效益根据项目特点进行了细化。</w:t>
      </w:r>
    </w:p>
    <w:p>
      <w:pPr>
        <w:pStyle w:val="11"/>
        <w:spacing w:line="520" w:lineRule="exact"/>
        <w:ind w:firstLine="699" w:firstLineChars="233"/>
        <w:rPr>
          <w:rFonts w:hint="eastAsia" w:ascii="仿宋_GB2312" w:hAnsi="仿宋_GB2312" w:eastAsia="仿宋_GB2312" w:cs="仿宋_GB2312"/>
          <w:bCs/>
          <w:color w:val="auto"/>
          <w:kern w:val="2"/>
          <w:sz w:val="30"/>
          <w:szCs w:val="30"/>
          <w:lang w:val="en-US" w:eastAsia="zh-CN" w:bidi="ar-SA"/>
        </w:rPr>
      </w:pPr>
      <w:r>
        <w:rPr>
          <w:rFonts w:hint="eastAsia" w:ascii="仿宋_GB2312" w:hAnsi="仿宋_GB2312" w:eastAsia="仿宋_GB2312" w:cs="仿宋_GB2312"/>
          <w:bCs/>
          <w:color w:val="auto"/>
          <w:kern w:val="2"/>
          <w:sz w:val="30"/>
          <w:szCs w:val="30"/>
          <w:lang w:val="en-US" w:eastAsia="zh-CN" w:bidi="ar-SA"/>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自治区国有企业改革成本（石油二中划转地方安》专项资金项目绩效评价指标体系。</w:t>
      </w:r>
    </w:p>
    <w:p>
      <w:pPr>
        <w:pStyle w:val="11"/>
        <w:spacing w:line="520" w:lineRule="exact"/>
        <w:ind w:firstLine="608" w:firstLineChars="200"/>
        <w:rPr>
          <w:rFonts w:ascii="Times New Roman" w:eastAsia="仿宋_GB2312" w:cs="Times New Roman"/>
          <w:spacing w:val="-8"/>
          <w:sz w:val="32"/>
          <w:szCs w:val="32"/>
        </w:rPr>
      </w:pPr>
      <w:r>
        <w:rPr>
          <w:rFonts w:hint="eastAsia" w:ascii="Times New Roman" w:eastAsia="仿宋_GB2312" w:cs="Times New Roman"/>
          <w:spacing w:val="-8"/>
          <w:sz w:val="32"/>
          <w:szCs w:val="32"/>
        </w:rPr>
        <w:t>3、评价方法</w:t>
      </w:r>
    </w:p>
    <w:p>
      <w:pPr>
        <w:spacing w:line="580" w:lineRule="exact"/>
        <w:ind w:firstLine="600" w:firstLineChars="200"/>
        <w:rPr>
          <w:rFonts w:ascii="仿宋_GB2312"/>
        </w:rPr>
      </w:pPr>
      <w:r>
        <w:rPr>
          <w:rFonts w:hint="eastAsia" w:ascii="仿宋_GB2312"/>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hint="eastAsia" w:ascii="仿宋_GB2312"/>
        </w:rPr>
        <w:t>我单位采用了成本效益分析法进行评价。</w:t>
      </w:r>
    </w:p>
    <w:p>
      <w:pPr>
        <w:pStyle w:val="11"/>
        <w:spacing w:line="520" w:lineRule="exact"/>
        <w:ind w:firstLine="699" w:firstLineChars="233"/>
        <w:rPr>
          <w:rFonts w:hint="eastAsia" w:ascii="仿宋_GB2312" w:eastAsia="仿宋_GB2312" w:cs="Times New Roman"/>
          <w:color w:val="auto"/>
          <w:kern w:val="2"/>
          <w:sz w:val="30"/>
          <w:lang w:eastAsia="zh-CN"/>
        </w:rPr>
      </w:pPr>
      <w:r>
        <w:rPr>
          <w:rFonts w:hint="eastAsia" w:ascii="仿宋_GB2312" w:eastAsia="仿宋_GB2312" w:cs="Times New Roman"/>
          <w:color w:val="auto"/>
          <w:kern w:val="2"/>
          <w:sz w:val="30"/>
        </w:rPr>
        <w:t>（1）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社会效益，项目的实施</w:t>
      </w:r>
      <w:r>
        <w:rPr>
          <w:rFonts w:hint="eastAsia" w:ascii="仿宋_GB2312" w:eastAsia="仿宋_GB2312" w:cs="Times New Roman"/>
          <w:color w:val="auto"/>
          <w:kern w:val="2"/>
          <w:sz w:val="30"/>
          <w:lang w:eastAsia="zh-CN"/>
        </w:rPr>
        <w:t>保证了</w:t>
      </w:r>
      <w:r>
        <w:rPr>
          <w:rFonts w:hint="eastAsia" w:ascii="仿宋_GB2312" w:eastAsia="仿宋_GB2312" w:cs="Times New Roman"/>
          <w:color w:val="auto"/>
          <w:kern w:val="2"/>
          <w:sz w:val="30"/>
        </w:rPr>
        <w:t>2019年</w:t>
      </w:r>
      <w:r>
        <w:rPr>
          <w:rFonts w:hint="eastAsia" w:ascii="仿宋_GB2312" w:eastAsia="仿宋_GB2312" w:cs="Times New Roman"/>
          <w:color w:val="auto"/>
          <w:kern w:val="2"/>
          <w:sz w:val="30"/>
          <w:lang w:eastAsia="zh-CN"/>
        </w:rPr>
        <w:t>及时、规范向</w:t>
      </w:r>
      <w:r>
        <w:rPr>
          <w:rFonts w:hint="eastAsia" w:ascii="仿宋_GB2312" w:eastAsia="仿宋_GB2312" w:cs="Times New Roman"/>
          <w:color w:val="auto"/>
          <w:kern w:val="2"/>
          <w:sz w:val="30"/>
        </w:rPr>
        <w:t>巴州石油二中102名退休人员</w:t>
      </w:r>
      <w:r>
        <w:rPr>
          <w:rFonts w:hint="eastAsia" w:ascii="仿宋_GB2312" w:eastAsia="仿宋_GB2312" w:cs="Times New Roman"/>
          <w:color w:val="auto"/>
          <w:kern w:val="2"/>
          <w:sz w:val="30"/>
          <w:lang w:eastAsia="zh-CN"/>
        </w:rPr>
        <w:t>发放</w:t>
      </w:r>
      <w:r>
        <w:rPr>
          <w:rFonts w:hint="eastAsia" w:ascii="仿宋_GB2312" w:eastAsia="仿宋_GB2312" w:cs="Times New Roman"/>
          <w:color w:val="auto"/>
          <w:kern w:val="2"/>
          <w:sz w:val="30"/>
          <w:lang w:val="en-US" w:eastAsia="zh-CN"/>
        </w:rPr>
        <w:t>192.8万元</w:t>
      </w:r>
      <w:r>
        <w:rPr>
          <w:rFonts w:hint="eastAsia" w:ascii="仿宋_GB2312" w:eastAsia="仿宋_GB2312" w:cs="Times New Roman"/>
          <w:color w:val="auto"/>
          <w:kern w:val="2"/>
          <w:sz w:val="30"/>
        </w:rPr>
        <w:t>退休金</w:t>
      </w:r>
      <w:r>
        <w:rPr>
          <w:rFonts w:hint="eastAsia" w:ascii="仿宋_GB2312" w:eastAsia="仿宋_GB2312" w:cs="Times New Roman"/>
          <w:color w:val="auto"/>
          <w:kern w:val="2"/>
          <w:sz w:val="30"/>
          <w:lang w:eastAsia="zh-CN"/>
        </w:rPr>
        <w:t>（实际发放</w:t>
      </w:r>
      <w:r>
        <w:rPr>
          <w:rFonts w:hint="eastAsia" w:ascii="仿宋_GB2312" w:eastAsia="仿宋_GB2312" w:cs="Times New Roman"/>
          <w:color w:val="auto"/>
          <w:kern w:val="2"/>
          <w:sz w:val="30"/>
        </w:rPr>
        <w:t>发放退休费191.93</w:t>
      </w:r>
      <w:r>
        <w:rPr>
          <w:rFonts w:hint="eastAsia" w:ascii="仿宋_GB2312" w:eastAsia="仿宋_GB2312" w:cs="Times New Roman"/>
          <w:color w:val="auto"/>
          <w:kern w:val="2"/>
          <w:sz w:val="30"/>
          <w:lang w:eastAsia="zh-CN"/>
        </w:rPr>
        <w:t>万元，主要原因是</w:t>
      </w:r>
      <w:r>
        <w:rPr>
          <w:rFonts w:hint="eastAsia" w:ascii="仿宋_GB2312" w:eastAsia="仿宋_GB2312" w:cs="Times New Roman"/>
          <w:color w:val="auto"/>
          <w:kern w:val="2"/>
          <w:sz w:val="30"/>
        </w:rPr>
        <w:t>2019年8月去世1人）</w:t>
      </w:r>
      <w:r>
        <w:rPr>
          <w:rFonts w:hint="eastAsia" w:ascii="仿宋_GB2312" w:eastAsia="仿宋_GB2312" w:cs="Times New Roman"/>
          <w:color w:val="auto"/>
          <w:kern w:val="2"/>
          <w:sz w:val="30"/>
          <w:lang w:eastAsia="zh-CN"/>
        </w:rPr>
        <w:t>。</w:t>
      </w:r>
    </w:p>
    <w:p>
      <w:pPr>
        <w:pStyle w:val="11"/>
        <w:spacing w:line="520" w:lineRule="exact"/>
        <w:ind w:firstLine="699" w:firstLineChars="233"/>
        <w:rPr>
          <w:rFonts w:hint="eastAsia" w:ascii="仿宋_GB2312" w:eastAsia="仿宋_GB2312" w:cs="Times New Roman"/>
          <w:color w:val="auto"/>
          <w:kern w:val="2"/>
          <w:sz w:val="30"/>
        </w:rPr>
      </w:pPr>
      <w:r>
        <w:rPr>
          <w:rFonts w:hint="eastAsia" w:ascii="仿宋_GB2312" w:eastAsia="仿宋_GB2312" w:cs="Times New Roman"/>
          <w:color w:val="auto"/>
          <w:kern w:val="2"/>
          <w:sz w:val="30"/>
        </w:rPr>
        <w:t>4.绩效评价标准</w:t>
      </w:r>
    </w:p>
    <w:p>
      <w:pPr>
        <w:pStyle w:val="11"/>
        <w:spacing w:line="520" w:lineRule="exact"/>
        <w:ind w:firstLine="699" w:firstLineChars="233"/>
        <w:rPr>
          <w:rFonts w:hint="eastAsia" w:ascii="仿宋_GB2312"/>
          <w:color w:val="0000FF"/>
          <w:lang w:val="en-US" w:eastAsia="zh-CN"/>
        </w:rPr>
      </w:pPr>
      <w:r>
        <w:rPr>
          <w:rFonts w:hint="eastAsia" w:ascii="仿宋_GB2312" w:eastAsia="仿宋_GB2312" w:cs="Times New Roman"/>
          <w:color w:val="auto"/>
          <w:kern w:val="2"/>
          <w:sz w:val="30"/>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r>
        <w:rPr>
          <w:rFonts w:hint="eastAsia" w:ascii="仿宋_GB2312" w:eastAsia="仿宋_GB2312" w:cs="Times New Roman"/>
          <w:color w:val="auto"/>
          <w:kern w:val="2"/>
          <w:sz w:val="30"/>
          <w:lang w:eastAsia="zh-CN"/>
        </w:rPr>
        <w:t>。</w:t>
      </w:r>
    </w:p>
    <w:p>
      <w:pPr>
        <w:spacing w:line="540" w:lineRule="exact"/>
        <w:ind w:firstLine="600" w:firstLineChars="200"/>
        <w:rPr>
          <w:rFonts w:ascii="仿宋_GB2312"/>
        </w:rPr>
      </w:pPr>
      <w:r>
        <w:rPr>
          <w:rFonts w:hint="eastAsia" w:ascii="仿宋_GB2312"/>
        </w:rPr>
        <w:t>（四）绩效评价工作过程。</w:t>
      </w:r>
    </w:p>
    <w:p>
      <w:pPr>
        <w:spacing w:line="540" w:lineRule="exact"/>
        <w:ind w:firstLine="600" w:firstLineChars="200"/>
        <w:rPr>
          <w:rFonts w:ascii="仿宋_GB2312"/>
        </w:rPr>
      </w:pPr>
      <w:r>
        <w:rPr>
          <w:rFonts w:hint="eastAsia" w:ascii="仿宋_GB2312"/>
        </w:rPr>
        <w:t>根据自治区和自治州项目绩效评价管理要求，单位对“自治区国有企业改革成本（石油二中划转地方安置经费）”项目评价工作分三步：一是收集和查阅资料。主要查阅单位人事部门关于102名退休人员2019年1-12月份的退休费发放名单和发放标准，以及财务部门2019年1-12月份102名退休人员的退休金发放表。二是绩效评价的实施，根据年初单位关于本项目的绩效管理目标，对比2019年年末指标完成情况，进行对比评价。三是依据绩效目标评价结果，综合得出“自治区国有企业改革成本（石油二中划转地方安置经费）”项目评价结论。</w:t>
      </w:r>
    </w:p>
    <w:p>
      <w:pPr>
        <w:numPr>
          <w:ilvl w:val="0"/>
          <w:numId w:val="2"/>
        </w:numPr>
        <w:spacing w:line="540" w:lineRule="exact"/>
        <w:ind w:firstLine="600" w:firstLineChars="200"/>
        <w:rPr>
          <w:rFonts w:ascii="仿宋_GB2312"/>
        </w:rPr>
      </w:pPr>
      <w:r>
        <w:rPr>
          <w:rFonts w:hint="eastAsia" w:ascii="黑体" w:hAnsi="黑体" w:eastAsia="黑体"/>
        </w:rPr>
        <w:t>综合评价情况及评价结论</w:t>
      </w:r>
      <w:r>
        <w:rPr>
          <w:rFonts w:hint="eastAsia" w:ascii="仿宋_GB2312"/>
        </w:rPr>
        <w:t>（附相关评分表）</w:t>
      </w:r>
    </w:p>
    <w:p>
      <w:pPr>
        <w:spacing w:line="540" w:lineRule="exact"/>
        <w:ind w:firstLine="600"/>
      </w:pPr>
      <w:r>
        <w:rPr>
          <w:rFonts w:hint="eastAsia"/>
        </w:rPr>
        <w:t>通过数据采集及分析，最终评分结果：项目绩效评价结果为:总得分99.87分，属于“优秀”。</w:t>
      </w:r>
    </w:p>
    <w:p>
      <w:pPr>
        <w:spacing w:line="540" w:lineRule="exact"/>
        <w:ind w:firstLine="600"/>
      </w:pPr>
      <w:r>
        <w:rPr>
          <w:rFonts w:hint="eastAsia"/>
        </w:rPr>
        <w:t>具体见</w:t>
      </w:r>
      <w:r>
        <w:rPr>
          <w:rFonts w:hint="eastAsia" w:ascii="仿宋_GB2312"/>
        </w:rPr>
        <w:t>：附表</w:t>
      </w:r>
    </w:p>
    <w:p>
      <w:pPr>
        <w:spacing w:line="540" w:lineRule="exact"/>
        <w:ind w:firstLine="600" w:firstLineChars="200"/>
        <w:rPr>
          <w:rFonts w:ascii="黑体" w:hAnsi="黑体" w:eastAsia="黑体"/>
        </w:rPr>
      </w:pPr>
      <w:r>
        <w:rPr>
          <w:rFonts w:hint="eastAsia" w:ascii="黑体" w:hAnsi="黑体" w:eastAsia="黑体"/>
        </w:rPr>
        <w:t>四、绩效评价指标分析</w:t>
      </w:r>
    </w:p>
    <w:p>
      <w:pPr>
        <w:spacing w:line="540" w:lineRule="exact"/>
        <w:ind w:firstLine="600" w:firstLineChars="200"/>
        <w:outlineLvl w:val="0"/>
        <w:rPr>
          <w:rFonts w:ascii="仿宋_GB2312"/>
          <w:b w:val="0"/>
          <w:bCs w:val="0"/>
          <w:color w:val="auto"/>
        </w:rPr>
      </w:pPr>
      <w:r>
        <w:rPr>
          <w:rFonts w:hint="eastAsia" w:ascii="仿宋_GB2312"/>
          <w:b w:val="0"/>
          <w:bCs w:val="0"/>
          <w:color w:val="auto"/>
        </w:rPr>
        <w:t>（一）项目决策情况。</w:t>
      </w:r>
    </w:p>
    <w:p>
      <w:pPr>
        <w:spacing w:line="540" w:lineRule="exact"/>
        <w:ind w:firstLine="600" w:firstLineChars="200"/>
        <w:outlineLvl w:val="0"/>
        <w:rPr>
          <w:rFonts w:hint="eastAsia" w:ascii="仿宋_GB2312" w:eastAsia="仿宋_GB2312"/>
          <w:lang w:eastAsia="zh-CN"/>
        </w:rPr>
      </w:pPr>
      <w:r>
        <w:rPr>
          <w:rFonts w:hint="eastAsia" w:ascii="仿宋_GB2312"/>
          <w:kern w:val="2"/>
          <w:szCs w:val="24"/>
        </w:rPr>
        <w:t>根据</w:t>
      </w:r>
      <w:r>
        <w:rPr>
          <w:rFonts w:hint="eastAsia" w:ascii="仿宋_GB2312"/>
        </w:rPr>
        <w:t>新财企（2018）0157号和巴财企（2019）16号文件精神</w:t>
      </w:r>
      <w:r>
        <w:rPr>
          <w:rFonts w:hint="eastAsia" w:ascii="仿宋_GB2312"/>
          <w:kern w:val="2"/>
          <w:szCs w:val="24"/>
          <w:lang w:val="en-US" w:eastAsia="zh-CN"/>
        </w:rPr>
        <w:t>，</w:t>
      </w:r>
      <w:r>
        <w:rPr>
          <w:rFonts w:hint="eastAsia" w:ascii="仿宋_GB2312"/>
          <w:kern w:val="2"/>
          <w:szCs w:val="24"/>
        </w:rPr>
        <w:t>2019年度，自治区财政拨付单位</w:t>
      </w:r>
      <w:r>
        <w:rPr>
          <w:rFonts w:hint="eastAsia" w:ascii="仿宋_GB2312"/>
          <w:kern w:val="2"/>
          <w:szCs w:val="24"/>
          <w:lang w:eastAsia="zh-CN"/>
        </w:rPr>
        <w:t>退休人员</w:t>
      </w:r>
      <w:r>
        <w:rPr>
          <w:rFonts w:hint="eastAsia" w:ascii="仿宋_GB2312"/>
          <w:kern w:val="2"/>
          <w:szCs w:val="24"/>
        </w:rPr>
        <w:t>专项经费192.80万元</w:t>
      </w:r>
      <w:r>
        <w:rPr>
          <w:rFonts w:hint="eastAsia" w:ascii="仿宋_GB2312"/>
          <w:kern w:val="2"/>
          <w:szCs w:val="24"/>
          <w:lang w:eastAsia="zh-CN"/>
        </w:rPr>
        <w:t>。为了规范、高效益用好该资金，</w:t>
      </w:r>
      <w:r>
        <w:rPr>
          <w:rFonts w:hint="eastAsia" w:ascii="仿宋_GB2312"/>
        </w:rPr>
        <w:t>学校设立</w:t>
      </w:r>
      <w:r>
        <w:rPr>
          <w:rFonts w:hint="eastAsia"/>
          <w:kern w:val="0"/>
          <w:szCs w:val="28"/>
        </w:rPr>
        <w:t>“自治区国有企业改革成本（石油二中划转地方安置经费）”项目，</w:t>
      </w:r>
      <w:r>
        <w:rPr>
          <w:rFonts w:hint="eastAsia"/>
          <w:kern w:val="0"/>
          <w:szCs w:val="28"/>
          <w:lang w:eastAsia="zh-CN"/>
        </w:rPr>
        <w:t>组成以学校领导、人事部门、财务部门为主项目负责小组，负责该项目的实施。根据国家关于退休金发放的范围、对象、标准、方式、时间、总资金等因素，</w:t>
      </w:r>
      <w:r>
        <w:rPr>
          <w:rFonts w:hint="eastAsia"/>
          <w:kern w:val="0"/>
          <w:szCs w:val="28"/>
        </w:rPr>
        <w:t>学校</w:t>
      </w:r>
      <w:r>
        <w:rPr>
          <w:rFonts w:hint="eastAsia"/>
          <w:kern w:val="0"/>
          <w:szCs w:val="28"/>
          <w:lang w:eastAsia="zh-CN"/>
        </w:rPr>
        <w:t>合理</w:t>
      </w:r>
      <w:r>
        <w:rPr>
          <w:rFonts w:hint="eastAsia"/>
          <w:kern w:val="0"/>
          <w:szCs w:val="28"/>
        </w:rPr>
        <w:t>确定了该项目</w:t>
      </w:r>
      <w:r>
        <w:rPr>
          <w:rFonts w:hint="eastAsia"/>
          <w:kern w:val="0"/>
          <w:szCs w:val="28"/>
          <w:lang w:eastAsia="zh-CN"/>
        </w:rPr>
        <w:t>绩效目标：</w:t>
      </w:r>
      <w:r>
        <w:rPr>
          <w:rFonts w:hint="eastAsia" w:ascii="仿宋_GB2312"/>
          <w:kern w:val="2"/>
          <w:szCs w:val="24"/>
        </w:rPr>
        <w:t>2019年度，单位按月、按标准、先后12批次向移交前102名退休人员（2019年8月去世1人，实发人数101人）发放退休费191.93万元。该项目专项资金有利于保障巴州石油二中退休人员102人的退休金正常支出。从而有利于教师队伍的稳定，促进社会的和谐</w:t>
      </w:r>
      <w:r>
        <w:rPr>
          <w:rFonts w:hint="eastAsia" w:ascii="仿宋_GB2312"/>
          <w:kern w:val="2"/>
          <w:szCs w:val="24"/>
          <w:lang w:eastAsia="zh-CN"/>
        </w:rPr>
        <w:t>。</w:t>
      </w:r>
    </w:p>
    <w:p>
      <w:pPr>
        <w:spacing w:line="540" w:lineRule="exact"/>
        <w:ind w:firstLine="600" w:firstLineChars="200"/>
        <w:outlineLvl w:val="0"/>
        <w:rPr>
          <w:rFonts w:ascii="仿宋_GB2312"/>
        </w:rPr>
      </w:pPr>
      <w:r>
        <w:rPr>
          <w:rFonts w:hint="eastAsia" w:ascii="仿宋_GB2312"/>
        </w:rPr>
        <w:t>（二）项目过程情况。</w:t>
      </w:r>
    </w:p>
    <w:p>
      <w:pPr>
        <w:spacing w:line="540" w:lineRule="exact"/>
        <w:ind w:firstLine="600" w:firstLineChars="200"/>
        <w:outlineLvl w:val="0"/>
        <w:rPr>
          <w:rFonts w:hint="eastAsia" w:ascii="仿宋_GB2312"/>
          <w:lang w:val="en-US" w:eastAsia="zh-CN"/>
        </w:rPr>
      </w:pPr>
      <w:r>
        <w:rPr>
          <w:rFonts w:hint="eastAsia" w:ascii="仿宋_GB2312"/>
          <w:lang w:val="en-US" w:eastAsia="zh-CN"/>
        </w:rPr>
        <w:t>1、资金管理：根据学校财务制度和该专项资金性质等，学校对该资金实行专款专用，保证该资金的安全，并及时、按标准发放到人。</w:t>
      </w:r>
    </w:p>
    <w:p>
      <w:pPr>
        <w:spacing w:line="540" w:lineRule="exact"/>
        <w:ind w:firstLine="600" w:firstLineChars="200"/>
        <w:outlineLvl w:val="0"/>
        <w:rPr>
          <w:rFonts w:ascii="仿宋_GB2312"/>
        </w:rPr>
      </w:pPr>
      <w:r>
        <w:rPr>
          <w:rFonts w:hint="eastAsia" w:ascii="仿宋_GB2312"/>
          <w:lang w:val="en-US" w:eastAsia="zh-CN"/>
        </w:rPr>
        <w:t>2、组织实施：</w:t>
      </w:r>
      <w:r>
        <w:rPr>
          <w:rFonts w:hint="eastAsia" w:ascii="仿宋_GB2312"/>
        </w:rPr>
        <w:t>每月学校人事部门提供退休人员发放的名单和发放标准，学校</w:t>
      </w:r>
      <w:r>
        <w:rPr>
          <w:rFonts w:hint="eastAsia" w:ascii="仿宋_GB2312"/>
          <w:lang w:eastAsia="zh-CN"/>
        </w:rPr>
        <w:t>领导</w:t>
      </w:r>
      <w:r>
        <w:rPr>
          <w:rFonts w:hint="eastAsia" w:ascii="仿宋_GB2312"/>
        </w:rPr>
        <w:t>批准后，财务部门依据人事部门提供的发放名单和标准，按月、按时发放</w:t>
      </w:r>
      <w:r>
        <w:rPr>
          <w:rFonts w:hint="eastAsia" w:ascii="仿宋_GB2312"/>
          <w:lang w:eastAsia="zh-CN"/>
        </w:rPr>
        <w:t>。</w:t>
      </w:r>
      <w:r>
        <w:rPr>
          <w:rFonts w:hint="eastAsia" w:ascii="仿宋_GB2312"/>
        </w:rPr>
        <w:t>至2019年12月，先后发放12批次。</w:t>
      </w:r>
    </w:p>
    <w:p>
      <w:pPr>
        <w:spacing w:line="540" w:lineRule="exact"/>
        <w:ind w:firstLine="600" w:firstLineChars="200"/>
        <w:outlineLvl w:val="0"/>
        <w:rPr>
          <w:rFonts w:ascii="仿宋_GB2312"/>
        </w:rPr>
      </w:pPr>
      <w:r>
        <w:rPr>
          <w:rFonts w:hint="eastAsia" w:ascii="仿宋_GB2312"/>
        </w:rPr>
        <w:t>（三）项目产出情况。</w:t>
      </w:r>
    </w:p>
    <w:p>
      <w:pPr>
        <w:spacing w:line="540" w:lineRule="exact"/>
        <w:ind w:firstLine="600" w:firstLineChars="200"/>
        <w:outlineLvl w:val="0"/>
        <w:rPr>
          <w:rFonts w:hint="eastAsia"/>
          <w:lang w:eastAsia="zh-CN"/>
        </w:rPr>
      </w:pPr>
      <w:r>
        <w:rPr>
          <w:rFonts w:hint="eastAsia"/>
          <w:lang w:val="en-US" w:eastAsia="zh-CN"/>
        </w:rPr>
        <w:t>1、保障移交前退休人员退休费放人数：</w:t>
      </w:r>
      <w:r>
        <w:rPr>
          <w:rFonts w:hint="eastAsia"/>
        </w:rPr>
        <w:t>截止2019年12月</w:t>
      </w:r>
      <w:r>
        <w:rPr>
          <w:rFonts w:hint="eastAsia"/>
          <w:lang w:eastAsia="zh-CN"/>
        </w:rPr>
        <w:t>，</w:t>
      </w:r>
      <w:r>
        <w:rPr>
          <w:rFonts w:hint="eastAsia"/>
        </w:rPr>
        <w:t>单向移交前102名退休人员（2019年8月去世1人，实发人数101人）发放</w:t>
      </w:r>
      <w:r>
        <w:rPr>
          <w:rFonts w:hint="eastAsia"/>
          <w:lang w:eastAsia="zh-CN"/>
        </w:rPr>
        <w:t>了退休费。</w:t>
      </w:r>
    </w:p>
    <w:p>
      <w:pPr>
        <w:spacing w:line="540" w:lineRule="exact"/>
        <w:ind w:firstLine="600" w:firstLineChars="200"/>
        <w:outlineLvl w:val="0"/>
        <w:rPr>
          <w:rFonts w:hint="eastAsia" w:eastAsia="仿宋_GB2312"/>
          <w:lang w:val="en-US" w:eastAsia="zh-CN"/>
        </w:rPr>
      </w:pPr>
      <w:r>
        <w:rPr>
          <w:rFonts w:hint="eastAsia"/>
          <w:lang w:val="en-US" w:eastAsia="zh-CN"/>
        </w:rPr>
        <w:t>2、发放批次：</w:t>
      </w:r>
      <w:r>
        <w:rPr>
          <w:rFonts w:hint="eastAsia"/>
        </w:rPr>
        <w:t>截止2019年12月</w:t>
      </w:r>
      <w:r>
        <w:rPr>
          <w:rFonts w:hint="eastAsia"/>
          <w:lang w:eastAsia="zh-CN"/>
        </w:rPr>
        <w:t>，</w:t>
      </w:r>
      <w:r>
        <w:rPr>
          <w:rFonts w:hint="eastAsia"/>
        </w:rPr>
        <w:t>向移交前102名退休人员（2019年8月去世1人，实发人数101人）发放退休费</w:t>
      </w:r>
      <w:r>
        <w:rPr>
          <w:rFonts w:hint="eastAsia"/>
          <w:lang w:eastAsia="zh-CN"/>
        </w:rPr>
        <w:t>共计</w:t>
      </w:r>
      <w:r>
        <w:rPr>
          <w:rFonts w:hint="eastAsia"/>
        </w:rPr>
        <w:t>12批次</w:t>
      </w:r>
      <w:r>
        <w:rPr>
          <w:rFonts w:hint="eastAsia"/>
          <w:lang w:eastAsia="zh-CN"/>
        </w:rPr>
        <w:t>。</w:t>
      </w:r>
    </w:p>
    <w:p>
      <w:pPr>
        <w:spacing w:line="540" w:lineRule="exact"/>
        <w:ind w:firstLine="600" w:firstLineChars="200"/>
        <w:outlineLvl w:val="0"/>
        <w:rPr>
          <w:rFonts w:hint="eastAsia"/>
          <w:lang w:val="en-US" w:eastAsia="zh-CN"/>
        </w:rPr>
      </w:pPr>
      <w:r>
        <w:rPr>
          <w:rFonts w:hint="eastAsia"/>
          <w:lang w:val="en-US" w:eastAsia="zh-CN"/>
        </w:rPr>
        <w:t>3、移交前退休102人的退休经费支出保障率：</w:t>
      </w:r>
      <w:r>
        <w:rPr>
          <w:rFonts w:hint="eastAsia"/>
        </w:rPr>
        <w:t>2019年</w:t>
      </w:r>
      <w:r>
        <w:rPr>
          <w:rFonts w:hint="eastAsia"/>
          <w:lang w:eastAsia="zh-CN"/>
        </w:rPr>
        <w:t>底，该项目资金</w:t>
      </w:r>
      <w:r>
        <w:rPr>
          <w:rFonts w:hint="eastAsia"/>
          <w:lang w:val="en-US" w:eastAsia="zh-CN"/>
        </w:rPr>
        <w:t>100%保障了移交前退休102人的退休费支出。</w:t>
      </w:r>
    </w:p>
    <w:p>
      <w:pPr>
        <w:spacing w:line="540" w:lineRule="exact"/>
        <w:ind w:firstLine="600" w:firstLineChars="200"/>
        <w:outlineLvl w:val="0"/>
        <w:rPr>
          <w:rFonts w:hint="eastAsia"/>
          <w:lang w:eastAsia="zh-CN"/>
        </w:rPr>
      </w:pPr>
      <w:r>
        <w:rPr>
          <w:rFonts w:hint="eastAsia"/>
          <w:lang w:val="en-US" w:eastAsia="zh-CN"/>
        </w:rPr>
        <w:t>4、完成时间：</w:t>
      </w:r>
      <w:r>
        <w:rPr>
          <w:rFonts w:hint="eastAsia"/>
        </w:rPr>
        <w:t>截止2019年12月11</w:t>
      </w:r>
      <w:r>
        <w:rPr>
          <w:rFonts w:hint="eastAsia"/>
          <w:lang w:eastAsia="zh-CN"/>
        </w:rPr>
        <w:t>日</w:t>
      </w:r>
      <w:r>
        <w:rPr>
          <w:rFonts w:hint="eastAsia"/>
        </w:rPr>
        <w:t>，</w:t>
      </w:r>
      <w:r>
        <w:rPr>
          <w:rFonts w:hint="eastAsia"/>
          <w:lang w:eastAsia="zh-CN"/>
        </w:rPr>
        <w:t>该项目资金发放到位。</w:t>
      </w:r>
    </w:p>
    <w:p>
      <w:pPr>
        <w:spacing w:line="540" w:lineRule="exact"/>
        <w:ind w:firstLine="600" w:firstLineChars="200"/>
        <w:outlineLvl w:val="0"/>
        <w:rPr>
          <w:rFonts w:hint="eastAsia"/>
        </w:rPr>
      </w:pPr>
      <w:r>
        <w:rPr>
          <w:rFonts w:hint="eastAsia"/>
          <w:lang w:val="en-US" w:eastAsia="zh-CN"/>
        </w:rPr>
        <w:t>5、移交前退休人员经费支出：</w:t>
      </w:r>
      <w:r>
        <w:rPr>
          <w:rFonts w:hint="eastAsia"/>
        </w:rPr>
        <w:t>截止2019年12月11</w:t>
      </w:r>
      <w:r>
        <w:rPr>
          <w:rFonts w:hint="eastAsia"/>
          <w:lang w:eastAsia="zh-CN"/>
        </w:rPr>
        <w:t>日，</w:t>
      </w:r>
      <w:r>
        <w:rPr>
          <w:rFonts w:hint="eastAsia"/>
        </w:rPr>
        <w:t>向移交前102名退休人员（2019年8月去世1人，实发人数101人）发放退休费191.93万元，该项目资金结余0.87万元</w:t>
      </w:r>
      <w:r>
        <w:rPr>
          <w:rFonts w:hint="eastAsia"/>
          <w:lang w:eastAsia="zh-CN"/>
        </w:rPr>
        <w:t>（主要原因</w:t>
      </w:r>
      <w:r>
        <w:rPr>
          <w:rFonts w:hint="eastAsia"/>
          <w:lang w:val="en-US" w:eastAsia="zh-CN"/>
        </w:rPr>
        <w:t>2019年8月，去世一人</w:t>
      </w:r>
      <w:r>
        <w:rPr>
          <w:rFonts w:hint="eastAsia"/>
          <w:lang w:eastAsia="zh-CN"/>
        </w:rPr>
        <w:t>）</w:t>
      </w:r>
      <w:r>
        <w:rPr>
          <w:rFonts w:hint="eastAsia"/>
        </w:rPr>
        <w:t>，资金执行率为99.55%。</w:t>
      </w:r>
    </w:p>
    <w:p>
      <w:pPr>
        <w:numPr>
          <w:ilvl w:val="0"/>
          <w:numId w:val="1"/>
        </w:numPr>
        <w:spacing w:line="540" w:lineRule="exact"/>
        <w:ind w:left="0" w:leftChars="0" w:firstLine="600" w:firstLineChars="200"/>
        <w:rPr>
          <w:rFonts w:hint="eastAsia" w:ascii="仿宋_GB2312"/>
        </w:rPr>
      </w:pPr>
      <w:r>
        <w:rPr>
          <w:rFonts w:hint="eastAsia" w:ascii="仿宋_GB2312"/>
        </w:rPr>
        <w:t>项目效益情况。</w:t>
      </w:r>
    </w:p>
    <w:p>
      <w:pPr>
        <w:numPr>
          <w:ilvl w:val="0"/>
          <w:numId w:val="0"/>
        </w:numPr>
        <w:spacing w:line="540" w:lineRule="exact"/>
        <w:ind w:firstLine="600" w:firstLineChars="200"/>
        <w:rPr>
          <w:rFonts w:hint="eastAsia" w:ascii="仿宋_GB2312"/>
        </w:rPr>
      </w:pPr>
      <w:r>
        <w:rPr>
          <w:rFonts w:hint="eastAsia"/>
          <w:lang w:val="en-US" w:eastAsia="zh-CN"/>
        </w:rPr>
        <w:t>1、社会效益：移交</w:t>
      </w:r>
      <w:r>
        <w:rPr>
          <w:rFonts w:hint="eastAsia"/>
        </w:rPr>
        <w:t>102名退休人员（2019年8月去世1人，实发人数101人）的退休费</w:t>
      </w:r>
      <w:r>
        <w:rPr>
          <w:rFonts w:hint="eastAsia" w:ascii="仿宋_GB2312"/>
        </w:rPr>
        <w:t>全部得到保障，保障了移交前退休人员的退休费待遇</w:t>
      </w:r>
      <w:r>
        <w:rPr>
          <w:rFonts w:hint="eastAsia" w:ascii="仿宋_GB2312"/>
          <w:lang w:eastAsia="zh-CN"/>
        </w:rPr>
        <w:t>，</w:t>
      </w:r>
      <w:r>
        <w:rPr>
          <w:rFonts w:hint="eastAsia" w:ascii="仿宋_GB2312"/>
        </w:rPr>
        <w:t>有利于社会的和谐发展。</w:t>
      </w:r>
    </w:p>
    <w:p>
      <w:pPr>
        <w:numPr>
          <w:ilvl w:val="0"/>
          <w:numId w:val="0"/>
        </w:numPr>
        <w:spacing w:line="540" w:lineRule="exact"/>
        <w:ind w:firstLine="600" w:firstLineChars="200"/>
        <w:rPr>
          <w:rFonts w:hint="eastAsia" w:ascii="仿宋_GB2312"/>
        </w:rPr>
      </w:pPr>
      <w:r>
        <w:rPr>
          <w:rFonts w:hint="eastAsia" w:ascii="仿宋_GB2312"/>
          <w:lang w:val="en-US" w:eastAsia="zh-CN"/>
        </w:rPr>
        <w:t>2、</w:t>
      </w:r>
      <w:r>
        <w:rPr>
          <w:rFonts w:hint="eastAsia" w:ascii="仿宋_GB2312"/>
        </w:rPr>
        <w:t>移交前退休人员满意度</w:t>
      </w:r>
      <w:r>
        <w:rPr>
          <w:rFonts w:hint="eastAsia" w:ascii="仿宋_GB2312"/>
          <w:lang w:eastAsia="zh-CN"/>
        </w:rPr>
        <w:t>：</w:t>
      </w:r>
      <w:r>
        <w:rPr>
          <w:rFonts w:hint="eastAsia" w:ascii="仿宋_GB2312"/>
          <w:lang w:val="en-US" w:eastAsia="zh-CN"/>
        </w:rPr>
        <w:t>2019年，该资金项目实施，得到退休教师的很高评价，退休教师的满意度为95%。</w:t>
      </w:r>
    </w:p>
    <w:p>
      <w:pPr>
        <w:spacing w:line="540" w:lineRule="exact"/>
        <w:ind w:left="600" w:leftChars="200"/>
        <w:rPr>
          <w:rFonts w:ascii="黑体" w:hAnsi="黑体" w:eastAsia="黑体"/>
        </w:rPr>
      </w:pPr>
      <w:r>
        <w:rPr>
          <w:rFonts w:hint="eastAsia" w:ascii="黑体" w:hAnsi="黑体" w:eastAsia="黑体"/>
        </w:rPr>
        <w:t>五、主要经验及做法、存在的问题及原因分析</w:t>
      </w:r>
    </w:p>
    <w:p>
      <w:pPr>
        <w:spacing w:line="540" w:lineRule="exact"/>
        <w:ind w:firstLine="600" w:firstLineChars="200"/>
        <w:rPr>
          <w:rFonts w:ascii="仿宋_GB2312"/>
        </w:rPr>
      </w:pPr>
      <w:r>
        <w:rPr>
          <w:rFonts w:hint="eastAsia" w:ascii="仿宋_GB2312"/>
        </w:rPr>
        <w:t>（一）、主要经验及做法</w:t>
      </w:r>
    </w:p>
    <w:p>
      <w:pPr>
        <w:spacing w:line="540" w:lineRule="exact"/>
        <w:ind w:firstLine="600" w:firstLineChars="200"/>
        <w:rPr>
          <w:rFonts w:ascii="仿宋_GB2312"/>
        </w:rPr>
      </w:pPr>
      <w:r>
        <w:rPr>
          <w:rFonts w:hint="eastAsia" w:ascii="仿宋_GB2312"/>
        </w:rPr>
        <w:t>多渠道了解退休人员退休生活，身体健康、心理等情况。多关心他们的退休生活、身体健康。及时向退休人员解释和宣传党和国家关于退休人员的政策。</w:t>
      </w:r>
    </w:p>
    <w:p>
      <w:pPr>
        <w:numPr>
          <w:ilvl w:val="0"/>
          <w:numId w:val="3"/>
        </w:numPr>
        <w:spacing w:line="540" w:lineRule="exact"/>
        <w:ind w:firstLine="600" w:firstLineChars="200"/>
        <w:rPr>
          <w:rFonts w:ascii="仿宋_GB2312"/>
        </w:rPr>
      </w:pPr>
      <w:r>
        <w:rPr>
          <w:rFonts w:hint="eastAsia" w:ascii="仿宋_GB2312"/>
        </w:rPr>
        <w:t>、存在问题及原因分析</w:t>
      </w:r>
    </w:p>
    <w:p>
      <w:pPr>
        <w:spacing w:line="540" w:lineRule="exact"/>
        <w:rPr>
          <w:rFonts w:ascii="仿宋_GB2312"/>
        </w:rPr>
      </w:pPr>
      <w:r>
        <w:rPr>
          <w:rFonts w:hint="eastAsia" w:ascii="仿宋_GB2312"/>
        </w:rPr>
        <w:t xml:space="preserve">     学校全面了解退休人员的退休生活、身体健康有一定困难。原因是我校退休人员，分布十分分散，不少都是高龄。</w:t>
      </w:r>
    </w:p>
    <w:p>
      <w:pPr>
        <w:numPr>
          <w:ilvl w:val="0"/>
          <w:numId w:val="4"/>
        </w:numPr>
        <w:spacing w:line="540" w:lineRule="exact"/>
        <w:ind w:firstLine="600" w:firstLineChars="200"/>
        <w:rPr>
          <w:rFonts w:hint="eastAsia" w:ascii="黑体" w:hAnsi="黑体" w:eastAsia="黑体"/>
          <w:lang w:val="en-US" w:eastAsia="zh-CN"/>
        </w:rPr>
      </w:pPr>
      <w:r>
        <w:rPr>
          <w:rFonts w:hint="eastAsia" w:ascii="黑体" w:hAnsi="黑体" w:eastAsia="黑体"/>
        </w:rPr>
        <w:t>有关建议</w:t>
      </w:r>
      <w:r>
        <w:rPr>
          <w:rFonts w:hint="eastAsia" w:ascii="黑体" w:hAnsi="黑体" w:eastAsia="黑体"/>
          <w:lang w:val="en-US" w:eastAsia="zh-CN"/>
        </w:rPr>
        <w:t xml:space="preserve">   </w:t>
      </w:r>
    </w:p>
    <w:p>
      <w:pPr>
        <w:numPr>
          <w:ilvl w:val="0"/>
          <w:numId w:val="0"/>
        </w:numPr>
        <w:spacing w:line="540" w:lineRule="exact"/>
        <w:ind w:firstLine="1500" w:firstLineChars="500"/>
        <w:rPr>
          <w:rFonts w:ascii="仿宋_GB2312"/>
        </w:rPr>
      </w:pPr>
      <w:r>
        <w:rPr>
          <w:rFonts w:hint="eastAsia" w:ascii="仿宋_GB2312"/>
        </w:rPr>
        <w:t>无。</w:t>
      </w:r>
    </w:p>
    <w:p>
      <w:pPr>
        <w:numPr>
          <w:ilvl w:val="0"/>
          <w:numId w:val="4"/>
        </w:numPr>
        <w:spacing w:line="540" w:lineRule="exact"/>
        <w:ind w:left="0" w:leftChars="0" w:firstLine="600" w:firstLineChars="200"/>
        <w:rPr>
          <w:rFonts w:hint="eastAsia" w:ascii="黑体" w:hAnsi="黑体" w:eastAsia="黑体"/>
        </w:rPr>
      </w:pPr>
      <w:r>
        <w:rPr>
          <w:rFonts w:hint="eastAsia" w:ascii="黑体" w:hAnsi="黑体" w:eastAsia="黑体"/>
        </w:rPr>
        <w:t>其他需要说明的问题</w:t>
      </w:r>
    </w:p>
    <w:p>
      <w:pPr>
        <w:numPr>
          <w:ilvl w:val="0"/>
          <w:numId w:val="0"/>
        </w:numPr>
        <w:spacing w:line="540" w:lineRule="exact"/>
        <w:ind w:leftChars="200" w:firstLine="900" w:firstLineChars="300"/>
        <w:rPr>
          <w:rFonts w:ascii="仿宋_GB2312"/>
        </w:rPr>
      </w:pPr>
      <w:r>
        <w:rPr>
          <w:rFonts w:hint="eastAsia" w:ascii="仿宋_GB2312"/>
        </w:rPr>
        <w:t>无。</w:t>
      </w:r>
    </w:p>
    <w:p>
      <w:pPr>
        <w:spacing w:line="540" w:lineRule="exact"/>
        <w:ind w:firstLine="600" w:firstLineChars="200"/>
        <w:rPr>
          <w:rFonts w:ascii="仿宋_GB2312"/>
        </w:rPr>
      </w:pPr>
    </w:p>
    <w:p>
      <w:pPr>
        <w:spacing w:line="540" w:lineRule="exact"/>
        <w:ind w:firstLine="600" w:firstLineChars="200"/>
        <w:rPr>
          <w:rFonts w:ascii="仿宋_GB2312"/>
        </w:rPr>
      </w:pPr>
      <w:r>
        <w:rPr>
          <w:rFonts w:hint="eastAsia" w:ascii="仿宋_GB2312"/>
        </w:rPr>
        <w:t xml:space="preserve">                                   巴州石油二中</w:t>
      </w:r>
    </w:p>
    <w:p>
      <w:pPr>
        <w:spacing w:line="540" w:lineRule="exact"/>
        <w:ind w:firstLine="600" w:firstLineChars="200"/>
        <w:rPr>
          <w:rFonts w:ascii="仿宋_GB2312"/>
        </w:rPr>
      </w:pPr>
      <w:r>
        <w:rPr>
          <w:rFonts w:hint="eastAsia" w:ascii="仿宋_GB2312"/>
        </w:rPr>
        <w:t xml:space="preserve">                                  2020年4月25日</w:t>
      </w:r>
    </w:p>
    <w:p>
      <w:pPr>
        <w:spacing w:line="600" w:lineRule="exact"/>
        <w:ind w:left="600" w:leftChars="200"/>
        <w:rPr>
          <w:rFonts w:ascii="仿宋_GB2312"/>
        </w:rPr>
      </w:pPr>
    </w:p>
    <w:p>
      <w:pPr>
        <w:spacing w:line="600" w:lineRule="exact"/>
        <w:ind w:firstLine="600" w:firstLineChars="200"/>
        <w:rPr>
          <w:rFonts w:ascii="黑体" w:hAnsi="黑体" w:eastAsia="黑体"/>
        </w:rPr>
        <w:sectPr>
          <w:footerReference r:id="rId3" w:type="default"/>
          <w:pgSz w:w="11906" w:h="16838"/>
          <w:pgMar w:top="1928" w:right="1531" w:bottom="1701" w:left="1531" w:header="737" w:footer="851" w:gutter="0"/>
          <w:cols w:space="720" w:num="1"/>
          <w:docGrid w:type="lines" w:linePitch="408" w:charSpace="0"/>
        </w:sectPr>
      </w:pPr>
    </w:p>
    <w:p>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项目支出绩效评价指标体系框架（参考）</w:t>
      </w:r>
    </w:p>
    <w:p>
      <w:pPr>
        <w:pStyle w:val="2"/>
        <w:spacing w:before="0" w:after="0" w:line="240" w:lineRule="auto"/>
        <w:jc w:val="center"/>
        <w:rPr>
          <w:bCs/>
          <w:color w:val="000000"/>
        </w:rPr>
      </w:pPr>
    </w:p>
    <w:tbl>
      <w:tblPr>
        <w:tblStyle w:val="6"/>
        <w:tblW w:w="1537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41"/>
        <w:gridCol w:w="910"/>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tcBorders>
              <w:top w:val="single" w:color="auto" w:sz="4" w:space="0"/>
              <w:bottom w:val="single" w:color="auto" w:sz="4" w:space="0"/>
              <w:right w:val="single" w:color="auto" w:sz="4" w:space="0"/>
            </w:tcBorders>
            <w:shd w:val="clear" w:color="auto" w:fill="auto"/>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p>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p>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6</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3.92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9.95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41" w:type="dxa"/>
            <w:tcBorders>
              <w:top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300" w:leftChars="10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bl>
    <w:p>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2</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B16F5"/>
    <w:multiLevelType w:val="singleLevel"/>
    <w:tmpl w:val="08FB16F5"/>
    <w:lvl w:ilvl="0" w:tentative="0">
      <w:start w:val="2"/>
      <w:numFmt w:val="chineseCounting"/>
      <w:suff w:val="nothing"/>
      <w:lvlText w:val="（%1）"/>
      <w:lvlJc w:val="left"/>
      <w:rPr>
        <w:rFonts w:hint="eastAsia"/>
      </w:rPr>
    </w:lvl>
  </w:abstractNum>
  <w:abstractNum w:abstractNumId="1">
    <w:nsid w:val="12C97DDB"/>
    <w:multiLevelType w:val="singleLevel"/>
    <w:tmpl w:val="12C97DDB"/>
    <w:lvl w:ilvl="0" w:tentative="0">
      <w:start w:val="3"/>
      <w:numFmt w:val="chineseCounting"/>
      <w:suff w:val="nothing"/>
      <w:lvlText w:val="%1、"/>
      <w:lvlJc w:val="left"/>
      <w:rPr>
        <w:rFonts w:hint="eastAsia"/>
      </w:rPr>
    </w:lvl>
  </w:abstractNum>
  <w:abstractNum w:abstractNumId="2">
    <w:nsid w:val="1A32A98C"/>
    <w:multiLevelType w:val="singleLevel"/>
    <w:tmpl w:val="1A32A98C"/>
    <w:lvl w:ilvl="0" w:tentative="0">
      <w:start w:val="2"/>
      <w:numFmt w:val="chineseCounting"/>
      <w:suff w:val="nothing"/>
      <w:lvlText w:val="（%1）"/>
      <w:lvlJc w:val="left"/>
      <w:rPr>
        <w:rFonts w:hint="eastAsia"/>
      </w:rPr>
    </w:lvl>
  </w:abstractNum>
  <w:abstractNum w:abstractNumId="3">
    <w:nsid w:val="457FAA8C"/>
    <w:multiLevelType w:val="singleLevel"/>
    <w:tmpl w:val="457FAA8C"/>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B5"/>
    <w:rsid w:val="00033C4C"/>
    <w:rsid w:val="0018238C"/>
    <w:rsid w:val="00251A9F"/>
    <w:rsid w:val="005858F5"/>
    <w:rsid w:val="00585FA2"/>
    <w:rsid w:val="006A1D33"/>
    <w:rsid w:val="00A77C8A"/>
    <w:rsid w:val="00C460D9"/>
    <w:rsid w:val="00C470BD"/>
    <w:rsid w:val="00C6720C"/>
    <w:rsid w:val="00CC10B5"/>
    <w:rsid w:val="00CC21A1"/>
    <w:rsid w:val="00D043E9"/>
    <w:rsid w:val="00D22FC3"/>
    <w:rsid w:val="00EA03A9"/>
    <w:rsid w:val="00ED61D9"/>
    <w:rsid w:val="00F26A36"/>
    <w:rsid w:val="00FA49EB"/>
    <w:rsid w:val="00FB45E1"/>
    <w:rsid w:val="023F6C87"/>
    <w:rsid w:val="04497A49"/>
    <w:rsid w:val="0888283A"/>
    <w:rsid w:val="09B04004"/>
    <w:rsid w:val="09FD2A6D"/>
    <w:rsid w:val="0DC440BE"/>
    <w:rsid w:val="0FBC61D8"/>
    <w:rsid w:val="129B17C2"/>
    <w:rsid w:val="1AE80636"/>
    <w:rsid w:val="25B44E19"/>
    <w:rsid w:val="28097AA3"/>
    <w:rsid w:val="2CF420CE"/>
    <w:rsid w:val="30167969"/>
    <w:rsid w:val="303A48BD"/>
    <w:rsid w:val="327C52D8"/>
    <w:rsid w:val="36851981"/>
    <w:rsid w:val="37216FCA"/>
    <w:rsid w:val="37A22EBF"/>
    <w:rsid w:val="3B630918"/>
    <w:rsid w:val="41BD7C9C"/>
    <w:rsid w:val="426F118A"/>
    <w:rsid w:val="46E15DC4"/>
    <w:rsid w:val="49692727"/>
    <w:rsid w:val="499B01CD"/>
    <w:rsid w:val="4B4C04A2"/>
    <w:rsid w:val="4F9D0171"/>
    <w:rsid w:val="5A697ADB"/>
    <w:rsid w:val="5E565438"/>
    <w:rsid w:val="6A5C2E3E"/>
    <w:rsid w:val="6E1F7990"/>
    <w:rsid w:val="6F99192C"/>
    <w:rsid w:val="71F4611D"/>
    <w:rsid w:val="75E95EB7"/>
    <w:rsid w:val="788B67A4"/>
    <w:rsid w:val="7AF86D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9"/>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标题 2 Char"/>
    <w:basedOn w:val="5"/>
    <w:link w:val="2"/>
    <w:uiPriority w:val="0"/>
    <w:rPr>
      <w:rFonts w:ascii="Arial" w:hAnsi="Arial" w:eastAsia="黑体" w:cs="Times New Roman"/>
      <w:b/>
      <w:sz w:val="32"/>
      <w:szCs w:val="24"/>
    </w:rPr>
  </w:style>
  <w:style w:type="paragraph" w:customStyle="1" w:styleId="10">
    <w:name w:val="闻政-正文段落文字"/>
    <w:basedOn w:val="1"/>
    <w:qFormat/>
    <w:uiPriority w:val="3"/>
    <w:pPr>
      <w:spacing w:line="500" w:lineRule="exact"/>
      <w:ind w:firstLine="200"/>
    </w:pPr>
    <w:rPr>
      <w:kern w:val="0"/>
      <w:szCs w:val="28"/>
    </w:rPr>
  </w:style>
  <w:style w:type="paragraph" w:customStyle="1" w:styleId="11">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F2B0A7-BD08-4EE9-B163-07C76805B097}">
  <ds:schemaRefs/>
</ds:datastoreItem>
</file>

<file path=docProps/app.xml><?xml version="1.0" encoding="utf-8"?>
<Properties xmlns="http://schemas.openxmlformats.org/officeDocument/2006/extended-properties" xmlns:vt="http://schemas.openxmlformats.org/officeDocument/2006/docPropsVTypes">
  <Template>Normal</Template>
  <Pages>9</Pages>
  <Words>689</Words>
  <Characters>3933</Characters>
  <Lines>32</Lines>
  <Paragraphs>9</Paragraphs>
  <TotalTime>1</TotalTime>
  <ScaleCrop>false</ScaleCrop>
  <LinksUpToDate>false</LinksUpToDate>
  <CharactersWithSpaces>4613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2020-05-14T04:19:00Z</dcterms:created>
  <dc:creator>CurUserName</dc:creator>
  <cp:lastModifiedBy>Administrator</cp:lastModifiedBy>
  <dcterms:modified xsi:type="dcterms:W3CDTF">2009-08-19T16:07:53Z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