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ind w:firstLine="883"/>
        <w:jc w:val="center"/>
        <w:outlineLvl w:val="0"/>
        <w:rPr>
          <w:rFonts w:ascii="仿宋_GB2312" w:hAnsi="Arial"/>
          <w:b/>
          <w:sz w:val="44"/>
          <w:szCs w:val="44"/>
        </w:rPr>
      </w:pPr>
    </w:p>
    <w:p>
      <w:pPr>
        <w:spacing w:before="120" w:after="120" w:line="480" w:lineRule="auto"/>
        <w:ind w:firstLine="883"/>
        <w:jc w:val="center"/>
        <w:outlineLvl w:val="0"/>
        <w:rPr>
          <w:rFonts w:ascii="仿宋_GB2312" w:hAnsi="Arial"/>
          <w:b/>
          <w:sz w:val="44"/>
          <w:szCs w:val="44"/>
        </w:rPr>
      </w:pPr>
    </w:p>
    <w:p>
      <w:pPr>
        <w:spacing w:before="120" w:after="120" w:line="480" w:lineRule="auto"/>
        <w:ind w:firstLine="883"/>
        <w:jc w:val="center"/>
        <w:outlineLvl w:val="0"/>
        <w:rPr>
          <w:rFonts w:ascii="仿宋_GB2312" w:hAnsi="Arial"/>
          <w:b/>
          <w:sz w:val="44"/>
          <w:szCs w:val="44"/>
        </w:rPr>
      </w:pPr>
    </w:p>
    <w:p>
      <w:pPr>
        <w:spacing w:before="120" w:after="120" w:line="480" w:lineRule="auto"/>
        <w:ind w:firstLine="883"/>
        <w:jc w:val="center"/>
        <w:outlineLvl w:val="0"/>
        <w:rPr>
          <w:rFonts w:ascii="仿宋_GB2312" w:hAnsi="Arial"/>
          <w:b/>
          <w:sz w:val="44"/>
          <w:szCs w:val="44"/>
        </w:rPr>
      </w:pPr>
    </w:p>
    <w:p>
      <w:pPr>
        <w:spacing w:before="120" w:after="120" w:line="480" w:lineRule="auto"/>
        <w:ind w:firstLine="883"/>
        <w:jc w:val="center"/>
        <w:outlineLvl w:val="0"/>
        <w:rPr>
          <w:rFonts w:ascii="仿宋_GB2312" w:hAnsi="Arial"/>
          <w:b/>
          <w:sz w:val="44"/>
          <w:szCs w:val="44"/>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巴州民族宗教事务局</w:t>
      </w:r>
      <w:r>
        <w:rPr>
          <w:rFonts w:hint="eastAsia" w:ascii="方正小标宋_GBK" w:hAnsi="华文中宋" w:eastAsia="方正小标宋_GBK" w:cs="宋体"/>
          <w:b/>
          <w:kern w:val="0"/>
          <w:sz w:val="48"/>
          <w:szCs w:val="48"/>
        </w:rPr>
        <w:t>单位项目支出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（2019年度）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900" w:firstLineChars="250"/>
        <w:jc w:val="left"/>
        <w:rPr>
          <w:rFonts w:hint="eastAsia" w:hAnsi="宋体" w:eastAsia="仿宋_GB2312" w:cs="宋体"/>
          <w:kern w:val="0"/>
          <w:sz w:val="36"/>
          <w:szCs w:val="36"/>
          <w:lang w:eastAsia="zh-CN"/>
        </w:rPr>
      </w:pPr>
      <w:r>
        <w:rPr>
          <w:rFonts w:hint="eastAsia" w:hAnsi="宋体" w:eastAsia="仿宋_GB2312" w:cs="宋体"/>
          <w:kern w:val="0"/>
          <w:sz w:val="36"/>
          <w:szCs w:val="36"/>
        </w:rPr>
        <w:t>项目名称：</w:t>
      </w:r>
      <w:r>
        <w:rPr>
          <w:rFonts w:hint="eastAsia" w:hAnsi="宋体" w:cs="宋体"/>
          <w:kern w:val="0"/>
          <w:sz w:val="36"/>
          <w:szCs w:val="36"/>
          <w:lang w:eastAsia="zh-CN"/>
        </w:rPr>
        <w:t>宗教工作经费</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巴州民族宗教事务局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Ansi="宋体" w:eastAsia="仿宋_GB2312" w:cs="宋体"/>
          <w:kern w:val="0"/>
          <w:sz w:val="36"/>
          <w:szCs w:val="36"/>
        </w:rPr>
        <w:t xml:space="preserve"> </w:t>
      </w:r>
      <w:r>
        <w:rPr>
          <w:rFonts w:hint="eastAsia" w:hAnsi="宋体" w:cs="宋体"/>
          <w:kern w:val="0"/>
          <w:sz w:val="36"/>
          <w:szCs w:val="36"/>
          <w:lang w:eastAsia="zh-CN"/>
        </w:rPr>
        <w:t>巴州人民政府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cs="宋体"/>
          <w:kern w:val="0"/>
          <w:sz w:val="36"/>
          <w:szCs w:val="36"/>
          <w:lang w:eastAsia="zh-CN"/>
        </w:rPr>
        <w:t>托乎提</w:t>
      </w:r>
      <w:r>
        <w:rPr>
          <w:rFonts w:hint="eastAsia" w:hAnsi="宋体" w:cs="宋体"/>
          <w:kern w:val="0"/>
          <w:sz w:val="36"/>
          <w:szCs w:val="36"/>
          <w:lang w:val="en-US" w:eastAsia="zh-CN"/>
        </w:rPr>
        <w:t>·艾尼</w:t>
      </w:r>
      <w:r>
        <w:rPr>
          <w:rFonts w:hAnsi="宋体" w:eastAsia="仿宋_GB2312" w:cs="宋体"/>
          <w:kern w:val="0"/>
          <w:sz w:val="36"/>
          <w:szCs w:val="36"/>
        </w:rPr>
        <w:t xml:space="preserve"> </w:t>
      </w:r>
    </w:p>
    <w:p>
      <w:pPr>
        <w:spacing w:line="700" w:lineRule="exact"/>
        <w:ind w:firstLine="849" w:firstLineChars="236"/>
        <w:jc w:val="left"/>
        <w:rPr>
          <w:rFonts w:hint="default" w:hAnsi="宋体" w:eastAsia="仿宋_GB2312" w:cs="宋体"/>
          <w:kern w:val="0"/>
          <w:sz w:val="30"/>
          <w:szCs w:val="30"/>
          <w:lang w:val="en-US" w:eastAsia="zh-CN"/>
        </w:rPr>
      </w:pPr>
      <w:r>
        <w:rPr>
          <w:rFonts w:hint="eastAsia" w:hAnsi="宋体" w:eastAsia="仿宋_GB2312" w:cs="宋体"/>
          <w:kern w:val="0"/>
          <w:sz w:val="36"/>
          <w:szCs w:val="36"/>
        </w:rPr>
        <w:t xml:space="preserve">填报时间：  </w:t>
      </w:r>
      <w:r>
        <w:rPr>
          <w:rFonts w:hAnsi="宋体" w:eastAsia="仿宋_GB2312" w:cs="宋体"/>
          <w:kern w:val="0"/>
          <w:sz w:val="36"/>
          <w:szCs w:val="36"/>
        </w:rPr>
        <w:t xml:space="preserve"> </w:t>
      </w:r>
      <w:r>
        <w:rPr>
          <w:rFonts w:hint="eastAsia" w:hAnsi="宋体" w:cs="宋体"/>
          <w:kern w:val="0"/>
          <w:sz w:val="36"/>
          <w:szCs w:val="36"/>
          <w:lang w:val="en-US" w:eastAsia="zh-CN"/>
        </w:rPr>
        <w:t>2020年5月</w:t>
      </w:r>
    </w:p>
    <w:p>
      <w:pPr>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r>
        <w:rPr>
          <w:rFonts w:hint="eastAsia" w:ascii="仿宋_GB2312" w:hAnsi="Times New Roman" w:cs="Times New Roman"/>
          <w:kern w:val="0"/>
          <w:sz w:val="32"/>
          <w:szCs w:val="32"/>
          <w:lang w:bidi="en-US"/>
        </w:rPr>
        <w:br w:type="page"/>
      </w:r>
    </w:p>
    <w:p>
      <w:pPr>
        <w:spacing w:line="600" w:lineRule="exact"/>
        <w:ind w:firstLine="600" w:firstLineChars="200"/>
        <w:rPr>
          <w:rFonts w:ascii="黑体" w:hAnsi="黑体" w:eastAsia="黑体"/>
        </w:rPr>
      </w:pPr>
      <w:r>
        <w:rPr>
          <w:rFonts w:hint="eastAsia" w:ascii="黑体" w:hAnsi="黑体" w:eastAsia="黑体"/>
        </w:rPr>
        <w:t>一、基本情况</w:t>
      </w:r>
    </w:p>
    <w:p>
      <w:pPr>
        <w:ind w:firstLine="562" w:firstLineChars="200"/>
        <w:rPr>
          <w:rFonts w:hint="eastAsia" w:ascii="仿宋_GB2312" w:eastAsia="黑体"/>
          <w:highlight w:val="red"/>
          <w:lang w:eastAsia="zh-CN"/>
        </w:rPr>
      </w:pPr>
      <w:r>
        <w:rPr>
          <w:rFonts w:hint="eastAsia" w:eastAsia="黑体"/>
          <w:b/>
          <w:sz w:val="28"/>
        </w:rPr>
        <w:t>（一）项目概况。</w:t>
      </w:r>
    </w:p>
    <w:p>
      <w:pPr>
        <w:spacing w:line="540" w:lineRule="exact"/>
        <w:ind w:firstLine="560" w:firstLineChars="200"/>
        <w:rPr>
          <w:rFonts w:hint="eastAsia" w:ascii="仿宋_GB2312" w:hAnsi="宋体"/>
          <w:sz w:val="28"/>
          <w:szCs w:val="28"/>
          <w:lang w:eastAsia="zh-CN"/>
        </w:rPr>
      </w:pPr>
      <w:r>
        <w:rPr>
          <w:rFonts w:hint="eastAsia" w:ascii="仿宋_GB2312" w:hAnsi="宋体"/>
          <w:sz w:val="28"/>
          <w:szCs w:val="28"/>
          <w:lang w:val="en-US" w:eastAsia="zh-CN"/>
        </w:rPr>
        <w:t>1、</w:t>
      </w:r>
      <w:r>
        <w:rPr>
          <w:rFonts w:hint="eastAsia" w:ascii="仿宋_GB2312" w:hAnsi="宋体"/>
          <w:sz w:val="28"/>
          <w:szCs w:val="28"/>
          <w:lang w:eastAsia="zh-CN"/>
        </w:rPr>
        <w:t>项目背景</w:t>
      </w:r>
    </w:p>
    <w:p>
      <w:pPr>
        <w:spacing w:line="540" w:lineRule="exact"/>
        <w:ind w:firstLine="560" w:firstLineChars="200"/>
        <w:rPr>
          <w:rFonts w:hint="eastAsia" w:ascii="仿宋_GB2312" w:hAnsi="宋体"/>
          <w:sz w:val="28"/>
          <w:szCs w:val="28"/>
        </w:rPr>
      </w:pPr>
      <w:r>
        <w:rPr>
          <w:rFonts w:hint="eastAsia" w:ascii="仿宋_GB2312" w:hAnsi="宋体"/>
          <w:sz w:val="28"/>
          <w:szCs w:val="28"/>
        </w:rPr>
        <w:t>巴州民族宗教事务局负责组织宣传、贯彻中央和自治区、自治州党委、政府关于民族宗教方面的方针、政策；组织开展民族宗教理论、民族宗教政策的宣传教育；组织开展民族宗教工作重大问题的调查研究并提出工作建议；健全自治州民族宗教管理体系。依法履行宗教事务管理职责，依法保护公民宗教信仰自由和正常的宗教活动，维护宗教界权益，促进宗教关系和睦。</w:t>
      </w:r>
    </w:p>
    <w:p>
      <w:pPr>
        <w:numPr>
          <w:ilvl w:val="0"/>
          <w:numId w:val="1"/>
        </w:numPr>
        <w:spacing w:line="540" w:lineRule="exact"/>
        <w:ind w:firstLine="560" w:firstLineChars="200"/>
        <w:rPr>
          <w:rFonts w:hint="eastAsia" w:ascii="仿宋_GB2312" w:hAnsi="宋体"/>
          <w:sz w:val="28"/>
          <w:szCs w:val="28"/>
          <w:lang w:val="en-US" w:eastAsia="zh-CN"/>
        </w:rPr>
      </w:pPr>
      <w:r>
        <w:rPr>
          <w:rFonts w:hint="eastAsia" w:ascii="仿宋_GB2312" w:hAnsi="宋体"/>
          <w:sz w:val="28"/>
          <w:szCs w:val="28"/>
          <w:lang w:val="en-US" w:eastAsia="zh-CN"/>
        </w:rPr>
        <w:t>主要内容及实施情况</w:t>
      </w:r>
    </w:p>
    <w:p>
      <w:pPr>
        <w:numPr>
          <w:ilvl w:val="0"/>
          <w:numId w:val="0"/>
        </w:numPr>
        <w:spacing w:line="540" w:lineRule="exact"/>
        <w:ind w:firstLine="560" w:firstLineChars="200"/>
        <w:rPr>
          <w:rFonts w:hint="eastAsia" w:ascii="仿宋_GB2312" w:hAnsi="宋体"/>
          <w:sz w:val="28"/>
          <w:szCs w:val="28"/>
        </w:rPr>
      </w:pPr>
      <w:r>
        <w:rPr>
          <w:rFonts w:hint="eastAsia" w:ascii="仿宋_GB2312" w:hAnsi="宋体"/>
          <w:sz w:val="28"/>
          <w:szCs w:val="28"/>
        </w:rPr>
        <w:t>组织实施国家、自治区的宗教法律、法规和政策，引导、促进宗教在法律、法规和政策范围内活动。指导宗教团体依法依章开展活动，支持宗教团体加强自身建设；推动宗教团体在宗教界开展爱国主义、社会主义、维护祖国统一和民族团结的自我教育，支持和帮助宗教团体培养教育宗教教职人员，做好爱国宗教人士带培工作；办理宗教团体需由政府解决或协调的事务。对自治州贯彻落实党和国家、自治区有关</w:t>
      </w:r>
      <w:r>
        <w:rPr>
          <w:rFonts w:hint="eastAsia" w:ascii="仿宋_GB2312" w:hAnsi="宋体"/>
          <w:sz w:val="28"/>
          <w:szCs w:val="28"/>
          <w:lang w:eastAsia="zh-CN"/>
        </w:rPr>
        <w:t>宗教</w:t>
      </w:r>
      <w:r>
        <w:rPr>
          <w:rFonts w:hint="eastAsia" w:ascii="仿宋_GB2312" w:hAnsi="宋体"/>
          <w:sz w:val="28"/>
          <w:szCs w:val="28"/>
        </w:rPr>
        <w:t>政策、法律法规以及</w:t>
      </w:r>
      <w:r>
        <w:rPr>
          <w:rFonts w:hint="eastAsia" w:ascii="仿宋_GB2312" w:hAnsi="宋体"/>
          <w:sz w:val="28"/>
          <w:szCs w:val="28"/>
          <w:lang w:eastAsia="zh-CN"/>
        </w:rPr>
        <w:t>宗教</w:t>
      </w:r>
      <w:r>
        <w:rPr>
          <w:rFonts w:hint="eastAsia" w:ascii="仿宋_GB2312" w:hAnsi="宋体"/>
          <w:sz w:val="28"/>
          <w:szCs w:val="28"/>
        </w:rPr>
        <w:t>工作情况进行督导。承办自治州党委、自治州人民政府交办的其他事项。</w:t>
      </w:r>
    </w:p>
    <w:p>
      <w:pPr>
        <w:numPr>
          <w:ilvl w:val="0"/>
          <w:numId w:val="1"/>
        </w:numPr>
        <w:spacing w:line="540" w:lineRule="exact"/>
        <w:ind w:left="0" w:leftChars="0" w:firstLine="560" w:firstLineChars="200"/>
        <w:rPr>
          <w:rFonts w:hint="eastAsia" w:ascii="仿宋_GB2312" w:hAnsi="宋体"/>
          <w:sz w:val="28"/>
          <w:szCs w:val="28"/>
          <w:lang w:val="en-US" w:eastAsia="zh-CN"/>
        </w:rPr>
      </w:pPr>
      <w:r>
        <w:rPr>
          <w:rFonts w:hint="eastAsia" w:ascii="仿宋_GB2312" w:hAnsi="宋体"/>
          <w:sz w:val="28"/>
          <w:szCs w:val="28"/>
          <w:lang w:val="en-US" w:eastAsia="zh-CN"/>
        </w:rPr>
        <w:t>资金投入和使用情况</w:t>
      </w:r>
    </w:p>
    <w:p>
      <w:pPr>
        <w:numPr>
          <w:ilvl w:val="0"/>
          <w:numId w:val="0"/>
        </w:numPr>
        <w:spacing w:line="540" w:lineRule="exact"/>
        <w:ind w:leftChars="200"/>
        <w:rPr>
          <w:rFonts w:hint="default" w:ascii="仿宋_GB2312" w:hAnsi="宋体"/>
          <w:sz w:val="28"/>
          <w:szCs w:val="28"/>
          <w:lang w:val="en-US" w:eastAsia="zh-CN"/>
        </w:rPr>
      </w:pPr>
      <w:r>
        <w:rPr>
          <w:rFonts w:hint="eastAsia" w:ascii="仿宋_GB2312" w:hAnsi="宋体"/>
          <w:sz w:val="28"/>
          <w:szCs w:val="28"/>
          <w:lang w:val="en-US" w:eastAsia="zh-CN"/>
        </w:rPr>
        <w:t>2019年投入宗教专项工作经费35.4万元，其中当年财政拨款3504万元，全年执行经费35.2万元。</w:t>
      </w:r>
    </w:p>
    <w:p>
      <w:pPr>
        <w:pStyle w:val="14"/>
        <w:ind w:left="600"/>
        <w:rPr>
          <w:rFonts w:hint="eastAsia" w:eastAsia="黑体"/>
          <w:lang w:eastAsia="zh-CN"/>
        </w:rPr>
      </w:pPr>
      <w:bookmarkStart w:id="0" w:name="_Toc23594"/>
      <w:r>
        <w:rPr>
          <w:rFonts w:hint="eastAsia"/>
        </w:rPr>
        <w:t>（二）项目绩效目标:</w:t>
      </w:r>
      <w:bookmarkEnd w:id="0"/>
    </w:p>
    <w:p>
      <w:pPr>
        <w:spacing w:line="609" w:lineRule="exact"/>
        <w:ind w:firstLine="560" w:firstLineChars="200"/>
        <w:rPr>
          <w:rFonts w:hint="eastAsia" w:ascii="仿宋_GB2312" w:hAnsi="宋体"/>
          <w:sz w:val="28"/>
          <w:szCs w:val="28"/>
          <w:lang w:eastAsia="zh-CN"/>
        </w:rPr>
      </w:pPr>
      <w:r>
        <w:rPr>
          <w:rFonts w:hint="eastAsia" w:ascii="仿宋_GB2312" w:hAnsi="宋体"/>
          <w:sz w:val="28"/>
          <w:szCs w:val="28"/>
          <w:lang w:val="en-US" w:eastAsia="zh-CN"/>
        </w:rPr>
        <w:t>1、</w:t>
      </w:r>
      <w:r>
        <w:rPr>
          <w:rFonts w:hint="eastAsia" w:ascii="仿宋_GB2312" w:hAnsi="宋体"/>
          <w:sz w:val="28"/>
          <w:szCs w:val="28"/>
          <w:lang w:eastAsia="zh-CN"/>
        </w:rPr>
        <w:t>总体目标</w:t>
      </w:r>
    </w:p>
    <w:p>
      <w:pPr>
        <w:spacing w:line="609" w:lineRule="exact"/>
        <w:ind w:firstLine="560" w:firstLineChars="200"/>
        <w:rPr>
          <w:rFonts w:ascii="仿宋_GB2312" w:hAnsi="宋体"/>
          <w:sz w:val="28"/>
          <w:szCs w:val="28"/>
        </w:rPr>
      </w:pPr>
      <w:r>
        <w:rPr>
          <w:rFonts w:hint="eastAsia" w:ascii="仿宋_GB2312" w:hAnsi="宋体"/>
          <w:sz w:val="28"/>
          <w:szCs w:val="28"/>
        </w:rPr>
        <w:t>贯彻</w:t>
      </w:r>
      <w:r>
        <w:rPr>
          <w:rFonts w:ascii="仿宋_GB2312" w:hAnsi="宋体"/>
          <w:sz w:val="28"/>
          <w:szCs w:val="28"/>
        </w:rPr>
        <w:t>执行国家</w:t>
      </w:r>
      <w:r>
        <w:rPr>
          <w:rFonts w:hint="eastAsia" w:ascii="仿宋_GB2312" w:hAnsi="宋体"/>
          <w:sz w:val="28"/>
          <w:szCs w:val="28"/>
        </w:rPr>
        <w:t>宗教方面</w:t>
      </w:r>
      <w:r>
        <w:rPr>
          <w:rFonts w:ascii="仿宋_GB2312" w:hAnsi="宋体"/>
          <w:sz w:val="28"/>
          <w:szCs w:val="28"/>
        </w:rPr>
        <w:t>法律、法规和政策，保护正常、合法的宗教活动及宗教界的合法权益，对伊斯兰教界人士和穆斯林群众进行爱国主义、社会主义、遵纪守法、 时事政治教育，引导信教群众崇尚科学，提高信教群众的国家意识、法制意识、公民意识；在法律、法规、政策允许的范围内开展伊斯兰教教务指导活动；协助开办伊斯兰教教职人员的培训， 加强伊斯兰教界人士的队伍建设；完善和规范本会及清真寺的民主管理制度；做好“解经’’工作；在宗教事务管理部门的指导下，统一规范伊斯兰教教职人员的考核、任用、聘用、发证等工作；协助做好有组织朝觐等工作。</w:t>
      </w:r>
    </w:p>
    <w:p>
      <w:pPr>
        <w:numPr>
          <w:ilvl w:val="0"/>
          <w:numId w:val="0"/>
        </w:numPr>
        <w:spacing w:line="609" w:lineRule="exact"/>
        <w:ind w:firstLine="560" w:firstLineChars="200"/>
        <w:rPr>
          <w:rFonts w:hint="eastAsia" w:ascii="仿宋_GB2312" w:hAnsi="宋体"/>
          <w:sz w:val="28"/>
          <w:szCs w:val="28"/>
          <w:lang w:val="en-US" w:eastAsia="zh-CN"/>
        </w:rPr>
      </w:pPr>
      <w:r>
        <w:rPr>
          <w:rFonts w:hint="eastAsia" w:ascii="仿宋_GB2312" w:hAnsi="宋体"/>
          <w:sz w:val="28"/>
          <w:szCs w:val="28"/>
          <w:lang w:val="en-US" w:eastAsia="zh-CN"/>
        </w:rPr>
        <w:t>2、阶段性目标</w:t>
      </w:r>
    </w:p>
    <w:p>
      <w:pPr>
        <w:spacing w:line="609" w:lineRule="exact"/>
        <w:ind w:firstLine="560" w:firstLineChars="200"/>
        <w:rPr>
          <w:rFonts w:hint="eastAsia" w:ascii="仿宋_GB2312" w:hAnsi="宋体"/>
          <w:sz w:val="28"/>
          <w:szCs w:val="28"/>
          <w:lang w:val="en-US" w:eastAsia="zh-CN"/>
        </w:rPr>
      </w:pPr>
      <w:r>
        <w:rPr>
          <w:rFonts w:hint="eastAsia" w:ascii="仿宋_GB2312" w:hAnsi="宋体"/>
          <w:sz w:val="28"/>
          <w:szCs w:val="28"/>
          <w:lang w:val="en-US" w:eastAsia="zh-CN"/>
        </w:rPr>
        <w:t>2019年度该项目主要开展一下工作：</w:t>
      </w:r>
      <w:r>
        <w:rPr>
          <w:rFonts w:ascii="仿宋_GB2312" w:hAnsi="宋体"/>
          <w:sz w:val="28"/>
          <w:szCs w:val="28"/>
        </w:rPr>
        <w:t>宣传党中央、国务院和自治区党委、人民政府关于</w:t>
      </w:r>
      <w:r>
        <w:rPr>
          <w:rFonts w:hint="eastAsia" w:ascii="仿宋_GB2312" w:hAnsi="宋体"/>
          <w:sz w:val="28"/>
          <w:szCs w:val="28"/>
        </w:rPr>
        <w:t>宗教</w:t>
      </w:r>
      <w:r>
        <w:rPr>
          <w:rFonts w:ascii="仿宋_GB2312" w:hAnsi="宋体"/>
          <w:sz w:val="28"/>
          <w:szCs w:val="28"/>
        </w:rPr>
        <w:t>的方针、政</w:t>
      </w:r>
      <w:r>
        <w:rPr>
          <w:rFonts w:hint="eastAsia" w:ascii="仿宋_GB2312" w:hAnsi="宋体"/>
          <w:sz w:val="28"/>
          <w:szCs w:val="28"/>
          <w:lang w:val="en-US" w:eastAsia="zh-CN"/>
        </w:rPr>
        <w:t>3场次</w:t>
      </w:r>
      <w:r>
        <w:rPr>
          <w:rFonts w:ascii="仿宋_GB2312" w:hAnsi="宋体"/>
          <w:sz w:val="28"/>
          <w:szCs w:val="28"/>
        </w:rPr>
        <w:t>策</w:t>
      </w:r>
      <w:r>
        <w:rPr>
          <w:rFonts w:hint="eastAsia" w:ascii="仿宋_GB2312" w:hAnsi="宋体"/>
          <w:sz w:val="28"/>
          <w:szCs w:val="28"/>
        </w:rPr>
        <w:t>；开展宗教工作调研</w:t>
      </w:r>
      <w:r>
        <w:rPr>
          <w:rFonts w:hint="eastAsia" w:ascii="仿宋_GB2312" w:hAnsi="宋体"/>
          <w:sz w:val="28"/>
          <w:szCs w:val="28"/>
          <w:lang w:val="en-US" w:eastAsia="zh-CN"/>
        </w:rPr>
        <w:t>4次</w:t>
      </w:r>
      <w:r>
        <w:rPr>
          <w:rFonts w:hint="eastAsia" w:ascii="仿宋_GB2312" w:hAnsi="宋体"/>
          <w:sz w:val="28"/>
          <w:szCs w:val="28"/>
        </w:rPr>
        <w:t>；培养宗教人士</w:t>
      </w:r>
      <w:r>
        <w:rPr>
          <w:rFonts w:hint="eastAsia" w:ascii="仿宋_GB2312" w:hAnsi="宋体"/>
          <w:sz w:val="28"/>
          <w:szCs w:val="28"/>
          <w:lang w:val="en-US" w:eastAsia="zh-CN"/>
        </w:rPr>
        <w:t>6名</w:t>
      </w:r>
      <w:r>
        <w:rPr>
          <w:rFonts w:hint="eastAsia" w:ascii="仿宋_GB2312" w:hAnsi="宋体"/>
          <w:sz w:val="28"/>
          <w:szCs w:val="28"/>
        </w:rPr>
        <w:t>；组织开展宗教事务管理</w:t>
      </w:r>
      <w:r>
        <w:rPr>
          <w:rFonts w:hint="eastAsia" w:ascii="仿宋_GB2312" w:hAnsi="宋体"/>
          <w:sz w:val="28"/>
          <w:szCs w:val="28"/>
          <w:lang w:val="en-US" w:eastAsia="zh-CN"/>
        </w:rPr>
        <w:t>4次。</w:t>
      </w:r>
    </w:p>
    <w:p>
      <w:pPr>
        <w:pStyle w:val="16"/>
        <w:numPr>
          <w:ilvl w:val="0"/>
          <w:numId w:val="2"/>
        </w:numPr>
      </w:pPr>
      <w:bookmarkStart w:id="1" w:name="_Toc23136"/>
      <w:r>
        <w:rPr>
          <w:rFonts w:hint="eastAsia"/>
        </w:rPr>
        <w:t>绩效评价工作开展情况</w:t>
      </w:r>
      <w:bookmarkEnd w:id="1"/>
      <w:bookmarkStart w:id="2" w:name="_Toc11726"/>
    </w:p>
    <w:p>
      <w:pPr>
        <w:pStyle w:val="16"/>
        <w:ind w:firstLine="420"/>
      </w:pPr>
      <w:r>
        <w:rPr>
          <w:rFonts w:hint="eastAsia"/>
        </w:rPr>
        <w:t>（一）绩效评价目的、对象和范围:</w:t>
      </w:r>
      <w:bookmarkEnd w:id="2"/>
    </w:p>
    <w:p>
      <w:pPr>
        <w:pStyle w:val="13"/>
      </w:pPr>
      <w:r>
        <w:rPr>
          <w:rFonts w:hint="eastAsia"/>
        </w:rPr>
        <w:t xml:space="preserve">  </w:t>
      </w:r>
      <w:r>
        <w:rPr>
          <w:rFonts w:hint="eastAsia"/>
          <w:lang w:val="en-US" w:eastAsia="zh-CN"/>
        </w:rPr>
        <w:t>1、</w:t>
      </w:r>
      <w:r>
        <w:rPr>
          <w:rFonts w:hint="eastAsia"/>
        </w:rPr>
        <w:t>绩效评价的目的：是规范专项资金的使用，明确项目资金的用途和具体绩效指标，对资金使用情况进行监控，提高项目项目资金的使用效益。</w:t>
      </w:r>
    </w:p>
    <w:p>
      <w:pPr>
        <w:pStyle w:val="13"/>
        <w:ind w:firstLine="498" w:firstLineChars="166"/>
      </w:pPr>
      <w:r>
        <w:rPr>
          <w:rFonts w:hint="eastAsia"/>
          <w:lang w:val="en-US" w:eastAsia="zh-CN"/>
        </w:rPr>
        <w:t>2、</w:t>
      </w:r>
      <w:r>
        <w:rPr>
          <w:rFonts w:hint="eastAsia"/>
        </w:rPr>
        <w:t>绩效评价的对象：宗教工作经费。</w:t>
      </w:r>
    </w:p>
    <w:p>
      <w:pPr>
        <w:pStyle w:val="13"/>
        <w:ind w:firstLine="498" w:firstLineChars="166"/>
        <w:rPr>
          <w:rFonts w:hint="eastAsia" w:eastAsia="仿宋_GB2312"/>
          <w:lang w:eastAsia="zh-CN"/>
        </w:rPr>
      </w:pPr>
      <w:r>
        <w:rPr>
          <w:rFonts w:hint="eastAsia"/>
          <w:lang w:val="en-US" w:eastAsia="zh-CN"/>
        </w:rPr>
        <w:t>3、</w:t>
      </w:r>
      <w:r>
        <w:rPr>
          <w:rFonts w:hint="eastAsia"/>
        </w:rPr>
        <w:t>绩效评价的范围：巴州民族宗教事务局</w:t>
      </w:r>
      <w:r>
        <w:rPr>
          <w:rFonts w:hint="eastAsia"/>
          <w:lang w:eastAsia="zh-CN"/>
        </w:rPr>
        <w:t>对该项目进行评价。</w:t>
      </w:r>
    </w:p>
    <w:p>
      <w:pPr>
        <w:pStyle w:val="14"/>
        <w:ind w:left="600"/>
      </w:pPr>
      <w:bookmarkStart w:id="3" w:name="_Toc2430"/>
      <w:r>
        <w:rPr>
          <w:rFonts w:hint="eastAsia"/>
        </w:rPr>
        <w:t>（二）绩效评价原则、评价指标体系（附表说明）、评价方法、评价标准等:</w:t>
      </w:r>
      <w:bookmarkEnd w:id="3"/>
    </w:p>
    <w:p>
      <w:pPr>
        <w:spacing w:line="600" w:lineRule="exact"/>
        <w:ind w:firstLine="640"/>
        <w:rPr>
          <w:rFonts w:hint="eastAsia"/>
          <w:lang w:val="en-US" w:eastAsia="zh-CN"/>
        </w:rPr>
      </w:pPr>
      <w:r>
        <w:rPr>
          <w:rFonts w:hint="eastAsia"/>
          <w:lang w:val="en-US" w:eastAsia="zh-CN"/>
        </w:rPr>
        <w:t>1、绩效评价</w:t>
      </w:r>
      <w:r>
        <w:rPr>
          <w:rFonts w:hint="eastAsia"/>
        </w:rPr>
        <w:t>原则</w:t>
      </w:r>
      <w:r>
        <w:rPr>
          <w:rFonts w:hint="eastAsia"/>
          <w:lang w:val="en-US" w:eastAsia="zh-CN"/>
        </w:rPr>
        <w:t>:</w:t>
      </w:r>
    </w:p>
    <w:p>
      <w:pPr>
        <w:spacing w:line="600" w:lineRule="exact"/>
        <w:ind w:firstLine="640"/>
        <w:rPr>
          <w:rFonts w:hint="eastAsia"/>
        </w:rPr>
      </w:pPr>
      <w:r>
        <w:rPr>
          <w:rFonts w:hint="eastAsia"/>
        </w:rPr>
        <w:t>一是</w:t>
      </w:r>
      <w:r>
        <w:rPr>
          <w:rFonts w:hint="eastAsia" w:ascii="仿宋_GB2312"/>
          <w:bCs/>
          <w:sz w:val="32"/>
          <w:szCs w:val="32"/>
        </w:rPr>
        <w:t>科学公正</w:t>
      </w:r>
      <w:r>
        <w:rPr>
          <w:rFonts w:hint="eastAsia"/>
        </w:rPr>
        <w:t>原则</w:t>
      </w:r>
      <w:r>
        <w:rPr>
          <w:rFonts w:hint="eastAsia"/>
          <w:lang w:eastAsia="zh-CN"/>
        </w:rPr>
        <w:t>，</w:t>
      </w:r>
      <w:r>
        <w:rPr>
          <w:rFonts w:hint="eastAsia" w:ascii="仿宋_GB2312"/>
          <w:bCs/>
          <w:sz w:val="32"/>
          <w:szCs w:val="32"/>
        </w:rPr>
        <w:t>绩效评价应当运用科学合理的方法，按照规范的程序，对项目绩效进行客观、公正的反映</w:t>
      </w:r>
      <w:r>
        <w:rPr>
          <w:rFonts w:hint="eastAsia"/>
        </w:rPr>
        <w:t>；</w:t>
      </w:r>
    </w:p>
    <w:p>
      <w:pPr>
        <w:spacing w:line="600" w:lineRule="exact"/>
        <w:ind w:firstLine="640"/>
        <w:rPr>
          <w:rFonts w:hint="eastAsia" w:ascii="仿宋_GB2312"/>
          <w:bCs/>
          <w:sz w:val="32"/>
          <w:szCs w:val="32"/>
        </w:rPr>
      </w:pPr>
      <w:r>
        <w:rPr>
          <w:rFonts w:hint="eastAsia"/>
        </w:rPr>
        <w:t>二是</w:t>
      </w:r>
      <w:r>
        <w:rPr>
          <w:rFonts w:hint="eastAsia" w:ascii="仿宋_GB2312"/>
          <w:bCs/>
          <w:sz w:val="32"/>
          <w:szCs w:val="32"/>
        </w:rPr>
        <w:t>统筹兼顾</w:t>
      </w:r>
      <w:r>
        <w:rPr>
          <w:rFonts w:hint="eastAsia"/>
        </w:rPr>
        <w:t>原则</w:t>
      </w:r>
      <w:r>
        <w:rPr>
          <w:rFonts w:hint="eastAsia"/>
          <w:lang w:val="en-US" w:eastAsia="zh-CN"/>
        </w:rPr>
        <w:t>,</w:t>
      </w:r>
      <w:r>
        <w:rPr>
          <w:rFonts w:hint="eastAsia" w:ascii="仿宋_GB2312"/>
          <w:bCs/>
          <w:sz w:val="32"/>
          <w:szCs w:val="32"/>
        </w:rPr>
        <w:t>单位自评、部门评价和财政评价应职责明确，各有侧重，相互衔接。单位自评应由项目单位自主实施，即“谁支出、谁自评”。</w:t>
      </w:r>
    </w:p>
    <w:p>
      <w:pPr>
        <w:spacing w:line="600" w:lineRule="exact"/>
        <w:ind w:firstLine="640"/>
        <w:rPr>
          <w:rFonts w:hint="eastAsia" w:ascii="仿宋_GB2312"/>
          <w:bCs/>
          <w:sz w:val="32"/>
          <w:szCs w:val="32"/>
        </w:rPr>
      </w:pPr>
      <w:r>
        <w:rPr>
          <w:rFonts w:hint="eastAsia"/>
        </w:rPr>
        <w:t>三是</w:t>
      </w:r>
      <w:r>
        <w:rPr>
          <w:rFonts w:hint="eastAsia" w:ascii="仿宋_GB2312"/>
          <w:bCs/>
          <w:sz w:val="32"/>
          <w:szCs w:val="32"/>
        </w:rPr>
        <w:t>公开透明</w:t>
      </w:r>
      <w:r>
        <w:rPr>
          <w:rFonts w:hint="eastAsia"/>
        </w:rPr>
        <w:t>原则</w:t>
      </w:r>
      <w:r>
        <w:rPr>
          <w:rFonts w:hint="eastAsia"/>
          <w:lang w:val="en-US" w:eastAsia="zh-CN"/>
        </w:rPr>
        <w:t>,</w:t>
      </w:r>
      <w:r>
        <w:rPr>
          <w:rFonts w:hint="eastAsia" w:ascii="仿宋_GB2312"/>
          <w:bCs/>
          <w:sz w:val="32"/>
          <w:szCs w:val="32"/>
        </w:rPr>
        <w:t>绩效评价结果应依法依规公开，并自觉接受社会监督。</w:t>
      </w:r>
    </w:p>
    <w:p>
      <w:pPr>
        <w:spacing w:line="600" w:lineRule="exact"/>
        <w:ind w:firstLine="640"/>
        <w:rPr>
          <w:rFonts w:hint="eastAsia" w:ascii="仿宋_GB2312" w:eastAsia="仿宋_GB2312"/>
          <w:bCs/>
          <w:sz w:val="32"/>
          <w:szCs w:val="32"/>
          <w:lang w:val="en-US" w:eastAsia="zh-CN"/>
        </w:rPr>
      </w:pPr>
      <w:r>
        <w:rPr>
          <w:rFonts w:hint="eastAsia"/>
          <w:lang w:val="en-US" w:eastAsia="zh-CN"/>
        </w:rPr>
        <w:t>2</w:t>
      </w:r>
      <w:r>
        <w:rPr>
          <w:rFonts w:hint="eastAsia" w:ascii="仿宋_GB2312"/>
          <w:bCs/>
          <w:sz w:val="32"/>
          <w:szCs w:val="32"/>
          <w:lang w:val="en-US" w:eastAsia="zh-CN"/>
        </w:rPr>
        <w:t>、</w:t>
      </w:r>
      <w:r>
        <w:rPr>
          <w:rFonts w:hint="eastAsia"/>
        </w:rPr>
        <w:t>评价指标体系</w:t>
      </w:r>
      <w:r>
        <w:rPr>
          <w:rFonts w:hint="eastAsia"/>
          <w:lang w:eastAsia="zh-CN"/>
        </w:rPr>
        <w:t>，见</w:t>
      </w:r>
      <w:r>
        <w:rPr>
          <w:rFonts w:hint="eastAsia"/>
        </w:rPr>
        <w:t>附表说明</w:t>
      </w:r>
      <w:r>
        <w:rPr>
          <w:rFonts w:hint="eastAsia"/>
          <w:lang w:eastAsia="zh-CN"/>
        </w:rPr>
        <w:t>。</w:t>
      </w:r>
    </w:p>
    <w:p>
      <w:pPr>
        <w:pStyle w:val="13"/>
        <w:ind w:left="0" w:leftChars="0" w:firstLine="600" w:firstLineChars="200"/>
        <w:rPr>
          <w:rFonts w:hint="eastAsia"/>
          <w:lang w:val="en-US" w:eastAsia="zh-CN"/>
        </w:rPr>
      </w:pPr>
      <w:r>
        <w:rPr>
          <w:rFonts w:hint="eastAsia"/>
          <w:highlight w:val="none"/>
          <w:lang w:val="en-US" w:eastAsia="zh-CN"/>
        </w:rPr>
        <w:t>3、评价方法：</w:t>
      </w:r>
      <w:r>
        <w:rPr>
          <w:rFonts w:hint="eastAsia" w:ascii="仿宋_GB2312"/>
          <w:bCs/>
          <w:sz w:val="32"/>
          <w:szCs w:val="32"/>
        </w:rPr>
        <w:t>比较法</w:t>
      </w:r>
      <w:r>
        <w:rPr>
          <w:rFonts w:hint="eastAsia" w:ascii="仿宋_GB2312"/>
          <w:bCs/>
          <w:sz w:val="32"/>
          <w:szCs w:val="32"/>
          <w:lang w:eastAsia="zh-CN"/>
        </w:rPr>
        <w:t>，</w:t>
      </w:r>
      <w:r>
        <w:rPr>
          <w:rFonts w:hint="eastAsia" w:ascii="仿宋_GB2312"/>
          <w:bCs/>
          <w:sz w:val="32"/>
          <w:szCs w:val="32"/>
        </w:rPr>
        <w:t>将</w:t>
      </w:r>
      <w:r>
        <w:rPr>
          <w:rFonts w:hint="eastAsia" w:ascii="仿宋_GB2312"/>
          <w:bCs/>
          <w:sz w:val="32"/>
          <w:szCs w:val="32"/>
          <w:lang w:eastAsia="zh-CN"/>
        </w:rPr>
        <w:t>该项目的具体</w:t>
      </w:r>
      <w:r>
        <w:rPr>
          <w:rFonts w:hint="eastAsia" w:ascii="仿宋_GB2312"/>
          <w:bCs/>
          <w:sz w:val="32"/>
          <w:szCs w:val="32"/>
        </w:rPr>
        <w:t>实施情况</w:t>
      </w:r>
      <w:r>
        <w:rPr>
          <w:rFonts w:hint="eastAsia" w:ascii="仿宋_GB2312"/>
          <w:bCs/>
          <w:sz w:val="32"/>
          <w:szCs w:val="32"/>
          <w:lang w:eastAsia="zh-CN"/>
        </w:rPr>
        <w:t>、</w:t>
      </w:r>
      <w:r>
        <w:rPr>
          <w:rFonts w:hint="eastAsia" w:ascii="仿宋_GB2312"/>
          <w:bCs/>
          <w:sz w:val="32"/>
          <w:szCs w:val="32"/>
        </w:rPr>
        <w:t>绩效目标</w:t>
      </w:r>
      <w:r>
        <w:rPr>
          <w:rFonts w:hint="eastAsia" w:ascii="仿宋_GB2312"/>
          <w:bCs/>
          <w:sz w:val="32"/>
          <w:szCs w:val="32"/>
          <w:lang w:eastAsia="zh-CN"/>
        </w:rPr>
        <w:t>，与上一年度</w:t>
      </w:r>
      <w:r>
        <w:rPr>
          <w:rFonts w:hint="eastAsia" w:ascii="仿宋_GB2312"/>
          <w:bCs/>
          <w:sz w:val="32"/>
          <w:szCs w:val="32"/>
        </w:rPr>
        <w:t>历史情况、支出情况进行比较。</w:t>
      </w:r>
    </w:p>
    <w:p>
      <w:pPr>
        <w:spacing w:line="600" w:lineRule="exact"/>
        <w:ind w:firstLine="600" w:firstLineChars="200"/>
        <w:rPr>
          <w:rFonts w:hint="default"/>
          <w:lang w:val="en-US" w:eastAsia="zh-CN"/>
        </w:rPr>
      </w:pPr>
      <w:r>
        <w:rPr>
          <w:rFonts w:hint="eastAsia"/>
          <w:highlight w:val="none"/>
          <w:lang w:val="en-US" w:eastAsia="zh-CN"/>
        </w:rPr>
        <w:t>4、</w:t>
      </w:r>
      <w:r>
        <w:rPr>
          <w:rFonts w:hint="eastAsia" w:ascii="仿宋_GB2312"/>
          <w:bCs/>
          <w:sz w:val="32"/>
          <w:szCs w:val="32"/>
          <w:highlight w:val="none"/>
        </w:rPr>
        <w:t>绩效评价的</w:t>
      </w:r>
      <w:r>
        <w:rPr>
          <w:rFonts w:hint="eastAsia" w:ascii="仿宋_GB2312"/>
          <w:bCs/>
          <w:sz w:val="32"/>
          <w:szCs w:val="32"/>
          <w:highlight w:val="none"/>
          <w:lang w:eastAsia="zh-CN"/>
        </w:rPr>
        <w:t>标准：采用计划标准，从数量指标、质量指标、时效指标和群众满意度等方面分别计分，一级指标有产出指标、效益指标和满意度指标；产出指标下有数量指标、质量指标、时效指标和成本指标；效益指标下有社会效益指标；满意度指标下有服务对象满意度；</w:t>
      </w:r>
      <w:r>
        <w:rPr>
          <w:rFonts w:hint="eastAsia" w:ascii="仿宋_GB2312"/>
          <w:sz w:val="32"/>
          <w:szCs w:val="32"/>
        </w:rPr>
        <w:t>绩效评价结果采取评分和评级相结合的方式，具体分值和等级可根据</w:t>
      </w:r>
      <w:r>
        <w:rPr>
          <w:rFonts w:hint="eastAsia" w:ascii="仿宋_GB2312"/>
          <w:bCs/>
          <w:sz w:val="32"/>
          <w:szCs w:val="32"/>
        </w:rPr>
        <w:t>不同评价内容设定。总分一般设置为100分，等级一般划分为四档：</w:t>
      </w:r>
      <w:r>
        <w:rPr>
          <w:rFonts w:hint="eastAsia" w:ascii="仿宋_GB2312" w:hAnsi="华文中宋"/>
          <w:sz w:val="32"/>
          <w:szCs w:val="32"/>
        </w:rPr>
        <w:t>90（含）-100分为优、80（含）-90分为良、60（含）-80分为中、60分以下为差。</w:t>
      </w:r>
    </w:p>
    <w:p>
      <w:pPr>
        <w:pStyle w:val="14"/>
        <w:ind w:left="600"/>
      </w:pPr>
      <w:bookmarkStart w:id="4" w:name="_Toc29682"/>
      <w:r>
        <w:rPr>
          <w:rFonts w:hint="eastAsia"/>
        </w:rPr>
        <w:t>（三）绩效评价工作过程:</w:t>
      </w:r>
      <w:bookmarkEnd w:id="4"/>
      <w:bookmarkStart w:id="14" w:name="_GoBack"/>
      <w:bookmarkEnd w:id="14"/>
    </w:p>
    <w:p>
      <w:pPr>
        <w:pStyle w:val="13"/>
        <w:rPr>
          <w:rFonts w:hint="eastAsia" w:eastAsia="仿宋_GB2312"/>
          <w:lang w:eastAsia="zh-CN"/>
        </w:rPr>
      </w:pPr>
      <w:r>
        <w:rPr>
          <w:rFonts w:hint="eastAsia"/>
        </w:rPr>
        <w:tab/>
      </w:r>
      <w:r>
        <w:rPr>
          <w:rFonts w:hint="eastAsia"/>
        </w:rPr>
        <w:t xml:space="preserve"> 每季度上报《部门单位整体支出绩效监控情况表》，对每季度项目支出情况进行绩效评价，六月份上报半年部门单位整体支出绩效监控情况，12月份上报全年部门单位整体支出绩效监控情况</w:t>
      </w:r>
      <w:r>
        <w:rPr>
          <w:rFonts w:hint="eastAsia"/>
          <w:lang w:eastAsia="zh-CN"/>
        </w:rPr>
        <w:t>。</w:t>
      </w:r>
    </w:p>
    <w:p>
      <w:pPr>
        <w:pStyle w:val="16"/>
      </w:pPr>
      <w:bookmarkStart w:id="5" w:name="_Toc32185"/>
      <w:r>
        <w:rPr>
          <w:rFonts w:hint="eastAsia"/>
        </w:rPr>
        <w:t>三、综合评价情况及评价结论</w:t>
      </w:r>
      <w:bookmarkEnd w:id="5"/>
    </w:p>
    <w:p>
      <w:pPr>
        <w:pStyle w:val="13"/>
      </w:pPr>
      <w:r>
        <w:rPr>
          <w:rFonts w:hint="eastAsia"/>
        </w:rPr>
        <w:tab/>
      </w:r>
      <w:r>
        <w:rPr>
          <w:rFonts w:hint="eastAsia"/>
        </w:rPr>
        <w:t xml:space="preserve"> 宗教工作专项经费项目绩效指标得分总分100份，依照绩效评价标准，绩效指标总分值大于90分为“优秀”，所以宗教工作专项经费项目绩效综合评价为优秀</w:t>
      </w:r>
      <w:r>
        <w:rPr>
          <w:rFonts w:hint="eastAsia"/>
          <w:lang w:eastAsia="zh-CN"/>
        </w:rPr>
        <w:t>。</w:t>
      </w:r>
    </w:p>
    <w:p>
      <w:pPr>
        <w:pStyle w:val="16"/>
      </w:pPr>
      <w:bookmarkStart w:id="6" w:name="_Toc32749"/>
      <w:r>
        <w:rPr>
          <w:rFonts w:hint="eastAsia"/>
        </w:rPr>
        <w:t>四、绩效评价指标分析</w:t>
      </w:r>
      <w:bookmarkEnd w:id="6"/>
    </w:p>
    <w:p>
      <w:pPr>
        <w:pStyle w:val="14"/>
        <w:ind w:left="600"/>
      </w:pPr>
      <w:bookmarkStart w:id="7" w:name="_Toc27107"/>
      <w:r>
        <w:rPr>
          <w:rFonts w:hint="eastAsia"/>
        </w:rPr>
        <w:t>（一）项目决策情况:</w:t>
      </w:r>
      <w:bookmarkEnd w:id="7"/>
    </w:p>
    <w:p>
      <w:pPr>
        <w:pStyle w:val="13"/>
        <w:rPr>
          <w:rFonts w:hint="eastAsia" w:eastAsia="仿宋_GB2312"/>
          <w:highlight w:val="none"/>
          <w:lang w:eastAsia="zh-CN"/>
        </w:rPr>
      </w:pPr>
      <w:r>
        <w:rPr>
          <w:rFonts w:hint="eastAsia"/>
        </w:rPr>
        <w:tab/>
      </w:r>
      <w:r>
        <w:rPr>
          <w:rFonts w:hint="eastAsia"/>
        </w:rPr>
        <w:t xml:space="preserve"> </w:t>
      </w:r>
      <w:r>
        <w:rPr>
          <w:rFonts w:hint="eastAsia"/>
          <w:highlight w:val="none"/>
        </w:rPr>
        <w:t>根据巴党财（2010）8号文件要求，项目立项符合法律法规、相关政策、发展规划以及部门职责</w:t>
      </w:r>
      <w:r>
        <w:rPr>
          <w:rFonts w:hint="eastAsia"/>
          <w:highlight w:val="none"/>
          <w:lang w:eastAsia="zh-CN"/>
        </w:rPr>
        <w:t>；</w:t>
      </w:r>
      <w:r>
        <w:rPr>
          <w:rFonts w:hint="eastAsia"/>
          <w:highlight w:val="none"/>
        </w:rPr>
        <w:t>项目申请、设立过程符合相关要求，按照规定的程序申请设立</w:t>
      </w:r>
      <w:r>
        <w:rPr>
          <w:rFonts w:hint="eastAsia"/>
          <w:highlight w:val="none"/>
          <w:lang w:eastAsia="zh-CN"/>
        </w:rPr>
        <w:t>，</w:t>
      </w:r>
      <w:r>
        <w:rPr>
          <w:rFonts w:hint="eastAsia"/>
          <w:highlight w:val="none"/>
        </w:rPr>
        <w:t>审批文件、材料符合相关要求</w:t>
      </w:r>
      <w:r>
        <w:rPr>
          <w:rFonts w:hint="eastAsia"/>
          <w:highlight w:val="none"/>
          <w:lang w:eastAsia="zh-CN"/>
        </w:rPr>
        <w:t>；</w:t>
      </w:r>
      <w:r>
        <w:rPr>
          <w:rFonts w:hint="eastAsia"/>
          <w:highlight w:val="none"/>
        </w:rPr>
        <w:t>项目所设定的绩效目标依据充分，符合客观实际，用以反映和考核项目绩效目标与项目实施的相符</w:t>
      </w:r>
      <w:r>
        <w:rPr>
          <w:rFonts w:hint="eastAsia"/>
          <w:highlight w:val="none"/>
          <w:lang w:eastAsia="zh-CN"/>
        </w:rPr>
        <w:t>；</w:t>
      </w:r>
      <w:r>
        <w:rPr>
          <w:rFonts w:hint="eastAsia"/>
          <w:highlight w:val="none"/>
        </w:rPr>
        <w:t>将项目绩效目标细化分解为具体的绩效指标</w:t>
      </w:r>
      <w:r>
        <w:rPr>
          <w:rFonts w:hint="eastAsia"/>
          <w:highlight w:val="none"/>
          <w:lang w:eastAsia="zh-CN"/>
        </w:rPr>
        <w:t>，</w:t>
      </w:r>
      <w:r>
        <w:rPr>
          <w:rFonts w:hint="eastAsia"/>
          <w:highlight w:val="none"/>
        </w:rPr>
        <w:t>通过清晰、可衡量的指标值予以体现</w:t>
      </w:r>
      <w:r>
        <w:rPr>
          <w:rFonts w:hint="eastAsia"/>
          <w:highlight w:val="none"/>
          <w:lang w:eastAsia="zh-CN"/>
        </w:rPr>
        <w:t>，</w:t>
      </w:r>
      <w:r>
        <w:rPr>
          <w:rFonts w:hint="eastAsia"/>
          <w:highlight w:val="none"/>
        </w:rPr>
        <w:t>与项目目标任务数或计划数相对应</w:t>
      </w:r>
      <w:r>
        <w:rPr>
          <w:rFonts w:hint="eastAsia"/>
          <w:highlight w:val="none"/>
          <w:lang w:eastAsia="zh-CN"/>
        </w:rPr>
        <w:t>；</w:t>
      </w:r>
      <w:r>
        <w:rPr>
          <w:rFonts w:hint="eastAsia"/>
          <w:highlight w:val="none"/>
        </w:rPr>
        <w:t>项目预算编制经过科学论证、有明确标准，资金额度与年度目标相适应</w:t>
      </w:r>
      <w:r>
        <w:rPr>
          <w:rFonts w:hint="eastAsia"/>
          <w:highlight w:val="none"/>
          <w:lang w:eastAsia="zh-CN"/>
        </w:rPr>
        <w:t>。</w:t>
      </w:r>
    </w:p>
    <w:p>
      <w:pPr>
        <w:pStyle w:val="14"/>
        <w:ind w:left="600"/>
        <w:rPr>
          <w:highlight w:val="none"/>
        </w:rPr>
      </w:pPr>
      <w:bookmarkStart w:id="8" w:name="_Toc11451"/>
      <w:r>
        <w:rPr>
          <w:rFonts w:hint="eastAsia"/>
          <w:highlight w:val="none"/>
        </w:rPr>
        <w:t>（二）项目过程情况:</w:t>
      </w:r>
      <w:bookmarkEnd w:id="8"/>
    </w:p>
    <w:p>
      <w:pPr>
        <w:pStyle w:val="13"/>
        <w:rPr>
          <w:rFonts w:hint="eastAsia" w:eastAsia="仿宋_GB2312"/>
          <w:highlight w:val="none"/>
          <w:lang w:val="en-US" w:eastAsia="zh-CN"/>
        </w:rPr>
      </w:pPr>
      <w:r>
        <w:rPr>
          <w:rFonts w:hint="eastAsia"/>
          <w:highlight w:val="none"/>
        </w:rPr>
        <w:tab/>
      </w:r>
      <w:r>
        <w:rPr>
          <w:rFonts w:hint="eastAsia"/>
          <w:highlight w:val="none"/>
          <w:lang w:val="en-US" w:eastAsia="zh-CN"/>
        </w:rPr>
        <w:t xml:space="preserve"> </w:t>
      </w:r>
      <w:r>
        <w:rPr>
          <w:rFonts w:hint="eastAsia"/>
          <w:highlight w:val="none"/>
        </w:rPr>
        <w:t>实际到位资金与预算资金的比率</w:t>
      </w:r>
      <w:r>
        <w:rPr>
          <w:rFonts w:hint="eastAsia"/>
          <w:highlight w:val="none"/>
          <w:lang w:val="en-US" w:eastAsia="zh-CN"/>
        </w:rPr>
        <w:t>100%，</w:t>
      </w:r>
      <w:r>
        <w:rPr>
          <w:rFonts w:hint="eastAsia"/>
          <w:highlight w:val="none"/>
        </w:rPr>
        <w:t>项目预算资金按照计划执行，资金使用符合相关的财务管理制度规定</w:t>
      </w:r>
      <w:r>
        <w:rPr>
          <w:rFonts w:hint="eastAsia"/>
          <w:highlight w:val="none"/>
          <w:lang w:eastAsia="zh-CN"/>
        </w:rPr>
        <w:t>；</w:t>
      </w:r>
      <w:r>
        <w:rPr>
          <w:rFonts w:hint="eastAsia"/>
          <w:highlight w:val="none"/>
        </w:rPr>
        <w:t>项目实施单位的财务和业务管理制度健全，项目实施符合相关管理规定</w:t>
      </w:r>
      <w:r>
        <w:rPr>
          <w:rFonts w:hint="eastAsia"/>
          <w:highlight w:val="none"/>
          <w:lang w:eastAsia="zh-CN"/>
        </w:rPr>
        <w:t>。</w:t>
      </w:r>
    </w:p>
    <w:p>
      <w:pPr>
        <w:pStyle w:val="13"/>
        <w:ind w:firstLine="467" w:firstLineChars="166"/>
        <w:rPr>
          <w:rFonts w:hint="eastAsia" w:ascii="Times New Roman" w:hAnsi="Times New Roman" w:eastAsia="黑体" w:cs="Times New Roman"/>
          <w:b/>
          <w:bCs w:val="0"/>
          <w:kern w:val="2"/>
          <w:sz w:val="28"/>
          <w:szCs w:val="24"/>
          <w:highlight w:val="none"/>
          <w:lang w:val="en-US" w:eastAsia="zh-CN" w:bidi="ar-SA"/>
        </w:rPr>
      </w:pPr>
      <w:bookmarkStart w:id="9" w:name="_Toc10933"/>
      <w:r>
        <w:rPr>
          <w:rFonts w:hint="eastAsia" w:ascii="Times New Roman" w:hAnsi="Times New Roman" w:eastAsia="黑体" w:cs="Times New Roman"/>
          <w:b/>
          <w:bCs w:val="0"/>
          <w:kern w:val="2"/>
          <w:sz w:val="28"/>
          <w:szCs w:val="24"/>
          <w:highlight w:val="none"/>
          <w:lang w:val="en-US" w:eastAsia="zh-CN" w:bidi="ar-SA"/>
        </w:rPr>
        <w:t>（三）项目产出情况:</w:t>
      </w:r>
      <w:bookmarkEnd w:id="9"/>
    </w:p>
    <w:p>
      <w:pPr>
        <w:pStyle w:val="13"/>
        <w:rPr>
          <w:rFonts w:hint="default"/>
          <w:highlight w:val="none"/>
          <w:lang w:val="en-US" w:eastAsia="zh-CN"/>
        </w:rPr>
      </w:pPr>
      <w:r>
        <w:rPr>
          <w:rFonts w:hint="eastAsia"/>
          <w:highlight w:val="none"/>
        </w:rPr>
        <w:tab/>
      </w:r>
      <w:r>
        <w:rPr>
          <w:rFonts w:hint="eastAsia"/>
          <w:highlight w:val="none"/>
        </w:rPr>
        <w:t>项目完成的质量达标产出数与实际产出数的比率</w:t>
      </w:r>
      <w:r>
        <w:rPr>
          <w:rFonts w:hint="eastAsia"/>
          <w:highlight w:val="none"/>
          <w:lang w:val="en-US" w:eastAsia="zh-CN"/>
        </w:rPr>
        <w:t>100%</w:t>
      </w:r>
      <w:r>
        <w:rPr>
          <w:rFonts w:hint="eastAsia"/>
          <w:highlight w:val="none"/>
        </w:rPr>
        <w:t>，项目实际完成时间与计划完成时间</w:t>
      </w:r>
      <w:r>
        <w:rPr>
          <w:rFonts w:hint="eastAsia"/>
          <w:highlight w:val="none"/>
          <w:lang w:eastAsia="zh-CN"/>
        </w:rPr>
        <w:t>一致</w:t>
      </w:r>
      <w:r>
        <w:rPr>
          <w:rFonts w:hint="eastAsia"/>
          <w:highlight w:val="none"/>
        </w:rPr>
        <w:t>，完成项目计划工作目标的实际节约成本与计划成本的比率</w:t>
      </w:r>
      <w:r>
        <w:rPr>
          <w:rFonts w:hint="eastAsia"/>
          <w:highlight w:val="none"/>
          <w:lang w:eastAsia="zh-CN"/>
        </w:rPr>
        <w:t>为</w:t>
      </w:r>
      <w:r>
        <w:rPr>
          <w:rFonts w:hint="eastAsia"/>
          <w:highlight w:val="none"/>
          <w:lang w:val="en-US" w:eastAsia="zh-CN"/>
        </w:rPr>
        <w:t>90%。</w:t>
      </w:r>
    </w:p>
    <w:p>
      <w:pPr>
        <w:pStyle w:val="14"/>
        <w:ind w:left="600"/>
        <w:rPr>
          <w:highlight w:val="none"/>
        </w:rPr>
      </w:pPr>
      <w:bookmarkStart w:id="10" w:name="_Toc17206"/>
      <w:r>
        <w:rPr>
          <w:rFonts w:hint="eastAsia"/>
          <w:highlight w:val="none"/>
        </w:rPr>
        <w:t>（四）项目效益情况:</w:t>
      </w:r>
      <w:bookmarkEnd w:id="10"/>
    </w:p>
    <w:p>
      <w:pPr>
        <w:pStyle w:val="13"/>
        <w:rPr>
          <w:rFonts w:hint="default"/>
          <w:highlight w:val="none"/>
          <w:lang w:val="en-US" w:eastAsia="zh-CN"/>
        </w:rPr>
      </w:pPr>
      <w:r>
        <w:rPr>
          <w:rFonts w:hint="eastAsia"/>
          <w:highlight w:val="none"/>
        </w:rPr>
        <w:tab/>
      </w:r>
      <w:r>
        <w:rPr>
          <w:rFonts w:hint="eastAsia"/>
          <w:highlight w:val="none"/>
        </w:rPr>
        <w:t>项目实施所产生的社会效益</w:t>
      </w:r>
      <w:r>
        <w:rPr>
          <w:rFonts w:hint="eastAsia"/>
          <w:highlight w:val="none"/>
          <w:lang w:eastAsia="zh-CN"/>
        </w:rPr>
        <w:t>有促进宗教和谐</w:t>
      </w:r>
      <w:r>
        <w:rPr>
          <w:rFonts w:hint="eastAsia"/>
          <w:highlight w:val="none"/>
        </w:rPr>
        <w:t>、</w:t>
      </w:r>
      <w:r>
        <w:rPr>
          <w:rFonts w:hint="eastAsia"/>
          <w:highlight w:val="none"/>
          <w:lang w:eastAsia="zh-CN"/>
        </w:rPr>
        <w:t>进一步维护社会稳定；社会公众或服务对象对项目实施效果的满意程度为</w:t>
      </w:r>
      <w:r>
        <w:rPr>
          <w:rFonts w:hint="eastAsia"/>
          <w:highlight w:val="none"/>
          <w:lang w:val="en-US" w:eastAsia="zh-CN"/>
        </w:rPr>
        <w:t>90%。</w:t>
      </w:r>
    </w:p>
    <w:p>
      <w:pPr>
        <w:pStyle w:val="16"/>
      </w:pPr>
      <w:bookmarkStart w:id="11" w:name="_Toc20631"/>
      <w:r>
        <w:rPr>
          <w:rFonts w:hint="eastAsia"/>
        </w:rPr>
        <w:t>五、主要经验及做法、存在的问题及原因分析</w:t>
      </w:r>
      <w:bookmarkEnd w:id="11"/>
    </w:p>
    <w:p>
      <w:pPr>
        <w:pStyle w:val="13"/>
        <w:rPr>
          <w:rFonts w:hint="eastAsia"/>
        </w:rPr>
      </w:pPr>
      <w:r>
        <w:rPr>
          <w:rFonts w:hint="eastAsia"/>
        </w:rPr>
        <w:tab/>
      </w:r>
      <w:r>
        <w:rPr>
          <w:rFonts w:hint="eastAsia"/>
        </w:rPr>
        <w:t>无</w:t>
      </w:r>
    </w:p>
    <w:p>
      <w:pPr>
        <w:pStyle w:val="16"/>
      </w:pPr>
      <w:bookmarkStart w:id="12" w:name="_Toc14641"/>
      <w:r>
        <w:rPr>
          <w:rFonts w:hint="eastAsia"/>
        </w:rPr>
        <w:t>六、有关建议</w:t>
      </w:r>
      <w:bookmarkEnd w:id="12"/>
    </w:p>
    <w:p>
      <w:pPr>
        <w:pStyle w:val="13"/>
        <w:rPr>
          <w:rFonts w:hint="eastAsia"/>
        </w:rPr>
      </w:pPr>
      <w:r>
        <w:rPr>
          <w:rFonts w:hint="eastAsia"/>
        </w:rPr>
        <w:tab/>
      </w:r>
      <w:r>
        <w:rPr>
          <w:rFonts w:hint="eastAsia"/>
        </w:rPr>
        <w:t>无</w:t>
      </w:r>
    </w:p>
    <w:p>
      <w:pPr>
        <w:pStyle w:val="16"/>
      </w:pPr>
      <w:bookmarkStart w:id="13" w:name="_Toc19679"/>
      <w:r>
        <w:rPr>
          <w:rFonts w:hint="eastAsia"/>
        </w:rPr>
        <w:t>七、其他需要说明的问题</w:t>
      </w:r>
      <w:bookmarkEnd w:id="13"/>
    </w:p>
    <w:p>
      <w:pPr>
        <w:pStyle w:val="13"/>
      </w:pPr>
      <w:r>
        <w:rPr>
          <w:rFonts w:hint="eastAsia"/>
        </w:rPr>
        <w:tab/>
      </w:r>
      <w:r>
        <w:rPr>
          <w:rFonts w:hint="eastAsia"/>
        </w:rPr>
        <w:t>无</w:t>
      </w:r>
    </w:p>
    <w:p>
      <w:pPr>
        <w:pStyle w:val="13"/>
      </w:pPr>
    </w:p>
    <w:p>
      <w:pPr>
        <w:pStyle w:val="13"/>
      </w:pPr>
    </w:p>
    <w:p>
      <w:pPr>
        <w:pStyle w:val="13"/>
      </w:pPr>
    </w:p>
    <w:p>
      <w:pPr>
        <w:pStyle w:val="13"/>
      </w:pPr>
    </w:p>
    <w:p>
      <w:pPr>
        <w:pStyle w:val="13"/>
      </w:pPr>
    </w:p>
    <w:p>
      <w:pPr>
        <w:pStyle w:val="13"/>
      </w:pPr>
    </w:p>
    <w:p>
      <w:pPr>
        <w:pStyle w:val="13"/>
      </w:pPr>
    </w:p>
    <w:p>
      <w:pPr>
        <w:pStyle w:val="2"/>
        <w:spacing w:before="0" w:after="0" w:line="240" w:lineRule="auto"/>
        <w:jc w:val="center"/>
        <w:rPr>
          <w:rFonts w:ascii="宋体" w:hAnsi="宋体" w:eastAsia="宋体" w:cs="宋体"/>
          <w:bCs w:val="0"/>
          <w:color w:val="000000"/>
          <w:sz w:val="36"/>
          <w:szCs w:val="28"/>
        </w:rPr>
      </w:pPr>
      <w:r>
        <w:rPr>
          <w:rFonts w:hint="eastAsia" w:ascii="宋体" w:hAnsi="宋体" w:eastAsia="宋体" w:cs="宋体"/>
          <w:color w:val="000000"/>
          <w:sz w:val="36"/>
          <w:szCs w:val="28"/>
        </w:rPr>
        <w:t>项目支出绩效评价指标体系框架</w:t>
      </w:r>
    </w:p>
    <w:p>
      <w:pPr>
        <w:pStyle w:val="2"/>
        <w:spacing w:before="0" w:after="0" w:line="240" w:lineRule="auto"/>
        <w:jc w:val="center"/>
        <w:rPr>
          <w:bCs w:val="0"/>
          <w:color w:val="000000"/>
        </w:rPr>
      </w:pPr>
    </w:p>
    <w:tbl>
      <w:tblPr>
        <w:tblStyle w:val="8"/>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p>
            <w:pPr>
              <w:widowControl/>
              <w:jc w:val="left"/>
              <w:rPr>
                <w:rFonts w:ascii="宋体" w:hAnsi="宋体" w:eastAsia="宋体" w:cs="宋体"/>
                <w:color w:val="000000"/>
                <w:kern w:val="0"/>
                <w:sz w:val="22"/>
                <w:szCs w:val="22"/>
              </w:rPr>
            </w:pP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tabs>
                <w:tab w:val="left" w:pos="348"/>
              </w:tabs>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60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561"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5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6"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05"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7"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7" w:hRule="atLeast"/>
          <w:jc w:val="center"/>
        </w:trPr>
        <w:tc>
          <w:tcPr>
            <w:tcW w:w="13601" w:type="dxa"/>
            <w:gridSpan w:val="5"/>
            <w:tcBorders>
              <w:tl2br w:val="nil"/>
              <w:tr2bl w:val="nil"/>
            </w:tcBorders>
            <w:shd w:val="clear" w:color="auto" w:fill="FFFFFF"/>
            <w:vAlign w:val="center"/>
          </w:tcPr>
          <w:p>
            <w:pPr>
              <w:widowControl/>
              <w:spacing w:line="0" w:lineRule="atLeast"/>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合计</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98</w:t>
            </w:r>
          </w:p>
        </w:tc>
      </w:tr>
    </w:tbl>
    <w:p>
      <w:pPr>
        <w:spacing w:line="600" w:lineRule="exact"/>
        <w:rPr>
          <w:rFonts w:hint="eastAsia" w:ascii="仿宋_GB2312"/>
          <w:bCs/>
          <w:sz w:val="32"/>
          <w:szCs w:val="32"/>
        </w:rPr>
        <w:sectPr>
          <w:pgSz w:w="16838" w:h="11906" w:orient="landscape"/>
          <w:pgMar w:top="1531" w:right="1928" w:bottom="1531" w:left="1701" w:header="737" w:footer="851" w:gutter="0"/>
          <w:cols w:space="720" w:num="1"/>
          <w:docGrid w:type="lines" w:linePitch="408" w:charSpace="0"/>
        </w:sectPr>
      </w:pPr>
    </w:p>
    <w:p>
      <w:pPr>
        <w:pStyle w:val="13"/>
        <w:ind w:firstLine="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A8B63311-1215-43A8-A06F-0AF9219EECAF}"/>
  </w:font>
  <w:font w:name="黑体">
    <w:panose1 w:val="02010609060101010101"/>
    <w:charset w:val="86"/>
    <w:family w:val="auto"/>
    <w:pitch w:val="default"/>
    <w:sig w:usb0="800002BF" w:usb1="38CF7CFA" w:usb2="00000016" w:usb3="00000000" w:csb0="00040001" w:csb1="00000000"/>
    <w:embedRegular r:id="rId2" w:fontKey="{16F9C813-B52D-4D2E-9B56-D9447294A03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embedRegular r:id="rId3" w:fontKey="{C039C6BF-04D8-4BB3-B069-C6C4C53869E7}"/>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A00002BF" w:usb1="38CF7CFA" w:usb2="00082016" w:usb3="00000000" w:csb0="00040001" w:csb1="00000000"/>
    <w:embedRegular r:id="rId4" w:fontKey="{D788A961-5A65-4AD9-8FB9-CE5CC4262628}"/>
  </w:font>
  <w:font w:name="华文中宋">
    <w:panose1 w:val="02010600040101010101"/>
    <w:charset w:val="86"/>
    <w:family w:val="auto"/>
    <w:pitch w:val="default"/>
    <w:sig w:usb0="00000287" w:usb1="080F0000" w:usb2="00000000" w:usb3="00000000" w:csb0="0004009F" w:csb1="DFD70000"/>
    <w:embedRegular r:id="rId5" w:fontKey="{EAF0D2EC-6DB9-41CE-9337-04F587610F49}"/>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pPr>
    <w:r>
      <w:fldChar w:fldCharType="begin"/>
    </w:r>
    <w:r>
      <w:instrText xml:space="preserve"> PAGE   \* MERGEFORMAT </w:instrText>
    </w:r>
    <w:r>
      <w:fldChar w:fldCharType="separate"/>
    </w:r>
    <w:r>
      <w:rPr>
        <w:lang w:val="zh-CN"/>
      </w:rPr>
      <w:t>11</w:t>
    </w:r>
    <w:r>
      <w:fldChar w:fldCharType="end"/>
    </w:r>
  </w:p>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9EA1AD"/>
    <w:multiLevelType w:val="singleLevel"/>
    <w:tmpl w:val="889EA1AD"/>
    <w:lvl w:ilvl="0" w:tentative="0">
      <w:start w:val="2"/>
      <w:numFmt w:val="decimal"/>
      <w:suff w:val="nothing"/>
      <w:lvlText w:val="%1、"/>
      <w:lvlJc w:val="left"/>
    </w:lvl>
  </w:abstractNum>
  <w:abstractNum w:abstractNumId="1">
    <w:nsid w:val="51A83C3B"/>
    <w:multiLevelType w:val="singleLevel"/>
    <w:tmpl w:val="51A83C3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3C3"/>
    <w:rsid w:val="003F43C3"/>
    <w:rsid w:val="004112ED"/>
    <w:rsid w:val="005907C0"/>
    <w:rsid w:val="00B11805"/>
    <w:rsid w:val="00E003F4"/>
    <w:rsid w:val="078B58B5"/>
    <w:rsid w:val="0EC23F1F"/>
    <w:rsid w:val="15C12C03"/>
    <w:rsid w:val="25024C35"/>
    <w:rsid w:val="2B685CAD"/>
    <w:rsid w:val="2DDA065E"/>
    <w:rsid w:val="315C5C95"/>
    <w:rsid w:val="31F61F4F"/>
    <w:rsid w:val="43DF2485"/>
    <w:rsid w:val="50626A5C"/>
    <w:rsid w:val="57084935"/>
    <w:rsid w:val="60016960"/>
    <w:rsid w:val="6293209D"/>
    <w:rsid w:val="66DA0DE8"/>
    <w:rsid w:val="731A6E39"/>
    <w:rsid w:val="77C50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toc 1"/>
    <w:basedOn w:val="1"/>
    <w:next w:val="1"/>
    <w:unhideWhenUsed/>
    <w:qFormat/>
    <w:uiPriority w:val="39"/>
    <w:pPr>
      <w:spacing w:before="120" w:after="120"/>
      <w:jc w:val="left"/>
    </w:pPr>
    <w:rPr>
      <w:rFonts w:ascii="Calibri" w:hAnsi="Calibri" w:cs="Calibri"/>
      <w:b/>
      <w:bCs/>
      <w:caps/>
      <w:sz w:val="20"/>
      <w:szCs w:val="20"/>
    </w:rPr>
  </w:style>
  <w:style w:type="paragraph" w:styleId="7">
    <w:name w:val="toc 2"/>
    <w:basedOn w:val="1"/>
    <w:next w:val="1"/>
    <w:unhideWhenUsed/>
    <w:qFormat/>
    <w:uiPriority w:val="39"/>
    <w:pPr>
      <w:ind w:left="280"/>
      <w:jc w:val="left"/>
    </w:pPr>
    <w:rPr>
      <w:rFonts w:ascii="Calibri" w:hAnsi="Calibri" w:cs="Calibri"/>
      <w:smallCaps/>
      <w:sz w:val="20"/>
      <w:szCs w:val="20"/>
    </w:rPr>
  </w:style>
  <w:style w:type="character" w:styleId="10">
    <w:name w:val="Strong"/>
    <w:basedOn w:val="9"/>
    <w:qFormat/>
    <w:uiPriority w:val="99"/>
    <w:rPr>
      <w:b/>
      <w:bCs/>
    </w:rPr>
  </w:style>
  <w:style w:type="character" w:customStyle="1" w:styleId="11">
    <w:name w:val="页脚 字符"/>
    <w:basedOn w:val="9"/>
    <w:link w:val="4"/>
    <w:qFormat/>
    <w:uiPriority w:val="99"/>
    <w:rPr>
      <w:sz w:val="18"/>
      <w:szCs w:val="18"/>
    </w:rPr>
  </w:style>
  <w:style w:type="character" w:customStyle="1" w:styleId="12">
    <w:name w:val="页眉 字符"/>
    <w:basedOn w:val="9"/>
    <w:link w:val="5"/>
    <w:semiHidden/>
    <w:qFormat/>
    <w:uiPriority w:val="99"/>
    <w:rPr>
      <w:sz w:val="18"/>
      <w:szCs w:val="18"/>
    </w:rPr>
  </w:style>
  <w:style w:type="paragraph" w:customStyle="1" w:styleId="13">
    <w:name w:val="闻政-正文段落文字"/>
    <w:basedOn w:val="1"/>
    <w:qFormat/>
    <w:uiPriority w:val="3"/>
    <w:pPr>
      <w:spacing w:line="500" w:lineRule="exact"/>
      <w:ind w:firstLine="200"/>
    </w:pPr>
    <w:rPr>
      <w:kern w:val="0"/>
      <w:szCs w:val="28"/>
    </w:rPr>
  </w:style>
  <w:style w:type="paragraph" w:customStyle="1" w:styleId="14">
    <w:name w:val="闻政-正文二级标题"/>
    <w:basedOn w:val="2"/>
    <w:next w:val="13"/>
    <w:qFormat/>
    <w:uiPriority w:val="3"/>
    <w:pPr>
      <w:spacing w:before="120" w:after="60" w:line="500" w:lineRule="exact"/>
      <w:ind w:left="200" w:leftChars="200"/>
      <w:jc w:val="left"/>
    </w:pPr>
    <w:rPr>
      <w:rFonts w:ascii="Times New Roman" w:hAnsi="Times New Roman" w:eastAsia="黑体" w:cs="Times New Roman"/>
      <w:bCs w:val="0"/>
      <w:sz w:val="28"/>
      <w:szCs w:val="24"/>
    </w:rPr>
  </w:style>
  <w:style w:type="character" w:customStyle="1" w:styleId="15">
    <w:name w:val="标题 2 字符"/>
    <w:basedOn w:val="9"/>
    <w:link w:val="2"/>
    <w:semiHidden/>
    <w:qFormat/>
    <w:uiPriority w:val="9"/>
    <w:rPr>
      <w:rFonts w:asciiTheme="majorHAnsi" w:hAnsiTheme="majorHAnsi" w:eastAsiaTheme="majorEastAsia" w:cstheme="majorBidi"/>
      <w:b/>
      <w:bCs/>
      <w:sz w:val="32"/>
      <w:szCs w:val="32"/>
    </w:rPr>
  </w:style>
  <w:style w:type="paragraph" w:customStyle="1" w:styleId="16">
    <w:name w:val="闻政-正文一级标题"/>
    <w:basedOn w:val="3"/>
    <w:next w:val="13"/>
    <w:qFormat/>
    <w:uiPriority w:val="3"/>
    <w:pPr>
      <w:spacing w:before="120" w:after="60" w:line="500" w:lineRule="exact"/>
      <w:jc w:val="left"/>
      <w:outlineLvl w:val="0"/>
    </w:pPr>
    <w:rPr>
      <w:rFonts w:ascii="黑体" w:hAnsi="黑体" w:eastAsia="黑体"/>
      <w:b w:val="0"/>
      <w:kern w:val="0"/>
    </w:rPr>
  </w:style>
  <w:style w:type="character" w:customStyle="1" w:styleId="17">
    <w:name w:val="标题 3 字符"/>
    <w:basedOn w:val="9"/>
    <w:link w:val="3"/>
    <w:semiHidden/>
    <w:uiPriority w:val="9"/>
    <w:rPr>
      <w:rFonts w:ascii="Times New Roman" w:hAnsi="Times New Roman" w:eastAsia="仿宋_GB2312"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11</Pages>
  <Words>771</Words>
  <Characters>4398</Characters>
  <Lines>36</Lines>
  <Paragraphs>10</Paragraphs>
  <TotalTime>0</TotalTime>
  <ScaleCrop>false</ScaleCrop>
  <LinksUpToDate>false</LinksUpToDate>
  <CharactersWithSpaces>5159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2020-05-28T03:02:00Z</dcterms:created>
  <dc:creator>User</dc:creator>
  <cp:lastModifiedBy>淘丫</cp:lastModifiedBy>
  <dcterms:modified xsi:type="dcterms:W3CDTF">2020-06-07T13:07:02Z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