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w:t>
      </w:r>
      <w:r>
        <w:rPr>
          <w:rFonts w:ascii="方正小标宋_GBK" w:hAnsi="华文中宋" w:eastAsia="方正小标宋_GBK" w:cs="宋体"/>
          <w:b/>
          <w:kern w:val="0"/>
          <w:sz w:val="48"/>
          <w:szCs w:val="48"/>
        </w:rPr>
        <w:t>档案馆</w:t>
      </w:r>
      <w:r>
        <w:rPr>
          <w:rFonts w:hint="eastAsia" w:ascii="方正小标宋_GBK" w:hAnsi="华文中宋" w:eastAsia="方正小标宋_GBK" w:cs="宋体"/>
          <w:b/>
          <w:kern w:val="0"/>
          <w:sz w:val="48"/>
          <w:szCs w:val="48"/>
        </w:rPr>
        <w:t>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Ansi="宋体" w:cs="宋体"/>
          <w:kern w:val="0"/>
          <w:sz w:val="36"/>
          <w:szCs w:val="36"/>
        </w:rPr>
      </w:pPr>
      <w:r>
        <w:rPr>
          <w:rFonts w:hint="eastAsia" w:hAnsi="宋体" w:cs="宋体"/>
          <w:kern w:val="0"/>
          <w:sz w:val="36"/>
          <w:szCs w:val="36"/>
        </w:rPr>
        <w:t>（2019年度）</w:t>
      </w: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rPr>
          <w:rFonts w:hAnsi="宋体" w:cs="宋体"/>
          <w:kern w:val="0"/>
          <w:szCs w:val="30"/>
        </w:rPr>
      </w:pPr>
    </w:p>
    <w:p>
      <w:pPr>
        <w:spacing w:line="700" w:lineRule="exact"/>
        <w:ind w:firstLine="900" w:firstLineChars="250"/>
        <w:jc w:val="left"/>
        <w:rPr>
          <w:rFonts w:hint="eastAsia" w:hAnsi="宋体" w:cs="宋体"/>
          <w:kern w:val="0"/>
          <w:sz w:val="36"/>
          <w:szCs w:val="36"/>
        </w:rPr>
      </w:pPr>
      <w:r>
        <w:rPr>
          <w:rFonts w:hint="eastAsia" w:hAnsi="宋体" w:cs="宋体"/>
          <w:kern w:val="0"/>
          <w:sz w:val="36"/>
          <w:szCs w:val="36"/>
        </w:rPr>
        <w:t>项目名称：档案征集、保护、数字化与安全保障</w:t>
      </w:r>
    </w:p>
    <w:p>
      <w:pPr>
        <w:spacing w:line="700" w:lineRule="exact"/>
        <w:ind w:firstLine="900" w:firstLineChars="250"/>
        <w:jc w:val="left"/>
        <w:rPr>
          <w:rFonts w:hAnsi="宋体" w:cs="宋体"/>
          <w:kern w:val="0"/>
          <w:sz w:val="36"/>
          <w:szCs w:val="36"/>
        </w:rPr>
      </w:pPr>
      <w:r>
        <w:rPr>
          <w:rFonts w:hint="eastAsia" w:hAnsi="宋体" w:cs="宋体"/>
          <w:kern w:val="0"/>
          <w:sz w:val="36"/>
          <w:szCs w:val="36"/>
        </w:rPr>
        <w:t>实施单位（公章）：</w:t>
      </w:r>
      <w:r>
        <w:rPr>
          <w:rFonts w:hAnsi="宋体" w:cs="宋体"/>
          <w:kern w:val="0"/>
          <w:sz w:val="36"/>
          <w:szCs w:val="36"/>
        </w:rPr>
        <w:t xml:space="preserve"> </w:t>
      </w:r>
      <w:r>
        <w:rPr>
          <w:rFonts w:hint="eastAsia" w:hAnsi="宋体" w:cs="宋体"/>
          <w:kern w:val="0"/>
          <w:sz w:val="36"/>
          <w:szCs w:val="36"/>
        </w:rPr>
        <w:t>巴州</w:t>
      </w:r>
      <w:r>
        <w:rPr>
          <w:rFonts w:hAnsi="宋体" w:cs="宋体"/>
          <w:kern w:val="0"/>
          <w:sz w:val="36"/>
          <w:szCs w:val="36"/>
        </w:rPr>
        <w:t>档案馆</w:t>
      </w:r>
    </w:p>
    <w:p>
      <w:pPr>
        <w:spacing w:line="700" w:lineRule="exact"/>
        <w:ind w:firstLine="849" w:firstLineChars="236"/>
        <w:jc w:val="left"/>
        <w:rPr>
          <w:rFonts w:hAnsi="宋体" w:cs="宋体"/>
          <w:kern w:val="0"/>
          <w:sz w:val="36"/>
          <w:szCs w:val="36"/>
        </w:rPr>
      </w:pPr>
      <w:r>
        <w:rPr>
          <w:rFonts w:hint="eastAsia" w:hAnsi="宋体" w:cs="宋体"/>
          <w:kern w:val="0"/>
          <w:sz w:val="36"/>
          <w:szCs w:val="36"/>
        </w:rPr>
        <w:t>主管部门（公章）：</w:t>
      </w:r>
      <w:r>
        <w:rPr>
          <w:rFonts w:hAnsi="宋体" w:cs="宋体"/>
          <w:kern w:val="0"/>
          <w:sz w:val="36"/>
          <w:szCs w:val="36"/>
        </w:rPr>
        <w:t xml:space="preserve"> </w:t>
      </w:r>
      <w:r>
        <w:rPr>
          <w:rFonts w:hint="eastAsia" w:hAnsi="宋体" w:cs="宋体"/>
          <w:kern w:val="0"/>
          <w:sz w:val="36"/>
          <w:szCs w:val="36"/>
        </w:rPr>
        <w:t>巴州</w:t>
      </w:r>
      <w:r>
        <w:rPr>
          <w:rFonts w:hAnsi="宋体" w:cs="宋体"/>
          <w:kern w:val="0"/>
          <w:sz w:val="36"/>
          <w:szCs w:val="36"/>
        </w:rPr>
        <w:t>党委办公室</w:t>
      </w:r>
    </w:p>
    <w:p>
      <w:pPr>
        <w:spacing w:line="700" w:lineRule="exact"/>
        <w:ind w:firstLine="849" w:firstLineChars="236"/>
        <w:jc w:val="left"/>
        <w:rPr>
          <w:rFonts w:hAnsi="宋体" w:cs="宋体"/>
          <w:kern w:val="0"/>
          <w:sz w:val="36"/>
          <w:szCs w:val="36"/>
        </w:rPr>
      </w:pPr>
      <w:r>
        <w:rPr>
          <w:rFonts w:hint="eastAsia" w:hAnsi="宋体" w:cs="宋体"/>
          <w:kern w:val="0"/>
          <w:sz w:val="36"/>
          <w:szCs w:val="36"/>
        </w:rPr>
        <w:t>项目负责人（签章）：</w:t>
      </w:r>
      <w:r>
        <w:rPr>
          <w:rFonts w:hAnsi="宋体" w:cs="宋体"/>
          <w:kern w:val="0"/>
          <w:sz w:val="36"/>
          <w:szCs w:val="36"/>
        </w:rPr>
        <w:t xml:space="preserve"> </w:t>
      </w:r>
      <w:r>
        <w:rPr>
          <w:rFonts w:hint="eastAsia" w:hAnsi="宋体" w:cs="宋体"/>
          <w:kern w:val="0"/>
          <w:sz w:val="36"/>
          <w:szCs w:val="36"/>
        </w:rPr>
        <w:t>韩</w:t>
      </w:r>
      <w:r>
        <w:rPr>
          <w:rFonts w:hAnsi="宋体" w:cs="宋体"/>
          <w:kern w:val="0"/>
          <w:sz w:val="36"/>
          <w:szCs w:val="36"/>
        </w:rPr>
        <w:t>生玉</w:t>
      </w:r>
    </w:p>
    <w:p>
      <w:pPr>
        <w:spacing w:line="700" w:lineRule="exact"/>
        <w:ind w:firstLine="849" w:firstLineChars="236"/>
        <w:jc w:val="left"/>
        <w:rPr>
          <w:rFonts w:hint="default" w:hAnsi="宋体" w:eastAsia="仿宋_GB2312" w:cs="宋体"/>
          <w:kern w:val="0"/>
          <w:sz w:val="36"/>
          <w:szCs w:val="36"/>
          <w:lang w:val="en-US" w:eastAsia="zh-CN"/>
        </w:rPr>
      </w:pPr>
      <w:r>
        <w:rPr>
          <w:rFonts w:hint="eastAsia" w:hAnsi="宋体" w:cs="宋体"/>
          <w:kern w:val="0"/>
          <w:sz w:val="36"/>
          <w:szCs w:val="36"/>
        </w:rPr>
        <w:t>填报时间：</w:t>
      </w:r>
      <w:r>
        <w:rPr>
          <w:rFonts w:hAnsi="宋体" w:cs="宋体"/>
          <w:kern w:val="0"/>
          <w:sz w:val="36"/>
          <w:szCs w:val="36"/>
        </w:rPr>
        <w:t>2020</w:t>
      </w:r>
      <w:r>
        <w:rPr>
          <w:rFonts w:hint="eastAsia" w:hAnsi="宋体" w:cs="宋体"/>
          <w:kern w:val="0"/>
          <w:sz w:val="36"/>
          <w:szCs w:val="36"/>
        </w:rPr>
        <w:t>年5月</w:t>
      </w:r>
      <w:r>
        <w:rPr>
          <w:rFonts w:hint="eastAsia" w:hAnsi="宋体" w:cs="宋体"/>
          <w:kern w:val="0"/>
          <w:sz w:val="36"/>
          <w:szCs w:val="36"/>
          <w:lang w:val="en-US" w:eastAsia="zh-CN"/>
        </w:rPr>
        <w:t>12日</w:t>
      </w:r>
    </w:p>
    <w:p>
      <w:pPr>
        <w:spacing w:line="540" w:lineRule="exact"/>
        <w:jc w:val="center"/>
        <w:rPr>
          <w:rFonts w:hAnsi="宋体" w:cs="宋体"/>
          <w:kern w:val="0"/>
          <w:szCs w:val="30"/>
        </w:rPr>
      </w:pPr>
    </w:p>
    <w:p/>
    <w:p>
      <w:pPr>
        <w:spacing w:line="300" w:lineRule="exact"/>
        <w:rPr>
          <w:rFonts w:ascii="黑体" w:hAnsi="黑体" w:eastAsia="黑体"/>
          <w:sz w:val="32"/>
          <w:szCs w:val="32"/>
        </w:rPr>
      </w:pPr>
    </w:p>
    <w:p>
      <w:pPr>
        <w:rPr>
          <w:rFonts w:ascii="黑体" w:hAnsi="黑体" w:eastAsia="黑体"/>
        </w:rPr>
        <w:sectPr>
          <w:pgSz w:w="11906" w:h="16838"/>
          <w:pgMar w:top="1928" w:right="1531" w:bottom="1701" w:left="1531" w:header="737" w:footer="851" w:gutter="0"/>
          <w:cols w:space="720" w:num="1"/>
          <w:docGrid w:type="lines" w:linePitch="408" w:charSpace="0"/>
        </w:sectPr>
      </w:pPr>
    </w:p>
    <w:p>
      <w:pPr>
        <w:rPr>
          <w:rFonts w:ascii="黑体" w:hAnsi="黑体" w:eastAsia="黑体"/>
        </w:rPr>
      </w:pPr>
      <w:r>
        <w:rPr>
          <w:rFonts w:hint="eastAsia" w:ascii="黑体" w:hAnsi="黑体" w:eastAsia="黑体"/>
        </w:rPr>
        <w:t>附2</w:t>
      </w:r>
    </w:p>
    <w:p>
      <w:pPr>
        <w:jc w:val="center"/>
        <w:rPr>
          <w:rFonts w:ascii="宋体" w:hAnsi="宋体" w:eastAsia="宋体" w:cs="Arial"/>
          <w:b/>
          <w:bCs/>
          <w:sz w:val="36"/>
          <w:szCs w:val="36"/>
        </w:rPr>
      </w:pPr>
      <w:r>
        <w:rPr>
          <w:rFonts w:hint="eastAsia" w:ascii="宋体" w:hAnsi="宋体" w:eastAsia="宋体" w:cs="Arial"/>
          <w:b/>
          <w:bCs/>
          <w:sz w:val="36"/>
          <w:szCs w:val="36"/>
        </w:rPr>
        <w:t>档案征集、保护、数字化与安全保障</w:t>
      </w:r>
    </w:p>
    <w:p>
      <w:pPr>
        <w:jc w:val="center"/>
        <w:rPr>
          <w:rFonts w:ascii="Arial" w:hAnsi="Arial" w:eastAsia="宋体" w:cs="Arial"/>
          <w:b/>
          <w:bCs/>
          <w:sz w:val="36"/>
          <w:szCs w:val="36"/>
        </w:rPr>
      </w:pPr>
      <w:r>
        <w:rPr>
          <w:rFonts w:ascii="宋体" w:hAnsi="宋体" w:eastAsia="宋体" w:cs="Arial"/>
          <w:b/>
          <w:bCs/>
          <w:sz w:val="36"/>
          <w:szCs w:val="36"/>
        </w:rPr>
        <w:t>绩效</w:t>
      </w:r>
      <w:r>
        <w:rPr>
          <w:rFonts w:hint="eastAsia" w:ascii="宋体" w:hAnsi="宋体" w:eastAsia="宋体" w:cs="Arial"/>
          <w:b/>
          <w:bCs/>
          <w:sz w:val="36"/>
          <w:szCs w:val="36"/>
        </w:rPr>
        <w:t>评价报告</w:t>
      </w:r>
    </w:p>
    <w:p>
      <w:pPr>
        <w:spacing w:line="600" w:lineRule="exact"/>
        <w:ind w:firstLine="600" w:firstLineChars="200"/>
        <w:rPr>
          <w:rFonts w:ascii="黑体" w:hAnsi="黑体" w:eastAsia="黑体"/>
        </w:rPr>
      </w:pPr>
      <w:r>
        <w:rPr>
          <w:rFonts w:hint="eastAsia" w:ascii="黑体" w:hAnsi="黑体" w:eastAsia="黑体"/>
        </w:rPr>
        <w:t>一、基本情况</w:t>
      </w:r>
    </w:p>
    <w:p>
      <w:pPr>
        <w:widowControl/>
        <w:spacing w:line="560" w:lineRule="exact"/>
        <w:ind w:firstLine="600" w:firstLineChars="200"/>
        <w:jc w:val="left"/>
        <w:rPr>
          <w:rFonts w:ascii="仿宋_GB2312"/>
        </w:rPr>
      </w:pPr>
      <w:r>
        <w:rPr>
          <w:rFonts w:hint="eastAsia" w:ascii="仿宋_GB2312"/>
        </w:rPr>
        <w:t>(一)项目概况。</w:t>
      </w:r>
    </w:p>
    <w:p>
      <w:pPr>
        <w:widowControl/>
        <w:spacing w:line="560" w:lineRule="exact"/>
        <w:ind w:firstLine="600" w:firstLineChars="200"/>
        <w:jc w:val="left"/>
        <w:rPr>
          <w:rFonts w:ascii="仿宋_GB2312"/>
        </w:rPr>
      </w:pPr>
      <w:r>
        <w:rPr>
          <w:rFonts w:hint="eastAsia" w:ascii="仿宋_GB2312"/>
        </w:rPr>
        <w:t>1、项目背景。巴州档案馆主要工作职责是依法管理各类档案，为经济建设和社会发展服务。依法组织、指导、检查、监督、协调自治州档案业务工作。州级机关、企事业单位永久、长期档案的收集、整理、编研、保管和提供利用。</w:t>
      </w:r>
    </w:p>
    <w:p>
      <w:pPr>
        <w:spacing w:line="600" w:lineRule="exact"/>
        <w:ind w:firstLine="600" w:firstLineChars="200"/>
        <w:rPr>
          <w:rFonts w:ascii="仿宋_GB2312"/>
        </w:rPr>
      </w:pPr>
      <w:r>
        <w:rPr>
          <w:rFonts w:hint="eastAsia" w:ascii="仿宋_GB2312"/>
        </w:rPr>
        <w:t>2、主要内容及实施情况。2019年档案征集、保护、数字化与安全保障项目经费36万元，执行率为100%，资金足额保障</w:t>
      </w:r>
      <w:r>
        <w:rPr>
          <w:rFonts w:ascii="仿宋_GB2312"/>
        </w:rPr>
        <w:t>，</w:t>
      </w:r>
      <w:r>
        <w:rPr>
          <w:rFonts w:hint="eastAsia" w:ascii="仿宋_GB2312"/>
        </w:rPr>
        <w:t>绩效目标明确制定，专款专用。</w:t>
      </w:r>
    </w:p>
    <w:p>
      <w:pPr>
        <w:spacing w:line="600" w:lineRule="exact"/>
        <w:ind w:firstLine="600" w:firstLineChars="200"/>
        <w:rPr>
          <w:rFonts w:ascii="仿宋_GB2312"/>
        </w:rPr>
      </w:pPr>
      <w:r>
        <w:rPr>
          <w:rFonts w:hint="eastAsia" w:ascii="仿宋_GB2312"/>
        </w:rPr>
        <w:t>3、资金投入和使用情况。资金均用于加大馆藏档案数字化的运用，加强档案基础设施建设、档案资源建设、档案信息化建设和档案服务功能建设，全面提高档案工作的整体水平，完成档案整理、目录著录、扫描、修复等任务，搭建档案全文检索及利用数据库。档案征集、保护、数字化与安全保障项目对实现馆藏档案数字化和全面提供利用起到了促进作用，提高了档案资源管理水平，建立了档案安全保护机制，规范了档案基础业务工作，实现了档案现代化建设各类档案信息的资源共享，让档案利用者对查询利用服务满意</w:t>
      </w:r>
      <w:r>
        <w:rPr>
          <w:rFonts w:hint="eastAsia" w:ascii="仿宋_GB2312"/>
          <w:color w:val="FF0000"/>
        </w:rPr>
        <w:t>。</w:t>
      </w:r>
    </w:p>
    <w:p>
      <w:pPr>
        <w:spacing w:line="600" w:lineRule="exact"/>
        <w:ind w:firstLine="600" w:firstLineChars="200"/>
        <w:rPr>
          <w:rFonts w:ascii="仿宋_GB2312"/>
        </w:rPr>
      </w:pPr>
      <w:r>
        <w:rPr>
          <w:rFonts w:hint="eastAsia" w:ascii="仿宋_GB2312"/>
        </w:rPr>
        <w:t>（二）项目绩效目标。</w:t>
      </w:r>
    </w:p>
    <w:p>
      <w:pPr>
        <w:spacing w:line="600" w:lineRule="exact"/>
        <w:ind w:firstLine="600" w:firstLineChars="200"/>
        <w:rPr>
          <w:rFonts w:ascii="仿宋_GB2312"/>
        </w:rPr>
      </w:pPr>
      <w:r>
        <w:rPr>
          <w:rFonts w:hint="eastAsia" w:ascii="仿宋_GB2312"/>
        </w:rPr>
        <w:t>1、总体目标。我单位档案征集、保护、数字化与安全保障项目的实施，加强档案基础设施建设、档案资源建设、档案信息化建设和档案服务功能建设，全面提高档案工作的整体水平，完成档案整理、目录著录、扫描、修复等任务，搭建档案全文检索及利用数据库并得到社会的好评。将严格按照财政部门要求办理各事项，把下拨的专项资金用到实处，并及时上报用款进度。</w:t>
      </w:r>
    </w:p>
    <w:p>
      <w:pPr>
        <w:spacing w:line="600" w:lineRule="exact"/>
        <w:ind w:firstLine="600" w:firstLineChars="200"/>
        <w:rPr>
          <w:rFonts w:ascii="仿宋_GB2312"/>
        </w:rPr>
      </w:pPr>
      <w:r>
        <w:rPr>
          <w:rFonts w:hint="eastAsia" w:ascii="仿宋_GB2312"/>
        </w:rPr>
        <w:t>2、阶段性目标。完成阶段性档案整理、目录著录、扫描、修复等任务，搭建档案全文检索及利用数据库并得到社会的好评。</w:t>
      </w:r>
    </w:p>
    <w:p>
      <w:pPr>
        <w:spacing w:line="600" w:lineRule="exact"/>
        <w:ind w:firstLine="600" w:firstLineChars="200"/>
        <w:rPr>
          <w:rFonts w:ascii="黑体" w:hAnsi="黑体" w:eastAsia="黑体"/>
        </w:rPr>
      </w:pPr>
      <w:r>
        <w:rPr>
          <w:rFonts w:hint="eastAsia" w:ascii="黑体" w:hAnsi="黑体" w:eastAsia="黑体"/>
        </w:rPr>
        <w:t>二、绩效评价工作开展情况</w:t>
      </w:r>
    </w:p>
    <w:p>
      <w:pPr>
        <w:spacing w:line="600" w:lineRule="exact"/>
        <w:rPr>
          <w:rFonts w:ascii="仿宋_GB2312"/>
        </w:rPr>
      </w:pPr>
      <w:r>
        <w:rPr>
          <w:rFonts w:hint="eastAsia" w:ascii="仿宋_GB2312"/>
        </w:rPr>
        <w:t>（一）绩效评价目的、对象和范围。</w:t>
      </w:r>
    </w:p>
    <w:p>
      <w:pPr>
        <w:spacing w:line="600" w:lineRule="exact"/>
        <w:ind w:firstLine="600" w:firstLineChars="200"/>
        <w:rPr>
          <w:rFonts w:ascii="仿宋_GB2312"/>
        </w:rPr>
      </w:pPr>
      <w:r>
        <w:rPr>
          <w:rFonts w:hint="eastAsia" w:ascii="仿宋_GB2312"/>
        </w:rPr>
        <w:t>1、绩效评价的目的是为了全面推进单位预算绩效管理，建立健全绩效评价机制，推进单位的预算绩效管理制度化、规范化，提高财政资金使用效益。</w:t>
      </w:r>
    </w:p>
    <w:p>
      <w:pPr>
        <w:spacing w:line="600" w:lineRule="exact"/>
        <w:ind w:firstLine="600" w:firstLineChars="200"/>
        <w:rPr>
          <w:rFonts w:ascii="仿宋_GB2312"/>
        </w:rPr>
      </w:pPr>
      <w:r>
        <w:rPr>
          <w:rFonts w:hint="eastAsia" w:ascii="仿宋_GB2312"/>
        </w:rPr>
        <w:t>2、绩效评价的对象是2019年度档案征集、保护、数字化与安全保障经费。</w:t>
      </w:r>
    </w:p>
    <w:p>
      <w:pPr>
        <w:spacing w:line="600" w:lineRule="exact"/>
        <w:ind w:firstLine="600" w:firstLineChars="200"/>
        <w:rPr>
          <w:rFonts w:ascii="仿宋_GB2312"/>
        </w:rPr>
      </w:pPr>
      <w:r>
        <w:rPr>
          <w:rFonts w:hint="eastAsia" w:ascii="仿宋_GB2312"/>
        </w:rPr>
        <w:t>3、绩效评价的范围:巴州档案馆。</w:t>
      </w:r>
    </w:p>
    <w:p>
      <w:pPr>
        <w:spacing w:line="600" w:lineRule="exact"/>
        <w:rPr>
          <w:rFonts w:ascii="仿宋_GB2312"/>
        </w:rPr>
      </w:pPr>
      <w:r>
        <w:rPr>
          <w:rFonts w:hint="eastAsia" w:ascii="仿宋_GB2312"/>
        </w:rPr>
        <w:t>（二）绩效评价原则、评价指标体系（附表说明）、评价方法、评价标准等。</w:t>
      </w:r>
    </w:p>
    <w:p>
      <w:pPr>
        <w:spacing w:line="600" w:lineRule="exact"/>
        <w:rPr>
          <w:rFonts w:ascii="仿宋_GB2312"/>
        </w:rPr>
      </w:pPr>
      <w:r>
        <w:rPr>
          <w:rFonts w:hint="eastAsia" w:ascii="仿宋_GB2312"/>
        </w:rPr>
        <w:t xml:space="preserve">     1、绩效评价原则：采用</w:t>
      </w:r>
      <w:r>
        <w:rPr>
          <w:rFonts w:ascii="仿宋_GB2312"/>
        </w:rPr>
        <w:t>科学公正的原则进行评价。</w:t>
      </w:r>
      <w:r>
        <w:rPr>
          <w:rFonts w:hint="eastAsia" w:ascii="仿宋_GB2312"/>
        </w:rPr>
        <w:t>绩效评价的目标需明确、细化、量化；政策需进行充分的可行性研究且合理；财务制度必须健全、执行必须严格、核算必须规范；拨付单位向使用单位拨付资金必须及时、足额；实施方案或计划须被认真执行且科学合理。</w:t>
      </w:r>
    </w:p>
    <w:p>
      <w:pPr>
        <w:spacing w:line="600" w:lineRule="exact"/>
        <w:ind w:firstLine="600" w:firstLineChars="200"/>
        <w:rPr>
          <w:rFonts w:ascii="仿宋_GB2312"/>
        </w:rPr>
      </w:pPr>
      <w:r>
        <w:rPr>
          <w:rFonts w:hint="eastAsia" w:ascii="仿宋_GB2312"/>
        </w:rPr>
        <w:t>2、评价指标体系（附件）。</w:t>
      </w:r>
    </w:p>
    <w:p>
      <w:pPr>
        <w:spacing w:line="580" w:lineRule="exact"/>
        <w:ind w:firstLine="600" w:firstLineChars="200"/>
        <w:rPr>
          <w:rFonts w:ascii="仿宋_GB2312"/>
        </w:rPr>
      </w:pPr>
      <w:r>
        <w:rPr>
          <w:rFonts w:hint="eastAsia" w:ascii="仿宋_GB2312"/>
        </w:rPr>
        <w:t>3、评价方法：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hAnsi="仿宋"/>
          <w:color w:val="000000"/>
          <w:szCs w:val="30"/>
        </w:rPr>
        <w:t>结合本次绩效评估项目的具体情况，为确保本次绩效评估工作的真实可靠，</w:t>
      </w:r>
      <w:r>
        <w:rPr>
          <w:rFonts w:hint="eastAsia" w:ascii="仿宋_GB2312"/>
        </w:rPr>
        <w:t>我单位采用公众评判法。</w:t>
      </w:r>
    </w:p>
    <w:p>
      <w:pPr>
        <w:pStyle w:val="12"/>
        <w:spacing w:line="520" w:lineRule="exact"/>
        <w:ind w:firstLine="699" w:firstLineChars="233"/>
        <w:rPr>
          <w:rFonts w:ascii="仿宋_GB2312"/>
        </w:rPr>
      </w:pPr>
      <w:r>
        <w:rPr>
          <w:rFonts w:hint="eastAsia" w:ascii="仿宋_GB2312" w:eastAsia="仿宋_GB2312" w:cs="Times New Roman"/>
          <w:color w:val="auto"/>
          <w:kern w:val="2"/>
          <w:sz w:val="30"/>
        </w:rPr>
        <w:t>公众评判法。是指通过单位领导班子开会讨论、全体职工大会表决等对该项目效果进行评判，并通过档案管理使用者的满意度调查，使该项目评价绩效目标实现。</w:t>
      </w:r>
    </w:p>
    <w:p>
      <w:pPr>
        <w:ind w:firstLine="600" w:firstLineChars="200"/>
        <w:rPr>
          <w:rFonts w:ascii="Calibri" w:hAnsi="Calibri" w:eastAsia="宋体"/>
          <w:sz w:val="28"/>
          <w:szCs w:val="28"/>
        </w:rPr>
      </w:pPr>
      <w:r>
        <w:rPr>
          <w:rFonts w:hint="eastAsia" w:ascii="仿宋_GB2312"/>
        </w:rPr>
        <w:t>4、评价标准。</w:t>
      </w:r>
      <w:r>
        <w:rPr>
          <w:rFonts w:hint="eastAsia" w:ascii="仿宋" w:hAnsi="仿宋" w:eastAsia="仿宋"/>
          <w:szCs w:val="30"/>
        </w:rPr>
        <w:t>根据本行业实际情况，评价标准采用计划标准，用于对绩效指标完成情况进行比较。以</w:t>
      </w:r>
      <w:r>
        <w:rPr>
          <w:rFonts w:ascii="仿宋" w:hAnsi="仿宋" w:eastAsia="仿宋"/>
          <w:szCs w:val="30"/>
        </w:rPr>
        <w:t>预</w:t>
      </w:r>
      <w:r>
        <w:rPr>
          <w:rFonts w:hint="eastAsia" w:ascii="仿宋" w:hAnsi="仿宋" w:eastAsia="仿宋"/>
          <w:szCs w:val="30"/>
        </w:rPr>
        <w:t>先</w:t>
      </w:r>
      <w:r>
        <w:rPr>
          <w:rFonts w:ascii="仿宋" w:hAnsi="仿宋" w:eastAsia="仿宋"/>
          <w:szCs w:val="30"/>
        </w:rPr>
        <w:t>制定的</w:t>
      </w:r>
      <w:r>
        <w:rPr>
          <w:rFonts w:hint="eastAsia" w:ascii="仿宋" w:hAnsi="仿宋" w:eastAsia="仿宋"/>
          <w:szCs w:val="30"/>
        </w:rPr>
        <w:t>目标</w:t>
      </w:r>
      <w:r>
        <w:rPr>
          <w:rFonts w:ascii="仿宋" w:hAnsi="仿宋" w:eastAsia="仿宋"/>
          <w:szCs w:val="30"/>
        </w:rPr>
        <w:t>、计划、预算、定额等作为评价标准。</w:t>
      </w:r>
      <w:r>
        <w:rPr>
          <w:rFonts w:hint="eastAsia" w:ascii="仿宋_GB2312"/>
        </w:rPr>
        <w:t>财务管理采用国家财务相关法律法规，产出和效果指标采用项目申报文本中的指标值作为绩效评价标准</w:t>
      </w:r>
    </w:p>
    <w:p>
      <w:pPr>
        <w:spacing w:line="600" w:lineRule="exact"/>
        <w:ind w:firstLine="600" w:firstLineChars="200"/>
        <w:rPr>
          <w:rFonts w:ascii="仿宋_GB2312"/>
        </w:rPr>
      </w:pPr>
      <w:r>
        <w:rPr>
          <w:rFonts w:hint="eastAsia" w:ascii="仿宋_GB2312"/>
        </w:rPr>
        <w:t>（三）绩效评价工作过程。我单位领导高度重视此项绩效评价工作，成立了单位绩效评价工作领导小组，负责人担任组长，并召开了巴州档案馆2019年度项目支出绩效评价工作会议，提出绩效自评工作总体要求，对评价依据，评价目的，考评对象，工作进度等方面做出具体规定，将责任落实到相关部门，将工作落实到具体项目，确保了自评工作能够顺利开展。</w:t>
      </w:r>
    </w:p>
    <w:p>
      <w:pPr>
        <w:spacing w:line="600" w:lineRule="exact"/>
        <w:ind w:firstLine="600" w:firstLineChars="200"/>
        <w:rPr>
          <w:rFonts w:ascii="仿宋_GB2312"/>
        </w:rPr>
      </w:pPr>
      <w:r>
        <w:rPr>
          <w:rFonts w:hint="eastAsia" w:ascii="黑体" w:hAnsi="黑体" w:eastAsia="黑体"/>
        </w:rPr>
        <w:t>三、综合评价情况及评价结论</w:t>
      </w:r>
      <w:r>
        <w:rPr>
          <w:rFonts w:hint="eastAsia" w:ascii="仿宋_GB2312"/>
        </w:rPr>
        <w:t>（附相关评分表）</w:t>
      </w:r>
    </w:p>
    <w:p>
      <w:pPr>
        <w:spacing w:line="600" w:lineRule="exact"/>
        <w:ind w:firstLine="600" w:firstLineChars="200"/>
        <w:rPr>
          <w:rFonts w:ascii="仿宋_GB2312"/>
        </w:rPr>
      </w:pPr>
      <w:r>
        <w:rPr>
          <w:rFonts w:hint="eastAsia" w:ascii="仿宋_GB2312"/>
        </w:rPr>
        <w:t>通过项目绩效评价，进一步加强和规范专项资金管理工作，加强项目资金支出的规范性和合理性，发挥公共财政资金对建设的促进和推进作用，提高项目资金支出的效益和效果，项目实施完毕后，单位组织财务、办公室相关业务科室负责人对此专项资金项目的实施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巴州档案馆2019年档案征集、保护、数字化与安全保障专项资金项目，按照项目支出绩效评价会议纪要在资金使用规范、科学、合理、资金使用最大效益化等方面整体评价为良好。</w:t>
      </w:r>
    </w:p>
    <w:p>
      <w:pPr>
        <w:spacing w:line="600" w:lineRule="exact"/>
        <w:ind w:firstLine="600" w:firstLineChars="200"/>
        <w:rPr>
          <w:rFonts w:ascii="黑体" w:hAnsi="黑体" w:eastAsia="黑体"/>
        </w:rPr>
      </w:pPr>
      <w:r>
        <w:rPr>
          <w:rFonts w:hint="eastAsia" w:ascii="黑体" w:hAnsi="黑体" w:eastAsia="黑体"/>
        </w:rPr>
        <w:t>四、绩效评价指标分析</w:t>
      </w:r>
    </w:p>
    <w:p>
      <w:pPr>
        <w:spacing w:line="600" w:lineRule="exact"/>
        <w:ind w:firstLine="600" w:firstLineChars="200"/>
        <w:outlineLvl w:val="0"/>
        <w:rPr>
          <w:rFonts w:ascii="仿宋_GB2312"/>
        </w:rPr>
      </w:pPr>
      <w:r>
        <w:rPr>
          <w:rFonts w:hint="eastAsia" w:ascii="仿宋_GB2312"/>
        </w:rPr>
        <w:t>（一）项目决策情况。绩效目标内容明确细化量化，符合经济社会发展规划和部门年度工作计划，项目申报批复程序符合相关管理办法进行了充分的可行性研究。</w:t>
      </w:r>
    </w:p>
    <w:p>
      <w:pPr>
        <w:spacing w:line="600" w:lineRule="exact"/>
        <w:ind w:firstLine="600" w:firstLineChars="200"/>
        <w:outlineLvl w:val="0"/>
        <w:rPr>
          <w:rFonts w:ascii="仿宋_GB2312"/>
        </w:rPr>
      </w:pPr>
      <w:r>
        <w:rPr>
          <w:rFonts w:hint="eastAsia" w:ascii="仿宋_GB2312"/>
        </w:rPr>
        <w:t>（二）项目过程情况。相关部门向单位及时拨付了足额的资金。单位财务制度健全，会计核算规范，且有健全的机构，各部门分工基本明确，严格执行与项目相关的各种法律法规制度，相关部门认真执行项目实施计划，程序科学合理。</w:t>
      </w:r>
    </w:p>
    <w:p>
      <w:pPr>
        <w:spacing w:line="600" w:lineRule="exact"/>
        <w:ind w:firstLine="600" w:firstLineChars="200"/>
        <w:outlineLvl w:val="0"/>
        <w:rPr>
          <w:rFonts w:ascii="仿宋_GB2312"/>
        </w:rPr>
      </w:pPr>
      <w:r>
        <w:rPr>
          <w:rFonts w:hint="eastAsia" w:ascii="仿宋_GB2312"/>
        </w:rPr>
        <w:t>（三）项目产出情况。项目产出指标中的产出数量、产出质量、产出时效指标基本达到绩效目标，而产出成本指标也在绩效目标控制范围内</w:t>
      </w:r>
    </w:p>
    <w:p>
      <w:pPr>
        <w:spacing w:line="600" w:lineRule="exact"/>
        <w:ind w:firstLine="600" w:firstLineChars="200"/>
        <w:outlineLvl w:val="0"/>
        <w:rPr>
          <w:rFonts w:ascii="仿宋_GB2312"/>
        </w:rPr>
      </w:pPr>
      <w:r>
        <w:rPr>
          <w:rFonts w:hint="eastAsia" w:ascii="仿宋_GB2312"/>
        </w:rPr>
        <w:t>（四）项目效益情况。项目效益指标中的经济效益，社会效益可持续影响服务对象满意度指标均已达到了预设的绩效目标，提高了我单位在巴州地区的整体影响力。</w:t>
      </w:r>
    </w:p>
    <w:p>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pPr>
        <w:spacing w:line="600" w:lineRule="exact"/>
        <w:ind w:firstLine="600" w:firstLineChars="200"/>
        <w:rPr>
          <w:rFonts w:ascii="仿宋_GB2312"/>
        </w:rPr>
      </w:pPr>
      <w:r>
        <w:rPr>
          <w:rFonts w:hint="eastAsia" w:ascii="仿宋_GB2312"/>
        </w:rPr>
        <w:t>1、主要经验及做法：为保障资金安全、规范运行、控制成本等，我单位将专项资金中的用于项目经费的支出由政府采购中心实行统一招标，基本支出中办公用品、设备、耗材等在财政采购目录范围内的支出，均按财政要求完成采购手续。经费支出有计划、有审批、有监督，以确保资金使用规范、合理，以达到控制、监督资金运行的目的。</w:t>
      </w:r>
    </w:p>
    <w:p>
      <w:pPr>
        <w:adjustRightInd w:val="0"/>
        <w:snapToGrid w:val="0"/>
        <w:spacing w:line="600" w:lineRule="exact"/>
        <w:ind w:firstLine="600" w:firstLineChars="200"/>
        <w:rPr>
          <w:rFonts w:ascii="仿宋_GB2312"/>
        </w:rPr>
      </w:pPr>
      <w:r>
        <w:rPr>
          <w:rFonts w:hint="eastAsia" w:ascii="仿宋_GB2312"/>
        </w:rPr>
        <w:t>2、存在的问题：单位对项目实行绩效评价经验不足，对实施项目绩效评价重视不够、各部门理解程度不深入、产生抵触和不愿意配合等现象，导致个别指标的执行有点延迟。</w:t>
      </w:r>
    </w:p>
    <w:p>
      <w:pPr>
        <w:adjustRightInd w:val="0"/>
        <w:snapToGrid w:val="0"/>
        <w:spacing w:line="600" w:lineRule="exact"/>
        <w:ind w:firstLine="600" w:firstLineChars="200"/>
        <w:rPr>
          <w:rFonts w:ascii="仿宋_GB2312"/>
        </w:rPr>
      </w:pPr>
      <w:r>
        <w:rPr>
          <w:rFonts w:hint="eastAsia" w:ascii="仿宋_GB2312"/>
        </w:rPr>
        <w:t>3、原因分析：</w:t>
      </w:r>
    </w:p>
    <w:p>
      <w:pPr>
        <w:adjustRightInd w:val="0"/>
        <w:snapToGrid w:val="0"/>
        <w:spacing w:line="600" w:lineRule="exact"/>
        <w:ind w:firstLine="600" w:firstLineChars="200"/>
        <w:rPr>
          <w:rFonts w:ascii="仿宋_GB2312"/>
        </w:rPr>
      </w:pPr>
      <w:r>
        <w:rPr>
          <w:rFonts w:hint="eastAsia" w:ascii="仿宋_GB2312"/>
        </w:rPr>
        <w:t>①我单位将加大对项目绩效评价管理的宣传力度、强化项目管理，从提高项目绩效预算入手，将绩效目标作为预算安排的重要依据，提高预算编制的科学性和准确性。</w:t>
      </w:r>
    </w:p>
    <w:p>
      <w:pPr>
        <w:spacing w:line="600" w:lineRule="exact"/>
        <w:ind w:firstLine="600" w:firstLineChars="200"/>
        <w:rPr>
          <w:rFonts w:ascii="仿宋_GB2312"/>
        </w:rPr>
      </w:pPr>
      <w:r>
        <w:rPr>
          <w:rFonts w:hint="eastAsia" w:ascii="仿宋_GB2312"/>
        </w:rPr>
        <w:t>②进一步强化单位各部门绩效管理理念，将被动认识转化为主动实践，完善制度，切实加强组织领导，深入推进评价工作，提升单位整体绩效管理水平。</w:t>
      </w:r>
    </w:p>
    <w:p>
      <w:pPr>
        <w:spacing w:line="600" w:lineRule="exact"/>
        <w:ind w:firstLine="600" w:firstLineChars="200"/>
        <w:rPr>
          <w:rFonts w:ascii="黑体" w:hAnsi="黑体" w:eastAsia="黑体"/>
        </w:rPr>
      </w:pPr>
      <w:r>
        <w:rPr>
          <w:rFonts w:hint="eastAsia" w:ascii="黑体" w:hAnsi="黑体" w:eastAsia="黑体"/>
        </w:rPr>
        <w:t>六、有关建议</w:t>
      </w:r>
    </w:p>
    <w:p>
      <w:pPr>
        <w:spacing w:line="600" w:lineRule="exact"/>
        <w:ind w:firstLine="600" w:firstLineChars="200"/>
        <w:rPr>
          <w:rFonts w:asciiTheme="minorEastAsia" w:hAnsiTheme="minorEastAsia" w:eastAsiaTheme="minorEastAsia"/>
        </w:rPr>
      </w:pPr>
      <w:r>
        <w:rPr>
          <w:rFonts w:hint="eastAsia" w:asciiTheme="minorEastAsia" w:hAnsiTheme="minorEastAsia" w:eastAsiaTheme="minorEastAsia"/>
        </w:rPr>
        <w:t>无。</w:t>
      </w:r>
    </w:p>
    <w:p>
      <w:pPr>
        <w:spacing w:line="600" w:lineRule="exact"/>
        <w:ind w:firstLine="600" w:firstLineChars="200"/>
        <w:rPr>
          <w:rFonts w:ascii="黑体" w:hAnsi="黑体" w:eastAsia="黑体"/>
        </w:rPr>
      </w:pPr>
      <w:r>
        <w:rPr>
          <w:rFonts w:hint="eastAsia" w:ascii="黑体" w:hAnsi="黑体" w:eastAsia="黑体"/>
        </w:rPr>
        <w:t>七、其他需要说明的问题</w:t>
      </w:r>
    </w:p>
    <w:p>
      <w:pPr>
        <w:spacing w:line="600" w:lineRule="exact"/>
        <w:ind w:firstLine="600" w:firstLineChars="200"/>
        <w:rPr>
          <w:rFonts w:asciiTheme="minorEastAsia" w:hAnsiTheme="minorEastAsia" w:eastAsiaTheme="minorEastAsia"/>
        </w:rPr>
      </w:pPr>
      <w:r>
        <w:rPr>
          <w:rFonts w:hint="eastAsia" w:asciiTheme="minorEastAsia" w:hAnsiTheme="minorEastAsia" w:eastAsiaTheme="minorEastAsia"/>
        </w:rPr>
        <w:t>无。</w:t>
      </w:r>
    </w:p>
    <w:p>
      <w:pPr>
        <w:spacing w:line="600" w:lineRule="exact"/>
        <w:rPr>
          <w:rFonts w:asciiTheme="minorEastAsia" w:hAnsiTheme="minorEastAsia" w:eastAsiaTheme="minorEastAsia"/>
        </w:rPr>
      </w:pPr>
    </w:p>
    <w:p>
      <w:pPr>
        <w:spacing w:line="600" w:lineRule="exact"/>
        <w:ind w:firstLine="600" w:firstLineChars="200"/>
        <w:rPr>
          <w:rFonts w:asciiTheme="minorEastAsia" w:hAnsiTheme="minorEastAsia" w:eastAsiaTheme="minorEastAsia"/>
        </w:rPr>
      </w:pPr>
    </w:p>
    <w:p>
      <w:pPr>
        <w:spacing w:line="600" w:lineRule="exact"/>
        <w:ind w:firstLine="600" w:firstLineChars="200"/>
        <w:rPr>
          <w:rFonts w:asciiTheme="minorEastAsia" w:hAnsiTheme="minorEastAsia" w:eastAsiaTheme="minorEastAsia"/>
        </w:rPr>
      </w:pPr>
    </w:p>
    <w:p>
      <w:pPr>
        <w:spacing w:line="600" w:lineRule="exact"/>
        <w:ind w:firstLine="600" w:firstLineChars="200"/>
        <w:rPr>
          <w:rFonts w:asciiTheme="minorEastAsia" w:hAnsiTheme="minorEastAsia" w:eastAsiaTheme="minorEastAsia"/>
        </w:rPr>
      </w:pPr>
    </w:p>
    <w:p>
      <w:pPr>
        <w:spacing w:line="600" w:lineRule="exact"/>
        <w:rPr>
          <w:rFonts w:asciiTheme="minorEastAsia" w:hAnsiTheme="minorEastAsia" w:eastAsiaTheme="minorEastAsia"/>
        </w:rPr>
      </w:pPr>
    </w:p>
    <w:p>
      <w:pPr>
        <w:spacing w:line="600" w:lineRule="exact"/>
        <w:rPr>
          <w:rFonts w:asciiTheme="minorEastAsia" w:hAnsiTheme="minorEastAsia" w:eastAsiaTheme="minorEastAsia"/>
        </w:rPr>
        <w:sectPr>
          <w:pgSz w:w="11906" w:h="16838"/>
          <w:pgMar w:top="1928" w:right="1531" w:bottom="1701" w:left="1531" w:header="737" w:footer="851" w:gutter="0"/>
          <w:cols w:space="720" w:num="1"/>
          <w:docGrid w:type="lines" w:linePitch="408" w:charSpace="0"/>
        </w:sectPr>
      </w:pPr>
    </w:p>
    <w:p>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w:t>
      </w:r>
    </w:p>
    <w:p>
      <w:pPr>
        <w:pStyle w:val="2"/>
        <w:spacing w:before="0" w:after="0" w:line="240" w:lineRule="auto"/>
        <w:jc w:val="center"/>
        <w:rPr>
          <w:bCs/>
          <w:color w:val="000000"/>
        </w:rPr>
      </w:pPr>
    </w:p>
    <w:tbl>
      <w:tblPr>
        <w:tblStyle w:val="5"/>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9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93"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39"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rPr>
              <w:t>1</w:t>
            </w:r>
            <w:r>
              <w:rPr>
                <w:rFonts w:hint="eastAsia" w:ascii="宋体" w:hAnsi="宋体" w:eastAsia="宋体" w:cs="宋体"/>
                <w:color w:val="000000"/>
                <w:kern w:val="0"/>
                <w:sz w:val="22"/>
                <w:szCs w:val="22"/>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32" w:hRule="atLeast"/>
          <w:jc w:val="center"/>
        </w:trPr>
        <w:tc>
          <w:tcPr>
            <w:tcW w:w="13601" w:type="dxa"/>
            <w:gridSpan w:val="5"/>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合计：</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95</w:t>
            </w:r>
            <w:bookmarkStart w:id="0" w:name="_GoBack"/>
            <w:bookmarkEnd w:id="0"/>
          </w:p>
        </w:tc>
      </w:tr>
    </w:tbl>
    <w:p>
      <w:pPr>
        <w:spacing w:line="600" w:lineRule="exact"/>
        <w:rPr>
          <w:rFonts w:asciiTheme="minorEastAsia" w:hAnsiTheme="minorEastAsia" w:eastAsiaTheme="minorEastAsia"/>
          <w:bCs/>
          <w:sz w:val="32"/>
          <w:szCs w:val="32"/>
        </w:rPr>
      </w:pPr>
    </w:p>
    <w:sectPr>
      <w:pgSz w:w="16838" w:h="11906" w:orient="landscape"/>
      <w:pgMar w:top="1531" w:right="1701" w:bottom="1531" w:left="1928" w:header="737" w:footer="851" w:gutter="0"/>
      <w:cols w:space="720" w:num="1"/>
      <w:docGrid w:type="linesAndChar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w..">
    <w:altName w:val="宋体"/>
    <w:panose1 w:val="00000000000000000000"/>
    <w:charset w:val="86"/>
    <w:family w:val="roma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5AC9"/>
    <w:rsid w:val="000006EC"/>
    <w:rsid w:val="0000432E"/>
    <w:rsid w:val="000074A0"/>
    <w:rsid w:val="0002343B"/>
    <w:rsid w:val="0002465C"/>
    <w:rsid w:val="00034ADF"/>
    <w:rsid w:val="00077DDE"/>
    <w:rsid w:val="000B4E42"/>
    <w:rsid w:val="000D091E"/>
    <w:rsid w:val="001000CB"/>
    <w:rsid w:val="001511C5"/>
    <w:rsid w:val="00156300"/>
    <w:rsid w:val="001C27D9"/>
    <w:rsid w:val="00214CF6"/>
    <w:rsid w:val="002221E3"/>
    <w:rsid w:val="002226B4"/>
    <w:rsid w:val="002812F9"/>
    <w:rsid w:val="002828CD"/>
    <w:rsid w:val="0029296A"/>
    <w:rsid w:val="0029419A"/>
    <w:rsid w:val="002F3919"/>
    <w:rsid w:val="00326703"/>
    <w:rsid w:val="00334DA7"/>
    <w:rsid w:val="00335385"/>
    <w:rsid w:val="003578E6"/>
    <w:rsid w:val="00360FE2"/>
    <w:rsid w:val="00361CE4"/>
    <w:rsid w:val="003B2B1C"/>
    <w:rsid w:val="003C3C94"/>
    <w:rsid w:val="003E2895"/>
    <w:rsid w:val="003E4D26"/>
    <w:rsid w:val="004300A2"/>
    <w:rsid w:val="0043448B"/>
    <w:rsid w:val="00435214"/>
    <w:rsid w:val="0044243F"/>
    <w:rsid w:val="0045764D"/>
    <w:rsid w:val="004712BF"/>
    <w:rsid w:val="00476A4E"/>
    <w:rsid w:val="004B3BF2"/>
    <w:rsid w:val="004F1B8C"/>
    <w:rsid w:val="004F37EC"/>
    <w:rsid w:val="00535AC9"/>
    <w:rsid w:val="00547963"/>
    <w:rsid w:val="005600E7"/>
    <w:rsid w:val="00581C50"/>
    <w:rsid w:val="005A4B02"/>
    <w:rsid w:val="005E18E9"/>
    <w:rsid w:val="005E7210"/>
    <w:rsid w:val="005F09C6"/>
    <w:rsid w:val="00620A5B"/>
    <w:rsid w:val="006548F2"/>
    <w:rsid w:val="0067743B"/>
    <w:rsid w:val="00680C58"/>
    <w:rsid w:val="0068712C"/>
    <w:rsid w:val="006C1253"/>
    <w:rsid w:val="007011B7"/>
    <w:rsid w:val="00710908"/>
    <w:rsid w:val="00730E35"/>
    <w:rsid w:val="00746FB5"/>
    <w:rsid w:val="0078256C"/>
    <w:rsid w:val="00787EB0"/>
    <w:rsid w:val="007A6DF7"/>
    <w:rsid w:val="007C0106"/>
    <w:rsid w:val="007C4F8B"/>
    <w:rsid w:val="008214F0"/>
    <w:rsid w:val="00843572"/>
    <w:rsid w:val="00852E0C"/>
    <w:rsid w:val="00861810"/>
    <w:rsid w:val="00901FE2"/>
    <w:rsid w:val="00911CCB"/>
    <w:rsid w:val="00983E69"/>
    <w:rsid w:val="00984FB0"/>
    <w:rsid w:val="00987F1E"/>
    <w:rsid w:val="009C6C26"/>
    <w:rsid w:val="009D1209"/>
    <w:rsid w:val="009D16A8"/>
    <w:rsid w:val="009D23CE"/>
    <w:rsid w:val="009D6F73"/>
    <w:rsid w:val="00A16EA9"/>
    <w:rsid w:val="00A27598"/>
    <w:rsid w:val="00A55D52"/>
    <w:rsid w:val="00A609D5"/>
    <w:rsid w:val="00A7092D"/>
    <w:rsid w:val="00A92A6A"/>
    <w:rsid w:val="00AB14FA"/>
    <w:rsid w:val="00AD22D4"/>
    <w:rsid w:val="00B003CA"/>
    <w:rsid w:val="00B34FBC"/>
    <w:rsid w:val="00B748C1"/>
    <w:rsid w:val="00BA1EE4"/>
    <w:rsid w:val="00BB09E4"/>
    <w:rsid w:val="00C50566"/>
    <w:rsid w:val="00CB1DA6"/>
    <w:rsid w:val="00CD2BF4"/>
    <w:rsid w:val="00CD4048"/>
    <w:rsid w:val="00D001A5"/>
    <w:rsid w:val="00D16E64"/>
    <w:rsid w:val="00D6225F"/>
    <w:rsid w:val="00D65995"/>
    <w:rsid w:val="00D776F5"/>
    <w:rsid w:val="00D83F07"/>
    <w:rsid w:val="00DA3DF6"/>
    <w:rsid w:val="00E15A2A"/>
    <w:rsid w:val="00E3118B"/>
    <w:rsid w:val="00E42665"/>
    <w:rsid w:val="00E61767"/>
    <w:rsid w:val="00E7000B"/>
    <w:rsid w:val="00ED162A"/>
    <w:rsid w:val="00ED62EB"/>
    <w:rsid w:val="00EE432F"/>
    <w:rsid w:val="00EE6A8F"/>
    <w:rsid w:val="00EF1BEF"/>
    <w:rsid w:val="00EF2313"/>
    <w:rsid w:val="00F83808"/>
    <w:rsid w:val="00FA7468"/>
    <w:rsid w:val="13126A4B"/>
    <w:rsid w:val="19C61AE2"/>
    <w:rsid w:val="1A23527D"/>
    <w:rsid w:val="24417C87"/>
    <w:rsid w:val="250840F4"/>
    <w:rsid w:val="2561643B"/>
    <w:rsid w:val="25F04C1E"/>
    <w:rsid w:val="2B412D0B"/>
    <w:rsid w:val="2EFF0573"/>
    <w:rsid w:val="3C7F7611"/>
    <w:rsid w:val="4A5B0721"/>
    <w:rsid w:val="4B09668F"/>
    <w:rsid w:val="4E966F93"/>
    <w:rsid w:val="5F175C70"/>
    <w:rsid w:val="65721EC0"/>
    <w:rsid w:val="65E40D9C"/>
    <w:rsid w:val="6AD565F1"/>
    <w:rsid w:val="74C37F24"/>
    <w:rsid w:val="78DD3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semiHidden/>
    <w:unhideWhenUsed/>
    <w:qFormat/>
    <w:uiPriority w:val="9"/>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unhideWhenUsed/>
    <w:qFormat/>
    <w:uiPriority w:val="99"/>
    <w:rPr>
      <w:color w:val="0000FF" w:themeColor="hyperlink"/>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No Spacing"/>
    <w:qFormat/>
    <w:uiPriority w:val="1"/>
    <w:pPr>
      <w:widowControl w:val="0"/>
      <w:jc w:val="both"/>
    </w:pPr>
    <w:rPr>
      <w:rFonts w:ascii="Times New Roman" w:hAnsi="Times New Roman" w:eastAsia="仿宋_GB2312" w:cs="Times New Roman"/>
      <w:kern w:val="2"/>
      <w:sz w:val="30"/>
      <w:szCs w:val="24"/>
      <w:lang w:val="en-US" w:eastAsia="zh-CN" w:bidi="ar-SA"/>
    </w:rPr>
  </w:style>
  <w:style w:type="paragraph" w:customStyle="1" w:styleId="12">
    <w:name w:val="Default"/>
    <w:qForma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8FFCBC-5655-45BB-9340-821418FA9C3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801</Words>
  <Characters>4569</Characters>
  <Lines>38</Lines>
  <Paragraphs>10</Paragraphs>
  <TotalTime>34</TotalTime>
  <ScaleCrop>false</ScaleCrop>
  <LinksUpToDate>false</LinksUpToDate>
  <CharactersWithSpaces>5360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xzzf</cp:lastModifiedBy>
  <dcterms:modified xsi:type="dcterms:W3CDTF">2020-06-08T09:16:30Z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