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150" w:rsidRDefault="009C2150" w:rsidP="009C2150">
      <w:pPr>
        <w:spacing w:line="600" w:lineRule="exact"/>
        <w:rPr>
          <w:rFonts w:ascii="仿宋_GB2312" w:hAnsi="仿宋_GB2312" w:cs="仿宋_GB2312"/>
        </w:rPr>
      </w:pPr>
      <w:r>
        <w:rPr>
          <w:rFonts w:ascii="仿宋_GB2312" w:hAnsi="仿宋_GB2312" w:cs="仿宋_GB2312" w:hint="eastAsia"/>
        </w:rPr>
        <w:t>附件·2</w:t>
      </w:r>
    </w:p>
    <w:p w:rsidR="009C2150" w:rsidRDefault="005A3272" w:rsidP="009C2150">
      <w:pPr>
        <w:spacing w:line="540" w:lineRule="exact"/>
        <w:jc w:val="center"/>
        <w:rPr>
          <w:rFonts w:ascii="仿宋_GB2312" w:hAnsi="仿宋_GB2312" w:cs="仿宋_GB2312"/>
          <w:b/>
          <w:kern w:val="0"/>
          <w:sz w:val="48"/>
          <w:szCs w:val="48"/>
        </w:rPr>
      </w:pPr>
      <w:r w:rsidRPr="005A3272">
        <w:rPr>
          <w:rFonts w:ascii="仿宋_GB2312" w:hAnsi="仿宋_GB2312" w:cs="仿宋_GB2312" w:hint="eastAsia"/>
          <w:b/>
          <w:kern w:val="0"/>
          <w:sz w:val="48"/>
          <w:szCs w:val="48"/>
        </w:rPr>
        <w:t>巴州林业有害生物防治检疫局</w:t>
      </w:r>
      <w:r w:rsidR="009C2150">
        <w:rPr>
          <w:rFonts w:ascii="仿宋_GB2312" w:hAnsi="仿宋_GB2312" w:cs="仿宋_GB2312" w:hint="eastAsia"/>
          <w:b/>
          <w:kern w:val="0"/>
          <w:sz w:val="48"/>
          <w:szCs w:val="48"/>
        </w:rPr>
        <w:t>项目支出绩效部门评价报告</w:t>
      </w:r>
    </w:p>
    <w:p w:rsidR="009C2150" w:rsidRDefault="009C2150" w:rsidP="00896238">
      <w:pPr>
        <w:spacing w:line="540" w:lineRule="exact"/>
        <w:ind w:firstLineChars="200" w:firstLine="1044"/>
        <w:jc w:val="center"/>
        <w:rPr>
          <w:rFonts w:ascii="仿宋_GB2312" w:hAnsi="仿宋_GB2312" w:cs="仿宋_GB2312"/>
          <w:b/>
          <w:kern w:val="0"/>
          <w:sz w:val="52"/>
          <w:szCs w:val="52"/>
        </w:rPr>
      </w:pPr>
    </w:p>
    <w:p w:rsidR="009C2150" w:rsidRDefault="009C2150" w:rsidP="009C2150">
      <w:pPr>
        <w:spacing w:line="540" w:lineRule="exact"/>
        <w:jc w:val="center"/>
        <w:rPr>
          <w:rFonts w:ascii="仿宋_GB2312" w:hAnsi="仿宋_GB2312" w:cs="仿宋_GB2312"/>
          <w:kern w:val="0"/>
          <w:sz w:val="36"/>
          <w:szCs w:val="36"/>
        </w:rPr>
      </w:pPr>
      <w:r>
        <w:rPr>
          <w:rFonts w:ascii="仿宋_GB2312" w:hAnsi="仿宋_GB2312" w:cs="仿宋_GB2312" w:hint="eastAsia"/>
          <w:kern w:val="0"/>
          <w:sz w:val="36"/>
          <w:szCs w:val="36"/>
        </w:rPr>
        <w:t>（2019年度）</w:t>
      </w: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jc w:val="center"/>
        <w:rPr>
          <w:rFonts w:ascii="仿宋_GB2312" w:hAnsi="仿宋_GB2312" w:cs="仿宋_GB2312"/>
          <w:kern w:val="0"/>
          <w:szCs w:val="30"/>
        </w:rPr>
      </w:pPr>
    </w:p>
    <w:p w:rsidR="009C2150" w:rsidRDefault="009C2150" w:rsidP="009C2150">
      <w:pPr>
        <w:ind w:firstLineChars="200" w:firstLine="600"/>
        <w:rPr>
          <w:rFonts w:ascii="仿宋_GB2312" w:hAnsi="仿宋_GB2312" w:cs="仿宋_GB2312"/>
          <w:kern w:val="0"/>
          <w:szCs w:val="30"/>
        </w:rPr>
      </w:pPr>
    </w:p>
    <w:p w:rsidR="009C2150" w:rsidRDefault="009C2150" w:rsidP="009C2150">
      <w:pPr>
        <w:ind w:leftChars="240" w:left="2520" w:rightChars="250" w:right="750" w:hangingChars="500" w:hanging="1800"/>
        <w:outlineLvl w:val="0"/>
        <w:rPr>
          <w:rFonts w:ascii="仿宋_GB2312" w:hAnsi="仿宋_GB2312" w:cs="仿宋_GB2312"/>
          <w:kern w:val="0"/>
          <w:sz w:val="36"/>
          <w:szCs w:val="36"/>
        </w:rPr>
      </w:pPr>
      <w:r>
        <w:rPr>
          <w:rFonts w:ascii="仿宋_GB2312" w:hAnsi="仿宋_GB2312" w:cs="仿宋_GB2312" w:hint="eastAsia"/>
          <w:kern w:val="0"/>
          <w:sz w:val="36"/>
          <w:szCs w:val="36"/>
        </w:rPr>
        <w:t>项目名称：</w:t>
      </w:r>
      <w:r w:rsidRPr="00896238">
        <w:rPr>
          <w:rFonts w:ascii="仿宋_GB2312" w:hAnsi="仿宋_GB2312" w:cs="仿宋_GB2312" w:hint="eastAsia"/>
          <w:kern w:val="0"/>
          <w:sz w:val="36"/>
          <w:szCs w:val="36"/>
        </w:rPr>
        <w:t>PGZKB秋季防治项目</w:t>
      </w:r>
    </w:p>
    <w:p w:rsidR="009C2150" w:rsidRDefault="009C2150" w:rsidP="009C2150">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实施单位（公章）：巴州林业有害生物防治检疫局</w:t>
      </w:r>
    </w:p>
    <w:p w:rsidR="009C2150" w:rsidRDefault="009C2150" w:rsidP="009C2150">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主管部门（公章）：巴州林业和草原局</w:t>
      </w:r>
    </w:p>
    <w:p w:rsidR="009C2150" w:rsidRDefault="009C2150" w:rsidP="009C2150">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项目负责人（签章）：孙建华</w:t>
      </w:r>
    </w:p>
    <w:p w:rsidR="009C2150" w:rsidRDefault="009C2150" w:rsidP="009C2150">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填报时间：</w:t>
      </w:r>
      <w:r w:rsidR="00997B82">
        <w:rPr>
          <w:rFonts w:ascii="仿宋_GB2312" w:hAnsi="仿宋_GB2312" w:cs="仿宋_GB2312"/>
          <w:kern w:val="0"/>
          <w:sz w:val="36"/>
          <w:szCs w:val="36"/>
        </w:rPr>
        <w:t>2020年</w:t>
      </w:r>
      <w:r w:rsidR="00997B82">
        <w:rPr>
          <w:rFonts w:ascii="仿宋_GB2312" w:hAnsi="仿宋_GB2312" w:cs="仿宋_GB2312" w:hint="eastAsia"/>
          <w:kern w:val="0"/>
          <w:sz w:val="36"/>
          <w:szCs w:val="36"/>
        </w:rPr>
        <w:t>4</w:t>
      </w:r>
      <w:r w:rsidR="00997B82">
        <w:rPr>
          <w:rFonts w:ascii="仿宋_GB2312" w:hAnsi="仿宋_GB2312" w:cs="仿宋_GB2312"/>
          <w:kern w:val="0"/>
          <w:sz w:val="36"/>
          <w:szCs w:val="36"/>
        </w:rPr>
        <w:t>月</w:t>
      </w:r>
      <w:r w:rsidR="00997B82">
        <w:rPr>
          <w:rFonts w:ascii="仿宋_GB2312" w:hAnsi="仿宋_GB2312" w:cs="仿宋_GB2312" w:hint="eastAsia"/>
          <w:kern w:val="0"/>
          <w:sz w:val="36"/>
          <w:szCs w:val="36"/>
        </w:rPr>
        <w:t>25日</w:t>
      </w:r>
    </w:p>
    <w:p w:rsidR="00A7182A" w:rsidRDefault="00A7182A" w:rsidP="00A7182A">
      <w:pPr>
        <w:rPr>
          <w:rFonts w:ascii="仿宋_GB2312" w:hAnsi="仿宋_GB2312" w:cs="仿宋_GB2312"/>
          <w:szCs w:val="30"/>
        </w:rPr>
      </w:pPr>
    </w:p>
    <w:p w:rsidR="00CC10B5" w:rsidRDefault="00C22141" w:rsidP="00A7182A">
      <w:pPr>
        <w:ind w:firstLineChars="500" w:firstLine="1807"/>
        <w:rPr>
          <w:rFonts w:ascii="Arial" w:eastAsia="宋体" w:hAnsi="Arial" w:cs="Arial"/>
          <w:b/>
          <w:bCs/>
          <w:sz w:val="36"/>
          <w:szCs w:val="36"/>
        </w:rPr>
      </w:pPr>
      <w:r w:rsidRPr="00A7182A">
        <w:rPr>
          <w:rFonts w:ascii="宋体" w:eastAsia="宋体" w:hAnsi="宋体" w:cs="Arial" w:hint="eastAsia"/>
          <w:b/>
          <w:bCs/>
          <w:sz w:val="36"/>
          <w:szCs w:val="36"/>
        </w:rPr>
        <w:t>PGZKB秋季防治项目</w:t>
      </w:r>
      <w:r w:rsidR="00CC10B5" w:rsidRPr="00A7182A">
        <w:rPr>
          <w:rFonts w:ascii="宋体" w:eastAsia="宋体" w:hAnsi="宋体" w:cs="Arial" w:hint="eastAsia"/>
          <w:b/>
          <w:bCs/>
          <w:sz w:val="36"/>
          <w:szCs w:val="36"/>
        </w:rPr>
        <w:t>支出</w:t>
      </w:r>
      <w:r w:rsidR="00CC10B5" w:rsidRPr="00A7182A">
        <w:rPr>
          <w:rFonts w:ascii="宋体" w:eastAsia="宋体" w:hAnsi="宋体" w:cs="Arial"/>
          <w:b/>
          <w:bCs/>
          <w:sz w:val="36"/>
          <w:szCs w:val="36"/>
        </w:rPr>
        <w:t>绩效</w:t>
      </w:r>
      <w:r w:rsidR="00CC10B5" w:rsidRPr="00A7182A">
        <w:rPr>
          <w:rFonts w:ascii="宋体" w:eastAsia="宋体" w:hAnsi="宋体" w:cs="Arial" w:hint="eastAsia"/>
          <w:b/>
          <w:bCs/>
          <w:sz w:val="36"/>
          <w:szCs w:val="36"/>
        </w:rPr>
        <w:t>评价报告</w:t>
      </w:r>
    </w:p>
    <w:p w:rsidR="00CC10B5" w:rsidRPr="00C22141" w:rsidRDefault="00CC10B5" w:rsidP="00CC10B5">
      <w:pPr>
        <w:jc w:val="center"/>
        <w:rPr>
          <w:rFonts w:ascii="仿宋_GB2312"/>
          <w:szCs w:val="30"/>
        </w:rPr>
      </w:pPr>
    </w:p>
    <w:p w:rsidR="00B43A08" w:rsidRDefault="00B43A08" w:rsidP="00B43A08">
      <w:pPr>
        <w:spacing w:line="600" w:lineRule="exact"/>
        <w:ind w:firstLineChars="200" w:firstLine="600"/>
        <w:rPr>
          <w:rFonts w:ascii="黑体" w:eastAsia="黑体" w:hAnsi="黑体"/>
        </w:rPr>
      </w:pPr>
      <w:r>
        <w:rPr>
          <w:rFonts w:ascii="黑体" w:eastAsia="黑体" w:hAnsi="黑体" w:hint="eastAsia"/>
        </w:rPr>
        <w:t>一、基本情况</w:t>
      </w:r>
    </w:p>
    <w:p w:rsidR="00B43A08" w:rsidRDefault="00B43A08" w:rsidP="00B43A08">
      <w:pPr>
        <w:spacing w:line="600" w:lineRule="exact"/>
        <w:ind w:firstLineChars="200" w:firstLine="600"/>
        <w:outlineLvl w:val="0"/>
        <w:rPr>
          <w:rFonts w:ascii="仿宋_GB2312"/>
        </w:rPr>
      </w:pPr>
      <w:r>
        <w:rPr>
          <w:rFonts w:ascii="仿宋_GB2312" w:hint="eastAsia"/>
        </w:rPr>
        <w:t>（一）项目概况。包括项目背景、主要内容及实施情况、资金投入和使用情况等。</w:t>
      </w:r>
    </w:p>
    <w:p w:rsidR="00B43A08" w:rsidRPr="00635EE0" w:rsidRDefault="00B43A08" w:rsidP="00B43A08">
      <w:pPr>
        <w:spacing w:line="600" w:lineRule="exact"/>
        <w:ind w:firstLineChars="200" w:firstLine="600"/>
        <w:outlineLvl w:val="0"/>
        <w:rPr>
          <w:rFonts w:ascii="仿宋_GB2312"/>
        </w:rPr>
      </w:pPr>
      <w:r w:rsidRPr="00635EE0">
        <w:rPr>
          <w:rFonts w:ascii="仿宋_GB2312" w:hint="eastAsia"/>
        </w:rPr>
        <w:lastRenderedPageBreak/>
        <w:t>库尔勒香梨是一个地域性极强的名优特优良品种，由于其良好的品质和显著的经济效益，香梨产业已成为香梨种植区农民收入的主要经济来源。2017年，库尔勒香梨一项农牧民人均纯收入5824.8元，占农民总收入的31.74％。然而随着香梨种植面积的迅猛扩大，产量的不断增加，使库尔勒香梨的由于追求高产导致病虫危害不断爆发，尤其是2017年我州库尔勒、尉犁、轮台县境内大规模爆发的苹果枝枯病疫情，使得香梨产业面临严重的威胁，截至目前，全州50万亩香梨中45.4万亩发生苹果枝枯病，发病率79.1%，苹果枝枯病防治工作事关我州香梨产业健康发展，事关全州各族人民福祉，事关脱贫攻坚和全面建成小康社会，事关社会稳定和长治久安总目标的实现，责任重大，任务艰巨。实施2019年巴州苹果枝枯病防治项目势在必行。</w:t>
      </w:r>
    </w:p>
    <w:p w:rsidR="00B43A08" w:rsidRDefault="00B43A08" w:rsidP="00B43A08">
      <w:pPr>
        <w:spacing w:line="600" w:lineRule="exact"/>
        <w:ind w:firstLineChars="200" w:firstLine="600"/>
        <w:outlineLvl w:val="0"/>
        <w:rPr>
          <w:rFonts w:ascii="仿宋_GB2312"/>
        </w:rPr>
      </w:pPr>
      <w:r w:rsidRPr="00635EE0">
        <w:rPr>
          <w:rFonts w:ascii="仿宋_GB2312" w:hint="eastAsia"/>
        </w:rPr>
        <w:t>2019年拨付我州自治区林业发展补助项目资金3000万元，拟于2019年7月上旬，对全州25万亩香梨果园进行40%春雷·噻唑锌悬浮剂1000倍液药剂防治一次;拟于秋季香梨采摘后对全州29.4万亩香梨果园进行3%噻霉酮水分散粒剂1200倍液药剂清园一次；对全州2.1万亩香梨果园进行20%噻唑锌悬浮剂500倍液药剂防治一次;剩余资金用于采购铜制剂，选用46%氢氧化铜水分散粒剂（可杀得三千）、27.2%碱式硫酸铜悬浮剂（铜高尚）、45%春雷·喹啉铜悬浮剂（兴农永福）、20%噻菌铜悬浮剂，对全州部分香梨果园进行药剂清园。</w:t>
      </w:r>
    </w:p>
    <w:p w:rsidR="00B43A08" w:rsidRPr="00B028D7" w:rsidRDefault="00B43A08" w:rsidP="00B43A08">
      <w:pPr>
        <w:spacing w:line="600" w:lineRule="exact"/>
        <w:ind w:firstLineChars="200" w:firstLine="600"/>
        <w:outlineLvl w:val="0"/>
        <w:rPr>
          <w:rFonts w:ascii="仿宋_GB2312"/>
        </w:rPr>
      </w:pPr>
      <w:r w:rsidRPr="00B028D7">
        <w:rPr>
          <w:rFonts w:ascii="仿宋_GB2312" w:hint="eastAsia"/>
        </w:rPr>
        <w:t>中央森林生态效益补助项目资金3000万元，支付3000万元，无结余。其中1250万元资金用于采购40%春雷·噻唑锌悬浮剂50吨,</w:t>
      </w:r>
      <w:r w:rsidRPr="00B028D7">
        <w:rPr>
          <w:rFonts w:ascii="仿宋_GB2312" w:hint="eastAsia"/>
        </w:rPr>
        <w:lastRenderedPageBreak/>
        <w:t>用于25万亩香梨苹果枝枯病雨后药剂补防；94万元资金用于采购20%噻唑锌悬浮剂8吨,作为防治储备用药；1238.97万元资金用于采购3%噻酶酮水分散粒剂49吨,用于29.4万亩香梨苹果枝枯病秋季药剂清园；417.03万元采购46%氢氧化铜水分散粒剂（可杀得三千）23.168吨,用于28万亩香梨苹果枝枯病2020年春季药剂清园。</w:t>
      </w:r>
    </w:p>
    <w:p w:rsidR="00B43A08" w:rsidRPr="00833EDC" w:rsidRDefault="00B43A08" w:rsidP="00B43A08">
      <w:pPr>
        <w:spacing w:line="600" w:lineRule="exact"/>
        <w:ind w:firstLineChars="200" w:firstLine="600"/>
        <w:rPr>
          <w:rFonts w:ascii="仿宋_GB2312"/>
        </w:rPr>
      </w:pPr>
      <w:r w:rsidRPr="00833EDC">
        <w:rPr>
          <w:rFonts w:ascii="仿宋_GB2312" w:hint="eastAsia"/>
        </w:rPr>
        <w:t>（二）项目绩效目标。包括总体目标和阶段性目标。</w:t>
      </w:r>
    </w:p>
    <w:p w:rsidR="00B67F5E" w:rsidRPr="00833EDC" w:rsidRDefault="00C22141" w:rsidP="00B43A08">
      <w:pPr>
        <w:spacing w:line="600" w:lineRule="exact"/>
        <w:ind w:firstLineChars="200" w:firstLine="600"/>
        <w:rPr>
          <w:rFonts w:ascii="仿宋_GB2312"/>
          <w:b/>
          <w:bCs/>
        </w:rPr>
      </w:pPr>
      <w:r w:rsidRPr="00833EDC">
        <w:rPr>
          <w:rFonts w:ascii="仿宋_GB2312" w:hint="eastAsia"/>
        </w:rPr>
        <w:t>总体目标：</w:t>
      </w:r>
      <w:r w:rsidR="00B67F5E" w:rsidRPr="00833EDC">
        <w:rPr>
          <w:rFonts w:ascii="仿宋_GB2312" w:hint="eastAsia"/>
        </w:rPr>
        <w:t>用于库尔勒市香梨主产乡镇、尉犁县香梨主产乡镇、轮台县香梨主产乡镇 25万亩香梨果园进行药剂防治</w:t>
      </w:r>
    </w:p>
    <w:p w:rsidR="00C22141" w:rsidRPr="00833EDC" w:rsidRDefault="00C22141" w:rsidP="00B67F5E">
      <w:pPr>
        <w:spacing w:line="600" w:lineRule="exact"/>
        <w:ind w:firstLineChars="200" w:firstLine="600"/>
        <w:rPr>
          <w:rFonts w:ascii="仿宋_GB2312"/>
        </w:rPr>
      </w:pPr>
      <w:r w:rsidRPr="00833EDC">
        <w:rPr>
          <w:rFonts w:ascii="仿宋_GB2312" w:hint="eastAsia"/>
        </w:rPr>
        <w:t>阶段性目标：</w:t>
      </w:r>
    </w:p>
    <w:p w:rsidR="00B43A08" w:rsidRPr="001436BE" w:rsidRDefault="00B43A08" w:rsidP="00B43A08">
      <w:pPr>
        <w:spacing w:line="600" w:lineRule="exact"/>
        <w:ind w:firstLineChars="200" w:firstLine="600"/>
        <w:rPr>
          <w:rFonts w:ascii="仿宋_GB2312"/>
        </w:rPr>
      </w:pPr>
      <w:r w:rsidRPr="00833EDC">
        <w:rPr>
          <w:rFonts w:ascii="仿宋_GB2312" w:hint="eastAsia"/>
        </w:rPr>
        <w:t>一是采购40%春雷·噻唑锌悬浮剂50吨,用于25万亩香梨苹果枝枯病雨后药剂补防；</w:t>
      </w:r>
    </w:p>
    <w:p w:rsidR="00B43A08" w:rsidRPr="001436BE" w:rsidRDefault="00B43A08" w:rsidP="00B43A08">
      <w:pPr>
        <w:spacing w:line="600" w:lineRule="exact"/>
        <w:ind w:firstLineChars="200" w:firstLine="600"/>
        <w:rPr>
          <w:rFonts w:ascii="仿宋_GB2312"/>
        </w:rPr>
      </w:pPr>
      <w:r w:rsidRPr="001436BE">
        <w:rPr>
          <w:rFonts w:ascii="仿宋_GB2312" w:hint="eastAsia"/>
        </w:rPr>
        <w:t>二是采购20%噻唑锌悬浮剂8吨,作为防治储备用药；</w:t>
      </w:r>
    </w:p>
    <w:p w:rsidR="00B43A08" w:rsidRPr="001436BE" w:rsidRDefault="00B43A08" w:rsidP="00B43A08">
      <w:pPr>
        <w:spacing w:line="600" w:lineRule="exact"/>
        <w:ind w:firstLineChars="200" w:firstLine="600"/>
        <w:rPr>
          <w:rFonts w:ascii="仿宋_GB2312"/>
        </w:rPr>
      </w:pPr>
      <w:r w:rsidRPr="001436BE">
        <w:rPr>
          <w:rFonts w:ascii="仿宋_GB2312" w:hint="eastAsia"/>
        </w:rPr>
        <w:t>三是采购3%噻酶酮水分散粒剂49吨,用于29.4万亩香梨苹果枝枯病秋季药剂清园；</w:t>
      </w:r>
    </w:p>
    <w:p w:rsidR="00B43A08" w:rsidRDefault="00B43A08" w:rsidP="00B43A08">
      <w:pPr>
        <w:spacing w:line="600" w:lineRule="exact"/>
        <w:ind w:firstLineChars="200" w:firstLine="600"/>
        <w:rPr>
          <w:rFonts w:ascii="仿宋_GB2312"/>
        </w:rPr>
      </w:pPr>
      <w:r w:rsidRPr="001436BE">
        <w:rPr>
          <w:rFonts w:ascii="仿宋_GB2312" w:hint="eastAsia"/>
        </w:rPr>
        <w:t>四是采购46%氢氧化铜水分散粒剂（可杀得三千）23.168吨,用于28万亩香梨苹果枝枯病2020年春季药剂清园。</w:t>
      </w:r>
    </w:p>
    <w:p w:rsidR="00B43A08" w:rsidRDefault="00B43A08" w:rsidP="00B43A08">
      <w:pPr>
        <w:spacing w:line="600" w:lineRule="exact"/>
        <w:ind w:firstLineChars="200" w:firstLine="600"/>
        <w:rPr>
          <w:rFonts w:ascii="黑体" w:eastAsia="黑体" w:hAnsi="黑体"/>
        </w:rPr>
      </w:pPr>
      <w:r>
        <w:rPr>
          <w:rFonts w:ascii="黑体" w:eastAsia="黑体" w:hAnsi="黑体" w:hint="eastAsia"/>
        </w:rPr>
        <w:t>二、绩效评价工作开展情况</w:t>
      </w:r>
    </w:p>
    <w:p w:rsidR="006A6355" w:rsidRPr="008E0278" w:rsidRDefault="006A6355" w:rsidP="006A6355">
      <w:pPr>
        <w:spacing w:line="600" w:lineRule="exact"/>
        <w:ind w:firstLineChars="200" w:firstLine="600"/>
        <w:rPr>
          <w:rFonts w:ascii="仿宋_GB2312"/>
        </w:rPr>
      </w:pPr>
      <w:r w:rsidRPr="008E0278">
        <w:rPr>
          <w:rFonts w:ascii="仿宋_GB2312" w:hint="eastAsia"/>
        </w:rPr>
        <w:t>（一）绩效评价目的、对象和范围</w:t>
      </w:r>
    </w:p>
    <w:p w:rsidR="006A6355" w:rsidRPr="008E0278" w:rsidRDefault="006A6355" w:rsidP="006A6355">
      <w:pPr>
        <w:spacing w:line="600" w:lineRule="exact"/>
        <w:ind w:firstLineChars="200" w:firstLine="600"/>
        <w:rPr>
          <w:rFonts w:ascii="仿宋_GB2312"/>
        </w:rPr>
      </w:pPr>
      <w:r w:rsidRPr="008E0278">
        <w:rPr>
          <w:rFonts w:ascii="仿宋_GB2312" w:hint="eastAsia"/>
        </w:rPr>
        <w:t>1.目的：依据设定的绩效目标，对项目支出的经济性、效率性、效益性和公平性进行客观、公正的测量、分析和评判，实施预算绩效管理，建立科学、合理的项目支出绩效评价体系，提高财政资源配置效率和使用效益。</w:t>
      </w:r>
    </w:p>
    <w:p w:rsidR="006A6355" w:rsidRPr="00E46D20" w:rsidRDefault="006A6355" w:rsidP="006A6355">
      <w:pPr>
        <w:spacing w:line="600" w:lineRule="exact"/>
        <w:ind w:firstLineChars="200" w:firstLine="600"/>
        <w:rPr>
          <w:rFonts w:ascii="仿宋_GB2312"/>
        </w:rPr>
      </w:pPr>
      <w:r w:rsidRPr="00E46D20">
        <w:rPr>
          <w:rFonts w:ascii="仿宋_GB2312" w:hint="eastAsia"/>
        </w:rPr>
        <w:lastRenderedPageBreak/>
        <w:t>2.对象：PGZKB秋季防治项目，2019年自治区林业发展补助项目资金-苹果枝枯病防治项目，包括本项目所有支出。</w:t>
      </w:r>
    </w:p>
    <w:p w:rsidR="006A6355" w:rsidRPr="008E0278" w:rsidRDefault="006A6355" w:rsidP="006A6355">
      <w:pPr>
        <w:spacing w:line="600" w:lineRule="exact"/>
        <w:ind w:firstLineChars="200" w:firstLine="600"/>
        <w:rPr>
          <w:rFonts w:ascii="仿宋_GB2312"/>
        </w:rPr>
      </w:pPr>
      <w:r w:rsidRPr="00E46D20">
        <w:rPr>
          <w:rFonts w:ascii="仿宋_GB2312" w:hint="eastAsia"/>
        </w:rPr>
        <w:t>3.范围：起止时间为2019年6月1日-2020年6月30日，包括项目总体绩效目标、各项绩效指标完成情况以及预算执行情况。</w:t>
      </w:r>
    </w:p>
    <w:p w:rsidR="006A6355" w:rsidRPr="008E0278" w:rsidRDefault="006A6355" w:rsidP="006A6355">
      <w:pPr>
        <w:spacing w:line="600" w:lineRule="exact"/>
        <w:ind w:firstLineChars="200" w:firstLine="600"/>
        <w:rPr>
          <w:rFonts w:ascii="仿宋_GB2312"/>
        </w:rPr>
      </w:pPr>
      <w:r w:rsidRPr="008E0278">
        <w:rPr>
          <w:rFonts w:ascii="仿宋_GB2312" w:hint="eastAsia"/>
        </w:rPr>
        <w:t>（二）绩效评价原则、评价指标体系、评价方法、评价标准等。</w:t>
      </w:r>
    </w:p>
    <w:p w:rsidR="006A6355" w:rsidRPr="008E0278" w:rsidRDefault="006A6355" w:rsidP="006A6355">
      <w:pPr>
        <w:spacing w:line="600" w:lineRule="exact"/>
        <w:ind w:firstLineChars="200" w:firstLine="600"/>
        <w:rPr>
          <w:rFonts w:ascii="仿宋_GB2312"/>
        </w:rPr>
      </w:pPr>
      <w:r w:rsidRPr="008E0278">
        <w:rPr>
          <w:rFonts w:ascii="仿宋_GB2312" w:hint="eastAsia"/>
        </w:rPr>
        <w:t>1.原则：科学公正、统筹兼顾、激励约束、公开透明</w:t>
      </w:r>
    </w:p>
    <w:p w:rsidR="00041A05" w:rsidRPr="008E0278" w:rsidRDefault="006A6355" w:rsidP="006A6355">
      <w:pPr>
        <w:spacing w:line="600" w:lineRule="exact"/>
        <w:ind w:firstLineChars="200" w:firstLine="600"/>
        <w:rPr>
          <w:rFonts w:ascii="仿宋_GB2312"/>
          <w:highlight w:val="yellow"/>
        </w:rPr>
      </w:pPr>
      <w:r w:rsidRPr="008E0278">
        <w:rPr>
          <w:rFonts w:ascii="仿宋_GB2312" w:hint="eastAsia"/>
        </w:rPr>
        <w:t>2.指标体系：主要指预算批复时确定的绩效指标：包括产出指标、效益指标、满意度等，对未完成绩效目标或偏离绩效目标较大的项目要分析并说明原因，研究提出改进措施。</w:t>
      </w:r>
    </w:p>
    <w:p w:rsidR="00041A05" w:rsidRPr="008E0278" w:rsidRDefault="00041A05" w:rsidP="00041A05">
      <w:pPr>
        <w:spacing w:line="600" w:lineRule="exact"/>
        <w:ind w:firstLineChars="200" w:firstLine="600"/>
        <w:rPr>
          <w:rFonts w:ascii="仿宋_GB2312"/>
        </w:rPr>
      </w:pPr>
      <w:r w:rsidRPr="008E0278">
        <w:rPr>
          <w:rFonts w:ascii="仿宋_GB2312" w:hint="eastAsia"/>
        </w:rPr>
        <w:t>根据财政部《项目支出绩效评价管理办法》（财预﹝2020﹞10号）规定，按照“谁使用、谁自评”的原则，对项目建设设定的绩效目标体系完成情况进行评价。</w:t>
      </w:r>
    </w:p>
    <w:p w:rsidR="00041A05" w:rsidRPr="008E0278" w:rsidRDefault="00041A05" w:rsidP="00041A05">
      <w:pPr>
        <w:spacing w:line="600" w:lineRule="exact"/>
        <w:ind w:firstLineChars="200" w:firstLine="600"/>
        <w:rPr>
          <w:rFonts w:ascii="仿宋_GB2312"/>
        </w:rPr>
      </w:pPr>
      <w:r w:rsidRPr="008E0278">
        <w:rPr>
          <w:rFonts w:ascii="仿宋_GB2312" w:hint="eastAsia"/>
        </w:rPr>
        <w:t>设定评价总分为100分，其中项目资金预算执行情况10分，产出指标50分，效益指标30分，满意度指标10分。</w:t>
      </w:r>
    </w:p>
    <w:p w:rsidR="006A6355" w:rsidRPr="008E0278" w:rsidRDefault="006A6355" w:rsidP="006A6355">
      <w:pPr>
        <w:spacing w:line="600" w:lineRule="exact"/>
        <w:ind w:firstLineChars="200" w:firstLine="600"/>
        <w:rPr>
          <w:rFonts w:ascii="仿宋_GB2312"/>
        </w:rPr>
      </w:pPr>
      <w:r w:rsidRPr="008E0278">
        <w:rPr>
          <w:rFonts w:ascii="仿宋_GB2312" w:hint="eastAsia"/>
        </w:rPr>
        <w:t>3.方法：本评价采用比较法。</w:t>
      </w:r>
    </w:p>
    <w:p w:rsidR="006A6355" w:rsidRPr="008E0278" w:rsidRDefault="006A6355" w:rsidP="006A6355">
      <w:pPr>
        <w:spacing w:line="600" w:lineRule="exact"/>
        <w:ind w:firstLineChars="200" w:firstLine="600"/>
        <w:rPr>
          <w:rFonts w:ascii="仿宋_GB2312"/>
        </w:rPr>
      </w:pPr>
      <w:r w:rsidRPr="008E0278">
        <w:rPr>
          <w:rFonts w:ascii="仿宋_GB2312" w:hint="eastAsia"/>
        </w:rPr>
        <w:t>4.标准：采用计划标准，对预先制定的目标、计划、预算、定额等作为评价标准。</w:t>
      </w:r>
    </w:p>
    <w:p w:rsidR="006A6355" w:rsidRPr="008E0278" w:rsidRDefault="006A6355" w:rsidP="006A6355">
      <w:pPr>
        <w:spacing w:line="600" w:lineRule="exact"/>
        <w:ind w:firstLineChars="200" w:firstLine="600"/>
        <w:rPr>
          <w:rFonts w:ascii="仿宋_GB2312"/>
        </w:rPr>
      </w:pPr>
      <w:r w:rsidRPr="008E0278">
        <w:rPr>
          <w:rFonts w:ascii="仿宋_GB2312" w:hint="eastAsia"/>
        </w:rPr>
        <w:t>（三）绩效评价工作过程</w:t>
      </w:r>
    </w:p>
    <w:p w:rsidR="007C349B" w:rsidRDefault="006A6355" w:rsidP="006A6355">
      <w:pPr>
        <w:spacing w:line="600" w:lineRule="exact"/>
        <w:ind w:firstLineChars="200" w:firstLine="600"/>
        <w:rPr>
          <w:rFonts w:ascii="仿宋_GB2312"/>
        </w:rPr>
      </w:pPr>
      <w:r w:rsidRPr="008E0278">
        <w:rPr>
          <w:rFonts w:ascii="仿宋_GB2312" w:hint="eastAsia"/>
        </w:rPr>
        <w:t>工作过程主要包括：</w:t>
      </w:r>
    </w:p>
    <w:p w:rsidR="00846C1F" w:rsidRDefault="00846C1F" w:rsidP="00846C1F">
      <w:pPr>
        <w:spacing w:line="600" w:lineRule="exact"/>
        <w:ind w:firstLineChars="200" w:firstLine="600"/>
        <w:rPr>
          <w:rFonts w:ascii="仿宋_GB2312"/>
        </w:rPr>
      </w:pPr>
      <w:r>
        <w:rPr>
          <w:rFonts w:ascii="仿宋_GB2312" w:hint="eastAsia"/>
        </w:rPr>
        <w:t>第一阶段</w:t>
      </w:r>
      <w:r w:rsidR="006A6355" w:rsidRPr="008E0278">
        <w:rPr>
          <w:rFonts w:ascii="仿宋_GB2312" w:hint="eastAsia"/>
        </w:rPr>
        <w:t>前期准备</w:t>
      </w:r>
      <w:r w:rsidR="006A6355" w:rsidRPr="007C349B">
        <w:rPr>
          <w:rFonts w:ascii="仿宋_GB2312" w:hint="eastAsia"/>
        </w:rPr>
        <w:t>：由我局</w:t>
      </w:r>
      <w:r w:rsidR="00041A05" w:rsidRPr="007C349B">
        <w:rPr>
          <w:rFonts w:ascii="仿宋_GB2312" w:hint="eastAsia"/>
        </w:rPr>
        <w:t>防治检疫科</w:t>
      </w:r>
      <w:r w:rsidR="006A6355" w:rsidRPr="007C349B">
        <w:rPr>
          <w:rFonts w:ascii="仿宋_GB2312" w:hint="eastAsia"/>
        </w:rPr>
        <w:t>具体</w:t>
      </w:r>
      <w:r w:rsidR="006A6355" w:rsidRPr="008E0278">
        <w:rPr>
          <w:rFonts w:ascii="仿宋_GB2312" w:hint="eastAsia"/>
        </w:rPr>
        <w:t>负责，根据绩效评价要求，制定详细工作方案，确定评价指标细则；</w:t>
      </w:r>
    </w:p>
    <w:p w:rsidR="00846C1F" w:rsidRDefault="006A6355" w:rsidP="00846C1F">
      <w:pPr>
        <w:spacing w:line="600" w:lineRule="exact"/>
        <w:ind w:firstLineChars="200" w:firstLine="600"/>
        <w:rPr>
          <w:rFonts w:ascii="仿宋_GB2312"/>
        </w:rPr>
      </w:pPr>
      <w:r w:rsidRPr="008E0278">
        <w:rPr>
          <w:rFonts w:ascii="仿宋_GB2312" w:hint="eastAsia"/>
        </w:rPr>
        <w:t>第二阶段实施评价：收集绩效评价相关资料、对资料进行审查</w:t>
      </w:r>
      <w:r w:rsidRPr="008E0278">
        <w:rPr>
          <w:rFonts w:ascii="仿宋_GB2312" w:hint="eastAsia"/>
        </w:rPr>
        <w:lastRenderedPageBreak/>
        <w:t>核实、综合分析并形成评价结论；</w:t>
      </w:r>
    </w:p>
    <w:p w:rsidR="006A6355" w:rsidRPr="006A6355" w:rsidRDefault="006A6355" w:rsidP="006A6355">
      <w:pPr>
        <w:spacing w:line="600" w:lineRule="exact"/>
        <w:ind w:firstLineChars="200" w:firstLine="600"/>
        <w:rPr>
          <w:rFonts w:ascii="仿宋_GB2312"/>
        </w:rPr>
      </w:pPr>
      <w:r w:rsidRPr="008E0278">
        <w:rPr>
          <w:rFonts w:ascii="仿宋_GB2312" w:hint="eastAsia"/>
        </w:rPr>
        <w:t>第三阶段：撰写与提交评价报告。</w:t>
      </w:r>
    </w:p>
    <w:p w:rsidR="00B43A08" w:rsidRDefault="00B43A08" w:rsidP="00B43A08">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B43A08" w:rsidRDefault="00B43A08" w:rsidP="00B43A08">
      <w:pPr>
        <w:spacing w:line="600" w:lineRule="exact"/>
        <w:ind w:firstLineChars="200" w:firstLine="600"/>
        <w:rPr>
          <w:rFonts w:ascii="仿宋_GB2312"/>
        </w:rPr>
      </w:pPr>
      <w:r>
        <w:rPr>
          <w:rFonts w:ascii="仿宋_GB2312" w:hint="eastAsia"/>
        </w:rPr>
        <w:t>综合评价，得分98分。其中全年预算执行情况得8分，产出指标50分，效益指标30分，满意度指标10分。</w:t>
      </w:r>
    </w:p>
    <w:p w:rsidR="00B43A08" w:rsidRDefault="00B43A08" w:rsidP="00E178A7">
      <w:pPr>
        <w:rPr>
          <w:rFonts w:ascii="仿宋_GB2312"/>
        </w:rPr>
      </w:pPr>
    </w:p>
    <w:p w:rsidR="00B43A08" w:rsidRDefault="00B43A08" w:rsidP="00B43A08">
      <w:pPr>
        <w:spacing w:line="600" w:lineRule="exact"/>
        <w:ind w:firstLineChars="200" w:firstLine="600"/>
        <w:rPr>
          <w:rFonts w:ascii="黑体" w:eastAsia="黑体" w:hAnsi="黑体"/>
        </w:rPr>
      </w:pPr>
      <w:r>
        <w:rPr>
          <w:rFonts w:ascii="黑体" w:eastAsia="黑体" w:hAnsi="黑体" w:hint="eastAsia"/>
        </w:rPr>
        <w:t>四、绩效评价指标分析</w:t>
      </w:r>
    </w:p>
    <w:p w:rsidR="00B43A08" w:rsidRDefault="007018E9" w:rsidP="00B43A08">
      <w:pPr>
        <w:spacing w:line="600" w:lineRule="exact"/>
        <w:ind w:firstLineChars="200" w:firstLine="600"/>
        <w:outlineLvl w:val="0"/>
        <w:rPr>
          <w:rFonts w:ascii="仿宋_GB2312"/>
        </w:rPr>
      </w:pPr>
      <w:r>
        <w:rPr>
          <w:rFonts w:ascii="仿宋_GB2312" w:hint="eastAsia"/>
        </w:rPr>
        <w:t>（一）项目决策情况</w:t>
      </w:r>
    </w:p>
    <w:p w:rsidR="00B43A08" w:rsidRPr="001717FE" w:rsidRDefault="00B43A08" w:rsidP="00B43A08">
      <w:pPr>
        <w:spacing w:line="600" w:lineRule="exact"/>
        <w:ind w:firstLineChars="200" w:firstLine="600"/>
        <w:outlineLvl w:val="0"/>
        <w:rPr>
          <w:rFonts w:ascii="仿宋_GB2312"/>
        </w:rPr>
      </w:pPr>
      <w:r>
        <w:rPr>
          <w:rFonts w:ascii="仿宋_GB2312" w:hint="eastAsia"/>
        </w:rPr>
        <w:t>成立由巴州林草</w:t>
      </w:r>
      <w:r w:rsidRPr="001717FE">
        <w:rPr>
          <w:rFonts w:ascii="仿宋_GB2312" w:hint="eastAsia"/>
        </w:rPr>
        <w:t>局、巴州林检局、库尔勒市、尉犁县、轮台县林草局组成的项目工作组。巴州林检局负责项目组织协调。巴州林检局局长孙建华总体主持项目，负责项目总体目标任务的完成，并将各项工作任务分解落实到的项目小组负责人及各示范点负责人。按目标管理责任制的要求，实行项目管理的激励机制，根据工作完成情况，确定奖罚措施，确保项目实现各项防治指标，按时通过验收。</w:t>
      </w:r>
    </w:p>
    <w:p w:rsidR="00B43A08" w:rsidRDefault="00B43A08" w:rsidP="00B43A08">
      <w:pPr>
        <w:spacing w:line="600" w:lineRule="exact"/>
        <w:ind w:firstLineChars="200" w:firstLine="600"/>
        <w:outlineLvl w:val="0"/>
        <w:rPr>
          <w:rFonts w:ascii="仿宋_GB2312"/>
        </w:rPr>
      </w:pPr>
      <w:r>
        <w:rPr>
          <w:rFonts w:ascii="仿宋_GB2312" w:hint="eastAsia"/>
        </w:rPr>
        <w:t>（二）项</w:t>
      </w:r>
      <w:r w:rsidR="007018E9">
        <w:rPr>
          <w:rFonts w:ascii="仿宋_GB2312" w:hint="eastAsia"/>
        </w:rPr>
        <w:t>目过程情况</w:t>
      </w:r>
    </w:p>
    <w:p w:rsidR="00B43A08" w:rsidRDefault="00B43A08" w:rsidP="00B43A08">
      <w:pPr>
        <w:spacing w:line="600" w:lineRule="exact"/>
        <w:ind w:firstLineChars="200" w:firstLine="600"/>
        <w:outlineLvl w:val="0"/>
        <w:rPr>
          <w:rFonts w:ascii="仿宋_GB2312"/>
        </w:rPr>
      </w:pPr>
      <w:r w:rsidRPr="00FD6F37">
        <w:rPr>
          <w:rFonts w:ascii="仿宋_GB2312" w:hint="eastAsia"/>
        </w:rPr>
        <w:t>资金拨付后，严格按照年度投资计划确定的用途和建设内容使用资金，专款专用，无挤占、挪用、串用财政资金的现象，严格按照国家的专项资金使用要求进行支出，无弄虚作假、虚列支出的情况，充分发挥了林业项目资金的作用。</w:t>
      </w:r>
    </w:p>
    <w:p w:rsidR="00B43A08" w:rsidRDefault="007018E9" w:rsidP="00B43A08">
      <w:pPr>
        <w:spacing w:line="600" w:lineRule="exact"/>
        <w:ind w:firstLineChars="200" w:firstLine="600"/>
        <w:outlineLvl w:val="0"/>
        <w:rPr>
          <w:rFonts w:ascii="仿宋_GB2312"/>
        </w:rPr>
      </w:pPr>
      <w:r>
        <w:rPr>
          <w:rFonts w:ascii="仿宋_GB2312" w:hint="eastAsia"/>
        </w:rPr>
        <w:t>（三）项目产出情况</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（1）数量指标</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lastRenderedPageBreak/>
        <w:t>一是1250万元资金用于采购40%春雷·噻唑锌悬浮剂50吨,用于25万亩香梨苹果枝枯病雨后药剂补防；</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二是94万元资金用于采购20%噻唑锌悬浮剂8吨,作为防治储备用药；</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三是1238.97万元资金用于采购3%噻酶酮水分散粒剂49吨,用于29.4万亩香梨苹果枝枯病秋季药剂清园；</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四是417.03万元采购46%氢氧化铜水分散粒剂（可杀得三千）23.168吨,用于28万亩香梨苹果枝枯病2020年春季药剂清园。</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（2）质量指标</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各子项目保质保量完成既定质量指标，完成率100%。</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（3）时效指标</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各项目均在时效内完成既定目标，未有超时现象。</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（4）成本指标</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各项目成本均按照既定成本，控制在成本范围内，未发生超成本现象。</w:t>
      </w:r>
    </w:p>
    <w:p w:rsidR="00B43A08" w:rsidRDefault="007018E9" w:rsidP="00B43A08">
      <w:pPr>
        <w:spacing w:line="600" w:lineRule="exact"/>
        <w:ind w:firstLineChars="200" w:firstLine="600"/>
        <w:outlineLvl w:val="0"/>
        <w:rPr>
          <w:rFonts w:ascii="仿宋_GB2312"/>
        </w:rPr>
      </w:pPr>
      <w:r>
        <w:rPr>
          <w:rFonts w:ascii="仿宋_GB2312" w:hint="eastAsia"/>
        </w:rPr>
        <w:t>（四）项目效益情况</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（1）经济效益</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项目2019年预算资金3000万元，实际支出3000万元，成本控制和成本节约方面没有超出预算。</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（2）社会效益</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着力扭转苹果枝枯病流行趋势，努力实现库尔勒香梨产业的可持续发展，为各族群众增收产生积极影响，为新农村建设和扶贫攻</w:t>
      </w:r>
      <w:r w:rsidRPr="00FD6F37">
        <w:rPr>
          <w:rFonts w:ascii="仿宋_GB2312" w:hint="eastAsia"/>
        </w:rPr>
        <w:lastRenderedPageBreak/>
        <w:t>关打下良好基础。</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（3）生态效益</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通过项目开展，有效降低了苹果枝枯病的发生程度和发生面积，有效保障了我州生态安全。</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（4）可持续影响</w:t>
      </w:r>
    </w:p>
    <w:p w:rsidR="00B43A08" w:rsidRPr="00FD6F37" w:rsidRDefault="00B43A08" w:rsidP="00B43A08">
      <w:pPr>
        <w:spacing w:line="600" w:lineRule="exact"/>
        <w:ind w:firstLineChars="200" w:firstLine="600"/>
        <w:outlineLvl w:val="0"/>
        <w:rPr>
          <w:rFonts w:ascii="仿宋_GB2312"/>
        </w:rPr>
      </w:pPr>
      <w:r w:rsidRPr="00FD6F37">
        <w:rPr>
          <w:rFonts w:ascii="仿宋_GB2312" w:hint="eastAsia"/>
        </w:rPr>
        <w:t>项目的实施，有效遏制我州苹果枝枯病，有效保障我州特色林果业、生态健康可持续发展。</w:t>
      </w:r>
    </w:p>
    <w:p w:rsidR="00B43A08" w:rsidRDefault="00B43A08" w:rsidP="00B43A08">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B43A08" w:rsidRDefault="00B43A08" w:rsidP="00B43A08">
      <w:pPr>
        <w:spacing w:line="600" w:lineRule="exact"/>
        <w:ind w:firstLineChars="200" w:firstLine="600"/>
        <w:rPr>
          <w:rFonts w:ascii="仿宋_GB2312"/>
        </w:rPr>
      </w:pPr>
      <w:r w:rsidRPr="00F275B5">
        <w:rPr>
          <w:rFonts w:ascii="仿宋_GB2312" w:hint="eastAsia"/>
        </w:rPr>
        <w:t>项目资金</w:t>
      </w:r>
      <w:r>
        <w:rPr>
          <w:rFonts w:ascii="仿宋_GB2312" w:hint="eastAsia"/>
        </w:rPr>
        <w:t>专款专用，投入资金使用方向明确，为巴州苹果枝枯病防治项目作出了应有的贡献，给巴州香梨产业带来极大的经济效益及社会效益。</w:t>
      </w:r>
    </w:p>
    <w:p w:rsidR="00B43A08" w:rsidRPr="000D65F1" w:rsidRDefault="00B43A08" w:rsidP="00B43A08">
      <w:pPr>
        <w:spacing w:line="600" w:lineRule="exact"/>
        <w:ind w:firstLineChars="200" w:firstLine="600"/>
        <w:rPr>
          <w:rFonts w:ascii="仿宋_GB2312"/>
        </w:rPr>
      </w:pPr>
      <w:r>
        <w:rPr>
          <w:rFonts w:ascii="仿宋_GB2312" w:hint="eastAsia"/>
        </w:rPr>
        <w:t>存在的问题，项目资金绩效自评水平进一步加强。</w:t>
      </w:r>
    </w:p>
    <w:p w:rsidR="00B43A08" w:rsidRDefault="00B43A08" w:rsidP="00B43A08">
      <w:pPr>
        <w:spacing w:line="600" w:lineRule="exact"/>
        <w:ind w:firstLineChars="200" w:firstLine="600"/>
        <w:rPr>
          <w:rFonts w:ascii="黑体" w:eastAsia="黑体" w:hAnsi="黑体"/>
        </w:rPr>
      </w:pPr>
      <w:r>
        <w:rPr>
          <w:rFonts w:ascii="黑体" w:eastAsia="黑体" w:hAnsi="黑体" w:hint="eastAsia"/>
        </w:rPr>
        <w:t>六、有关建议</w:t>
      </w:r>
    </w:p>
    <w:p w:rsidR="00B43A08" w:rsidRPr="000D65F1" w:rsidRDefault="00B43A08" w:rsidP="00B43A08">
      <w:pPr>
        <w:spacing w:line="600" w:lineRule="exact"/>
        <w:ind w:firstLineChars="200" w:firstLine="600"/>
        <w:rPr>
          <w:rFonts w:ascii="仿宋_GB2312"/>
        </w:rPr>
      </w:pPr>
      <w:r w:rsidRPr="000D65F1">
        <w:rPr>
          <w:rFonts w:ascii="仿宋_GB2312" w:hint="eastAsia"/>
        </w:rPr>
        <w:t>无。</w:t>
      </w:r>
    </w:p>
    <w:p w:rsidR="00B43A08" w:rsidRPr="000B4E42" w:rsidRDefault="00B43A08" w:rsidP="00B43A08">
      <w:pPr>
        <w:spacing w:line="600" w:lineRule="exact"/>
        <w:ind w:firstLineChars="200" w:firstLine="600"/>
        <w:rPr>
          <w:rFonts w:ascii="仿宋_GB2312"/>
          <w:bCs/>
          <w:sz w:val="32"/>
          <w:szCs w:val="32"/>
        </w:rPr>
      </w:pPr>
      <w:r>
        <w:rPr>
          <w:rFonts w:ascii="黑体" w:eastAsia="黑体" w:hAnsi="黑体" w:hint="eastAsia"/>
        </w:rPr>
        <w:t>七、其他需要说明的问题</w:t>
      </w:r>
    </w:p>
    <w:p w:rsidR="00B43A08" w:rsidRDefault="00B43A08" w:rsidP="00B43A08">
      <w:pPr>
        <w:spacing w:line="600" w:lineRule="exact"/>
        <w:ind w:firstLineChars="200" w:firstLine="600"/>
        <w:rPr>
          <w:rFonts w:ascii="仿宋_GB2312"/>
        </w:rPr>
      </w:pPr>
      <w:r w:rsidRPr="000D65F1">
        <w:rPr>
          <w:rFonts w:ascii="仿宋_GB2312" w:hint="eastAsia"/>
        </w:rPr>
        <w:t>无。</w:t>
      </w:r>
    </w:p>
    <w:p w:rsidR="00B43A08" w:rsidRDefault="00B43A08" w:rsidP="00CC10B5">
      <w:pPr>
        <w:spacing w:line="600" w:lineRule="exact"/>
        <w:ind w:firstLineChars="200" w:firstLine="600"/>
        <w:rPr>
          <w:rFonts w:ascii="黑体" w:eastAsia="黑体" w:hAnsi="黑体"/>
        </w:rPr>
      </w:pPr>
    </w:p>
    <w:p w:rsidR="00CC10B5" w:rsidRPr="00CC10B5" w:rsidRDefault="00CC10B5" w:rsidP="00CC10B5">
      <w:pPr>
        <w:spacing w:line="600" w:lineRule="exact"/>
        <w:ind w:firstLineChars="200" w:firstLine="600"/>
        <w:rPr>
          <w:rFonts w:ascii="黑体" w:eastAsia="黑体" w:hAnsi="黑体"/>
        </w:rPr>
        <w:sectPr w:rsidR="00CC10B5" w:rsidRPr="00CC10B5">
          <w:footerReference w:type="default" r:id="rId7"/>
          <w:pgSz w:w="11906" w:h="16838"/>
          <w:pgMar w:top="1928" w:right="1531" w:bottom="1701" w:left="1531" w:header="737" w:footer="851" w:gutter="0"/>
          <w:cols w:space="720"/>
          <w:docGrid w:type="lines" w:linePitch="408"/>
        </w:sectPr>
      </w:pPr>
    </w:p>
    <w:p w:rsidR="00CC10B5" w:rsidRDefault="00CC10B5" w:rsidP="00CC10B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CC10B5" w:rsidRDefault="00CC10B5" w:rsidP="00CC10B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56"/>
        <w:gridCol w:w="7"/>
        <w:gridCol w:w="1265"/>
        <w:gridCol w:w="32"/>
        <w:gridCol w:w="1396"/>
        <w:gridCol w:w="15"/>
        <w:gridCol w:w="2789"/>
        <w:gridCol w:w="7341"/>
        <w:gridCol w:w="829"/>
        <w:gridCol w:w="12"/>
        <w:gridCol w:w="11"/>
        <w:gridCol w:w="899"/>
        <w:gridCol w:w="12"/>
        <w:gridCol w:w="11"/>
      </w:tblGrid>
      <w:tr w:rsidR="00CC10B5" w:rsidTr="00255191">
        <w:trPr>
          <w:gridAfter w:val="1"/>
          <w:wAfter w:w="11" w:type="dxa"/>
          <w:trHeight w:val="692"/>
          <w:tblHeader/>
          <w:jc w:val="center"/>
        </w:trPr>
        <w:tc>
          <w:tcPr>
            <w:tcW w:w="763"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397B3D" w:rsidTr="00255191">
        <w:trPr>
          <w:gridAfter w:val="1"/>
          <w:wAfter w:w="11" w:type="dxa"/>
          <w:trHeight w:val="2318"/>
          <w:jc w:val="center"/>
        </w:trPr>
        <w:tc>
          <w:tcPr>
            <w:tcW w:w="763" w:type="dxa"/>
            <w:gridSpan w:val="2"/>
            <w:vMerge w:val="restart"/>
            <w:tcBorders>
              <w:tl2br w:val="nil"/>
              <w:tr2bl w:val="nil"/>
            </w:tcBorders>
            <w:shd w:val="clear" w:color="auto" w:fill="FFFFFF"/>
            <w:vAlign w:val="center"/>
          </w:tcPr>
          <w:p w:rsidR="00397B3D" w:rsidRDefault="00397B3D" w:rsidP="00397B3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决策(20分)</w:t>
            </w:r>
          </w:p>
        </w:tc>
        <w:tc>
          <w:tcPr>
            <w:tcW w:w="1297"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397B3D" w:rsidRDefault="00397B3D" w:rsidP="009346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397B3D" w:rsidRDefault="00397B3D"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97B3D" w:rsidRDefault="00CE0F2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97B3D" w:rsidTr="00255191">
        <w:trPr>
          <w:gridAfter w:val="1"/>
          <w:wAfter w:w="11" w:type="dxa"/>
          <w:trHeight w:val="1919"/>
          <w:jc w:val="center"/>
        </w:trPr>
        <w:tc>
          <w:tcPr>
            <w:tcW w:w="763" w:type="dxa"/>
            <w:gridSpan w:val="2"/>
            <w:vMerge/>
            <w:tcBorders>
              <w:tl2br w:val="nil"/>
              <w:tr2bl w:val="nil"/>
            </w:tcBorders>
            <w:shd w:val="clear" w:color="auto" w:fill="FFFFFF"/>
            <w:vAlign w:val="center"/>
          </w:tcPr>
          <w:p w:rsidR="00397B3D" w:rsidRDefault="00397B3D" w:rsidP="00255191">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397B3D" w:rsidRDefault="00397B3D" w:rsidP="00397B3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绩效目标（10）</w:t>
            </w:r>
          </w:p>
        </w:tc>
        <w:tc>
          <w:tcPr>
            <w:tcW w:w="1411"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397B3D" w:rsidRDefault="00397B3D"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w:t>
            </w:r>
            <w:bookmarkStart w:id="0" w:name="_GoBack"/>
            <w:bookmarkEnd w:id="0"/>
            <w:r>
              <w:rPr>
                <w:rFonts w:ascii="宋体" w:eastAsia="宋体" w:hAnsi="宋体" w:cs="宋体" w:hint="eastAsia"/>
                <w:color w:val="000000"/>
                <w:kern w:val="0"/>
                <w:sz w:val="22"/>
                <w:szCs w:val="22"/>
              </w:rPr>
              <w:t>关性；</w:t>
            </w:r>
            <w:r>
              <w:rPr>
                <w:rFonts w:ascii="宋体" w:eastAsia="宋体" w:hAnsi="宋体" w:cs="宋体" w:hint="eastAsia"/>
                <w:color w:val="000000"/>
                <w:kern w:val="0"/>
                <w:sz w:val="22"/>
                <w:szCs w:val="22"/>
              </w:rPr>
              <w:br/>
              <w:t>③项目预期产出效益和效果是否符合正常的业绩水平；</w:t>
            </w:r>
          </w:p>
          <w:p w:rsidR="00397B3D" w:rsidRDefault="00397B3D"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397B3D" w:rsidRDefault="00397B3D"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97B3D" w:rsidRDefault="00CE0F2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97B3D" w:rsidTr="00255191">
        <w:trPr>
          <w:gridAfter w:val="1"/>
          <w:wAfter w:w="11" w:type="dxa"/>
          <w:trHeight w:val="1464"/>
          <w:jc w:val="center"/>
        </w:trPr>
        <w:tc>
          <w:tcPr>
            <w:tcW w:w="763" w:type="dxa"/>
            <w:gridSpan w:val="2"/>
            <w:vMerge/>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397B3D" w:rsidRDefault="00397B3D"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97B3D" w:rsidRDefault="00CE0F2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97B3D" w:rsidTr="00255191">
        <w:trPr>
          <w:gridAfter w:val="1"/>
          <w:wAfter w:w="11" w:type="dxa"/>
          <w:trHeight w:val="1942"/>
          <w:jc w:val="center"/>
        </w:trPr>
        <w:tc>
          <w:tcPr>
            <w:tcW w:w="763" w:type="dxa"/>
            <w:gridSpan w:val="2"/>
            <w:vMerge/>
            <w:tcBorders>
              <w:tl2br w:val="nil"/>
              <w:tr2bl w:val="nil"/>
            </w:tcBorders>
            <w:shd w:val="clear" w:color="auto" w:fill="FFFFFF"/>
            <w:vAlign w:val="center"/>
          </w:tcPr>
          <w:p w:rsidR="00397B3D" w:rsidRDefault="00397B3D" w:rsidP="00255191">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397B3D" w:rsidRDefault="00397B3D"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397B3D" w:rsidRDefault="00C94AD5"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97B3D"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397B3D" w:rsidTr="00255191">
        <w:trPr>
          <w:gridAfter w:val="1"/>
          <w:wAfter w:w="11" w:type="dxa"/>
          <w:trHeight w:val="1706"/>
          <w:jc w:val="center"/>
        </w:trPr>
        <w:tc>
          <w:tcPr>
            <w:tcW w:w="763" w:type="dxa"/>
            <w:gridSpan w:val="2"/>
            <w:vMerge/>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397B3D" w:rsidRDefault="00397B3D"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397B3D" w:rsidRDefault="00397B3D"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397B3D" w:rsidRDefault="00C94AD5"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97B3D"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CC10B5" w:rsidTr="00255191">
        <w:trPr>
          <w:gridAfter w:val="1"/>
          <w:wAfter w:w="11" w:type="dxa"/>
          <w:trHeight w:val="1415"/>
          <w:jc w:val="center"/>
        </w:trPr>
        <w:tc>
          <w:tcPr>
            <w:tcW w:w="763" w:type="dxa"/>
            <w:gridSpan w:val="2"/>
            <w:vMerge w:val="restart"/>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sidR="0018238C">
              <w:rPr>
                <w:rFonts w:ascii="宋体" w:eastAsia="宋体" w:hAnsi="宋体" w:cs="宋体" w:hint="eastAsia"/>
                <w:color w:val="000000"/>
                <w:kern w:val="0"/>
                <w:sz w:val="22"/>
                <w:szCs w:val="22"/>
              </w:rPr>
              <w:t>（10）</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94AD5"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CC10B5" w:rsidTr="00255191">
        <w:trPr>
          <w:gridAfter w:val="1"/>
          <w:wAfter w:w="11" w:type="dxa"/>
          <w:trHeight w:val="1320"/>
          <w:jc w:val="center"/>
        </w:trPr>
        <w:tc>
          <w:tcPr>
            <w:tcW w:w="763" w:type="dxa"/>
            <w:gridSpan w:val="2"/>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94AD5"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C94AD5"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CC10B5" w:rsidTr="00255191">
        <w:trPr>
          <w:gridAfter w:val="2"/>
          <w:wAfter w:w="23" w:type="dxa"/>
          <w:trHeight w:val="2076"/>
          <w:jc w:val="center"/>
        </w:trPr>
        <w:tc>
          <w:tcPr>
            <w:tcW w:w="763"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5D370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797"/>
          <w:jc w:val="center"/>
        </w:trPr>
        <w:tc>
          <w:tcPr>
            <w:tcW w:w="763" w:type="dxa"/>
            <w:gridSpan w:val="2"/>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sidR="0018238C">
              <w:rPr>
                <w:rFonts w:ascii="宋体" w:eastAsia="宋体" w:hAnsi="宋体" w:cs="宋体" w:hint="eastAsia"/>
                <w:color w:val="000000"/>
                <w:kern w:val="0"/>
                <w:sz w:val="22"/>
                <w:szCs w:val="22"/>
              </w:rPr>
              <w:t>（10）</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769"/>
          <w:jc w:val="center"/>
        </w:trPr>
        <w:tc>
          <w:tcPr>
            <w:tcW w:w="763" w:type="dxa"/>
            <w:gridSpan w:val="2"/>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5B7A1B" w:rsidRDefault="00CC10B5" w:rsidP="005B7A1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p>
          <w:p w:rsidR="00CC10B5" w:rsidRDefault="00CC10B5" w:rsidP="005B7A1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917"/>
          <w:jc w:val="center"/>
        </w:trPr>
        <w:tc>
          <w:tcPr>
            <w:tcW w:w="763"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CC10B5" w:rsidRDefault="00CC10B5" w:rsidP="001823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sidR="0018238C">
              <w:rPr>
                <w:rFonts w:ascii="宋体" w:eastAsia="宋体" w:hAnsi="宋体" w:cs="宋体" w:hint="eastAsia"/>
                <w:color w:val="000000"/>
                <w:kern w:val="0"/>
                <w:sz w:val="22"/>
                <w:szCs w:val="22"/>
              </w:rPr>
              <w:t>（10分）</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CC10B5" w:rsidRDefault="00FD2951"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255191">
        <w:trPr>
          <w:trHeight w:val="1718"/>
          <w:jc w:val="center"/>
        </w:trPr>
        <w:tc>
          <w:tcPr>
            <w:tcW w:w="763"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sidR="0018238C">
              <w:rPr>
                <w:rFonts w:ascii="宋体" w:eastAsia="宋体" w:hAnsi="宋体" w:cs="宋体" w:hint="eastAsia"/>
                <w:color w:val="000000"/>
                <w:kern w:val="0"/>
                <w:sz w:val="22"/>
                <w:szCs w:val="22"/>
              </w:rPr>
              <w:t>（10分）</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CD44B7">
        <w:trPr>
          <w:trHeight w:val="1228"/>
          <w:jc w:val="center"/>
        </w:trPr>
        <w:tc>
          <w:tcPr>
            <w:tcW w:w="763" w:type="dxa"/>
            <w:gridSpan w:val="2"/>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sidR="0018238C">
              <w:rPr>
                <w:rFonts w:ascii="宋体" w:eastAsia="宋体" w:hAnsi="宋体" w:cs="宋体" w:hint="eastAsia"/>
                <w:color w:val="000000"/>
                <w:kern w:val="0"/>
                <w:sz w:val="22"/>
                <w:szCs w:val="22"/>
              </w:rPr>
              <w:t>（5分）</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CD44B7">
        <w:trPr>
          <w:trHeight w:val="1689"/>
          <w:jc w:val="center"/>
        </w:trPr>
        <w:tc>
          <w:tcPr>
            <w:tcW w:w="763" w:type="dxa"/>
            <w:gridSpan w:val="2"/>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sidR="0018238C">
              <w:rPr>
                <w:rFonts w:ascii="宋体" w:eastAsia="宋体" w:hAnsi="宋体" w:cs="宋体" w:hint="eastAsia"/>
                <w:color w:val="000000"/>
                <w:kern w:val="0"/>
                <w:sz w:val="22"/>
                <w:szCs w:val="22"/>
              </w:rPr>
              <w:t>（5分）</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trHeight w:val="889"/>
          <w:jc w:val="center"/>
        </w:trPr>
        <w:tc>
          <w:tcPr>
            <w:tcW w:w="763"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sidR="0018238C">
              <w:rPr>
                <w:rFonts w:ascii="宋体" w:eastAsia="宋体" w:hAnsi="宋体" w:cs="宋体" w:hint="eastAsia"/>
                <w:color w:val="000000"/>
                <w:kern w:val="0"/>
                <w:sz w:val="22"/>
                <w:szCs w:val="22"/>
              </w:rPr>
              <w:t>（30分）</w:t>
            </w:r>
            <w:r>
              <w:rPr>
                <w:rFonts w:ascii="宋体" w:eastAsia="宋体" w:hAnsi="宋体" w:cs="宋体" w:hint="eastAsia"/>
                <w:color w:val="000000"/>
                <w:kern w:val="0"/>
                <w:sz w:val="22"/>
                <w:szCs w:val="22"/>
              </w:rPr>
              <w:t xml:space="preserve">　</w:t>
            </w: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CC10B5" w:rsidTr="00255191">
        <w:trPr>
          <w:trHeight w:val="1137"/>
          <w:jc w:val="center"/>
        </w:trPr>
        <w:tc>
          <w:tcPr>
            <w:tcW w:w="763" w:type="dxa"/>
            <w:gridSpan w:val="2"/>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322DF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7018E9" w:rsidTr="007018E9">
        <w:trPr>
          <w:trHeight w:val="1137"/>
          <w:jc w:val="center"/>
        </w:trPr>
        <w:tc>
          <w:tcPr>
            <w:tcW w:w="756" w:type="dxa"/>
            <w:tcBorders>
              <w:right w:val="single" w:sz="4" w:space="0" w:color="auto"/>
              <w:tl2br w:val="nil"/>
              <w:tr2bl w:val="nil"/>
            </w:tcBorders>
            <w:shd w:val="clear" w:color="auto" w:fill="FFFFFF"/>
            <w:vAlign w:val="center"/>
          </w:tcPr>
          <w:p w:rsidR="007018E9" w:rsidRPr="007018E9" w:rsidRDefault="007018E9" w:rsidP="00FB1420">
            <w:pPr>
              <w:widowControl/>
              <w:spacing w:line="0" w:lineRule="atLeast"/>
              <w:jc w:val="center"/>
              <w:rPr>
                <w:rFonts w:ascii="宋体" w:eastAsia="宋体" w:hAnsi="宋体" w:cs="宋体"/>
                <w:color w:val="000000"/>
                <w:kern w:val="0"/>
                <w:sz w:val="22"/>
                <w:szCs w:val="22"/>
              </w:rPr>
            </w:pPr>
          </w:p>
        </w:tc>
        <w:tc>
          <w:tcPr>
            <w:tcW w:w="1272" w:type="dxa"/>
            <w:gridSpan w:val="2"/>
            <w:tcBorders>
              <w:left w:val="single" w:sz="4" w:space="0" w:color="auto"/>
              <w:right w:val="single" w:sz="4" w:space="0" w:color="auto"/>
              <w:tl2br w:val="nil"/>
              <w:tr2bl w:val="nil"/>
            </w:tcBorders>
            <w:shd w:val="clear" w:color="auto" w:fill="FFFFFF"/>
            <w:vAlign w:val="center"/>
          </w:tcPr>
          <w:p w:rsidR="007018E9" w:rsidRPr="007018E9" w:rsidRDefault="00CD44B7" w:rsidP="00FB1420">
            <w:pPr>
              <w:widowControl/>
              <w:spacing w:line="0" w:lineRule="atLeast"/>
              <w:jc w:val="center"/>
              <w:rPr>
                <w:rFonts w:ascii="宋体" w:eastAsia="宋体" w:hAnsi="宋体" w:cs="宋体"/>
                <w:color w:val="000000"/>
                <w:kern w:val="0"/>
                <w:sz w:val="22"/>
                <w:szCs w:val="22"/>
              </w:rPr>
            </w:pPr>
            <w:r>
              <w:rPr>
                <w:rFonts w:ascii="宋体" w:eastAsia="宋体" w:hAnsi="宋体" w:cs="宋体"/>
                <w:color w:val="000000"/>
                <w:kern w:val="0"/>
                <w:sz w:val="22"/>
                <w:szCs w:val="22"/>
              </w:rPr>
              <w:t>合计总分</w:t>
            </w:r>
          </w:p>
        </w:tc>
        <w:tc>
          <w:tcPr>
            <w:tcW w:w="1428" w:type="dxa"/>
            <w:gridSpan w:val="2"/>
            <w:tcBorders>
              <w:left w:val="single" w:sz="4" w:space="0" w:color="auto"/>
              <w:right w:val="single" w:sz="4" w:space="0" w:color="auto"/>
              <w:tl2br w:val="nil"/>
              <w:tr2bl w:val="nil"/>
            </w:tcBorders>
            <w:shd w:val="clear" w:color="auto" w:fill="FFFFFF"/>
            <w:vAlign w:val="center"/>
          </w:tcPr>
          <w:p w:rsidR="007018E9" w:rsidRPr="007018E9" w:rsidRDefault="007018E9" w:rsidP="00FB1420">
            <w:pPr>
              <w:widowControl/>
              <w:spacing w:line="0" w:lineRule="atLeast"/>
              <w:jc w:val="center"/>
              <w:rPr>
                <w:rFonts w:ascii="宋体" w:eastAsia="宋体" w:hAnsi="宋体" w:cs="宋体"/>
                <w:color w:val="000000"/>
                <w:kern w:val="0"/>
                <w:sz w:val="22"/>
                <w:szCs w:val="22"/>
              </w:rPr>
            </w:pPr>
          </w:p>
        </w:tc>
        <w:tc>
          <w:tcPr>
            <w:tcW w:w="10145" w:type="dxa"/>
            <w:gridSpan w:val="3"/>
            <w:tcBorders>
              <w:left w:val="single" w:sz="4" w:space="0" w:color="auto"/>
              <w:tl2br w:val="nil"/>
              <w:tr2bl w:val="nil"/>
            </w:tcBorders>
            <w:shd w:val="clear" w:color="auto" w:fill="FFFFFF"/>
            <w:vAlign w:val="center"/>
          </w:tcPr>
          <w:p w:rsidR="007018E9" w:rsidRPr="007018E9" w:rsidRDefault="007018E9" w:rsidP="00FB1420">
            <w:pPr>
              <w:widowControl/>
              <w:spacing w:line="0" w:lineRule="atLeast"/>
              <w:jc w:val="center"/>
              <w:rPr>
                <w:rFonts w:ascii="宋体" w:eastAsia="宋体" w:hAnsi="宋体" w:cs="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tcPr>
          <w:p w:rsidR="007018E9" w:rsidRPr="007018E9" w:rsidRDefault="007018E9" w:rsidP="00255191">
            <w:pPr>
              <w:widowControl/>
              <w:jc w:val="left"/>
              <w:rPr>
                <w:rFonts w:ascii="宋体" w:eastAsia="宋体" w:hAnsi="宋体" w:cs="宋体"/>
                <w:color w:val="000000"/>
                <w:kern w:val="0"/>
                <w:sz w:val="22"/>
                <w:szCs w:val="22"/>
              </w:rPr>
            </w:pPr>
            <w:r w:rsidRPr="007018E9">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018E9" w:rsidRPr="007018E9" w:rsidRDefault="007018E9" w:rsidP="00255191">
            <w:pPr>
              <w:widowControl/>
              <w:jc w:val="left"/>
              <w:rPr>
                <w:rFonts w:ascii="宋体" w:eastAsia="宋体" w:hAnsi="宋体" w:cs="宋体"/>
                <w:color w:val="000000"/>
                <w:kern w:val="0"/>
                <w:sz w:val="22"/>
                <w:szCs w:val="22"/>
              </w:rPr>
            </w:pPr>
            <w:r w:rsidRPr="007018E9">
              <w:rPr>
                <w:rFonts w:ascii="宋体" w:eastAsia="宋体" w:hAnsi="宋体" w:cs="宋体" w:hint="eastAsia"/>
                <w:color w:val="000000"/>
                <w:kern w:val="0"/>
                <w:sz w:val="22"/>
                <w:szCs w:val="22"/>
              </w:rPr>
              <w:t>99</w:t>
            </w:r>
          </w:p>
        </w:tc>
      </w:tr>
    </w:tbl>
    <w:p w:rsidR="00CC10B5" w:rsidRDefault="00CC10B5" w:rsidP="00CC10B5">
      <w:pPr>
        <w:spacing w:line="600" w:lineRule="exact"/>
        <w:rPr>
          <w:rFonts w:ascii="仿宋_GB2312"/>
          <w:bCs/>
          <w:sz w:val="32"/>
          <w:szCs w:val="32"/>
        </w:rPr>
        <w:sectPr w:rsidR="00CC10B5">
          <w:pgSz w:w="16838" w:h="11906" w:orient="landscape"/>
          <w:pgMar w:top="1531" w:right="1928" w:bottom="1531" w:left="1701" w:header="737" w:footer="851" w:gutter="0"/>
          <w:cols w:space="720"/>
          <w:docGrid w:type="lines" w:linePitch="408"/>
        </w:sectPr>
      </w:pPr>
    </w:p>
    <w:p w:rsidR="00033C4C" w:rsidRPr="00CC10B5" w:rsidRDefault="00033C4C"/>
    <w:sectPr w:rsidR="00033C4C" w:rsidRPr="00CC10B5" w:rsidSect="00FB45E1">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91F" w:rsidRDefault="004A791F" w:rsidP="00CC10B5">
      <w:r>
        <w:separator/>
      </w:r>
    </w:p>
  </w:endnote>
  <w:endnote w:type="continuationSeparator" w:id="1">
    <w:p w:rsidR="004A791F" w:rsidRDefault="004A791F" w:rsidP="00CC10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0B5" w:rsidRDefault="00883DC1">
    <w:pPr>
      <w:pStyle w:val="a4"/>
      <w:jc w:val="center"/>
    </w:pPr>
    <w:r>
      <w:fldChar w:fldCharType="begin"/>
    </w:r>
    <w:r w:rsidR="00CC10B5">
      <w:instrText xml:space="preserve"> PAGE   \* MERGEFORMAT </w:instrText>
    </w:r>
    <w:r>
      <w:fldChar w:fldCharType="separate"/>
    </w:r>
    <w:r w:rsidR="00896238" w:rsidRPr="00896238">
      <w:rPr>
        <w:noProof/>
        <w:lang w:val="zh-CN"/>
      </w:rPr>
      <w:t>11</w:t>
    </w:r>
    <w:r>
      <w:fldChar w:fldCharType="end"/>
    </w:r>
  </w:p>
  <w:p w:rsidR="00CC10B5" w:rsidRDefault="00CC10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91F" w:rsidRDefault="004A791F" w:rsidP="00CC10B5">
      <w:r>
        <w:separator/>
      </w:r>
    </w:p>
  </w:footnote>
  <w:footnote w:type="continuationSeparator" w:id="1">
    <w:p w:rsidR="004A791F" w:rsidRDefault="004A791F" w:rsidP="00CC10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3C4C"/>
    <w:rsid w:val="00041A05"/>
    <w:rsid w:val="000A7E05"/>
    <w:rsid w:val="0018238C"/>
    <w:rsid w:val="001B1FBC"/>
    <w:rsid w:val="00230BEF"/>
    <w:rsid w:val="002F3D38"/>
    <w:rsid w:val="00322DF9"/>
    <w:rsid w:val="00397B3D"/>
    <w:rsid w:val="004A791F"/>
    <w:rsid w:val="004E3FF1"/>
    <w:rsid w:val="00513CC9"/>
    <w:rsid w:val="005A3272"/>
    <w:rsid w:val="005B7A1B"/>
    <w:rsid w:val="005D370A"/>
    <w:rsid w:val="00665901"/>
    <w:rsid w:val="00677B92"/>
    <w:rsid w:val="006A6355"/>
    <w:rsid w:val="007018E9"/>
    <w:rsid w:val="007C349B"/>
    <w:rsid w:val="008228D0"/>
    <w:rsid w:val="00833EDC"/>
    <w:rsid w:val="008352A1"/>
    <w:rsid w:val="00846C1F"/>
    <w:rsid w:val="00883DC1"/>
    <w:rsid w:val="00896238"/>
    <w:rsid w:val="008D07B0"/>
    <w:rsid w:val="008E0278"/>
    <w:rsid w:val="00912F03"/>
    <w:rsid w:val="009346FB"/>
    <w:rsid w:val="0094561C"/>
    <w:rsid w:val="00995D0C"/>
    <w:rsid w:val="00997B82"/>
    <w:rsid w:val="009C2150"/>
    <w:rsid w:val="00A30E7B"/>
    <w:rsid w:val="00A7182A"/>
    <w:rsid w:val="00A85971"/>
    <w:rsid w:val="00B43A08"/>
    <w:rsid w:val="00B67F5E"/>
    <w:rsid w:val="00C22141"/>
    <w:rsid w:val="00C460D9"/>
    <w:rsid w:val="00C470BD"/>
    <w:rsid w:val="00C76CF3"/>
    <w:rsid w:val="00C94AD5"/>
    <w:rsid w:val="00CC10B1"/>
    <w:rsid w:val="00CC10B5"/>
    <w:rsid w:val="00CD44B7"/>
    <w:rsid w:val="00CE0F21"/>
    <w:rsid w:val="00E178A7"/>
    <w:rsid w:val="00E46D20"/>
    <w:rsid w:val="00EA59F2"/>
    <w:rsid w:val="00F51AD4"/>
    <w:rsid w:val="00F926DF"/>
    <w:rsid w:val="00FB1420"/>
    <w:rsid w:val="00FB3164"/>
    <w:rsid w:val="00FB4342"/>
    <w:rsid w:val="00FB45E1"/>
    <w:rsid w:val="00FD29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B5"/>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CC10B5"/>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10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10B5"/>
    <w:rPr>
      <w:sz w:val="18"/>
      <w:szCs w:val="18"/>
    </w:rPr>
  </w:style>
  <w:style w:type="paragraph" w:styleId="a4">
    <w:name w:val="footer"/>
    <w:basedOn w:val="a"/>
    <w:link w:val="Char0"/>
    <w:uiPriority w:val="99"/>
    <w:unhideWhenUsed/>
    <w:rsid w:val="00CC10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10B5"/>
    <w:rPr>
      <w:sz w:val="18"/>
      <w:szCs w:val="18"/>
    </w:rPr>
  </w:style>
  <w:style w:type="character" w:customStyle="1" w:styleId="2Char">
    <w:name w:val="标题 2 Char"/>
    <w:basedOn w:val="a0"/>
    <w:link w:val="2"/>
    <w:rsid w:val="00CC10B5"/>
    <w:rPr>
      <w:rFonts w:ascii="Arial" w:eastAsia="黑体" w:hAnsi="Arial" w:cs="Times New Roman"/>
      <w:b/>
      <w:sz w:val="32"/>
      <w:szCs w:val="24"/>
    </w:rPr>
  </w:style>
  <w:style w:type="paragraph" w:styleId="a5">
    <w:name w:val="Balloon Text"/>
    <w:basedOn w:val="a"/>
    <w:link w:val="Char1"/>
    <w:uiPriority w:val="99"/>
    <w:semiHidden/>
    <w:unhideWhenUsed/>
    <w:rsid w:val="00CE0F21"/>
    <w:rPr>
      <w:sz w:val="18"/>
      <w:szCs w:val="18"/>
    </w:rPr>
  </w:style>
  <w:style w:type="character" w:customStyle="1" w:styleId="Char1">
    <w:name w:val="批注框文本 Char"/>
    <w:basedOn w:val="a0"/>
    <w:link w:val="a5"/>
    <w:uiPriority w:val="99"/>
    <w:semiHidden/>
    <w:rsid w:val="00CE0F21"/>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3D282-1FDB-4750-A2A9-5105A10D7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12</Pages>
  <Words>819</Words>
  <Characters>4671</Characters>
  <Application>Microsoft Office Word</Application>
  <DocSecurity>0</DocSecurity>
  <Lines>38</Lines>
  <Paragraphs>10</Paragraphs>
  <ScaleCrop>false</ScaleCrop>
  <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贾钰宏</cp:lastModifiedBy>
  <cp:revision>36</cp:revision>
  <dcterms:created xsi:type="dcterms:W3CDTF">2020-04-15T03:47:00Z</dcterms:created>
  <dcterms:modified xsi:type="dcterms:W3CDTF">2020-06-06T11:38:00Z</dcterms:modified>
</cp:coreProperties>
</file>