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A5E" w:rsidRDefault="00DA042D">
      <w:pPr>
        <w:rPr>
          <w:rFonts w:ascii="黑体" w:eastAsia="黑体" w:hAnsi="黑体"/>
        </w:rPr>
      </w:pPr>
      <w:r>
        <w:rPr>
          <w:rFonts w:ascii="黑体" w:eastAsia="黑体" w:hAnsi="黑体" w:hint="eastAsia"/>
        </w:rPr>
        <w:t>附件·2</w:t>
      </w:r>
    </w:p>
    <w:p w:rsidR="001C5A5E" w:rsidRDefault="00DA042D">
      <w:pPr>
        <w:jc w:val="center"/>
        <w:rPr>
          <w:rFonts w:ascii="方正小标宋_GBK" w:eastAsia="方正小标宋_GBK" w:hAnsi="Arial" w:cs="Arial"/>
          <w:bCs/>
          <w:sz w:val="36"/>
          <w:szCs w:val="36"/>
        </w:rPr>
      </w:pPr>
      <w:r>
        <w:rPr>
          <w:rFonts w:ascii="方正小标宋_GBK" w:eastAsia="方正小标宋_GBK" w:cs="仿宋_GB2312" w:hint="eastAsia"/>
          <w:kern w:val="0"/>
          <w:sz w:val="36"/>
          <w:szCs w:val="36"/>
        </w:rPr>
        <w:t>文化馆免费开放</w:t>
      </w:r>
      <w:r>
        <w:rPr>
          <w:rFonts w:ascii="方正小标宋_GBK" w:eastAsia="方正小标宋_GBK" w:hAnsi="宋体" w:cs="Arial" w:hint="eastAsia"/>
          <w:bCs/>
          <w:sz w:val="36"/>
          <w:szCs w:val="36"/>
        </w:rPr>
        <w:t>项目支出绩效评价报告</w:t>
      </w:r>
    </w:p>
    <w:p w:rsidR="001C5A5E" w:rsidRDefault="001C5A5E">
      <w:pPr>
        <w:jc w:val="center"/>
        <w:rPr>
          <w:rFonts w:ascii="仿宋_GB2312"/>
          <w:szCs w:val="30"/>
        </w:rPr>
      </w:pPr>
    </w:p>
    <w:p w:rsidR="001C5A5E" w:rsidRDefault="00DA042D">
      <w:pPr>
        <w:spacing w:line="540" w:lineRule="exact"/>
        <w:ind w:firstLineChars="200" w:firstLine="600"/>
        <w:rPr>
          <w:rFonts w:ascii="黑体" w:eastAsia="黑体" w:hAnsi="黑体"/>
        </w:rPr>
      </w:pPr>
      <w:r>
        <w:rPr>
          <w:rFonts w:ascii="黑体" w:eastAsia="黑体" w:hAnsi="黑体" w:hint="eastAsia"/>
        </w:rPr>
        <w:t>一、基本情况</w:t>
      </w:r>
    </w:p>
    <w:p w:rsidR="001C5A5E" w:rsidRDefault="00DA042D">
      <w:pPr>
        <w:spacing w:line="540" w:lineRule="exact"/>
        <w:ind w:firstLineChars="200" w:firstLine="600"/>
        <w:outlineLvl w:val="0"/>
        <w:rPr>
          <w:rFonts w:ascii="仿宋_GB2312"/>
        </w:rPr>
      </w:pPr>
      <w:r>
        <w:rPr>
          <w:rFonts w:ascii="仿宋_GB2312" w:hint="eastAsia"/>
        </w:rPr>
        <w:t>（一）项目概况。</w:t>
      </w:r>
    </w:p>
    <w:p w:rsidR="001C5A5E" w:rsidRDefault="00DA042D">
      <w:pPr>
        <w:spacing w:line="540" w:lineRule="exact"/>
        <w:ind w:firstLineChars="200" w:firstLine="640"/>
        <w:outlineLvl w:val="0"/>
        <w:rPr>
          <w:rFonts w:ascii="仿宋_GB2312" w:cs="仿宋_GB2312"/>
          <w:kern w:val="0"/>
          <w:sz w:val="32"/>
          <w:szCs w:val="32"/>
        </w:rPr>
      </w:pPr>
      <w:r>
        <w:rPr>
          <w:rFonts w:ascii="仿宋_GB2312" w:cs="仿宋_GB2312" w:hint="eastAsia"/>
          <w:color w:val="000000" w:themeColor="text1"/>
          <w:sz w:val="32"/>
          <w:szCs w:val="32"/>
        </w:rPr>
        <w:t>项目</w:t>
      </w:r>
      <w:r>
        <w:rPr>
          <w:rFonts w:ascii="仿宋_GB2312" w:cs="仿宋_GB2312"/>
          <w:color w:val="000000" w:themeColor="text1"/>
          <w:sz w:val="32"/>
          <w:szCs w:val="32"/>
        </w:rPr>
        <w:t>背景：</w:t>
      </w:r>
      <w:r>
        <w:rPr>
          <w:rFonts w:ascii="仿宋_GB2312" w:cs="仿宋_GB2312" w:hint="eastAsia"/>
          <w:kern w:val="0"/>
          <w:sz w:val="32"/>
          <w:szCs w:val="32"/>
        </w:rPr>
        <w:t>根据《文化部财政部关于推进全国美术馆、公共图书馆、文化馆（站）免费开放工作的实施意见》（文财务发[2011]）5号和《财政部关于加强美术馆、公共图书馆、文化馆（站）免费开放经费保障工作的通知》财教[2011]3号文件精神，设立三馆一站免费开放专项资金。</w:t>
      </w:r>
    </w:p>
    <w:p w:rsidR="001C5A5E" w:rsidRDefault="00DA042D">
      <w:pPr>
        <w:spacing w:line="540" w:lineRule="exact"/>
        <w:ind w:firstLineChars="200" w:firstLine="640"/>
        <w:outlineLvl w:val="0"/>
        <w:rPr>
          <w:rFonts w:ascii="仿宋_GB2312" w:cs="仿宋_GB2312"/>
          <w:color w:val="000000" w:themeColor="text1"/>
          <w:sz w:val="32"/>
          <w:szCs w:val="32"/>
        </w:rPr>
      </w:pPr>
      <w:r>
        <w:rPr>
          <w:rFonts w:ascii="仿宋_GB2312" w:cs="仿宋_GB2312" w:hint="eastAsia"/>
          <w:color w:val="000000" w:themeColor="text1"/>
          <w:sz w:val="32"/>
          <w:szCs w:val="32"/>
        </w:rPr>
        <w:t>主要内容及实施情况：为贯彻落实《中华人民共和国公共文化服务保障法》，推进现代公共文化服务体系建设，促进基本公共文化服务标准化，均等化。自治区专项资金47万元，主要用于文化馆免费开放后正常运转并为广大群众提供基本性公共文化服务。大力开展公共文化活动，举办普及性文化艺术类培训，公益性讲座、展览，开展宣传活动，组织公益性群众文化活动，基层文化骨干业务辅导，民间文化传承活动，业务活动用房小型修缮及零星业务设备更新等为我州精神文明建设做贡献。</w:t>
      </w:r>
    </w:p>
    <w:p w:rsidR="001C5A5E" w:rsidRDefault="00DA042D">
      <w:pPr>
        <w:numPr>
          <w:ilvl w:val="0"/>
          <w:numId w:val="1"/>
        </w:numPr>
        <w:spacing w:line="540" w:lineRule="exact"/>
        <w:ind w:firstLineChars="200" w:firstLine="600"/>
        <w:rPr>
          <w:rFonts w:ascii="仿宋_GB2312"/>
        </w:rPr>
      </w:pPr>
      <w:r>
        <w:rPr>
          <w:rFonts w:ascii="仿宋_GB2312" w:hint="eastAsia"/>
        </w:rPr>
        <w:t>项目绩效目标。</w:t>
      </w:r>
    </w:p>
    <w:p w:rsidR="001C5A5E" w:rsidRDefault="00DA042D">
      <w:pPr>
        <w:spacing w:line="540" w:lineRule="exact"/>
        <w:ind w:left="600" w:firstLineChars="200" w:firstLine="640"/>
        <w:rPr>
          <w:rFonts w:ascii="仿宋_GB2312"/>
        </w:rPr>
      </w:pPr>
      <w:r>
        <w:rPr>
          <w:rFonts w:ascii="仿宋_GB2312" w:cs="仿宋_GB2312" w:hint="eastAsia"/>
          <w:sz w:val="32"/>
          <w:szCs w:val="32"/>
        </w:rPr>
        <w:t>总体</w:t>
      </w:r>
      <w:r>
        <w:rPr>
          <w:rFonts w:ascii="仿宋_GB2312" w:cs="仿宋_GB2312"/>
          <w:sz w:val="32"/>
          <w:szCs w:val="32"/>
        </w:rPr>
        <w:t>目标：面向群众，面向基层，实施公益文化服务，保障人民群众基本文化权益</w:t>
      </w:r>
      <w:r>
        <w:rPr>
          <w:rFonts w:ascii="仿宋_GB2312" w:cs="仿宋_GB2312" w:hint="eastAsia"/>
          <w:sz w:val="32"/>
          <w:szCs w:val="32"/>
        </w:rPr>
        <w:t>。</w:t>
      </w:r>
    </w:p>
    <w:p w:rsidR="001C5A5E" w:rsidRDefault="00DA042D">
      <w:pPr>
        <w:spacing w:line="540" w:lineRule="exact"/>
        <w:ind w:firstLineChars="400" w:firstLine="1280"/>
        <w:rPr>
          <w:rFonts w:ascii="仿宋_GB2312" w:cs="仿宋_GB2312"/>
          <w:sz w:val="32"/>
          <w:szCs w:val="32"/>
        </w:rPr>
      </w:pPr>
      <w:r>
        <w:rPr>
          <w:rFonts w:ascii="仿宋_GB2312" w:cs="仿宋_GB2312" w:hint="eastAsia"/>
          <w:kern w:val="0"/>
          <w:sz w:val="32"/>
          <w:szCs w:val="32"/>
        </w:rPr>
        <w:t>阶段性目标：</w:t>
      </w:r>
      <w:r>
        <w:rPr>
          <w:rFonts w:hint="eastAsia"/>
          <w:sz w:val="32"/>
          <w:szCs w:val="32"/>
        </w:rPr>
        <w:t>该项目为</w:t>
      </w:r>
      <w:r>
        <w:rPr>
          <w:sz w:val="32"/>
          <w:szCs w:val="32"/>
        </w:rPr>
        <w:t>当年项目，无阶段性</w:t>
      </w:r>
      <w:r>
        <w:rPr>
          <w:rFonts w:hint="eastAsia"/>
          <w:sz w:val="32"/>
          <w:szCs w:val="32"/>
        </w:rPr>
        <w:t>目标</w:t>
      </w:r>
      <w:r>
        <w:rPr>
          <w:sz w:val="32"/>
          <w:szCs w:val="32"/>
        </w:rPr>
        <w:t>。</w:t>
      </w:r>
      <w:r>
        <w:rPr>
          <w:rFonts w:hint="eastAsia"/>
          <w:sz w:val="32"/>
          <w:szCs w:val="32"/>
        </w:rPr>
        <w:t xml:space="preserve"> </w:t>
      </w:r>
    </w:p>
    <w:p w:rsidR="001C5A5E" w:rsidRDefault="00DA042D">
      <w:pPr>
        <w:spacing w:line="560" w:lineRule="exact"/>
        <w:ind w:firstLineChars="200" w:firstLine="600"/>
        <w:rPr>
          <w:rFonts w:ascii="黑体" w:eastAsia="黑体" w:hAnsi="黑体"/>
        </w:rPr>
      </w:pPr>
      <w:r>
        <w:rPr>
          <w:rFonts w:ascii="黑体" w:eastAsia="黑体" w:hAnsi="黑体" w:hint="eastAsia"/>
        </w:rPr>
        <w:t>二、绩效评价工作开展情况</w:t>
      </w:r>
    </w:p>
    <w:p w:rsidR="001C5A5E" w:rsidRDefault="00DA042D">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lastRenderedPageBreak/>
        <w:t>（一）</w:t>
      </w:r>
      <w:bookmarkStart w:id="0" w:name="OLE_LINK1"/>
      <w:bookmarkStart w:id="1" w:name="OLE_LINK2"/>
      <w:r>
        <w:rPr>
          <w:rFonts w:ascii="仿宋_GB2312" w:cs="仿宋_GB2312" w:hint="eastAsia"/>
          <w:sz w:val="32"/>
          <w:szCs w:val="32"/>
        </w:rPr>
        <w:t>绩效评价目的、对象和范围</w:t>
      </w:r>
      <w:bookmarkEnd w:id="0"/>
      <w:bookmarkEnd w:id="1"/>
      <w:r>
        <w:rPr>
          <w:rFonts w:ascii="仿宋_GB2312" w:cs="仿宋_GB2312" w:hint="eastAsia"/>
          <w:sz w:val="32"/>
          <w:szCs w:val="32"/>
        </w:rPr>
        <w:t>。</w:t>
      </w:r>
    </w:p>
    <w:p w:rsidR="001C5A5E" w:rsidRDefault="00DA042D">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绩效评价目的：通过2019年初确定的该项目的绩效目标，绩效评价工作的开展深化完成工作的动力，能够更清晰的界定工作的内容与需要达到的标准，目标更加明确，使项目资金的管理和使用情况、项目管理制度的健全，项目实施的产出情况和取得效益等，从而进一步加强项目和资金管理，确保资金使用合规合法，保障美术馆和文化艺术创作中心免费开放工作的正常开展，</w:t>
      </w:r>
      <w:r>
        <w:rPr>
          <w:rFonts w:ascii="仿宋_GB2312" w:cs="仿宋_GB2312"/>
          <w:sz w:val="32"/>
          <w:szCs w:val="32"/>
        </w:rPr>
        <w:t>保障人民群众基本文化权益</w:t>
      </w:r>
      <w:r>
        <w:rPr>
          <w:rFonts w:ascii="仿宋_GB2312" w:cs="仿宋_GB2312" w:hint="eastAsia"/>
          <w:sz w:val="32"/>
          <w:szCs w:val="32"/>
        </w:rPr>
        <w:t>。</w:t>
      </w:r>
    </w:p>
    <w:p w:rsidR="001C5A5E" w:rsidRDefault="00DA042D">
      <w:pPr>
        <w:spacing w:line="540" w:lineRule="exact"/>
        <w:ind w:firstLineChars="200" w:firstLine="640"/>
        <w:rPr>
          <w:sz w:val="32"/>
          <w:szCs w:val="32"/>
        </w:rPr>
      </w:pPr>
      <w:r>
        <w:rPr>
          <w:rFonts w:hint="eastAsia"/>
          <w:sz w:val="32"/>
          <w:szCs w:val="32"/>
        </w:rPr>
        <w:t>绩效评价的对象：文化馆免费开放项目</w:t>
      </w:r>
    </w:p>
    <w:p w:rsidR="001C5A5E" w:rsidRDefault="00DA042D">
      <w:pPr>
        <w:pStyle w:val="a7"/>
        <w:widowControl/>
        <w:spacing w:line="580" w:lineRule="exact"/>
        <w:ind w:firstLineChars="200" w:firstLine="640"/>
        <w:rPr>
          <w:rFonts w:ascii="仿宋_GB2312" w:cs="仿宋_GB2312"/>
          <w:sz w:val="32"/>
          <w:szCs w:val="32"/>
        </w:rPr>
      </w:pPr>
      <w:r>
        <w:rPr>
          <w:rFonts w:hint="eastAsia"/>
          <w:sz w:val="32"/>
          <w:szCs w:val="32"/>
        </w:rPr>
        <w:t>绩效评价范围：巴州文化馆预算管理的财政性资金。</w:t>
      </w:r>
    </w:p>
    <w:p w:rsidR="001C5A5E" w:rsidRDefault="00DA042D">
      <w:pPr>
        <w:spacing w:line="600" w:lineRule="exact"/>
        <w:ind w:firstLine="640"/>
        <w:rPr>
          <w:rFonts w:ascii="仿宋_GB2312" w:hAnsi="仿宋_GB2312" w:cs="仿宋_GB2312"/>
          <w:bCs/>
          <w:szCs w:val="30"/>
        </w:rPr>
      </w:pPr>
      <w:r>
        <w:rPr>
          <w:rFonts w:hint="eastAsia"/>
          <w:sz w:val="32"/>
          <w:szCs w:val="32"/>
        </w:rPr>
        <w:t>1</w:t>
      </w:r>
      <w:r>
        <w:rPr>
          <w:sz w:val="32"/>
          <w:szCs w:val="32"/>
        </w:rPr>
        <w:t>.</w:t>
      </w:r>
      <w:r>
        <w:rPr>
          <w:rFonts w:hint="eastAsia"/>
          <w:sz w:val="32"/>
          <w:szCs w:val="32"/>
        </w:rPr>
        <w:t>绩效评价的原则：</w:t>
      </w:r>
    </w:p>
    <w:p w:rsidR="001C5A5E" w:rsidRDefault="00DA042D">
      <w:pPr>
        <w:spacing w:line="600" w:lineRule="exact"/>
        <w:ind w:firstLine="640"/>
        <w:rPr>
          <w:rFonts w:ascii="仿宋_GB2312"/>
          <w:bCs/>
          <w:sz w:val="32"/>
          <w:szCs w:val="32"/>
        </w:rPr>
      </w:pPr>
      <w:r>
        <w:rPr>
          <w:rFonts w:ascii="仿宋_GB2312" w:hint="eastAsia"/>
          <w:bCs/>
          <w:sz w:val="32"/>
          <w:szCs w:val="32"/>
        </w:rPr>
        <w:t>（1）科学公正。绩效评价应当运用科学合理的方法，按照规范的程序，对项目绩效进行客观、公正的反映。</w:t>
      </w:r>
    </w:p>
    <w:p w:rsidR="001C5A5E" w:rsidRDefault="00DA042D">
      <w:pPr>
        <w:spacing w:line="600" w:lineRule="exact"/>
        <w:ind w:firstLine="640"/>
        <w:rPr>
          <w:rFonts w:ascii="仿宋_GB2312"/>
          <w:bCs/>
          <w:sz w:val="32"/>
          <w:szCs w:val="32"/>
        </w:rPr>
      </w:pPr>
      <w:r>
        <w:rPr>
          <w:rFonts w:ascii="仿宋_GB2312" w:hint="eastAsia"/>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1C5A5E" w:rsidRDefault="00DA042D">
      <w:pPr>
        <w:spacing w:line="600" w:lineRule="exact"/>
        <w:ind w:firstLine="640"/>
        <w:rPr>
          <w:rFonts w:ascii="仿宋_GB2312"/>
          <w:bCs/>
          <w:sz w:val="32"/>
          <w:szCs w:val="32"/>
        </w:rPr>
      </w:pPr>
      <w:r>
        <w:rPr>
          <w:rFonts w:ascii="仿宋_GB2312" w:hint="eastAsia"/>
          <w:bCs/>
          <w:sz w:val="32"/>
          <w:szCs w:val="32"/>
        </w:rPr>
        <w:t>（3）激励约束。绩效评价结果应与预算安排、政策调整、改进管理实质性挂钩，体现奖优罚劣和激励相容导向，有效要安排、低效要压减、无效要问责。</w:t>
      </w:r>
    </w:p>
    <w:p w:rsidR="001C5A5E" w:rsidRDefault="00DA042D">
      <w:pPr>
        <w:spacing w:line="600" w:lineRule="exact"/>
        <w:ind w:firstLineChars="200" w:firstLine="640"/>
        <w:rPr>
          <w:rFonts w:ascii="仿宋_GB2312"/>
          <w:bCs/>
          <w:sz w:val="32"/>
          <w:szCs w:val="32"/>
        </w:rPr>
      </w:pPr>
      <w:r>
        <w:rPr>
          <w:rFonts w:ascii="仿宋_GB2312" w:hint="eastAsia"/>
          <w:bCs/>
          <w:sz w:val="32"/>
          <w:szCs w:val="32"/>
        </w:rPr>
        <w:lastRenderedPageBreak/>
        <w:t>（4）公开透明。绩效评价结果应依法依规公开，并自觉接受社会监督。</w:t>
      </w:r>
    </w:p>
    <w:p w:rsidR="001C5A5E" w:rsidRDefault="00DA042D">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2、评价指标体系：根据财政部《预算绩效评价共性指标体系框架》等文化精神及本项目的具体特点，设置了合理可行的评价体系，包括投入指标（项目立项、资金落实）、过程指标（业务管理、财务管理）、项目产出（产出数量、产出质量等）、项目效果（社会效益、可持续影响）与项目满意度。</w:t>
      </w:r>
      <w:r>
        <w:rPr>
          <w:rFonts w:ascii="仿宋_GB2312" w:cs="仿宋_GB2312" w:hint="eastAsia"/>
          <w:sz w:val="32"/>
          <w:szCs w:val="32"/>
        </w:rPr>
        <w:br/>
        <w:t xml:space="preserve">     指标主要根据财政部门设置的指标、绩效评价管理制度及单位职能职责、发展规划、年度工作计划、年度绩效目标制定，选取科学、灵活，具有可操作性，贴近实际。分为长期、年度绩效指标。</w:t>
      </w:r>
    </w:p>
    <w:p w:rsidR="001C5A5E" w:rsidRDefault="00974249">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3.</w:t>
      </w:r>
      <w:r w:rsidR="00DA042D">
        <w:rPr>
          <w:rFonts w:ascii="仿宋_GB2312" w:cs="仿宋_GB2312" w:hint="eastAsia"/>
          <w:sz w:val="32"/>
          <w:szCs w:val="32"/>
        </w:rPr>
        <w:t>绩效评价的方法与指标体系围绕巴州文化体育广播电视和旅游局的任务、性质、功能和责任，从工作效率、服务质量、社会责任、经济管理和财务政策，社会反响等角度建设该项目进行评价指标体系。</w:t>
      </w:r>
    </w:p>
    <w:p w:rsidR="001C5A5E" w:rsidRDefault="00DA042D">
      <w:pPr>
        <w:pStyle w:val="a7"/>
        <w:widowControl/>
        <w:spacing w:line="580" w:lineRule="exact"/>
        <w:ind w:firstLineChars="200" w:firstLine="640"/>
        <w:rPr>
          <w:rFonts w:ascii="仿宋_GB2312" w:cs="仿宋_GB2312"/>
          <w:sz w:val="32"/>
          <w:szCs w:val="32"/>
        </w:rPr>
      </w:pPr>
      <w:r>
        <w:rPr>
          <w:rFonts w:ascii="仿宋_GB2312" w:cs="仿宋_GB2312" w:hint="eastAsia"/>
          <w:sz w:val="32"/>
          <w:szCs w:val="32"/>
        </w:rPr>
        <w:t>评价方法：采用比较法，将实际工作完成情况与绩效指标完成情况进行直接对比，在此基础上进行评价。</w:t>
      </w:r>
    </w:p>
    <w:p w:rsidR="001C5A5E" w:rsidRDefault="00DA042D">
      <w:pPr>
        <w:spacing w:line="580" w:lineRule="exact"/>
        <w:ind w:firstLineChars="200" w:firstLine="600"/>
        <w:rPr>
          <w:rFonts w:ascii="仿宋_GB2312"/>
        </w:rPr>
      </w:pPr>
      <w:r>
        <w:rPr>
          <w:rFonts w:ascii="仿宋_GB2312" w:hint="eastAsia"/>
        </w:rPr>
        <w:t>4.评价</w:t>
      </w:r>
      <w:r>
        <w:rPr>
          <w:rFonts w:ascii="仿宋_GB2312"/>
        </w:rPr>
        <w:t>的标准</w:t>
      </w:r>
    </w:p>
    <w:p w:rsidR="001C5A5E" w:rsidRDefault="00DA042D">
      <w:pPr>
        <w:pStyle w:val="Default"/>
        <w:spacing w:line="520" w:lineRule="exact"/>
        <w:ind w:firstLineChars="200" w:firstLine="640"/>
        <w:rPr>
          <w:rFonts w:ascii="Times New Roman" w:eastAsia="仿宋_GB2312" w:cs="Times New Roman"/>
          <w:spacing w:val="-8"/>
          <w:sz w:val="32"/>
          <w:szCs w:val="32"/>
        </w:rPr>
      </w:pPr>
      <w:r>
        <w:rPr>
          <w:rFonts w:ascii="Times New Roman" w:eastAsia="仿宋_GB2312" w:cs="Times New Roman"/>
          <w:sz w:val="32"/>
          <w:szCs w:val="32"/>
        </w:rPr>
        <w:t>财政项目资金绩效评价，是以结果为导向的财政支出管理模式，绩效评价标准主要有计划标准、历史标准、其他标准等，结合项目的特点，确定此次绩效评价指标标准为行业标准和计划标</w:t>
      </w:r>
      <w:r>
        <w:rPr>
          <w:rFonts w:ascii="Times New Roman" w:eastAsia="仿宋_GB2312" w:cs="Times New Roman"/>
          <w:sz w:val="32"/>
          <w:szCs w:val="32"/>
        </w:rPr>
        <w:lastRenderedPageBreak/>
        <w:t>准。财务管理采用国家财务相关法律法规，产出和效果指标采用项目申报文本中的指标值作为绩效评价标准</w:t>
      </w:r>
    </w:p>
    <w:p w:rsidR="001C5A5E" w:rsidRDefault="00DA042D">
      <w:pPr>
        <w:spacing w:line="540" w:lineRule="exact"/>
        <w:ind w:firstLineChars="200" w:firstLine="600"/>
        <w:rPr>
          <w:rFonts w:ascii="仿宋_GB2312"/>
        </w:rPr>
      </w:pPr>
      <w:r>
        <w:rPr>
          <w:rFonts w:ascii="仿宋_GB2312" w:hint="eastAsia"/>
        </w:rPr>
        <w:t>（三）绩效评价工作过程。</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1、前期准备工作</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2、组织实施过程内容</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一是收集了项目决策、过程、产出及效益相关资料。</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二是通过与项目实施人员、财务人员进行座谈听取取得的成果和存在的问题，针对存在的问题进行探讨，给出相关建议。</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三是查阅账本、凭证，包括单位的总账、明细账及辅助账等进行核查，对项目的资金来源及去向进行分类整理。</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四是查阅项目档案,包括项目的分析报告等文件。</w:t>
      </w:r>
    </w:p>
    <w:p w:rsidR="001C5A5E" w:rsidRDefault="00DA042D">
      <w:pPr>
        <w:pStyle w:val="Default"/>
        <w:spacing w:line="520" w:lineRule="exact"/>
        <w:ind w:firstLineChars="233" w:firstLine="708"/>
        <w:rPr>
          <w:rFonts w:ascii="仿宋_GB2312" w:eastAsia="仿宋_GB2312" w:hAnsi="仿宋" w:cs="仿宋_GB2312"/>
          <w:spacing w:val="-8"/>
          <w:sz w:val="32"/>
          <w:szCs w:val="32"/>
        </w:rPr>
      </w:pPr>
      <w:bookmarkStart w:id="2" w:name="_Toc454729246"/>
      <w:bookmarkStart w:id="3" w:name="_Toc403599257"/>
      <w:r>
        <w:rPr>
          <w:rFonts w:ascii="仿宋_GB2312" w:eastAsia="仿宋_GB2312" w:hAnsi="仿宋" w:cs="仿宋_GB2312" w:hint="eastAsia"/>
          <w:spacing w:val="-8"/>
          <w:sz w:val="32"/>
          <w:szCs w:val="32"/>
        </w:rPr>
        <w:lastRenderedPageBreak/>
        <w:t>通过发放受惠市民满意度调查表</w:t>
      </w:r>
      <w:bookmarkStart w:id="4" w:name="_Toc5831"/>
      <w:r>
        <w:rPr>
          <w:rFonts w:ascii="仿宋_GB2312" w:eastAsia="仿宋_GB2312" w:hAnsi="仿宋" w:cs="仿宋_GB2312" w:hint="eastAsia"/>
          <w:spacing w:val="-8"/>
          <w:sz w:val="32"/>
          <w:szCs w:val="32"/>
        </w:rPr>
        <w:t>等方式了解社会公众对图书馆免费开放工作的满意度。</w:t>
      </w:r>
      <w:bookmarkEnd w:id="2"/>
      <w:bookmarkEnd w:id="4"/>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3、绩效评价分析阶段</w:t>
      </w:r>
      <w:bookmarkEnd w:id="3"/>
    </w:p>
    <w:p w:rsidR="001C5A5E" w:rsidRDefault="00DA042D">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经过对收集到的资料进行比对和交叉验证后，确定用于继续分析和评价的证据，通过比较指标的实际情况与预期数据对应程度，最终确认评价结果。</w:t>
      </w:r>
    </w:p>
    <w:p w:rsidR="001C5A5E" w:rsidRDefault="00DA042D">
      <w:pPr>
        <w:spacing w:line="540" w:lineRule="exact"/>
        <w:ind w:firstLineChars="200" w:firstLine="600"/>
        <w:rPr>
          <w:rFonts w:ascii="黑体" w:eastAsia="黑体" w:hAnsi="黑体"/>
        </w:rPr>
      </w:pPr>
      <w:r>
        <w:rPr>
          <w:rFonts w:ascii="黑体" w:eastAsia="黑体" w:hAnsi="黑体" w:hint="eastAsia"/>
        </w:rPr>
        <w:t>三、综合评价情况及评价结论</w:t>
      </w:r>
    </w:p>
    <w:p w:rsidR="001C5A5E" w:rsidRDefault="00DA042D">
      <w:pPr>
        <w:pStyle w:val="a7"/>
        <w:widowControl/>
        <w:spacing w:line="540" w:lineRule="exact"/>
        <w:ind w:firstLineChars="200" w:firstLine="640"/>
        <w:rPr>
          <w:rFonts w:ascii="仿宋_GB2312" w:cs="仿宋_GB2312"/>
          <w:sz w:val="32"/>
          <w:szCs w:val="32"/>
        </w:rPr>
      </w:pPr>
      <w:r>
        <w:rPr>
          <w:rFonts w:ascii="仿宋_GB2312" w:cs="仿宋_GB2312" w:hint="eastAsia"/>
          <w:sz w:val="32"/>
          <w:szCs w:val="32"/>
        </w:rPr>
        <w:t>我馆通过</w:t>
      </w:r>
      <w:r>
        <w:rPr>
          <w:rFonts w:ascii="仿宋_GB2312" w:cs="仿宋_GB2312"/>
          <w:sz w:val="32"/>
          <w:szCs w:val="32"/>
        </w:rPr>
        <w:t>公共文化场馆免费开放工作</w:t>
      </w:r>
      <w:r>
        <w:rPr>
          <w:rFonts w:ascii="仿宋_GB2312" w:cs="仿宋_GB2312" w:hint="eastAsia"/>
          <w:sz w:val="32"/>
          <w:szCs w:val="32"/>
        </w:rPr>
        <w:t>，推进和提升了基层文化馆设施建设，使免费开放工作</w:t>
      </w:r>
      <w:r>
        <w:rPr>
          <w:rFonts w:ascii="仿宋_GB2312" w:cs="仿宋_GB2312"/>
          <w:sz w:val="32"/>
          <w:szCs w:val="32"/>
        </w:rPr>
        <w:t>更加规范，公共文化服务供给能力与水平稳步提高，文化惠民项目与群众文化需求进行了有效对接，文化民生工程的群众参与率进一步提高，人民群众能够享受到更好更便捷的公共文化服务，文化民生工程发挥的社会效益显现</w:t>
      </w:r>
      <w:r>
        <w:rPr>
          <w:rFonts w:ascii="仿宋_GB2312" w:cs="仿宋_GB2312" w:hint="eastAsia"/>
          <w:sz w:val="32"/>
          <w:szCs w:val="32"/>
        </w:rPr>
        <w:t>，我馆2019年度免费开放项目完成了绩效任务，达到了既定的目标，经过对项目绩效指标评分得分为100分，绩效等级为优。</w:t>
      </w:r>
    </w:p>
    <w:p w:rsidR="001C5A5E" w:rsidRDefault="00DA042D">
      <w:pPr>
        <w:spacing w:line="540" w:lineRule="exact"/>
        <w:ind w:firstLineChars="200" w:firstLine="600"/>
        <w:rPr>
          <w:rFonts w:ascii="黑体" w:eastAsia="黑体" w:hAnsi="黑体"/>
        </w:rPr>
      </w:pPr>
      <w:r>
        <w:rPr>
          <w:rFonts w:ascii="黑体" w:eastAsia="黑体" w:hAnsi="黑体" w:hint="eastAsia"/>
        </w:rPr>
        <w:t>四、绩效评价指标分析</w:t>
      </w:r>
    </w:p>
    <w:p w:rsidR="001C5A5E" w:rsidRDefault="00DA042D">
      <w:pPr>
        <w:spacing w:line="540" w:lineRule="exact"/>
        <w:ind w:firstLineChars="200" w:firstLine="600"/>
        <w:outlineLvl w:val="0"/>
        <w:rPr>
          <w:rFonts w:ascii="仿宋_GB2312"/>
        </w:rPr>
      </w:pPr>
      <w:r>
        <w:rPr>
          <w:rFonts w:ascii="仿宋_GB2312" w:hint="eastAsia"/>
        </w:rPr>
        <w:t>（一）项目决策情况。</w:t>
      </w:r>
    </w:p>
    <w:p w:rsidR="001C5A5E" w:rsidRDefault="00DA042D">
      <w:pPr>
        <w:spacing w:line="540" w:lineRule="exact"/>
        <w:ind w:firstLineChars="200" w:firstLine="640"/>
        <w:rPr>
          <w:sz w:val="32"/>
          <w:szCs w:val="32"/>
        </w:rPr>
      </w:pPr>
      <w:r>
        <w:rPr>
          <w:rFonts w:hint="eastAsia"/>
          <w:sz w:val="32"/>
          <w:szCs w:val="32"/>
        </w:rPr>
        <w:t>本项目为我单位长期项目，单位领导高度重视，分工明确，工作进度做出具体规定，将责任落实到具体部门，工作落实到具体项目，确保自评工作组织到位，责任到位，项目到位。</w:t>
      </w:r>
    </w:p>
    <w:p w:rsidR="001C5A5E" w:rsidRDefault="00DA042D">
      <w:pPr>
        <w:spacing w:line="540" w:lineRule="exact"/>
        <w:ind w:firstLineChars="200" w:firstLine="600"/>
        <w:outlineLvl w:val="0"/>
        <w:rPr>
          <w:rFonts w:ascii="仿宋_GB2312"/>
        </w:rPr>
      </w:pPr>
      <w:r>
        <w:rPr>
          <w:rFonts w:ascii="仿宋_GB2312" w:hint="eastAsia"/>
        </w:rPr>
        <w:t>（二）项目过程情况。</w:t>
      </w:r>
    </w:p>
    <w:p w:rsidR="001C5A5E" w:rsidRDefault="00DA042D">
      <w:pPr>
        <w:spacing w:line="540" w:lineRule="exact"/>
        <w:ind w:firstLineChars="200" w:firstLine="640"/>
        <w:outlineLvl w:val="0"/>
        <w:rPr>
          <w:sz w:val="32"/>
          <w:szCs w:val="32"/>
        </w:rPr>
      </w:pPr>
      <w:r>
        <w:rPr>
          <w:rFonts w:hint="eastAsia"/>
          <w:sz w:val="32"/>
          <w:szCs w:val="32"/>
        </w:rPr>
        <w:t>根据财政预算下达的免费开放款项，结合单位制定计划，按时开展各类文化活动，包括送文化下乡，举办各类大型文艺演出</w:t>
      </w:r>
      <w:r>
        <w:rPr>
          <w:rFonts w:hint="eastAsia"/>
          <w:sz w:val="32"/>
          <w:szCs w:val="32"/>
        </w:rPr>
        <w:t xml:space="preserve"> </w:t>
      </w:r>
      <w:r>
        <w:rPr>
          <w:rFonts w:hint="eastAsia"/>
          <w:sz w:val="32"/>
          <w:szCs w:val="32"/>
        </w:rPr>
        <w:t>、美术展览，在馆内开展各免费开放培训班</w:t>
      </w:r>
      <w:r w:rsidR="001359AD">
        <w:rPr>
          <w:rFonts w:hint="eastAsia"/>
          <w:sz w:val="32"/>
          <w:szCs w:val="32"/>
        </w:rPr>
        <w:t>。</w:t>
      </w:r>
    </w:p>
    <w:p w:rsidR="001C5A5E" w:rsidRDefault="00DA042D">
      <w:pPr>
        <w:spacing w:line="540" w:lineRule="exact"/>
        <w:ind w:firstLineChars="200" w:firstLine="600"/>
        <w:outlineLvl w:val="0"/>
        <w:rPr>
          <w:sz w:val="32"/>
          <w:szCs w:val="32"/>
        </w:rPr>
      </w:pPr>
      <w:r>
        <w:rPr>
          <w:rFonts w:ascii="仿宋_GB2312" w:hint="eastAsia"/>
        </w:rPr>
        <w:lastRenderedPageBreak/>
        <w:t>（三）项目产出情况。</w:t>
      </w:r>
    </w:p>
    <w:p w:rsidR="001C5A5E" w:rsidRDefault="00DA042D">
      <w:pPr>
        <w:spacing w:line="540" w:lineRule="exact"/>
        <w:ind w:firstLineChars="200" w:firstLine="600"/>
        <w:outlineLvl w:val="0"/>
        <w:rPr>
          <w:rFonts w:ascii="仿宋_GB2312"/>
        </w:rPr>
      </w:pPr>
      <w:r>
        <w:rPr>
          <w:rFonts w:ascii="仿宋_GB2312" w:hint="eastAsia"/>
        </w:rPr>
        <w:t>结合该项目支出绩效自评表年初该项目设定的产出指标分析：</w:t>
      </w:r>
    </w:p>
    <w:p w:rsidR="001C5A5E" w:rsidRDefault="00DA042D">
      <w:pPr>
        <w:spacing w:line="540" w:lineRule="exact"/>
        <w:ind w:firstLineChars="200" w:firstLine="600"/>
        <w:outlineLvl w:val="0"/>
        <w:rPr>
          <w:rFonts w:ascii="仿宋_GB2312"/>
        </w:rPr>
      </w:pPr>
      <w:r>
        <w:rPr>
          <w:rFonts w:ascii="仿宋_GB2312"/>
        </w:rPr>
        <w:t>1</w:t>
      </w:r>
      <w:r>
        <w:rPr>
          <w:rFonts w:ascii="仿宋_GB2312" w:hint="eastAsia"/>
        </w:rPr>
        <w:t>、数量指标：按照</w:t>
      </w:r>
      <w:r>
        <w:rPr>
          <w:rFonts w:ascii="仿宋_GB2312"/>
        </w:rPr>
        <w:t>2019</w:t>
      </w:r>
      <w:r>
        <w:rPr>
          <w:rFonts w:ascii="仿宋_GB2312" w:hint="eastAsia"/>
        </w:rPr>
        <w:t>年度免费开放项目设置3个指标：分别为每周开放时间为≥42小时，每年公益性文化活动≥7次，每年展览≥4次，指标完成率为</w:t>
      </w:r>
      <w:r>
        <w:rPr>
          <w:rFonts w:ascii="仿宋_GB2312"/>
        </w:rPr>
        <w:t>100%</w:t>
      </w:r>
      <w:r>
        <w:rPr>
          <w:rFonts w:ascii="仿宋_GB2312" w:hint="eastAsia"/>
        </w:rPr>
        <w:t>，完成了年初设定的指标值，达到了年初设定的指标值。</w:t>
      </w:r>
    </w:p>
    <w:p w:rsidR="001C5A5E" w:rsidRDefault="00DA042D">
      <w:pPr>
        <w:spacing w:line="540" w:lineRule="exact"/>
        <w:ind w:firstLineChars="200" w:firstLine="600"/>
        <w:outlineLvl w:val="0"/>
        <w:rPr>
          <w:rFonts w:ascii="仿宋_GB2312"/>
        </w:rPr>
      </w:pPr>
      <w:r>
        <w:rPr>
          <w:rFonts w:ascii="仿宋_GB2312"/>
        </w:rPr>
        <w:t>2</w:t>
      </w:r>
      <w:r>
        <w:rPr>
          <w:rFonts w:ascii="仿宋_GB2312" w:hint="eastAsia"/>
        </w:rPr>
        <w:t>、时效指标：按照该项目实施原则，设置了指标按时开放率100%，截止</w:t>
      </w:r>
      <w:r>
        <w:rPr>
          <w:rFonts w:ascii="仿宋_GB2312"/>
        </w:rPr>
        <w:t>2019</w:t>
      </w:r>
      <w:r>
        <w:rPr>
          <w:rFonts w:ascii="仿宋_GB2312" w:hint="eastAsia"/>
        </w:rPr>
        <w:t>年12月31日完成目标值，指标完成率为</w:t>
      </w:r>
      <w:r>
        <w:rPr>
          <w:rFonts w:ascii="仿宋_GB2312"/>
        </w:rPr>
        <w:t>100%</w:t>
      </w:r>
      <w:r>
        <w:rPr>
          <w:rFonts w:ascii="仿宋_GB2312" w:hint="eastAsia"/>
        </w:rPr>
        <w:t>，完成了年初设定的指标值。</w:t>
      </w:r>
    </w:p>
    <w:p w:rsidR="001C5A5E" w:rsidRDefault="00DA042D">
      <w:pPr>
        <w:spacing w:line="540" w:lineRule="exact"/>
        <w:ind w:leftChars="200" w:left="600" w:firstLineChars="200" w:firstLine="600"/>
        <w:outlineLvl w:val="0"/>
        <w:rPr>
          <w:rFonts w:ascii="仿宋_GB2312"/>
        </w:rPr>
      </w:pPr>
      <w:r>
        <w:rPr>
          <w:rFonts w:ascii="仿宋_GB2312" w:hint="eastAsia"/>
        </w:rPr>
        <w:t>从以上分析情况看，产出指标按年初制订的目标已全部完成。</w:t>
      </w:r>
      <w:bookmarkStart w:id="5" w:name="_GoBack"/>
      <w:bookmarkEnd w:id="5"/>
    </w:p>
    <w:p w:rsidR="001C5A5E" w:rsidRDefault="00DA042D">
      <w:pPr>
        <w:numPr>
          <w:ilvl w:val="0"/>
          <w:numId w:val="1"/>
        </w:numPr>
        <w:spacing w:line="540" w:lineRule="exact"/>
        <w:ind w:firstLineChars="200" w:firstLine="600"/>
        <w:outlineLvl w:val="0"/>
        <w:rPr>
          <w:rFonts w:ascii="仿宋_GB2312"/>
        </w:rPr>
      </w:pPr>
      <w:r>
        <w:rPr>
          <w:rFonts w:ascii="仿宋_GB2312" w:hint="eastAsia"/>
        </w:rPr>
        <w:t>项目效益情况。</w:t>
      </w:r>
    </w:p>
    <w:p w:rsidR="001C5A5E" w:rsidRDefault="00DA042D">
      <w:pPr>
        <w:spacing w:line="540" w:lineRule="exact"/>
        <w:ind w:firstLineChars="200" w:firstLine="600"/>
        <w:outlineLvl w:val="0"/>
        <w:rPr>
          <w:rFonts w:ascii="仿宋_GB2312"/>
        </w:rPr>
      </w:pPr>
      <w:r>
        <w:rPr>
          <w:rFonts w:ascii="仿宋_GB2312"/>
        </w:rPr>
        <w:t>1</w:t>
      </w:r>
      <w:r>
        <w:rPr>
          <w:rFonts w:ascii="仿宋_GB2312" w:hint="eastAsia"/>
        </w:rPr>
        <w:t>、社会效益指标：确保文化馆正常运行。通过该项目的实施，提升了我馆公共文化服务的能力，提高了文化馆免费开放的质量，通过以前年度对比，该项指标完成率为100</w:t>
      </w:r>
      <w:r>
        <w:rPr>
          <w:rFonts w:ascii="仿宋_GB2312"/>
        </w:rPr>
        <w:t>%</w:t>
      </w:r>
      <w:r>
        <w:rPr>
          <w:rFonts w:ascii="仿宋_GB2312" w:hint="eastAsia"/>
        </w:rPr>
        <w:t>。</w:t>
      </w:r>
    </w:p>
    <w:p w:rsidR="001C5A5E" w:rsidRDefault="00DA042D">
      <w:pPr>
        <w:spacing w:line="540" w:lineRule="exact"/>
        <w:ind w:firstLineChars="200" w:firstLine="600"/>
        <w:outlineLvl w:val="0"/>
        <w:rPr>
          <w:rFonts w:ascii="仿宋_GB2312"/>
        </w:rPr>
      </w:pPr>
      <w:r>
        <w:rPr>
          <w:rFonts w:ascii="仿宋_GB2312"/>
        </w:rPr>
        <w:t>2</w:t>
      </w:r>
      <w:r>
        <w:rPr>
          <w:rFonts w:ascii="仿宋_GB2312" w:hint="eastAsia"/>
        </w:rPr>
        <w:t>、可持续影响指标：确保我馆的正常运行。通过该项目的实施，促进了我馆免费开放的可持续性，通过以前年度对比，该项指标完成率为100</w:t>
      </w:r>
      <w:r>
        <w:rPr>
          <w:rFonts w:ascii="仿宋_GB2312"/>
        </w:rPr>
        <w:t>%</w:t>
      </w:r>
      <w:r>
        <w:rPr>
          <w:rFonts w:ascii="仿宋_GB2312" w:hint="eastAsia"/>
        </w:rPr>
        <w:t>。</w:t>
      </w:r>
    </w:p>
    <w:p w:rsidR="001C5A5E" w:rsidRDefault="00DA042D">
      <w:pPr>
        <w:spacing w:line="540" w:lineRule="exact"/>
        <w:ind w:firstLineChars="200" w:firstLine="600"/>
        <w:rPr>
          <w:rFonts w:ascii="黑体" w:eastAsia="黑体" w:hAnsi="黑体"/>
        </w:rPr>
      </w:pPr>
      <w:r>
        <w:rPr>
          <w:rFonts w:ascii="黑体" w:eastAsia="黑体" w:hAnsi="黑体" w:hint="eastAsia"/>
        </w:rPr>
        <w:t>五、主要经验及做法、存在的问题及原因分析</w:t>
      </w:r>
    </w:p>
    <w:p w:rsidR="001C5A5E" w:rsidRDefault="00DA042D">
      <w:pPr>
        <w:spacing w:line="540" w:lineRule="exact"/>
        <w:ind w:firstLineChars="200" w:firstLine="600"/>
        <w:rPr>
          <w:rFonts w:ascii="黑体" w:eastAsia="黑体" w:hAnsi="黑体"/>
        </w:rPr>
      </w:pPr>
      <w:r>
        <w:rPr>
          <w:rFonts w:ascii="黑体" w:eastAsia="黑体" w:hAnsi="黑体" w:hint="eastAsia"/>
        </w:rPr>
        <w:t>无</w:t>
      </w:r>
    </w:p>
    <w:p w:rsidR="001C5A5E" w:rsidRDefault="00DA042D">
      <w:pPr>
        <w:spacing w:line="540" w:lineRule="exact"/>
        <w:ind w:firstLineChars="200" w:firstLine="600"/>
        <w:rPr>
          <w:rFonts w:ascii="黑体" w:eastAsia="黑体" w:hAnsi="黑体"/>
        </w:rPr>
      </w:pPr>
      <w:r>
        <w:rPr>
          <w:rFonts w:ascii="黑体" w:eastAsia="黑体" w:hAnsi="黑体" w:hint="eastAsia"/>
        </w:rPr>
        <w:t>六、有关建议</w:t>
      </w:r>
    </w:p>
    <w:p w:rsidR="001C5A5E" w:rsidRDefault="00DA042D">
      <w:pPr>
        <w:spacing w:line="540" w:lineRule="exact"/>
        <w:ind w:firstLineChars="200" w:firstLine="600"/>
        <w:rPr>
          <w:rFonts w:ascii="黑体" w:eastAsia="黑体" w:hAnsi="黑体"/>
        </w:rPr>
      </w:pPr>
      <w:r>
        <w:rPr>
          <w:rFonts w:ascii="黑体" w:eastAsia="黑体" w:hAnsi="黑体" w:hint="eastAsia"/>
        </w:rPr>
        <w:t>无</w:t>
      </w:r>
    </w:p>
    <w:p w:rsidR="001C5A5E" w:rsidRDefault="00DA042D">
      <w:pPr>
        <w:spacing w:line="540" w:lineRule="exact"/>
        <w:ind w:firstLineChars="200" w:firstLine="600"/>
        <w:rPr>
          <w:rFonts w:ascii="黑体" w:eastAsia="黑体" w:hAnsi="黑体"/>
        </w:rPr>
      </w:pPr>
      <w:r>
        <w:rPr>
          <w:rFonts w:ascii="黑体" w:eastAsia="黑体" w:hAnsi="黑体" w:hint="eastAsia"/>
        </w:rPr>
        <w:t>七、其他需要说明的问题</w:t>
      </w:r>
    </w:p>
    <w:p w:rsidR="001C5A5E" w:rsidRDefault="00DA042D">
      <w:pPr>
        <w:spacing w:line="540" w:lineRule="exact"/>
        <w:ind w:firstLineChars="200" w:firstLine="600"/>
        <w:rPr>
          <w:rFonts w:ascii="黑体" w:eastAsia="黑体" w:hAnsi="黑体"/>
        </w:rPr>
        <w:sectPr w:rsidR="001C5A5E">
          <w:footerReference w:type="default" r:id="rId9"/>
          <w:pgSz w:w="11906" w:h="16838"/>
          <w:pgMar w:top="1928" w:right="1531" w:bottom="1701" w:left="1531" w:header="737" w:footer="851" w:gutter="0"/>
          <w:cols w:space="720"/>
          <w:docGrid w:type="lines" w:linePitch="408"/>
        </w:sectPr>
      </w:pPr>
      <w:r>
        <w:rPr>
          <w:rFonts w:ascii="黑体" w:eastAsia="黑体" w:hAnsi="黑体" w:hint="eastAsia"/>
        </w:rPr>
        <w:t>无</w:t>
      </w:r>
    </w:p>
    <w:p w:rsidR="001C5A5E" w:rsidRDefault="00DA042D">
      <w:pPr>
        <w:pStyle w:val="2"/>
        <w:spacing w:before="0" w:after="0" w:line="240" w:lineRule="auto"/>
        <w:jc w:val="center"/>
        <w:rPr>
          <w:bCs/>
          <w:color w:val="000000"/>
        </w:rPr>
      </w:pPr>
      <w:r>
        <w:rPr>
          <w:rFonts w:ascii="宋体" w:eastAsia="宋体" w:hAnsi="宋体" w:cs="宋体" w:hint="eastAsia"/>
          <w:bCs/>
          <w:color w:val="000000"/>
          <w:sz w:val="36"/>
          <w:szCs w:val="28"/>
        </w:rPr>
        <w:lastRenderedPageBreak/>
        <w:t>项目支出绩效评价指标体系框架</w:t>
      </w: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1C5A5E">
        <w:trPr>
          <w:gridAfter w:val="1"/>
          <w:wAfter w:w="11" w:type="dxa"/>
          <w:trHeight w:val="692"/>
          <w:tblHeader/>
          <w:jc w:val="center"/>
        </w:trPr>
        <w:tc>
          <w:tcPr>
            <w:tcW w:w="763"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1C5A5E" w:rsidRDefault="00DA042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1C5A5E" w:rsidRDefault="00DA042D">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1C5A5E">
        <w:trPr>
          <w:gridAfter w:val="1"/>
          <w:wAfter w:w="11" w:type="dxa"/>
          <w:trHeight w:val="2318"/>
          <w:jc w:val="center"/>
        </w:trPr>
        <w:tc>
          <w:tcPr>
            <w:tcW w:w="763"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1C5A5E" w:rsidRDefault="00DA042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1C5A5E" w:rsidRDefault="00DA042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1C5A5E">
        <w:trPr>
          <w:gridAfter w:val="1"/>
          <w:wAfter w:w="11" w:type="dxa"/>
          <w:trHeight w:val="1640"/>
          <w:jc w:val="center"/>
        </w:trPr>
        <w:tc>
          <w:tcPr>
            <w:tcW w:w="763" w:type="dxa"/>
            <w:vMerge/>
            <w:tcBorders>
              <w:tl2br w:val="nil"/>
              <w:tr2bl w:val="nil"/>
            </w:tcBorders>
            <w:shd w:val="clear" w:color="auto" w:fill="FFFFFF"/>
            <w:vAlign w:val="center"/>
          </w:tcPr>
          <w:p w:rsidR="001C5A5E" w:rsidRDefault="001C5A5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1C5A5E" w:rsidRDefault="001C5A5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1C5A5E" w:rsidRDefault="00DA042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1C5A5E" w:rsidRDefault="001C5A5E">
            <w:pPr>
              <w:widowControl/>
              <w:jc w:val="left"/>
              <w:rPr>
                <w:rFonts w:ascii="宋体" w:eastAsia="宋体" w:hAnsi="宋体" w:cs="宋体"/>
                <w:color w:val="000000"/>
                <w:kern w:val="0"/>
                <w:sz w:val="22"/>
                <w:szCs w:val="22"/>
              </w:rPr>
            </w:pPr>
          </w:p>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1C5A5E">
            <w:pPr>
              <w:widowControl/>
              <w:jc w:val="left"/>
              <w:rPr>
                <w:rFonts w:ascii="宋体" w:eastAsia="宋体" w:hAnsi="宋体" w:cs="宋体"/>
                <w:color w:val="000000"/>
                <w:kern w:val="0"/>
                <w:sz w:val="22"/>
                <w:szCs w:val="22"/>
              </w:rPr>
            </w:pPr>
          </w:p>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p>
        </w:tc>
      </w:tr>
      <w:tr w:rsidR="001C5A5E">
        <w:trPr>
          <w:gridAfter w:val="1"/>
          <w:wAfter w:w="11" w:type="dxa"/>
          <w:trHeight w:val="1919"/>
          <w:jc w:val="center"/>
        </w:trPr>
        <w:tc>
          <w:tcPr>
            <w:tcW w:w="763" w:type="dxa"/>
            <w:vMerge/>
            <w:tcBorders>
              <w:tl2br w:val="nil"/>
              <w:tr2bl w:val="nil"/>
            </w:tcBorders>
            <w:shd w:val="clear" w:color="auto" w:fill="FFFFFF"/>
            <w:vAlign w:val="center"/>
          </w:tcPr>
          <w:p w:rsidR="001C5A5E" w:rsidRDefault="001C5A5E">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1C5A5E" w:rsidRDefault="00DA042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1C5A5E" w:rsidRDefault="00DA042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1C5A5E">
        <w:trPr>
          <w:gridAfter w:val="1"/>
          <w:wAfter w:w="11" w:type="dxa"/>
          <w:trHeight w:val="1464"/>
          <w:jc w:val="center"/>
        </w:trPr>
        <w:tc>
          <w:tcPr>
            <w:tcW w:w="763"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1C5A5E">
        <w:trPr>
          <w:gridAfter w:val="1"/>
          <w:wAfter w:w="11" w:type="dxa"/>
          <w:trHeight w:val="1942"/>
          <w:jc w:val="center"/>
        </w:trPr>
        <w:tc>
          <w:tcPr>
            <w:tcW w:w="763" w:type="dxa"/>
            <w:vMerge/>
            <w:tcBorders>
              <w:tl2br w:val="nil"/>
              <w:tr2bl w:val="nil"/>
            </w:tcBorders>
            <w:shd w:val="clear" w:color="auto" w:fill="FFFFFF"/>
            <w:vAlign w:val="center"/>
          </w:tcPr>
          <w:p w:rsidR="001C5A5E" w:rsidRDefault="001C5A5E">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1C5A5E" w:rsidRDefault="00DA042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1C5A5E">
        <w:trPr>
          <w:gridAfter w:val="1"/>
          <w:wAfter w:w="11" w:type="dxa"/>
          <w:trHeight w:val="1706"/>
          <w:jc w:val="center"/>
        </w:trPr>
        <w:tc>
          <w:tcPr>
            <w:tcW w:w="763" w:type="dxa"/>
            <w:vMerge/>
            <w:tcBorders>
              <w:tl2br w:val="nil"/>
              <w:tr2bl w:val="nil"/>
            </w:tcBorders>
            <w:shd w:val="clear" w:color="auto" w:fill="FFFFFF"/>
            <w:vAlign w:val="center"/>
          </w:tcPr>
          <w:p w:rsidR="001C5A5E" w:rsidRDefault="001C5A5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1C5A5E" w:rsidRDefault="001C5A5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1C5A5E">
        <w:trPr>
          <w:gridAfter w:val="1"/>
          <w:wAfter w:w="11" w:type="dxa"/>
          <w:trHeight w:val="1415"/>
          <w:jc w:val="center"/>
        </w:trPr>
        <w:tc>
          <w:tcPr>
            <w:tcW w:w="763" w:type="dxa"/>
            <w:vMerge w:val="restart"/>
            <w:tcBorders>
              <w:tl2br w:val="nil"/>
              <w:tr2bl w:val="nil"/>
            </w:tcBorders>
            <w:shd w:val="clear" w:color="auto" w:fill="FFFFFF"/>
            <w:vAlign w:val="center"/>
          </w:tcPr>
          <w:p w:rsidR="001C5A5E" w:rsidRDefault="00DA042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1C5A5E">
        <w:trPr>
          <w:gridAfter w:val="1"/>
          <w:wAfter w:w="11" w:type="dxa"/>
          <w:trHeight w:val="1320"/>
          <w:jc w:val="center"/>
        </w:trPr>
        <w:tc>
          <w:tcPr>
            <w:tcW w:w="763" w:type="dxa"/>
            <w:vMerge/>
            <w:tcBorders>
              <w:tl2br w:val="nil"/>
              <w:tr2bl w:val="nil"/>
            </w:tcBorders>
            <w:shd w:val="clear" w:color="auto" w:fill="FFFFFF"/>
            <w:vAlign w:val="center"/>
          </w:tcPr>
          <w:p w:rsidR="001C5A5E" w:rsidRDefault="001C5A5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1C5A5E" w:rsidRDefault="001C5A5E">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1C5A5E">
        <w:trPr>
          <w:gridAfter w:val="2"/>
          <w:wAfter w:w="23" w:type="dxa"/>
          <w:trHeight w:val="2076"/>
          <w:jc w:val="center"/>
        </w:trPr>
        <w:tc>
          <w:tcPr>
            <w:tcW w:w="763"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1C5A5E" w:rsidRDefault="00DA042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1C5A5E">
        <w:trPr>
          <w:gridAfter w:val="2"/>
          <w:wAfter w:w="23" w:type="dxa"/>
          <w:trHeight w:val="1797"/>
          <w:jc w:val="center"/>
        </w:trPr>
        <w:tc>
          <w:tcPr>
            <w:tcW w:w="763" w:type="dxa"/>
            <w:vMerge/>
            <w:tcBorders>
              <w:tl2br w:val="nil"/>
              <w:tr2bl w:val="nil"/>
            </w:tcBorders>
            <w:shd w:val="clear" w:color="auto" w:fill="FFFFFF"/>
            <w:vAlign w:val="center"/>
          </w:tcPr>
          <w:p w:rsidR="001C5A5E" w:rsidRDefault="001C5A5E">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1C5A5E" w:rsidRDefault="00DA042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1C5A5E">
        <w:trPr>
          <w:gridAfter w:val="2"/>
          <w:wAfter w:w="23" w:type="dxa"/>
          <w:trHeight w:val="1769"/>
          <w:jc w:val="center"/>
        </w:trPr>
        <w:tc>
          <w:tcPr>
            <w:tcW w:w="763" w:type="dxa"/>
            <w:vMerge/>
            <w:tcBorders>
              <w:tl2br w:val="nil"/>
              <w:tr2bl w:val="nil"/>
            </w:tcBorders>
            <w:shd w:val="clear" w:color="auto" w:fill="FFFFFF"/>
            <w:vAlign w:val="center"/>
          </w:tcPr>
          <w:p w:rsidR="001C5A5E" w:rsidRDefault="001C5A5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1C5A5E" w:rsidRDefault="001C5A5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1C5A5E">
        <w:trPr>
          <w:gridAfter w:val="2"/>
          <w:wAfter w:w="23" w:type="dxa"/>
          <w:trHeight w:val="1917"/>
          <w:jc w:val="center"/>
        </w:trPr>
        <w:tc>
          <w:tcPr>
            <w:tcW w:w="763"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1C5A5E">
        <w:trPr>
          <w:trHeight w:val="1718"/>
          <w:jc w:val="center"/>
        </w:trPr>
        <w:tc>
          <w:tcPr>
            <w:tcW w:w="763"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w:t>
            </w:r>
          </w:p>
        </w:tc>
      </w:tr>
      <w:tr w:rsidR="001C5A5E">
        <w:trPr>
          <w:trHeight w:val="1506"/>
          <w:jc w:val="center"/>
        </w:trPr>
        <w:tc>
          <w:tcPr>
            <w:tcW w:w="763" w:type="dxa"/>
            <w:vMerge/>
            <w:tcBorders>
              <w:tl2br w:val="nil"/>
              <w:tr2bl w:val="nil"/>
            </w:tcBorders>
            <w:shd w:val="clear" w:color="auto" w:fill="FFFFFF"/>
            <w:vAlign w:val="center"/>
          </w:tcPr>
          <w:p w:rsidR="001C5A5E" w:rsidRDefault="001C5A5E">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1C5A5E" w:rsidRDefault="00DA042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1C5A5E">
        <w:trPr>
          <w:trHeight w:val="2076"/>
          <w:jc w:val="center"/>
        </w:trPr>
        <w:tc>
          <w:tcPr>
            <w:tcW w:w="763" w:type="dxa"/>
            <w:vMerge/>
            <w:tcBorders>
              <w:tl2br w:val="nil"/>
              <w:tr2bl w:val="nil"/>
            </w:tcBorders>
            <w:shd w:val="clear" w:color="auto" w:fill="FFFFFF"/>
            <w:vAlign w:val="center"/>
          </w:tcPr>
          <w:p w:rsidR="001C5A5E" w:rsidRDefault="001C5A5E">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1C5A5E">
        <w:trPr>
          <w:trHeight w:val="889"/>
          <w:jc w:val="center"/>
        </w:trPr>
        <w:tc>
          <w:tcPr>
            <w:tcW w:w="763"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1C5A5E" w:rsidRDefault="00DA042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r>
      <w:tr w:rsidR="001C5A5E">
        <w:trPr>
          <w:trHeight w:val="1137"/>
          <w:jc w:val="center"/>
        </w:trPr>
        <w:tc>
          <w:tcPr>
            <w:tcW w:w="763" w:type="dxa"/>
            <w:vMerge/>
            <w:tcBorders>
              <w:tl2br w:val="nil"/>
              <w:tr2bl w:val="nil"/>
            </w:tcBorders>
            <w:shd w:val="clear" w:color="auto" w:fill="FFFFFF"/>
            <w:vAlign w:val="center"/>
          </w:tcPr>
          <w:p w:rsidR="001C5A5E" w:rsidRDefault="001C5A5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1C5A5E" w:rsidRDefault="001C5A5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1C5A5E" w:rsidRDefault="00DA042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1C5A5E" w:rsidRDefault="00DA042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1C5A5E" w:rsidRDefault="00DA042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bl>
    <w:p w:rsidR="001C5A5E" w:rsidRDefault="001C5A5E">
      <w:pPr>
        <w:spacing w:line="600" w:lineRule="exact"/>
        <w:rPr>
          <w:rFonts w:ascii="仿宋_GB2312"/>
          <w:bCs/>
          <w:sz w:val="32"/>
          <w:szCs w:val="32"/>
        </w:rPr>
        <w:sectPr w:rsidR="001C5A5E">
          <w:pgSz w:w="16838" w:h="11906" w:orient="landscape"/>
          <w:pgMar w:top="1531" w:right="1928" w:bottom="1531" w:left="1701" w:header="737" w:footer="851" w:gutter="0"/>
          <w:cols w:space="720"/>
          <w:docGrid w:type="lines" w:linePitch="408"/>
        </w:sectPr>
      </w:pPr>
    </w:p>
    <w:p w:rsidR="001C5A5E" w:rsidRDefault="001C5A5E"/>
    <w:sectPr w:rsidR="001C5A5E">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208" w:rsidRDefault="00F73208">
      <w:r>
        <w:separator/>
      </w:r>
    </w:p>
  </w:endnote>
  <w:endnote w:type="continuationSeparator" w:id="0">
    <w:p w:rsidR="00F73208" w:rsidRDefault="00F7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00"/>
    <w:family w:val="auto"/>
    <w:pitch w:val="default"/>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charset w:val="86"/>
    <w:family w:val="roma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A5E" w:rsidRDefault="00DA042D">
    <w:pPr>
      <w:pStyle w:val="a3"/>
      <w:jc w:val="center"/>
    </w:pPr>
    <w:r>
      <w:fldChar w:fldCharType="begin"/>
    </w:r>
    <w:r>
      <w:instrText xml:space="preserve"> PAGE   \* MERGEFORMAT </w:instrText>
    </w:r>
    <w:r>
      <w:fldChar w:fldCharType="separate"/>
    </w:r>
    <w:r w:rsidR="001359AD" w:rsidRPr="001359AD">
      <w:rPr>
        <w:noProof/>
        <w:lang w:val="zh-CN"/>
      </w:rPr>
      <w:t>6</w:t>
    </w:r>
    <w:r>
      <w:fldChar w:fldCharType="end"/>
    </w:r>
  </w:p>
  <w:p w:rsidR="001C5A5E" w:rsidRDefault="001C5A5E">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208" w:rsidRDefault="00F73208">
      <w:r>
        <w:separator/>
      </w:r>
    </w:p>
  </w:footnote>
  <w:footnote w:type="continuationSeparator" w:id="0">
    <w:p w:rsidR="00F73208" w:rsidRDefault="00F732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8A83C9"/>
    <w:multiLevelType w:val="singleLevel"/>
    <w:tmpl w:val="8B8A83C9"/>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B5"/>
    <w:rsid w:val="00033C4C"/>
    <w:rsid w:val="001359AD"/>
    <w:rsid w:val="00170435"/>
    <w:rsid w:val="0018238C"/>
    <w:rsid w:val="001C3CB8"/>
    <w:rsid w:val="001C5A5E"/>
    <w:rsid w:val="001F747F"/>
    <w:rsid w:val="00251A9F"/>
    <w:rsid w:val="002A24A5"/>
    <w:rsid w:val="003005A1"/>
    <w:rsid w:val="00482AA7"/>
    <w:rsid w:val="005858F5"/>
    <w:rsid w:val="00585FA2"/>
    <w:rsid w:val="00701281"/>
    <w:rsid w:val="00801271"/>
    <w:rsid w:val="00961807"/>
    <w:rsid w:val="00974249"/>
    <w:rsid w:val="00A77C8A"/>
    <w:rsid w:val="00AC6751"/>
    <w:rsid w:val="00C460D9"/>
    <w:rsid w:val="00C470BD"/>
    <w:rsid w:val="00C8547E"/>
    <w:rsid w:val="00C869AE"/>
    <w:rsid w:val="00CC10B5"/>
    <w:rsid w:val="00CF40C2"/>
    <w:rsid w:val="00D043E9"/>
    <w:rsid w:val="00D705CC"/>
    <w:rsid w:val="00DA042D"/>
    <w:rsid w:val="00DB332B"/>
    <w:rsid w:val="00E637D6"/>
    <w:rsid w:val="00EA03A9"/>
    <w:rsid w:val="00ED61D9"/>
    <w:rsid w:val="00F26A36"/>
    <w:rsid w:val="00F73208"/>
    <w:rsid w:val="00FA49EB"/>
    <w:rsid w:val="00FB45E1"/>
    <w:rsid w:val="00FC030A"/>
    <w:rsid w:val="16A36D39"/>
    <w:rsid w:val="25623271"/>
    <w:rsid w:val="26A72AC8"/>
    <w:rsid w:val="36E23C76"/>
    <w:rsid w:val="3A75517F"/>
    <w:rsid w:val="415250BB"/>
    <w:rsid w:val="56A62A69"/>
    <w:rsid w:val="78D345B9"/>
    <w:rsid w:val="79E910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1A6F"/>
  <w15:docId w15:val="{E11F4735-69F1-4779-A0E9-BB6002B37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0"/>
      <w:szCs w:val="24"/>
    </w:rPr>
  </w:style>
  <w:style w:type="paragraph" w:styleId="2">
    <w:name w:val="heading 2"/>
    <w:basedOn w:val="a"/>
    <w:next w:val="a"/>
    <w:link w:val="20"/>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spacing w:before="100" w:beforeAutospacing="1" w:after="100" w:afterAutospacing="1"/>
      <w:jc w:val="left"/>
    </w:pPr>
    <w:rPr>
      <w:kern w:val="0"/>
      <w:sz w:val="24"/>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Arial" w:eastAsia="黑体" w:hAnsi="Arial" w:cs="Times New Roman"/>
      <w:b/>
      <w:sz w:val="32"/>
      <w:szCs w:val="24"/>
    </w:rPr>
  </w:style>
  <w:style w:type="paragraph" w:customStyle="1" w:styleId="Default">
    <w:name w:val="Default"/>
    <w:qFormat/>
    <w:pPr>
      <w:widowControl w:val="0"/>
      <w:autoSpaceDE w:val="0"/>
      <w:autoSpaceDN w:val="0"/>
      <w:adjustRightInd w:val="0"/>
    </w:pPr>
    <w:rPr>
      <w:rFonts w:ascii="仿宋w.." w:eastAsia="仿宋w.." w:hAnsi="Times New Roman" w:cs="仿宋w.."/>
      <w:color w:val="000000"/>
      <w:sz w:val="24"/>
      <w:szCs w:val="24"/>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82BD47-0CA3-4926-B55D-A2C8B4DD8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837</Words>
  <Characters>4774</Characters>
  <Application>Microsoft Office Word</Application>
  <DocSecurity>0</DocSecurity>
  <Lines>39</Lines>
  <Paragraphs>11</Paragraphs>
  <ScaleCrop>false</ScaleCrop>
  <Company>DoubleOX</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12</cp:revision>
  <dcterms:created xsi:type="dcterms:W3CDTF">2020-05-14T04:19:00Z</dcterms:created>
  <dcterms:modified xsi:type="dcterms:W3CDTF">2020-06-07T03:39:00Z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