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巴州建设工程安全监督站项目支出绩效部门评价报告</w:t>
      </w:r>
    </w:p>
    <w:p>
      <w:pPr>
        <w:spacing w:line="540" w:lineRule="exact"/>
        <w:ind w:firstLine="1044" w:firstLineChars="200"/>
        <w:jc w:val="center"/>
        <w:rPr>
          <w:rFonts w:ascii="仿宋_GB2312" w:hAnsi="仿宋_GB2312" w:cs="仿宋_GB2312"/>
          <w:b/>
          <w:kern w:val="0"/>
          <w:sz w:val="52"/>
          <w:szCs w:val="52"/>
        </w:rPr>
      </w:pPr>
    </w:p>
    <w:p>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rPr>
          <w:rFonts w:ascii="仿宋_GB2312" w:hAnsi="仿宋_GB2312" w:cs="仿宋_GB2312"/>
          <w:kern w:val="0"/>
          <w:szCs w:val="30"/>
        </w:rPr>
      </w:pPr>
    </w:p>
    <w:p>
      <w:pPr>
        <w:ind w:left="2520" w:leftChars="240" w:right="750" w:rightChars="250" w:hanging="1800" w:hangingChars="500"/>
        <w:outlineLvl w:val="0"/>
        <w:rPr>
          <w:rFonts w:hint="default" w:ascii="仿宋_GB2312" w:hAnsi="仿宋_GB2312" w:eastAsia="仿宋_GB2312" w:cs="仿宋_GB2312"/>
          <w:kern w:val="0"/>
          <w:sz w:val="36"/>
          <w:szCs w:val="36"/>
          <w:lang w:val="en-US" w:eastAsia="zh-CN"/>
        </w:rPr>
      </w:pPr>
      <w:r>
        <w:rPr>
          <w:rFonts w:hint="eastAsia" w:ascii="仿宋_GB2312" w:hAnsi="仿宋_GB2312" w:cs="仿宋_GB2312"/>
          <w:kern w:val="0"/>
          <w:sz w:val="36"/>
          <w:szCs w:val="36"/>
        </w:rPr>
        <w:t>项目名称：巴州建设工程安全监督站工作经费项目</w:t>
      </w:r>
    </w:p>
    <w:p>
      <w:pPr>
        <w:ind w:firstLine="720" w:firstLineChars="200"/>
        <w:jc w:val="left"/>
        <w:outlineLvl w:val="0"/>
        <w:rPr>
          <w:rFonts w:ascii="仿宋_GB2312" w:hAnsi="仿宋_GB2312" w:cs="仿宋_GB2312"/>
          <w:kern w:val="0"/>
          <w:sz w:val="36"/>
          <w:szCs w:val="36"/>
        </w:rPr>
      </w:pPr>
      <w:r>
        <w:rPr>
          <w:rFonts w:hint="eastAsia" w:ascii="仿宋_GB2312" w:hAnsi="仿宋_GB2312" w:cs="仿宋_GB2312"/>
          <w:kern w:val="0"/>
          <w:sz w:val="36"/>
          <w:szCs w:val="36"/>
        </w:rPr>
        <w:t>实施单位（公章）：巴州建设工程安全监督站</w:t>
      </w:r>
    </w:p>
    <w:p>
      <w:pPr>
        <w:ind w:firstLine="720" w:firstLineChars="200"/>
        <w:jc w:val="left"/>
        <w:outlineLvl w:val="0"/>
        <w:rPr>
          <w:rFonts w:hint="default" w:ascii="仿宋_GB2312" w:hAnsi="仿宋_GB2312" w:eastAsia="仿宋_GB2312" w:cs="仿宋_GB2312"/>
          <w:kern w:val="0"/>
          <w:sz w:val="36"/>
          <w:szCs w:val="36"/>
          <w:lang w:val="en-US" w:eastAsia="zh-CN"/>
        </w:rPr>
      </w:pPr>
      <w:r>
        <w:rPr>
          <w:rFonts w:hint="eastAsia" w:ascii="仿宋_GB2312" w:hAnsi="仿宋_GB2312" w:cs="仿宋_GB2312"/>
          <w:kern w:val="0"/>
          <w:sz w:val="36"/>
          <w:szCs w:val="36"/>
        </w:rPr>
        <w:t>主管部门（公章）：</w:t>
      </w:r>
      <w:r>
        <w:rPr>
          <w:rFonts w:hint="eastAsia" w:ascii="仿宋_GB2312" w:hAnsi="仿宋_GB2312" w:cs="仿宋_GB2312"/>
          <w:kern w:val="0"/>
          <w:sz w:val="36"/>
          <w:szCs w:val="36"/>
          <w:lang w:val="en-US" w:eastAsia="zh-CN"/>
        </w:rPr>
        <w:t>巴州住房和城乡建设局</w:t>
      </w:r>
    </w:p>
    <w:p>
      <w:pPr>
        <w:ind w:firstLine="720" w:firstLineChars="200"/>
        <w:jc w:val="left"/>
        <w:outlineLvl w:val="0"/>
        <w:rPr>
          <w:rFonts w:hint="default" w:ascii="仿宋_GB2312" w:hAnsi="仿宋_GB2312" w:eastAsia="仿宋_GB2312" w:cs="仿宋_GB2312"/>
          <w:kern w:val="0"/>
          <w:sz w:val="36"/>
          <w:szCs w:val="36"/>
          <w:lang w:val="en-US" w:eastAsia="zh-CN"/>
        </w:rPr>
      </w:pPr>
      <w:r>
        <w:rPr>
          <w:rFonts w:hint="eastAsia" w:ascii="仿宋_GB2312" w:hAnsi="仿宋_GB2312" w:cs="仿宋_GB2312"/>
          <w:kern w:val="0"/>
          <w:sz w:val="36"/>
          <w:szCs w:val="36"/>
        </w:rPr>
        <w:t>项目负责人（签章）：</w:t>
      </w:r>
      <w:r>
        <w:rPr>
          <w:rFonts w:hint="eastAsia" w:ascii="仿宋_GB2312" w:hAnsi="仿宋_GB2312" w:cs="仿宋_GB2312"/>
          <w:kern w:val="0"/>
          <w:sz w:val="36"/>
          <w:szCs w:val="36"/>
          <w:lang w:val="en-US" w:eastAsia="zh-CN"/>
        </w:rPr>
        <w:t>朱勇</w:t>
      </w:r>
    </w:p>
    <w:p>
      <w:pPr>
        <w:ind w:firstLine="720" w:firstLineChars="200"/>
        <w:jc w:val="left"/>
        <w:outlineLvl w:val="0"/>
        <w:rPr>
          <w:rFonts w:hint="default" w:ascii="仿宋_GB2312" w:hAnsi="仿宋_GB2312" w:eastAsia="仿宋_GB2312" w:cs="仿宋_GB2312"/>
          <w:kern w:val="0"/>
          <w:sz w:val="36"/>
          <w:szCs w:val="36"/>
          <w:lang w:val="en-US" w:eastAsia="zh-CN"/>
        </w:rPr>
      </w:pPr>
      <w:r>
        <w:rPr>
          <w:rFonts w:hint="eastAsia" w:ascii="仿宋_GB2312" w:hAnsi="仿宋_GB2312" w:cs="仿宋_GB2312"/>
          <w:kern w:val="0"/>
          <w:sz w:val="36"/>
          <w:szCs w:val="36"/>
        </w:rPr>
        <w:t>填报时间：</w:t>
      </w:r>
      <w:r>
        <w:rPr>
          <w:rFonts w:hint="eastAsia" w:ascii="仿宋_GB2312" w:hAnsi="仿宋_GB2312" w:cs="仿宋_GB2312"/>
          <w:kern w:val="0"/>
          <w:sz w:val="36"/>
          <w:szCs w:val="36"/>
          <w:lang w:val="en-US" w:eastAsia="zh-CN"/>
        </w:rPr>
        <w:t>2020年4月</w:t>
      </w:r>
      <w:bookmarkStart w:id="0" w:name="_GoBack"/>
      <w:bookmarkEnd w:id="0"/>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hint="eastAsia" w:ascii="黑体" w:hAnsi="黑体" w:eastAsia="黑体"/>
        </w:rPr>
      </w:pPr>
    </w:p>
    <w:p>
      <w:pPr>
        <w:rPr>
          <w:rFonts w:ascii="黑体" w:hAnsi="黑体" w:eastAsia="黑体"/>
        </w:rPr>
      </w:pPr>
      <w:r>
        <w:rPr>
          <w:rFonts w:hint="eastAsia" w:ascii="黑体" w:hAnsi="黑体" w:eastAsia="黑体"/>
        </w:rPr>
        <w:t>附</w:t>
      </w:r>
      <w:r>
        <w:rPr>
          <w:rFonts w:ascii="黑体" w:hAnsi="黑体" w:eastAsia="黑体"/>
        </w:rPr>
        <w:t>1</w:t>
      </w:r>
    </w:p>
    <w:p>
      <w:pPr>
        <w:jc w:val="center"/>
        <w:rPr>
          <w:rFonts w:ascii="Arial" w:hAnsi="Arial" w:eastAsia="宋体" w:cs="Arial"/>
          <w:b/>
          <w:bCs/>
          <w:sz w:val="36"/>
          <w:szCs w:val="36"/>
        </w:rPr>
      </w:pPr>
      <w:r>
        <w:rPr>
          <w:rFonts w:hint="eastAsia" w:ascii="宋体" w:hAnsi="宋体" w:eastAsia="宋体" w:cs="Arial"/>
          <w:b/>
          <w:bCs/>
          <w:sz w:val="36"/>
          <w:szCs w:val="36"/>
        </w:rPr>
        <w:t>巴州建设工程安全监督站项目支出绩效评价报告</w:t>
      </w:r>
    </w:p>
    <w:p>
      <w:pPr>
        <w:jc w:val="center"/>
        <w:rPr>
          <w:rFonts w:ascii="仿宋_GB2312"/>
        </w:rPr>
      </w:pP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hint="eastAsia" w:ascii="仿宋_GB2312" w:eastAsia="仿宋_GB2312"/>
          <w:lang w:eastAsia="zh-CN"/>
        </w:rPr>
      </w:pPr>
      <w:r>
        <w:rPr>
          <w:rFonts w:hint="eastAsia" w:ascii="仿宋_GB2312"/>
        </w:rPr>
        <w:t>（一）项目概况。</w:t>
      </w:r>
    </w:p>
    <w:p>
      <w:pPr>
        <w:spacing w:line="600" w:lineRule="exact"/>
        <w:ind w:firstLine="600" w:firstLineChars="200"/>
        <w:outlineLvl w:val="0"/>
        <w:rPr>
          <w:rFonts w:hint="eastAsia" w:ascii="仿宋_GB2312"/>
        </w:rPr>
      </w:pPr>
      <w:r>
        <w:rPr>
          <w:rFonts w:hint="eastAsia" w:ascii="仿宋_GB2312"/>
          <w:lang w:val="en-US" w:eastAsia="zh-CN"/>
        </w:rPr>
        <w:t>项目背景及主要内容、实施情况：1</w:t>
      </w:r>
      <w:r>
        <w:rPr>
          <w:rFonts w:hint="eastAsia" w:ascii="仿宋_GB2312"/>
        </w:rPr>
        <w:t>、认真组织开展建筑起重机械的备案登记和安装、拆卸、使用管理工作，有效规范了起重机械拆装队伍管理，做到重点明确、责任落实、不留隐患。</w:t>
      </w:r>
      <w:r>
        <w:rPr>
          <w:rFonts w:hint="eastAsia" w:ascii="仿宋_GB2312"/>
          <w:lang w:val="en-US" w:eastAsia="zh-CN"/>
        </w:rPr>
        <w:t>2</w:t>
      </w:r>
      <w:r>
        <w:rPr>
          <w:rFonts w:hint="eastAsia" w:ascii="仿宋_GB2312"/>
        </w:rPr>
        <w:t>、稳步推进安全生产薄弱环节、重大危险源隐患的专项治理，确保了全年建设工程安全工作有序开展，总体受控。</w:t>
      </w:r>
      <w:r>
        <w:rPr>
          <w:rFonts w:hint="eastAsia" w:ascii="仿宋_GB2312"/>
          <w:lang w:val="en-US" w:eastAsia="zh-CN"/>
        </w:rPr>
        <w:t>3</w:t>
      </w:r>
      <w:r>
        <w:rPr>
          <w:rFonts w:hint="eastAsia" w:ascii="仿宋_GB2312"/>
        </w:rPr>
        <w:t>、</w:t>
      </w:r>
      <w:r>
        <w:rPr>
          <w:rFonts w:hint="eastAsia" w:ascii="仿宋_GB2312"/>
          <w:lang w:val="en-US" w:eastAsia="zh-CN"/>
        </w:rPr>
        <w:t>按照年初下达的预算</w:t>
      </w:r>
      <w:r>
        <w:rPr>
          <w:rFonts w:hint="eastAsia" w:ascii="仿宋_GB2312"/>
        </w:rPr>
        <w:t>我站组织全站工作人员通过会议纪要表决。</w:t>
      </w:r>
    </w:p>
    <w:p>
      <w:pPr>
        <w:spacing w:line="600" w:lineRule="exact"/>
        <w:ind w:firstLine="600" w:firstLineChars="200"/>
        <w:outlineLvl w:val="0"/>
        <w:rPr>
          <w:rFonts w:hint="default" w:ascii="仿宋_GB2312" w:eastAsia="仿宋_GB2312"/>
          <w:color w:val="0000FF"/>
          <w:lang w:val="en-US" w:eastAsia="zh-CN"/>
        </w:rPr>
      </w:pPr>
      <w:r>
        <w:rPr>
          <w:rFonts w:hint="eastAsia" w:ascii="仿宋_GB2312"/>
          <w:color w:val="auto"/>
          <w:lang w:val="en-US" w:eastAsia="zh-CN"/>
        </w:rPr>
        <w:t>资金投入和使用情况：</w:t>
      </w:r>
      <w:r>
        <w:rPr>
          <w:rFonts w:hint="eastAsia" w:ascii="仿宋" w:hAnsi="仿宋" w:eastAsia="仿宋" w:cs="仿宋"/>
          <w:b w:val="0"/>
          <w:bCs w:val="0"/>
          <w:color w:val="auto"/>
          <w:sz w:val="30"/>
          <w:szCs w:val="30"/>
          <w:shd w:val="clear" w:color="auto" w:fill="auto"/>
        </w:rPr>
        <w:t>巴</w:t>
      </w:r>
      <w:r>
        <w:rPr>
          <w:rFonts w:hint="eastAsia" w:ascii="仿宋" w:hAnsi="仿宋" w:eastAsia="仿宋" w:cs="仿宋"/>
          <w:b w:val="0"/>
          <w:bCs w:val="0"/>
          <w:sz w:val="30"/>
          <w:szCs w:val="30"/>
          <w:shd w:val="clear" w:color="auto" w:fill="auto"/>
        </w:rPr>
        <w:t>州建设工程安全监督站</w:t>
      </w:r>
      <w:r>
        <w:rPr>
          <w:rFonts w:hint="eastAsia" w:ascii="仿宋_GB2312" w:hAnsi="仿宋_GB2312" w:cs="仿宋_GB2312"/>
          <w:szCs w:val="30"/>
        </w:rPr>
        <w:t>工作经费项目</w:t>
      </w:r>
      <w:r>
        <w:rPr>
          <w:rFonts w:hint="eastAsia" w:ascii="仿宋_GB2312" w:hAnsi="仿宋_GB2312" w:cs="仿宋_GB2312"/>
          <w:szCs w:val="30"/>
          <w:lang w:val="en-US" w:eastAsia="zh-CN"/>
        </w:rPr>
        <w:t>4.76</w:t>
      </w:r>
      <w:r>
        <w:rPr>
          <w:rFonts w:hint="eastAsia" w:ascii="仿宋_GB2312" w:hAnsi="仿宋_GB2312" w:cs="仿宋_GB2312"/>
          <w:szCs w:val="30"/>
        </w:rPr>
        <w:t>万元，全部纳入2019年</w:t>
      </w:r>
      <w:r>
        <w:rPr>
          <w:rFonts w:hint="eastAsia" w:ascii="仿宋_GB2312" w:hAnsi="仿宋_GB2312" w:cs="仿宋_GB2312"/>
          <w:szCs w:val="30"/>
          <w:lang w:val="en-US" w:eastAsia="zh-CN"/>
        </w:rPr>
        <w:t>州</w:t>
      </w:r>
      <w:r>
        <w:rPr>
          <w:rFonts w:hint="eastAsia" w:ascii="仿宋_GB2312" w:hAnsi="仿宋_GB2312" w:cs="仿宋_GB2312"/>
          <w:szCs w:val="30"/>
        </w:rPr>
        <w:t>财政部门预算并全部到位，资金到位率100%</w:t>
      </w:r>
      <w:r>
        <w:rPr>
          <w:rFonts w:hint="eastAsia" w:ascii="仿宋_GB2312" w:hAnsi="仿宋_GB2312" w:cs="仿宋_GB2312"/>
          <w:szCs w:val="30"/>
          <w:lang w:eastAsia="zh-CN"/>
        </w:rPr>
        <w:t>，</w:t>
      </w:r>
      <w:r>
        <w:rPr>
          <w:rFonts w:hint="eastAsia" w:ascii="仿宋_GB2312" w:hAnsi="仿宋_GB2312" w:cs="仿宋_GB2312"/>
          <w:szCs w:val="30"/>
          <w:lang w:val="en-US" w:eastAsia="zh-CN"/>
        </w:rPr>
        <w:t>截止2019年12月31日，实际使用项目资金2.71万元，执行率57%。</w:t>
      </w:r>
    </w:p>
    <w:p>
      <w:pPr>
        <w:numPr>
          <w:ilvl w:val="0"/>
          <w:numId w:val="1"/>
        </w:numPr>
        <w:spacing w:line="600" w:lineRule="exact"/>
        <w:ind w:firstLine="600" w:firstLineChars="200"/>
        <w:rPr>
          <w:rFonts w:hint="eastAsia" w:ascii="仿宋_GB2312"/>
        </w:rPr>
      </w:pPr>
      <w:r>
        <w:rPr>
          <w:rFonts w:hint="eastAsia" w:ascii="仿宋_GB2312"/>
        </w:rPr>
        <w:t>项目绩效目标。</w:t>
      </w:r>
    </w:p>
    <w:p>
      <w:pPr>
        <w:numPr>
          <w:ilvl w:val="0"/>
          <w:numId w:val="0"/>
        </w:numPr>
        <w:spacing w:line="600" w:lineRule="exact"/>
        <w:ind w:firstLine="600" w:firstLineChars="200"/>
        <w:rPr>
          <w:rFonts w:hint="eastAsia" w:ascii="仿宋_GB2312"/>
        </w:rPr>
      </w:pPr>
      <w:r>
        <w:rPr>
          <w:rFonts w:hint="eastAsia" w:ascii="仿宋_GB2312"/>
          <w:lang w:val="en-US" w:eastAsia="zh-CN"/>
        </w:rPr>
        <w:t>总体目标：</w:t>
      </w:r>
      <w:r>
        <w:rPr>
          <w:rFonts w:hint="eastAsia" w:ascii="仿宋_GB2312"/>
        </w:rPr>
        <w:t>为建设工程安装提供安全监督保障，负责建筑工程安全生产监督管理和执法检查工作。狠抓开（复）工前的安全条件审查工作。</w:t>
      </w:r>
    </w:p>
    <w:p>
      <w:pPr>
        <w:numPr>
          <w:ilvl w:val="0"/>
          <w:numId w:val="0"/>
        </w:numPr>
        <w:spacing w:line="600" w:lineRule="exact"/>
        <w:ind w:firstLine="600" w:firstLineChars="200"/>
        <w:rPr>
          <w:rFonts w:ascii="仿宋_GB2312"/>
        </w:rPr>
      </w:pPr>
      <w:r>
        <w:rPr>
          <w:rFonts w:hint="eastAsia" w:ascii="仿宋_GB2312"/>
          <w:lang w:val="en-US" w:eastAsia="zh-CN"/>
        </w:rPr>
        <w:t>阶段性目标：</w:t>
      </w:r>
      <w:r>
        <w:rPr>
          <w:rFonts w:hint="eastAsia" w:ascii="仿宋_GB2312"/>
        </w:rPr>
        <w:t>抓好建设工程开（复）工前的安全生产条件审查工作，要求建设工程开</w:t>
      </w:r>
      <w:r>
        <w:rPr>
          <w:rFonts w:ascii="仿宋_GB2312"/>
        </w:rPr>
        <w:t>(</w:t>
      </w:r>
      <w:r>
        <w:rPr>
          <w:rFonts w:hint="eastAsia" w:ascii="仿宋_GB2312"/>
        </w:rPr>
        <w:t>复</w:t>
      </w:r>
      <w:r>
        <w:rPr>
          <w:rFonts w:ascii="仿宋_GB2312"/>
        </w:rPr>
        <w:t>)</w:t>
      </w:r>
      <w:r>
        <w:rPr>
          <w:rFonts w:hint="eastAsia" w:ascii="仿宋_GB2312"/>
        </w:rPr>
        <w:t>工前申请安全生产条件审查，安全生产条件达到规范要求后方可进行施工，减少了安全事故的发生。</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0" w:firstLineChars="200"/>
        <w:rPr>
          <w:rFonts w:hint="eastAsia" w:ascii="仿宋_GB2312"/>
        </w:rPr>
      </w:pPr>
      <w:r>
        <w:rPr>
          <w:rFonts w:hint="eastAsia" w:ascii="仿宋_GB2312"/>
        </w:rPr>
        <w:t>（一）绩效评价目的、对象和范围。</w:t>
      </w:r>
    </w:p>
    <w:p>
      <w:pPr>
        <w:spacing w:line="600" w:lineRule="exact"/>
        <w:ind w:firstLine="600" w:firstLineChars="200"/>
        <w:rPr>
          <w:rFonts w:ascii="仿宋_GB2312" w:hAnsi="仿宋_GB2312" w:cs="仿宋_GB2312"/>
          <w:bCs/>
          <w:szCs w:val="30"/>
          <w:lang w:bidi="en-US"/>
        </w:rPr>
      </w:pPr>
      <w:r>
        <w:rPr>
          <w:rFonts w:hint="eastAsia" w:ascii="仿宋_GB2312"/>
          <w:color w:val="auto"/>
          <w:lang w:val="en-US" w:eastAsia="zh-CN"/>
        </w:rPr>
        <w:t>绩效评价目的：</w:t>
      </w:r>
      <w:r>
        <w:rPr>
          <w:rFonts w:hint="eastAsia" w:ascii="仿宋_GB2312" w:hAnsi="仿宋_GB2312" w:cs="仿宋_GB2312"/>
          <w:bCs/>
          <w:color w:val="auto"/>
          <w:szCs w:val="30"/>
          <w:lang w:bidi="en-US"/>
        </w:rPr>
        <w:t>绩效</w:t>
      </w:r>
      <w:r>
        <w:rPr>
          <w:rFonts w:hint="eastAsia" w:ascii="仿宋_GB2312" w:hAnsi="仿宋_GB2312" w:cs="仿宋_GB2312"/>
          <w:bCs/>
          <w:szCs w:val="30"/>
          <w:lang w:bidi="en-US"/>
        </w:rPr>
        <w:t>评价旨在通过评价改善预算部门的财政支出管理，优化资源配置及提高公共服务水平。采用科学、规范的方法，依据既定的评价技术体系，为加强财政预算资金管理，客观公正地核查安全生产监督检查工作经费项目，及时总结经验，分析存在问题及原因，切实采取有效措施进一步改进和加强财政专项资金管理，推动财政资金聚力增效，提高公共服务供给质量，增强政府公信力和执行力。</w:t>
      </w:r>
    </w:p>
    <w:p>
      <w:pPr>
        <w:spacing w:line="600" w:lineRule="exact"/>
        <w:ind w:firstLine="900" w:firstLineChars="300"/>
        <w:rPr>
          <w:rFonts w:ascii="仿宋_GB2312"/>
        </w:rPr>
      </w:pPr>
      <w:r>
        <w:rPr>
          <w:rFonts w:hint="eastAsia" w:ascii="仿宋_GB2312"/>
          <w:lang w:val="en-US" w:eastAsia="zh-CN"/>
        </w:rPr>
        <w:t>评价对象和范围：</w:t>
      </w:r>
      <w:r>
        <w:rPr>
          <w:rFonts w:hint="eastAsia" w:ascii="仿宋_GB2312"/>
        </w:rPr>
        <w:t>对项目资金专款专用。用在了建筑安全工程哪方面进行评价可以更好地发挥财政资金的优势。</w:t>
      </w:r>
    </w:p>
    <w:p>
      <w:pPr>
        <w:numPr>
          <w:ilvl w:val="0"/>
          <w:numId w:val="1"/>
        </w:numPr>
        <w:spacing w:line="600" w:lineRule="exact"/>
        <w:ind w:left="0" w:leftChars="0" w:firstLine="600" w:firstLineChars="200"/>
        <w:rPr>
          <w:rFonts w:hint="eastAsia" w:ascii="仿宋_GB2312"/>
        </w:rPr>
      </w:pPr>
      <w:r>
        <w:rPr>
          <w:rFonts w:hint="eastAsia" w:ascii="仿宋_GB2312"/>
        </w:rPr>
        <w:t>绩效评价原则、评价指标体系（附表说明）、评价方法、评价标准等。</w:t>
      </w:r>
    </w:p>
    <w:p>
      <w:pPr>
        <w:spacing w:line="600" w:lineRule="exact"/>
        <w:ind w:firstLine="640"/>
        <w:rPr>
          <w:rFonts w:hint="eastAsia" w:ascii="仿宋_GB2312"/>
          <w:lang w:val="en-US" w:eastAsia="zh-CN"/>
        </w:rPr>
      </w:pPr>
      <w:r>
        <w:rPr>
          <w:rFonts w:hint="eastAsia" w:ascii="仿宋_GB2312"/>
        </w:rPr>
        <w:t>绩效评价原则</w:t>
      </w:r>
      <w:r>
        <w:rPr>
          <w:rFonts w:hint="eastAsia" w:ascii="仿宋_GB2312"/>
          <w:lang w:val="en-US" w:eastAsia="zh-CN"/>
        </w:rPr>
        <w:t>:</w:t>
      </w:r>
    </w:p>
    <w:p>
      <w:pPr>
        <w:spacing w:line="600" w:lineRule="exact"/>
        <w:ind w:firstLine="640"/>
        <w:rPr>
          <w:rFonts w:ascii="仿宋_GB2312"/>
          <w:bCs/>
          <w:sz w:val="32"/>
          <w:szCs w:val="32"/>
        </w:rPr>
      </w:pPr>
      <w:r>
        <w:rPr>
          <w:rFonts w:hint="eastAsia" w:ascii="仿宋_GB2312"/>
          <w:bCs/>
          <w:sz w:val="32"/>
          <w:szCs w:val="32"/>
        </w:rPr>
        <w:t>（1）科学公正。绩效评价应当运用科学合理的方法，按照规范的程序，对项目绩效进行客观、公正的反映。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（3）激励约束。绩效评价结果应与预算安排、政策调整、改进管理实质性挂钩，体现奖优罚劣和激励相容导向，有效要安排、低效要压减、无效要问责。</w:t>
      </w:r>
    </w:p>
    <w:p>
      <w:pPr>
        <w:spacing w:line="600" w:lineRule="exact"/>
        <w:ind w:firstLine="640" w:firstLineChars="200"/>
        <w:rPr>
          <w:rFonts w:hint="eastAsia" w:ascii="仿宋_GB2312"/>
          <w:bCs/>
          <w:sz w:val="32"/>
          <w:szCs w:val="32"/>
        </w:rPr>
      </w:pPr>
      <w:r>
        <w:rPr>
          <w:rFonts w:hint="eastAsia" w:ascii="仿宋_GB2312"/>
          <w:bCs/>
          <w:sz w:val="32"/>
          <w:szCs w:val="32"/>
        </w:rPr>
        <w:t>（4）公开透明。绩效评价结果应依法依规公开，并自觉接受社会监督。</w:t>
      </w:r>
    </w:p>
    <w:p>
      <w:pPr>
        <w:spacing w:line="600" w:lineRule="exact"/>
        <w:ind w:firstLine="600" w:firstLineChars="200"/>
        <w:rPr>
          <w:rFonts w:hint="eastAsia" w:ascii="仿宋_GB2312"/>
        </w:rPr>
      </w:pPr>
      <w:r>
        <w:rPr>
          <w:rFonts w:hint="eastAsia" w:ascii="仿宋_GB2312"/>
        </w:rPr>
        <w:t>评价方法</w:t>
      </w:r>
      <w:r>
        <w:rPr>
          <w:rFonts w:hint="eastAsia" w:ascii="仿宋_GB2312"/>
          <w:lang w:val="en-US" w:eastAsia="zh-CN"/>
        </w:rPr>
        <w:t>:</w:t>
      </w: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hint="eastAsia" w:ascii="仿宋_GB2312"/>
        </w:rPr>
        <w:t>我单位采用了最低成本法进行评价。</w:t>
      </w:r>
    </w:p>
    <w:p>
      <w:pPr>
        <w:spacing w:line="600" w:lineRule="exact"/>
        <w:ind w:firstLine="600" w:firstLineChars="200"/>
        <w:rPr>
          <w:rFonts w:hint="default" w:ascii="仿宋_GB2312" w:eastAsia="仿宋_GB2312"/>
          <w:lang w:val="en-US" w:eastAsia="zh-CN"/>
        </w:rPr>
      </w:pPr>
      <w:r>
        <w:rPr>
          <w:color w:val="auto"/>
          <w:szCs w:val="32"/>
        </w:rPr>
        <w:t>绩效评价标准</w:t>
      </w:r>
      <w:r>
        <w:rPr>
          <w:rFonts w:hint="eastAsia"/>
          <w:color w:val="auto"/>
          <w:szCs w:val="32"/>
          <w:lang w:val="en-US" w:eastAsia="zh-CN"/>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pPr>
        <w:spacing w:line="600" w:lineRule="exact"/>
        <w:ind w:firstLine="900" w:firstLineChars="300"/>
        <w:rPr>
          <w:rFonts w:ascii="仿宋_GB2312"/>
        </w:rPr>
      </w:pPr>
      <w:r>
        <w:rPr>
          <w:rFonts w:hint="eastAsia" w:ascii="仿宋_GB2312"/>
        </w:rPr>
        <w:t>按照项目资金的用途根据年初报的绩效目标指标完成的业绩值进行评价。</w:t>
      </w:r>
    </w:p>
    <w:p>
      <w:pPr>
        <w:numPr>
          <w:ilvl w:val="0"/>
          <w:numId w:val="1"/>
        </w:numPr>
        <w:spacing w:line="600" w:lineRule="exact"/>
        <w:ind w:left="0" w:leftChars="0" w:firstLine="600" w:firstLineChars="200"/>
        <w:rPr>
          <w:rFonts w:hint="eastAsia" w:ascii="仿宋_GB2312"/>
        </w:rPr>
      </w:pPr>
      <w:r>
        <w:rPr>
          <w:rFonts w:hint="eastAsia" w:ascii="仿宋_GB2312"/>
        </w:rPr>
        <w:t>绩效评价工作过程。</w:t>
      </w:r>
    </w:p>
    <w:p>
      <w:pPr>
        <w:pStyle w:val="10"/>
        <w:numPr>
          <w:ilvl w:val="0"/>
          <w:numId w:val="2"/>
        </w:numPr>
        <w:spacing w:line="520" w:lineRule="exact"/>
        <w:ind w:firstLine="699" w:firstLineChars="233"/>
        <w:rPr>
          <w:rFonts w:hint="eastAsia" w:ascii="Times New Roman" w:hAnsi="Times New Roman" w:eastAsia="仿宋_GB2312" w:cs="Times New Roman"/>
          <w:color w:val="auto"/>
          <w:kern w:val="2"/>
          <w:sz w:val="30"/>
          <w:szCs w:val="32"/>
          <w:lang w:val="en-US" w:eastAsia="zh-CN" w:bidi="ar-SA"/>
        </w:rPr>
      </w:pPr>
      <w:r>
        <w:rPr>
          <w:rFonts w:hint="eastAsia" w:ascii="Times New Roman" w:hAnsi="Times New Roman" w:eastAsia="仿宋_GB2312" w:cs="Times New Roman"/>
          <w:color w:val="auto"/>
          <w:kern w:val="2"/>
          <w:sz w:val="30"/>
          <w:szCs w:val="32"/>
          <w:lang w:val="en-US" w:eastAsia="zh-CN" w:bidi="ar-SA"/>
        </w:rPr>
        <w:t>前期准备工作</w:t>
      </w:r>
    </w:p>
    <w:p>
      <w:pPr>
        <w:pStyle w:val="10"/>
        <w:spacing w:line="520" w:lineRule="exact"/>
        <w:ind w:firstLine="699" w:firstLineChars="233"/>
        <w:rPr>
          <w:rFonts w:hint="eastAsia" w:ascii="仿宋_GB2312" w:hAnsi="Times New Roman" w:eastAsia="仿宋_GB2312" w:cs="Times New Roman"/>
          <w:color w:val="auto"/>
          <w:kern w:val="2"/>
          <w:sz w:val="30"/>
          <w:szCs w:val="24"/>
          <w:lang w:val="en-US" w:eastAsia="zh-CN" w:bidi="ar-SA"/>
        </w:rPr>
      </w:pPr>
      <w:r>
        <w:rPr>
          <w:rFonts w:hint="eastAsia" w:ascii="仿宋_GB2312" w:hAnsi="Times New Roman" w:eastAsia="仿宋_GB2312" w:cs="Times New Roman"/>
          <w:color w:val="auto"/>
          <w:kern w:val="2"/>
          <w:sz w:val="30"/>
          <w:szCs w:val="24"/>
          <w:lang w:val="en-US" w:eastAsia="zh-CN" w:bidi="ar-SA"/>
        </w:rPr>
        <w:t>根据绩效评价规范的要求和本次评价的实际情况，参考州财政局《关于近期预算绩效工作安排》的文件要求，收集了项目立项文件、会议纪要，完成了项目基础信息表并形成绩效评价框架，指导具体的绩效评价工作。</w:t>
      </w:r>
    </w:p>
    <w:p>
      <w:pPr>
        <w:pStyle w:val="10"/>
        <w:numPr>
          <w:ilvl w:val="0"/>
          <w:numId w:val="0"/>
        </w:numPr>
        <w:spacing w:line="520" w:lineRule="exact"/>
        <w:ind w:firstLine="608" w:firstLineChars="200"/>
        <w:rPr>
          <w:rFonts w:hint="eastAsia" w:ascii="仿宋_GB2312" w:hAnsi="仿宋" w:eastAsia="仿宋_GB2312" w:cs="仿宋_GB2312"/>
          <w:color w:val="0000FF"/>
          <w:spacing w:val="-8"/>
          <w:sz w:val="32"/>
          <w:szCs w:val="32"/>
        </w:rPr>
      </w:pPr>
    </w:p>
    <w:p>
      <w:pPr>
        <w:pStyle w:val="10"/>
        <w:numPr>
          <w:ilvl w:val="0"/>
          <w:numId w:val="2"/>
        </w:numPr>
        <w:spacing w:line="520" w:lineRule="exact"/>
        <w:ind w:left="0" w:leftChars="0" w:firstLine="708" w:firstLineChars="233"/>
        <w:rPr>
          <w:rFonts w:hint="eastAsia" w:ascii="仿宋_GB2312" w:hAnsi="仿宋" w:eastAsia="仿宋_GB2312" w:cs="仿宋_GB2312"/>
          <w:color w:val="auto"/>
          <w:spacing w:val="-8"/>
          <w:sz w:val="32"/>
          <w:szCs w:val="32"/>
        </w:rPr>
      </w:pPr>
      <w:r>
        <w:rPr>
          <w:rFonts w:hint="eastAsia" w:ascii="仿宋_GB2312" w:hAnsi="仿宋" w:eastAsia="仿宋_GB2312" w:cs="仿宋_GB2312"/>
          <w:color w:val="auto"/>
          <w:spacing w:val="-8"/>
          <w:sz w:val="32"/>
          <w:szCs w:val="32"/>
        </w:rPr>
        <w:t>组织实施过程内容</w:t>
      </w:r>
    </w:p>
    <w:p>
      <w:pPr>
        <w:pStyle w:val="10"/>
        <w:numPr>
          <w:ilvl w:val="0"/>
          <w:numId w:val="0"/>
        </w:numPr>
        <w:spacing w:line="520" w:lineRule="exact"/>
        <w:ind w:firstLine="608" w:firstLineChars="200"/>
        <w:rPr>
          <w:rFonts w:ascii="仿宋_GB2312" w:hAnsi="仿宋" w:eastAsia="仿宋_GB2312" w:cs="仿宋_GB2312"/>
          <w:spacing w:val="-8"/>
          <w:sz w:val="32"/>
          <w:szCs w:val="32"/>
        </w:rPr>
      </w:pPr>
      <w:r>
        <w:rPr>
          <w:rFonts w:hint="eastAsia" w:ascii="仿宋_GB2312" w:hAnsi="仿宋" w:eastAsia="仿宋_GB2312" w:cs="仿宋_GB2312"/>
          <w:spacing w:val="-8"/>
          <w:sz w:val="32"/>
          <w:szCs w:val="32"/>
          <w:lang w:eastAsia="zh-CN"/>
        </w:rPr>
        <w:t>（</w:t>
      </w:r>
      <w:r>
        <w:rPr>
          <w:rFonts w:hint="eastAsia" w:ascii="仿宋_GB2312" w:hAnsi="仿宋" w:eastAsia="仿宋_GB2312" w:cs="仿宋_GB2312"/>
          <w:spacing w:val="-8"/>
          <w:sz w:val="32"/>
          <w:szCs w:val="32"/>
          <w:lang w:val="en-US" w:eastAsia="zh-CN"/>
        </w:rPr>
        <w:t>1</w:t>
      </w:r>
      <w:r>
        <w:rPr>
          <w:rFonts w:hint="eastAsia" w:ascii="仿宋_GB2312" w:hAnsi="仿宋" w:eastAsia="仿宋_GB2312" w:cs="仿宋_GB2312"/>
          <w:spacing w:val="-8"/>
          <w:sz w:val="32"/>
          <w:szCs w:val="32"/>
          <w:lang w:eastAsia="zh-CN"/>
        </w:rPr>
        <w:t>）</w:t>
      </w:r>
      <w:r>
        <w:rPr>
          <w:rFonts w:hint="eastAsia" w:ascii="仿宋_GB2312" w:hAnsi="仿宋" w:eastAsia="仿宋_GB2312" w:cs="仿宋_GB2312"/>
          <w:spacing w:val="-8"/>
          <w:sz w:val="32"/>
          <w:szCs w:val="32"/>
        </w:rPr>
        <w:t>是查阅账本、凭证，包括单位的总账、明细账及辅助账等进行核查，对项目的资金来源及去向进行分类整理。</w:t>
      </w:r>
    </w:p>
    <w:p>
      <w:pPr>
        <w:pStyle w:val="10"/>
        <w:spacing w:line="520" w:lineRule="exact"/>
        <w:ind w:firstLine="708" w:firstLineChars="233"/>
        <w:rPr>
          <w:rFonts w:ascii="仿宋_GB2312" w:hAnsi="仿宋" w:eastAsia="仿宋_GB2312" w:cs="仿宋_GB2312"/>
          <w:spacing w:val="-8"/>
          <w:sz w:val="32"/>
          <w:szCs w:val="32"/>
        </w:rPr>
      </w:pPr>
      <w:r>
        <w:rPr>
          <w:rFonts w:hint="eastAsia" w:ascii="仿宋_GB2312" w:hAnsi="仿宋" w:eastAsia="仿宋_GB2312" w:cs="仿宋_GB2312"/>
          <w:spacing w:val="-8"/>
          <w:sz w:val="32"/>
          <w:szCs w:val="32"/>
          <w:lang w:eastAsia="zh-CN"/>
        </w:rPr>
        <w:t>（</w:t>
      </w:r>
      <w:r>
        <w:rPr>
          <w:rFonts w:hint="eastAsia" w:ascii="仿宋_GB2312" w:hAnsi="仿宋" w:eastAsia="仿宋_GB2312" w:cs="仿宋_GB2312"/>
          <w:spacing w:val="-8"/>
          <w:sz w:val="32"/>
          <w:szCs w:val="32"/>
          <w:lang w:val="en-US" w:eastAsia="zh-CN"/>
        </w:rPr>
        <w:t>2</w:t>
      </w:r>
      <w:r>
        <w:rPr>
          <w:rFonts w:hint="eastAsia" w:ascii="仿宋_GB2312" w:hAnsi="仿宋" w:eastAsia="仿宋_GB2312" w:cs="仿宋_GB2312"/>
          <w:spacing w:val="-8"/>
          <w:sz w:val="32"/>
          <w:szCs w:val="32"/>
          <w:lang w:eastAsia="zh-CN"/>
        </w:rPr>
        <w:t>）</w:t>
      </w:r>
      <w:r>
        <w:rPr>
          <w:rFonts w:hint="eastAsia" w:ascii="仿宋_GB2312" w:hAnsi="仿宋" w:eastAsia="仿宋_GB2312" w:cs="仿宋_GB2312"/>
          <w:spacing w:val="-8"/>
          <w:sz w:val="32"/>
          <w:szCs w:val="32"/>
        </w:rPr>
        <w:t>是查阅</w:t>
      </w:r>
      <w:r>
        <w:rPr>
          <w:rFonts w:hint="eastAsia" w:ascii="仿宋_GB2312" w:hAnsi="仿宋" w:eastAsia="仿宋_GB2312" w:cs="仿宋_GB2312"/>
          <w:spacing w:val="-8"/>
          <w:sz w:val="32"/>
          <w:szCs w:val="32"/>
          <w:lang w:val="en-US" w:eastAsia="zh-CN"/>
        </w:rPr>
        <w:t>往年</w:t>
      </w:r>
      <w:r>
        <w:rPr>
          <w:rFonts w:hint="eastAsia" w:ascii="仿宋_GB2312" w:hAnsi="仿宋" w:eastAsia="仿宋_GB2312" w:cs="仿宋_GB2312"/>
          <w:spacing w:val="-8"/>
          <w:sz w:val="32"/>
          <w:szCs w:val="32"/>
        </w:rPr>
        <w:t>项目档案,包括项目的分析报告等文件。</w:t>
      </w:r>
    </w:p>
    <w:p>
      <w:pPr>
        <w:pStyle w:val="10"/>
        <w:spacing w:line="520" w:lineRule="exact"/>
        <w:ind w:firstLine="608" w:firstLineChars="200"/>
        <w:rPr>
          <w:rFonts w:ascii="仿宋_GB2312" w:hAnsi="仿宋" w:eastAsia="仿宋_GB2312" w:cs="仿宋_GB2312"/>
          <w:color w:val="auto"/>
          <w:spacing w:val="-8"/>
          <w:sz w:val="32"/>
          <w:szCs w:val="32"/>
        </w:rPr>
      </w:pPr>
      <w:r>
        <w:rPr>
          <w:rFonts w:hint="eastAsia" w:ascii="仿宋_GB2312" w:hAnsi="仿宋" w:eastAsia="仿宋_GB2312" w:cs="仿宋_GB2312"/>
          <w:color w:val="auto"/>
          <w:spacing w:val="-8"/>
          <w:sz w:val="32"/>
          <w:szCs w:val="32"/>
        </w:rPr>
        <w:t>3、绩效评价分析阶段</w:t>
      </w:r>
    </w:p>
    <w:p>
      <w:pPr>
        <w:spacing w:line="600" w:lineRule="exact"/>
        <w:ind w:firstLine="600" w:firstLineChars="200"/>
        <w:rPr>
          <w:rFonts w:ascii="仿宋_GB2312"/>
        </w:rPr>
      </w:pPr>
      <w:r>
        <w:rPr>
          <w:rFonts w:hint="eastAsia" w:ascii="仿宋_GB2312"/>
        </w:rPr>
        <w:t>根据年初的各项工作安排，逐项核对，认真落实，</w:t>
      </w:r>
      <w:r>
        <w:rPr>
          <w:rFonts w:hint="eastAsia" w:ascii="仿宋_GB2312" w:hAnsi="仿宋" w:eastAsia="仿宋_GB2312" w:cs="仿宋_GB2312"/>
          <w:spacing w:val="-8"/>
          <w:sz w:val="32"/>
          <w:szCs w:val="32"/>
        </w:rPr>
        <w:t>最终确认评价结果。</w:t>
      </w:r>
    </w:p>
    <w:p>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ascii="仿宋_GB2312"/>
        </w:rPr>
      </w:pPr>
      <w:r>
        <w:rPr>
          <w:rFonts w:hint="eastAsia" w:ascii="仿宋_GB2312"/>
        </w:rPr>
        <w:t>按照年初的各项工作计划安排努力工作。执行年初下达的项目支出指标。办理新开工安全检查手续，确保建筑工程安全生产工作落实率，严格控制成本，为建设工程安装提供安全监督保障，减少安全事故的发生。在单位无车辆检查次数欠缺的情况下，积极引导施工单位开展建筑工地安全生产标准化工作，从而带动我州建筑行业安全生产水平的提升。</w:t>
      </w:r>
    </w:p>
    <w:p>
      <w:pPr>
        <w:spacing w:line="600" w:lineRule="exact"/>
        <w:ind w:firstLine="300" w:firstLineChars="1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w:t>
      </w:r>
    </w:p>
    <w:p>
      <w:pPr>
        <w:spacing w:line="600" w:lineRule="exact"/>
        <w:ind w:firstLine="600" w:firstLineChars="200"/>
        <w:outlineLvl w:val="0"/>
        <w:rPr>
          <w:rFonts w:ascii="仿宋_GB2312"/>
        </w:rPr>
      </w:pPr>
      <w:r>
        <w:rPr>
          <w:rFonts w:hint="eastAsia" w:ascii="仿宋_GB2312"/>
        </w:rPr>
        <w:t>按照年初预算执行当年的项目支出，加强资金管理，开源节流，把每一分钱用在刀刃上</w:t>
      </w:r>
    </w:p>
    <w:p>
      <w:pPr>
        <w:spacing w:line="600" w:lineRule="exact"/>
        <w:ind w:firstLine="600" w:firstLineChars="200"/>
        <w:outlineLvl w:val="0"/>
        <w:rPr>
          <w:rFonts w:ascii="仿宋_GB2312"/>
        </w:rPr>
      </w:pPr>
      <w:r>
        <w:rPr>
          <w:rFonts w:hint="eastAsia" w:ascii="仿宋_GB2312"/>
        </w:rPr>
        <w:t>（二）项目过程情况。</w:t>
      </w:r>
    </w:p>
    <w:p>
      <w:pPr>
        <w:spacing w:line="600" w:lineRule="exact"/>
        <w:ind w:firstLine="600" w:firstLineChars="200"/>
        <w:outlineLvl w:val="0"/>
        <w:rPr>
          <w:rFonts w:ascii="仿宋_GB2312"/>
        </w:rPr>
      </w:pPr>
      <w:r>
        <w:rPr>
          <w:rFonts w:hint="eastAsia" w:ascii="仿宋_GB2312"/>
        </w:rPr>
        <w:t>按照项目资金的用途专款专用，严把审核关。</w:t>
      </w:r>
    </w:p>
    <w:p>
      <w:pPr>
        <w:spacing w:line="600" w:lineRule="exact"/>
        <w:ind w:firstLine="600" w:firstLineChars="200"/>
        <w:outlineLvl w:val="0"/>
        <w:rPr>
          <w:rFonts w:ascii="仿宋_GB2312"/>
        </w:rPr>
      </w:pPr>
      <w:r>
        <w:rPr>
          <w:rFonts w:hint="eastAsia" w:ascii="仿宋_GB2312"/>
        </w:rPr>
        <w:t>（三）项目产出情况。</w:t>
      </w:r>
    </w:p>
    <w:p>
      <w:pPr>
        <w:spacing w:line="600" w:lineRule="exact"/>
        <w:ind w:firstLine="600" w:firstLineChars="200"/>
        <w:outlineLvl w:val="0"/>
        <w:rPr>
          <w:rFonts w:ascii="仿宋_GB2312"/>
        </w:rPr>
      </w:pPr>
      <w:r>
        <w:rPr>
          <w:rFonts w:hint="eastAsia" w:ascii="仿宋_GB2312"/>
        </w:rPr>
        <w:t>积极参加各项综合执法检查对辖区内建筑工地的安全生产隐患泡茶治理，专项整治工作，从而带动我州建筑行业安全生产水平的提升。</w:t>
      </w:r>
    </w:p>
    <w:p>
      <w:pPr>
        <w:spacing w:line="600" w:lineRule="exact"/>
        <w:ind w:firstLine="600" w:firstLineChars="200"/>
        <w:outlineLvl w:val="0"/>
        <w:rPr>
          <w:rFonts w:ascii="仿宋_GB2312"/>
        </w:rPr>
      </w:pPr>
      <w:r>
        <w:rPr>
          <w:rFonts w:hint="eastAsia" w:ascii="仿宋_GB2312"/>
        </w:rPr>
        <w:t>（四）项目效益情况。</w:t>
      </w:r>
    </w:p>
    <w:p>
      <w:pPr>
        <w:spacing w:line="600" w:lineRule="exact"/>
        <w:ind w:firstLine="600" w:firstLineChars="200"/>
        <w:outlineLvl w:val="0"/>
        <w:rPr>
          <w:rFonts w:ascii="仿宋_GB2312"/>
        </w:rPr>
      </w:pPr>
      <w:r>
        <w:rPr>
          <w:rFonts w:hint="eastAsia" w:ascii="仿宋_GB2312"/>
        </w:rPr>
        <w:t>确保建筑工程安全生产工作落实，为建筑工程安装提供安全监督保障，减少安全事故的发生。提高了监督检查对象的满意度。</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rPr>
          <w:rFonts w:ascii="仿宋_GB2312" w:hAnsi="黑体"/>
        </w:rPr>
      </w:pPr>
      <w:r>
        <w:rPr>
          <w:rFonts w:hint="eastAsia" w:ascii="仿宋_GB2312" w:hAnsi="黑体"/>
        </w:rPr>
        <w:t>细化，夯实落实到实处。开展工作落实深度不到位。对各县安全生产专项检查由于单位无车辆检查次数欠缺。</w:t>
      </w:r>
    </w:p>
    <w:p>
      <w:pPr>
        <w:spacing w:line="600" w:lineRule="exact"/>
        <w:ind w:firstLine="600" w:firstLineChars="200"/>
        <w:rPr>
          <w:rFonts w:ascii="黑体" w:hAnsi="黑体" w:eastAsia="黑体"/>
        </w:rPr>
      </w:pPr>
      <w:r>
        <w:rPr>
          <w:rFonts w:hint="eastAsia" w:ascii="黑体" w:hAnsi="黑体" w:eastAsia="黑体"/>
        </w:rPr>
        <w:t>六、有关建议</w:t>
      </w:r>
    </w:p>
    <w:p>
      <w:pPr>
        <w:spacing w:line="600" w:lineRule="exact"/>
        <w:ind w:firstLine="600" w:firstLineChars="200"/>
        <w:rPr>
          <w:rFonts w:ascii="仿宋_GB2312" w:hAnsi="黑体"/>
        </w:rPr>
      </w:pPr>
      <w:r>
        <w:rPr>
          <w:rFonts w:hint="eastAsia" w:ascii="仿宋_GB2312" w:hAnsi="黑体"/>
        </w:rPr>
        <w:t>加强固定资产管理</w:t>
      </w:r>
    </w:p>
    <w:p>
      <w:pPr>
        <w:spacing w:line="600" w:lineRule="exact"/>
        <w:ind w:firstLine="600" w:firstLineChars="200"/>
        <w:rPr>
          <w:rFonts w:ascii="黑体" w:hAnsi="黑体" w:eastAsia="黑体"/>
        </w:rPr>
      </w:pPr>
      <w:r>
        <w:rPr>
          <w:rFonts w:hint="eastAsia" w:ascii="黑体" w:hAnsi="黑体" w:eastAsia="黑体"/>
        </w:rPr>
        <w:t>七、其他需要说明的问题</w:t>
      </w:r>
    </w:p>
    <w:p>
      <w:pPr>
        <w:spacing w:line="600" w:lineRule="exact"/>
        <w:ind w:firstLine="600" w:firstLineChars="200"/>
        <w:rPr>
          <w:rFonts w:ascii="黑体" w:hAnsi="黑体" w:eastAsia="黑体"/>
        </w:rPr>
      </w:pPr>
      <w:r>
        <w:rPr>
          <w:rFonts w:hint="eastAsia" w:ascii="黑体" w:hAnsi="黑体" w:eastAsia="黑体"/>
        </w:rPr>
        <w:t>无</w:t>
      </w:r>
    </w:p>
    <w:p>
      <w:pPr>
        <w:spacing w:line="600" w:lineRule="exact"/>
        <w:ind w:firstLine="640" w:firstLineChars="200"/>
        <w:rPr>
          <w:rFonts w:ascii="仿宋_GB2312"/>
          <w:bCs/>
          <w:sz w:val="32"/>
          <w:szCs w:val="32"/>
        </w:rPr>
        <w:sectPr>
          <w:pgSz w:w="11906" w:h="16838"/>
          <w:pgMar w:top="1928" w:right="1531" w:bottom="1701" w:left="1531" w:header="737" w:footer="851" w:gutter="0"/>
          <w:cols w:space="720" w:num="1"/>
          <w:docGrid w:type="lines" w:linePitch="408" w:charSpace="0"/>
        </w:sectPr>
      </w:pPr>
    </w:p>
    <w:p>
      <w:pPr>
        <w:pStyle w:val="2"/>
        <w:spacing w:before="0" w:after="0" w:line="240" w:lineRule="auto"/>
        <w:jc w:val="center"/>
        <w:rPr>
          <w:rFonts w:ascii="宋体" w:hAnsi="宋体" w:eastAsia="宋体" w:cs="宋体"/>
          <w:bCs/>
          <w:color w:val="000000"/>
          <w:sz w:val="36"/>
          <w:szCs w:val="28"/>
        </w:rPr>
      </w:pPr>
      <w:r>
        <w:rPr>
          <w:rFonts w:hint="eastAsia" w:ascii="宋体" w:hAnsi="宋体" w:eastAsia="宋体" w:cs="宋体"/>
          <w:bCs/>
          <w:color w:val="000000"/>
          <w:sz w:val="36"/>
          <w:szCs w:val="28"/>
        </w:rPr>
        <w:t>项目支出绩效评价指标体系框架</w:t>
      </w:r>
    </w:p>
    <w:p>
      <w:pPr>
        <w:pStyle w:val="2"/>
        <w:spacing w:before="0" w:after="0" w:line="240" w:lineRule="auto"/>
        <w:jc w:val="center"/>
        <w:rPr>
          <w:bCs/>
          <w:color w:val="000000"/>
        </w:rPr>
      </w:pPr>
    </w:p>
    <w:tbl>
      <w:tblPr>
        <w:tblStyle w:val="5"/>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789"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341" w:type="dxa"/>
            <w:tcBorders>
              <w:tl2br w:val="nil"/>
              <w:tr2bl w:val="nil"/>
            </w:tcBorders>
            <w:shd w:val="clear" w:color="auto" w:fill="FFFFFF"/>
            <w:vAlign w:val="center"/>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841" w:type="dxa"/>
            <w:gridSpan w:val="2"/>
            <w:tcBorders>
              <w:top w:val="single" w:color="auto" w:sz="4" w:space="0"/>
              <w:bottom w:val="single" w:color="auto" w:sz="4" w:space="0"/>
              <w:right w:val="single" w:color="auto" w:sz="4" w:space="0"/>
            </w:tcBorders>
            <w:shd w:val="clear" w:color="auto" w:fill="auto"/>
          </w:tcPr>
          <w:p>
            <w:pPr>
              <w:widowControl/>
              <w:spacing w:line="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评价</w:t>
            </w:r>
          </w:p>
          <w:p>
            <w:pPr>
              <w:widowControl/>
              <w:jc w:val="lef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决策（20分）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绩效目标（1</w:t>
            </w:r>
            <w:r>
              <w:rPr>
                <w:rFonts w:ascii="宋体" w:hAnsi="宋体" w:eastAsia="宋体" w:cs="宋体"/>
                <w:color w:val="000000"/>
                <w:kern w:val="0"/>
                <w:sz w:val="22"/>
                <w:szCs w:val="22"/>
              </w:rPr>
              <w:t>5</w:t>
            </w: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（如未设定预算绩效目标，也可考核其他工作任务目标）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p>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hint="eastAsia" w:ascii="宋体" w:hAnsi="宋体" w:eastAsia="宋体" w:cs="宋体"/>
                <w:color w:val="000000"/>
                <w:kern w:val="0"/>
                <w:sz w:val="22"/>
                <w:szCs w:val="22"/>
              </w:rPr>
              <w:br w:type="textWrapping"/>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42"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资金投入（5）</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③预算额度测算依据是否充分，是否按照标准编制；</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70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color="auto" w:sz="4" w:space="0"/>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资金管理（10）</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320"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789"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预算执行率=（实际支出资金/实际到位资金）×100%。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过程（20分）　</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97"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组织实施（10）</w:t>
            </w:r>
          </w:p>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769"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③项目合同书、验收报告、技术鉴定等资料是否齐全并及时归档；</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④项目实施的人员条件、场地设备、信息支撑等是否落实到位。</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917"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实际完成率=（实际产出数/计划产出数）×100%。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829" w:type="dxa"/>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产出（30分）</w:t>
            </w: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产出质量（10分）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341" w:type="dxa"/>
            <w:tcBorders>
              <w:bottom w:val="single" w:color="auto" w:sz="4" w:space="0"/>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产出成本（5分）</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成本节约率=[（计划成本-实际成本）/计划成本]×100%。</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hint="eastAsia"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效益（30分）　</w:t>
            </w:r>
          </w:p>
        </w:tc>
        <w:tc>
          <w:tcPr>
            <w:tcW w:w="1297" w:type="dxa"/>
            <w:vMerge w:val="restart"/>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项目效益（30分）　</w:t>
            </w: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2789" w:type="dxa"/>
            <w:tcBorders>
              <w:tl2br w:val="nil"/>
              <w:tr2bl w:val="nil"/>
            </w:tcBorders>
            <w:shd w:val="clear" w:color="auto" w:fill="FFFFFF"/>
            <w:vAlign w:val="center"/>
          </w:tcPr>
          <w:p>
            <w:pPr>
              <w:widowControl/>
              <w:spacing w:line="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341" w:type="dxa"/>
            <w:tcBorders>
              <w:tl2br w:val="nil"/>
              <w:tr2bl w:val="nil"/>
            </w:tcBorders>
            <w:shd w:val="clear" w:color="auto"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86" w:hRule="atLeast"/>
          <w:jc w:val="center"/>
        </w:trPr>
        <w:tc>
          <w:tcPr>
            <w:tcW w:w="763"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vMerge w:val="continue"/>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411"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2789"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pPr>
              <w:widowControl/>
              <w:spacing w:line="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86" w:hRule="atLeast"/>
          <w:jc w:val="center"/>
        </w:trPr>
        <w:tc>
          <w:tcPr>
            <w:tcW w:w="763" w:type="dxa"/>
            <w:tcBorders>
              <w:tl2br w:val="nil"/>
              <w:tr2bl w:val="nil"/>
            </w:tcBorders>
            <w:shd w:val="clear" w:color="auto" w:fill="FFFFFF"/>
            <w:vAlign w:val="center"/>
          </w:tcPr>
          <w:p>
            <w:pPr>
              <w:widowControl/>
              <w:spacing w:line="0" w:lineRule="atLeast"/>
              <w:jc w:val="center"/>
              <w:rPr>
                <w:rFonts w:ascii="宋体" w:hAnsi="宋体" w:eastAsia="宋体" w:cs="宋体"/>
                <w:color w:val="000000"/>
                <w:kern w:val="0"/>
                <w:sz w:val="22"/>
                <w:szCs w:val="22"/>
              </w:rPr>
            </w:pPr>
          </w:p>
        </w:tc>
        <w:tc>
          <w:tcPr>
            <w:tcW w:w="1297" w:type="dxa"/>
            <w:tcBorders>
              <w:tl2br w:val="nil"/>
              <w:tr2bl w:val="nil"/>
            </w:tcBorders>
            <w:shd w:val="clear" w:color="auto" w:fill="FFFFFF"/>
            <w:vAlign w:val="center"/>
          </w:tcPr>
          <w:p>
            <w:pPr>
              <w:widowControl/>
              <w:spacing w:line="0" w:lineRule="atLeast"/>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合计总分</w:t>
            </w:r>
          </w:p>
        </w:tc>
        <w:tc>
          <w:tcPr>
            <w:tcW w:w="1411" w:type="dxa"/>
            <w:tcBorders>
              <w:tl2br w:val="nil"/>
              <w:tr2bl w:val="nil"/>
            </w:tcBorders>
            <w:shd w:val="clear" w:color="auto" w:fill="FFFFFF"/>
            <w:vAlign w:val="center"/>
          </w:tcPr>
          <w:p>
            <w:pPr>
              <w:widowControl/>
              <w:spacing w:line="0" w:lineRule="atLeast"/>
              <w:jc w:val="center"/>
              <w:rPr>
                <w:rFonts w:hint="eastAsia" w:ascii="宋体" w:hAnsi="宋体" w:eastAsia="宋体" w:cs="宋体"/>
                <w:color w:val="000000"/>
                <w:kern w:val="0"/>
                <w:sz w:val="22"/>
                <w:szCs w:val="22"/>
              </w:rPr>
            </w:pPr>
          </w:p>
        </w:tc>
        <w:tc>
          <w:tcPr>
            <w:tcW w:w="2789" w:type="dxa"/>
            <w:tcBorders>
              <w:tl2br w:val="nil"/>
              <w:tr2bl w:val="nil"/>
            </w:tcBorders>
            <w:shd w:val="clear" w:color="000000" w:fill="FFFFFF"/>
            <w:vAlign w:val="center"/>
          </w:tcPr>
          <w:p>
            <w:pPr>
              <w:widowControl/>
              <w:spacing w:line="0" w:lineRule="atLeast"/>
              <w:rPr>
                <w:rFonts w:hint="eastAsia" w:ascii="宋体" w:hAnsi="宋体" w:eastAsia="宋体" w:cs="宋体"/>
                <w:color w:val="000000"/>
                <w:kern w:val="0"/>
                <w:sz w:val="22"/>
                <w:szCs w:val="22"/>
              </w:rPr>
            </w:pPr>
          </w:p>
        </w:tc>
        <w:tc>
          <w:tcPr>
            <w:tcW w:w="7341" w:type="dxa"/>
            <w:tcBorders>
              <w:tl2br w:val="nil"/>
              <w:tr2bl w:val="nil"/>
            </w:tcBorders>
            <w:shd w:val="clear" w:color="000000" w:fill="FFFFFF"/>
            <w:vAlign w:val="center"/>
          </w:tcPr>
          <w:p>
            <w:pPr>
              <w:widowControl/>
              <w:spacing w:line="0" w:lineRule="atLeast"/>
              <w:rPr>
                <w:rFonts w:hint="eastAsia" w:ascii="宋体" w:hAnsi="宋体" w:eastAsia="宋体" w:cs="宋体"/>
                <w:color w:val="000000"/>
                <w:kern w:val="0"/>
                <w:sz w:val="22"/>
                <w:szCs w:val="22"/>
              </w:rPr>
            </w:pPr>
          </w:p>
        </w:tc>
        <w:tc>
          <w:tcPr>
            <w:tcW w:w="852" w:type="dxa"/>
            <w:gridSpan w:val="3"/>
            <w:tcBorders>
              <w:top w:val="single" w:color="auto" w:sz="4" w:space="0"/>
              <w:bottom w:val="single" w:color="auto" w:sz="4" w:space="0"/>
              <w:right w:val="single" w:color="auto" w:sz="4" w:space="0"/>
            </w:tcBorders>
            <w:shd w:val="clear" w:color="auto" w:fill="auto"/>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c>
          <w:tcPr>
            <w:tcW w:w="922" w:type="dxa"/>
            <w:gridSpan w:val="3"/>
            <w:tcBorders>
              <w:top w:val="single" w:color="auto" w:sz="4" w:space="0"/>
              <w:left w:val="single" w:color="auto" w:sz="4" w:space="0"/>
              <w:bottom w:val="single" w:color="auto" w:sz="4" w:space="0"/>
              <w:right w:val="single" w:color="auto" w:sz="4" w:space="0"/>
            </w:tcBorders>
            <w:shd w:val="clear" w:color="auto" w:fill="auto"/>
          </w:tcPr>
          <w:p>
            <w:pPr>
              <w:widowControl/>
              <w:jc w:val="left"/>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97</w:t>
            </w:r>
          </w:p>
        </w:tc>
      </w:tr>
    </w:tbl>
    <w:p>
      <w:pPr>
        <w:spacing w:line="600" w:lineRule="exact"/>
        <w:ind w:firstLine="640" w:firstLineChars="200"/>
        <w:rPr>
          <w:rFonts w:ascii="仿宋_GB2312"/>
          <w:bCs/>
          <w:sz w:val="32"/>
          <w:szCs w:val="32"/>
        </w:rPr>
      </w:pPr>
    </w:p>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w..">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C22290"/>
    <w:multiLevelType w:val="singleLevel"/>
    <w:tmpl w:val="FEC22290"/>
    <w:lvl w:ilvl="0" w:tentative="0">
      <w:start w:val="2"/>
      <w:numFmt w:val="chineseCounting"/>
      <w:suff w:val="nothing"/>
      <w:lvlText w:val="（%1）"/>
      <w:lvlJc w:val="left"/>
      <w:rPr>
        <w:rFonts w:hint="eastAsia"/>
      </w:rPr>
    </w:lvl>
  </w:abstractNum>
  <w:abstractNum w:abstractNumId="1">
    <w:nsid w:val="19564066"/>
    <w:multiLevelType w:val="singleLevel"/>
    <w:tmpl w:val="1956406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drawingGridHorizontalSpacing w:val="150"/>
  <w:drawingGridVerticalSpacing w:val="204"/>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F3A"/>
    <w:rsid w:val="000B4E42"/>
    <w:rsid w:val="001B39B3"/>
    <w:rsid w:val="001E47BF"/>
    <w:rsid w:val="002F0159"/>
    <w:rsid w:val="00367E50"/>
    <w:rsid w:val="003B1860"/>
    <w:rsid w:val="003D5B50"/>
    <w:rsid w:val="003E09E9"/>
    <w:rsid w:val="00424B9D"/>
    <w:rsid w:val="00431F8B"/>
    <w:rsid w:val="0043448B"/>
    <w:rsid w:val="00484F3A"/>
    <w:rsid w:val="004902E3"/>
    <w:rsid w:val="004C34FA"/>
    <w:rsid w:val="004E5F32"/>
    <w:rsid w:val="004F3137"/>
    <w:rsid w:val="005451D0"/>
    <w:rsid w:val="00597796"/>
    <w:rsid w:val="006807A3"/>
    <w:rsid w:val="006D517C"/>
    <w:rsid w:val="006F3094"/>
    <w:rsid w:val="007367E9"/>
    <w:rsid w:val="007537BF"/>
    <w:rsid w:val="00852848"/>
    <w:rsid w:val="008B2DB1"/>
    <w:rsid w:val="00906B16"/>
    <w:rsid w:val="009C3D9F"/>
    <w:rsid w:val="00AC3E59"/>
    <w:rsid w:val="00AF0A97"/>
    <w:rsid w:val="00B351FF"/>
    <w:rsid w:val="00CC47BF"/>
    <w:rsid w:val="00DF30EC"/>
    <w:rsid w:val="00ED0259"/>
    <w:rsid w:val="00F21F15"/>
    <w:rsid w:val="00F37EBF"/>
    <w:rsid w:val="00F56C9F"/>
    <w:rsid w:val="00F92B77"/>
    <w:rsid w:val="00FA71C4"/>
    <w:rsid w:val="00FF169F"/>
    <w:rsid w:val="06100FAB"/>
    <w:rsid w:val="0B9A7926"/>
    <w:rsid w:val="0F670B93"/>
    <w:rsid w:val="10AC6B40"/>
    <w:rsid w:val="19EE7542"/>
    <w:rsid w:val="1A0E27A9"/>
    <w:rsid w:val="1A6010F6"/>
    <w:rsid w:val="1D195E16"/>
    <w:rsid w:val="234070CD"/>
    <w:rsid w:val="2380346D"/>
    <w:rsid w:val="296035E1"/>
    <w:rsid w:val="2AB25E9B"/>
    <w:rsid w:val="2D521502"/>
    <w:rsid w:val="3CD849F6"/>
    <w:rsid w:val="428F18F3"/>
    <w:rsid w:val="4AF51A4F"/>
    <w:rsid w:val="62097BE6"/>
    <w:rsid w:val="63C372C3"/>
    <w:rsid w:val="6DD25695"/>
    <w:rsid w:val="7385569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1"/>
    <w:next w:val="1"/>
    <w:link w:val="9"/>
    <w:qFormat/>
    <w:locked/>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rFonts w:ascii="等线" w:hAnsi="等线" w:eastAsia="等线"/>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character" w:customStyle="1" w:styleId="7">
    <w:name w:val="页眉 字符"/>
    <w:link w:val="4"/>
    <w:qFormat/>
    <w:locked/>
    <w:uiPriority w:val="99"/>
    <w:rPr>
      <w:rFonts w:cs="Times New Roman"/>
      <w:sz w:val="18"/>
      <w:szCs w:val="18"/>
    </w:rPr>
  </w:style>
  <w:style w:type="character" w:customStyle="1" w:styleId="8">
    <w:name w:val="页脚 字符"/>
    <w:link w:val="3"/>
    <w:qFormat/>
    <w:locked/>
    <w:uiPriority w:val="99"/>
    <w:rPr>
      <w:rFonts w:cs="Times New Roman"/>
      <w:sz w:val="18"/>
      <w:szCs w:val="18"/>
    </w:rPr>
  </w:style>
  <w:style w:type="character" w:customStyle="1" w:styleId="9">
    <w:name w:val="标题 2 字符"/>
    <w:link w:val="2"/>
    <w:qFormat/>
    <w:uiPriority w:val="0"/>
    <w:rPr>
      <w:rFonts w:ascii="Arial" w:hAnsi="Arial" w:eastAsia="黑体"/>
      <w:b/>
      <w:sz w:val="32"/>
      <w:szCs w:val="24"/>
    </w:rPr>
  </w:style>
  <w:style w:type="paragraph" w:customStyle="1" w:styleId="10">
    <w:name w:val="Default"/>
    <w:qFormat/>
    <w:uiPriority w:val="0"/>
    <w:pPr>
      <w:widowControl w:val="0"/>
      <w:autoSpaceDE w:val="0"/>
      <w:autoSpaceDN w:val="0"/>
      <w:adjustRightInd w:val="0"/>
    </w:pPr>
    <w:rPr>
      <w:rFonts w:ascii="仿宋w.." w:hAnsi="Times New Roman" w:eastAsia="仿宋w.." w:cs="仿宋w.."/>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649</Words>
  <Characters>3700</Characters>
  <Lines>30</Lines>
  <Paragraphs>8</Paragraphs>
  <TotalTime>2</TotalTime>
  <ScaleCrop>false</ScaleCrop>
  <LinksUpToDate>false</LinksUpToDate>
  <CharactersWithSpaces>4341</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2020-04-07T09:49:00Z</dcterms:created>
  <dc:creator>1</dc:creator>
  <cp:lastModifiedBy>Administrator</cp:lastModifiedBy>
  <dcterms:modified xsi:type="dcterms:W3CDTF">2020-06-04T09:20:01Z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