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015" w:rsidRDefault="00471015">
      <w:pPr>
        <w:spacing w:line="480" w:lineRule="auto"/>
        <w:rPr>
          <w:rFonts w:eastAsia="黑体"/>
          <w:b/>
          <w:kern w:val="0"/>
          <w:sz w:val="50"/>
          <w:szCs w:val="50"/>
          <w:lang w:bidi="en-US"/>
        </w:rPr>
      </w:pPr>
    </w:p>
    <w:p w:rsidR="00471015" w:rsidRDefault="00471015">
      <w:pPr>
        <w:spacing w:line="540" w:lineRule="exact"/>
        <w:jc w:val="center"/>
        <w:rPr>
          <w:rFonts w:ascii="华文中宋" w:eastAsia="华文中宋" w:hAnsi="华文中宋" w:cs="宋体"/>
          <w:b/>
          <w:kern w:val="0"/>
          <w:sz w:val="52"/>
          <w:szCs w:val="52"/>
        </w:rPr>
      </w:pPr>
    </w:p>
    <w:p w:rsidR="00471015" w:rsidRDefault="00471015">
      <w:pPr>
        <w:spacing w:line="540" w:lineRule="exact"/>
        <w:rPr>
          <w:rFonts w:ascii="华文中宋" w:eastAsia="华文中宋" w:hAnsi="华文中宋" w:cs="宋体"/>
          <w:b/>
          <w:kern w:val="0"/>
          <w:sz w:val="52"/>
          <w:szCs w:val="52"/>
        </w:rPr>
      </w:pPr>
    </w:p>
    <w:p w:rsidR="00471015" w:rsidRDefault="00471015">
      <w:pPr>
        <w:spacing w:line="540" w:lineRule="exact"/>
        <w:jc w:val="center"/>
        <w:rPr>
          <w:rFonts w:ascii="华文中宋" w:eastAsia="华文中宋" w:hAnsi="华文中宋" w:cs="宋体"/>
          <w:b/>
          <w:kern w:val="0"/>
          <w:sz w:val="52"/>
          <w:szCs w:val="52"/>
        </w:rPr>
      </w:pPr>
    </w:p>
    <w:p w:rsidR="00471015" w:rsidRDefault="0056653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巴州市场监管局项目支出</w:t>
      </w:r>
      <w:r>
        <w:rPr>
          <w:rFonts w:ascii="方正小标宋_GBK" w:eastAsia="方正小标宋_GBK" w:hAnsi="华文中宋" w:cs="宋体"/>
          <w:b/>
          <w:kern w:val="0"/>
          <w:sz w:val="48"/>
          <w:szCs w:val="48"/>
        </w:rPr>
        <w:t>绩效</w:t>
      </w:r>
      <w:r>
        <w:rPr>
          <w:rFonts w:ascii="方正小标宋_GBK" w:eastAsia="方正小标宋_GBK" w:hAnsi="华文中宋" w:cs="宋体" w:hint="eastAsia"/>
          <w:b/>
          <w:kern w:val="0"/>
          <w:sz w:val="48"/>
          <w:szCs w:val="48"/>
        </w:rPr>
        <w:t>评价报告</w:t>
      </w:r>
    </w:p>
    <w:p w:rsidR="00471015" w:rsidRDefault="00471015">
      <w:pPr>
        <w:spacing w:line="540" w:lineRule="exact"/>
        <w:jc w:val="center"/>
        <w:rPr>
          <w:rFonts w:ascii="华文中宋" w:eastAsia="华文中宋" w:hAnsi="华文中宋" w:cs="宋体"/>
          <w:b/>
          <w:kern w:val="0"/>
          <w:sz w:val="52"/>
          <w:szCs w:val="52"/>
        </w:rPr>
      </w:pPr>
    </w:p>
    <w:p w:rsidR="00471015" w:rsidRDefault="00471015">
      <w:pPr>
        <w:spacing w:line="540" w:lineRule="exact"/>
        <w:jc w:val="center"/>
        <w:rPr>
          <w:rFonts w:ascii="华文中宋" w:eastAsia="华文中宋" w:hAnsi="华文中宋" w:cs="宋体"/>
          <w:b/>
          <w:kern w:val="0"/>
          <w:sz w:val="52"/>
          <w:szCs w:val="52"/>
        </w:rPr>
      </w:pPr>
    </w:p>
    <w:p w:rsidR="00471015" w:rsidRDefault="00471015">
      <w:pPr>
        <w:spacing w:line="540" w:lineRule="exact"/>
        <w:jc w:val="center"/>
        <w:rPr>
          <w:rFonts w:ascii="华文中宋" w:eastAsia="华文中宋" w:hAnsi="华文中宋" w:cs="宋体"/>
          <w:b/>
          <w:kern w:val="0"/>
          <w:sz w:val="52"/>
          <w:szCs w:val="52"/>
        </w:rPr>
      </w:pPr>
    </w:p>
    <w:p w:rsidR="00471015" w:rsidRDefault="00566539">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471015" w:rsidRDefault="00471015">
      <w:pPr>
        <w:spacing w:line="540" w:lineRule="exact"/>
        <w:jc w:val="center"/>
        <w:rPr>
          <w:rFonts w:hAnsi="宋体" w:cs="宋体"/>
          <w:kern w:val="0"/>
          <w:szCs w:val="30"/>
        </w:rPr>
      </w:pPr>
    </w:p>
    <w:p w:rsidR="00471015" w:rsidRDefault="00471015">
      <w:pPr>
        <w:spacing w:line="540" w:lineRule="exact"/>
        <w:jc w:val="center"/>
        <w:rPr>
          <w:rFonts w:hAnsi="宋体" w:cs="宋体"/>
          <w:kern w:val="0"/>
          <w:szCs w:val="30"/>
        </w:rPr>
      </w:pPr>
    </w:p>
    <w:p w:rsidR="00471015" w:rsidRDefault="00471015">
      <w:pPr>
        <w:spacing w:line="540" w:lineRule="exact"/>
        <w:jc w:val="center"/>
        <w:rPr>
          <w:rFonts w:hAnsi="宋体" w:cs="宋体"/>
          <w:kern w:val="0"/>
          <w:szCs w:val="30"/>
        </w:rPr>
      </w:pPr>
    </w:p>
    <w:p w:rsidR="00471015" w:rsidRDefault="00471015">
      <w:pPr>
        <w:spacing w:line="540" w:lineRule="exact"/>
        <w:jc w:val="center"/>
        <w:rPr>
          <w:rFonts w:hAnsi="宋体" w:cs="宋体"/>
          <w:kern w:val="0"/>
          <w:szCs w:val="30"/>
        </w:rPr>
      </w:pPr>
    </w:p>
    <w:p w:rsidR="00471015" w:rsidRDefault="00471015">
      <w:pPr>
        <w:spacing w:line="540" w:lineRule="exact"/>
        <w:jc w:val="center"/>
        <w:rPr>
          <w:rFonts w:hAnsi="宋体" w:cs="宋体"/>
          <w:kern w:val="0"/>
          <w:szCs w:val="30"/>
        </w:rPr>
      </w:pPr>
    </w:p>
    <w:p w:rsidR="00471015" w:rsidRDefault="00471015">
      <w:pPr>
        <w:spacing w:line="540" w:lineRule="exact"/>
        <w:rPr>
          <w:rFonts w:hAnsi="宋体" w:cs="宋体"/>
          <w:kern w:val="0"/>
          <w:szCs w:val="30"/>
        </w:rPr>
      </w:pPr>
    </w:p>
    <w:p w:rsidR="00471015" w:rsidRDefault="00566539">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项目名称：特种设备安全监察</w:t>
      </w:r>
    </w:p>
    <w:p w:rsidR="00471015" w:rsidRDefault="00566539">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实施单位（公章）：特种设备安全监察科</w:t>
      </w:r>
      <w:r>
        <w:rPr>
          <w:rFonts w:hAnsi="宋体" w:cs="宋体"/>
          <w:kern w:val="0"/>
          <w:sz w:val="36"/>
          <w:szCs w:val="36"/>
        </w:rPr>
        <w:t xml:space="preserve"> </w:t>
      </w:r>
    </w:p>
    <w:p w:rsidR="00471015" w:rsidRDefault="00566539">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主管部门（公章）：巴州市场监督管理局</w:t>
      </w:r>
    </w:p>
    <w:p w:rsidR="00471015" w:rsidRDefault="00566539">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项目负责人（签章）：曹国江</w:t>
      </w:r>
      <w:r>
        <w:rPr>
          <w:rFonts w:hAnsi="宋体" w:cs="宋体"/>
          <w:kern w:val="0"/>
          <w:sz w:val="36"/>
          <w:szCs w:val="36"/>
        </w:rPr>
        <w:t xml:space="preserve"> </w:t>
      </w:r>
    </w:p>
    <w:p w:rsidR="00471015" w:rsidRDefault="00566539">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2020</w:t>
      </w:r>
      <w:r>
        <w:rPr>
          <w:rFonts w:hAnsi="宋体" w:cs="宋体" w:hint="eastAsia"/>
          <w:kern w:val="0"/>
          <w:sz w:val="36"/>
          <w:szCs w:val="36"/>
        </w:rPr>
        <w:t>年</w:t>
      </w:r>
      <w:r>
        <w:rPr>
          <w:rFonts w:hAnsi="宋体" w:cs="宋体" w:hint="eastAsia"/>
          <w:kern w:val="0"/>
          <w:sz w:val="36"/>
          <w:szCs w:val="36"/>
        </w:rPr>
        <w:t>5</w:t>
      </w:r>
      <w:r>
        <w:rPr>
          <w:rFonts w:hAnsi="宋体" w:cs="宋体" w:hint="eastAsia"/>
          <w:kern w:val="0"/>
          <w:sz w:val="36"/>
          <w:szCs w:val="36"/>
        </w:rPr>
        <w:t>月</w:t>
      </w:r>
      <w:r>
        <w:rPr>
          <w:rFonts w:hAnsi="宋体" w:cs="宋体" w:hint="eastAsia"/>
          <w:kern w:val="0"/>
          <w:sz w:val="36"/>
          <w:szCs w:val="36"/>
        </w:rPr>
        <w:t xml:space="preserve"> </w:t>
      </w:r>
      <w:r w:rsidR="002B30F6">
        <w:rPr>
          <w:rFonts w:hAnsi="宋体" w:cs="宋体" w:hint="eastAsia"/>
          <w:kern w:val="0"/>
          <w:sz w:val="36"/>
          <w:szCs w:val="36"/>
        </w:rPr>
        <w:t>10</w:t>
      </w:r>
      <w:r w:rsidR="002B30F6">
        <w:rPr>
          <w:rFonts w:hAnsi="宋体" w:cs="宋体" w:hint="eastAsia"/>
          <w:kern w:val="0"/>
          <w:sz w:val="36"/>
          <w:szCs w:val="36"/>
        </w:rPr>
        <w:t>日</w:t>
      </w:r>
      <w:bookmarkStart w:id="0" w:name="_GoBack"/>
      <w:bookmarkEnd w:id="0"/>
      <w:r>
        <w:rPr>
          <w:rFonts w:hAnsi="宋体" w:cs="宋体" w:hint="eastAsia"/>
          <w:kern w:val="0"/>
          <w:sz w:val="36"/>
          <w:szCs w:val="36"/>
        </w:rPr>
        <w:t xml:space="preserve"> </w:t>
      </w:r>
      <w:r>
        <w:rPr>
          <w:rFonts w:hAnsi="宋体" w:cs="宋体"/>
          <w:kern w:val="0"/>
          <w:sz w:val="36"/>
          <w:szCs w:val="36"/>
        </w:rPr>
        <w:t xml:space="preserve"> </w:t>
      </w:r>
    </w:p>
    <w:p w:rsidR="00471015" w:rsidRDefault="00471015">
      <w:pPr>
        <w:rPr>
          <w:rFonts w:ascii="黑体" w:eastAsia="黑体" w:hAnsi="黑体"/>
        </w:rPr>
      </w:pPr>
    </w:p>
    <w:p w:rsidR="00471015" w:rsidRDefault="00471015">
      <w:pPr>
        <w:rPr>
          <w:rFonts w:ascii="黑体" w:eastAsia="黑体" w:hAnsi="黑体"/>
        </w:rPr>
      </w:pPr>
    </w:p>
    <w:p w:rsidR="00471015" w:rsidRDefault="00471015">
      <w:pPr>
        <w:rPr>
          <w:rFonts w:ascii="黑体" w:eastAsia="黑体" w:hAnsi="黑体"/>
        </w:rPr>
      </w:pPr>
    </w:p>
    <w:p w:rsidR="00471015" w:rsidRDefault="00566539">
      <w:pPr>
        <w:rPr>
          <w:rFonts w:ascii="黑体" w:eastAsia="黑体" w:hAnsi="黑体"/>
        </w:rPr>
      </w:pPr>
      <w:r>
        <w:rPr>
          <w:rFonts w:ascii="黑体" w:eastAsia="黑体" w:hAnsi="黑体" w:hint="eastAsia"/>
        </w:rPr>
        <w:lastRenderedPageBreak/>
        <w:t>附件·2</w:t>
      </w:r>
    </w:p>
    <w:p w:rsidR="00471015" w:rsidRDefault="00566539">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471015" w:rsidRDefault="00566539">
      <w:pPr>
        <w:jc w:val="center"/>
        <w:rPr>
          <w:rFonts w:ascii="仿宋_GB2312"/>
        </w:rPr>
      </w:pPr>
      <w:r>
        <w:rPr>
          <w:rFonts w:ascii="仿宋_GB2312" w:hint="eastAsia"/>
        </w:rPr>
        <w:t>（参考提纲）</w:t>
      </w:r>
    </w:p>
    <w:p w:rsidR="00471015" w:rsidRDefault="00471015">
      <w:pPr>
        <w:jc w:val="center"/>
        <w:rPr>
          <w:rFonts w:ascii="仿宋_GB2312"/>
        </w:rPr>
      </w:pPr>
    </w:p>
    <w:p w:rsidR="00471015" w:rsidRDefault="00471015">
      <w:pPr>
        <w:jc w:val="center"/>
        <w:rPr>
          <w:rFonts w:ascii="仿宋_GB2312"/>
          <w:szCs w:val="30"/>
        </w:rPr>
      </w:pPr>
    </w:p>
    <w:p w:rsidR="00471015" w:rsidRDefault="00566539">
      <w:pPr>
        <w:spacing w:line="600" w:lineRule="exact"/>
        <w:ind w:firstLineChars="200" w:firstLine="600"/>
        <w:rPr>
          <w:rFonts w:ascii="黑体" w:eastAsia="黑体" w:hAnsi="黑体"/>
        </w:rPr>
      </w:pPr>
      <w:r>
        <w:rPr>
          <w:rFonts w:ascii="黑体" w:eastAsia="黑体" w:hAnsi="黑体" w:hint="eastAsia"/>
        </w:rPr>
        <w:t>一、基本情况</w:t>
      </w:r>
    </w:p>
    <w:p w:rsidR="00471015" w:rsidRDefault="00566539">
      <w:pPr>
        <w:spacing w:line="600" w:lineRule="exact"/>
        <w:ind w:firstLineChars="200" w:firstLine="600"/>
        <w:outlineLvl w:val="0"/>
        <w:rPr>
          <w:rFonts w:ascii="楷体" w:eastAsia="楷体" w:hAnsi="楷体" w:cs="楷体"/>
        </w:rPr>
      </w:pPr>
      <w:r>
        <w:rPr>
          <w:rFonts w:ascii="楷体" w:eastAsia="楷体" w:hAnsi="楷体" w:cs="楷体" w:hint="eastAsia"/>
        </w:rPr>
        <w:t>（一）项目概况。包括项目背景、主要内容及实施情况、资金投入和使用情况等。</w:t>
      </w:r>
    </w:p>
    <w:p w:rsidR="00471015" w:rsidRDefault="00566539">
      <w:pPr>
        <w:spacing w:line="600" w:lineRule="exact"/>
        <w:ind w:firstLineChars="200" w:firstLine="602"/>
        <w:outlineLvl w:val="0"/>
        <w:rPr>
          <w:rFonts w:ascii="仿宋_GB2312"/>
          <w:b/>
          <w:bCs/>
        </w:rPr>
      </w:pPr>
      <w:r>
        <w:rPr>
          <w:rFonts w:ascii="仿宋_GB2312" w:hint="eastAsia"/>
          <w:b/>
          <w:bCs/>
        </w:rPr>
        <w:t>1.背景</w:t>
      </w:r>
    </w:p>
    <w:p w:rsidR="00471015" w:rsidRDefault="00566539">
      <w:pPr>
        <w:spacing w:line="600" w:lineRule="exact"/>
        <w:ind w:firstLineChars="200" w:firstLine="600"/>
        <w:outlineLvl w:val="0"/>
        <w:rPr>
          <w:rFonts w:ascii="仿宋_GB2312"/>
        </w:rPr>
      </w:pPr>
      <w:r>
        <w:rPr>
          <w:rFonts w:ascii="仿宋_GB2312" w:hint="eastAsia"/>
        </w:rPr>
        <w:t>一是为加强电梯安全监管，根据国家及自治区要求，建设电梯应急救援监管平台；二是根据车用气瓶和液化气钢瓶安全监管要求，前期建设的车用气瓶电子标签监管平台和实名制充装监管平台以及液化气钢瓶电子监管平台需要每年维护；三是重大节日，为加强特种设备检查质量，需要请专家协同检查；四是根据自治区及自治州安全生产宣传要求；五是根据易燃易爆场所检查要求，需购买防爆设备；六是为加强各县市特种设备监察人员业务水平及相关人员特种设备知识，需要请专家进行授课；七是根据对车用气瓶和特种设备作业人员行政审批要求，需印制《车用气瓶使用登记证》和《特种设备作业人员证》；八是根据对车用气瓶监管需求，需购买车用气瓶电子标签，记录气瓶安全信息。</w:t>
      </w:r>
    </w:p>
    <w:p w:rsidR="00471015" w:rsidRDefault="00566539">
      <w:pPr>
        <w:spacing w:line="600" w:lineRule="exact"/>
        <w:ind w:firstLineChars="200" w:firstLine="602"/>
        <w:outlineLvl w:val="0"/>
        <w:rPr>
          <w:rFonts w:ascii="仿宋_GB2312"/>
          <w:b/>
          <w:bCs/>
        </w:rPr>
      </w:pPr>
      <w:r>
        <w:rPr>
          <w:rFonts w:ascii="仿宋_GB2312" w:hint="eastAsia"/>
          <w:b/>
          <w:bCs/>
        </w:rPr>
        <w:t>2.主要内容及实施情况</w:t>
      </w:r>
    </w:p>
    <w:p w:rsidR="00471015" w:rsidRDefault="00566539">
      <w:pPr>
        <w:spacing w:line="600" w:lineRule="exact"/>
        <w:ind w:firstLineChars="200" w:firstLine="600"/>
        <w:outlineLvl w:val="0"/>
        <w:rPr>
          <w:rFonts w:ascii="仿宋_GB2312"/>
        </w:rPr>
      </w:pPr>
      <w:r>
        <w:rPr>
          <w:rFonts w:ascii="仿宋_GB2312" w:hint="eastAsia"/>
        </w:rPr>
        <w:t>一是目前电梯应急救援平台已正常使用；二是车用气瓶电子标</w:t>
      </w:r>
      <w:r>
        <w:rPr>
          <w:rFonts w:ascii="仿宋_GB2312" w:hint="eastAsia"/>
        </w:rPr>
        <w:lastRenderedPageBreak/>
        <w:t>签监管平台和实名制充装监管平台以及液化气钢瓶电子监管平台其中两个平台保证金前期未支付，且需要专用网络，各平台运行正常，稳定；三是重大节日期间，因专家时间冲突，未邀请专家协同检查；四是安全生产宣传活动，需印制宣传资料；五是根据易燃易爆场所检查要求，已购买防爆相机和防爆摄像机；六是邀请专家对各县市局特种设备监察人员及相关企业授课2次；七是因国家行政审批改革，《车用气瓶使用登记证》格式有变，后由自治区市监局统一发放；八是自治区电子标签制度改革，电子标签变为二维码贴纸，且由自治区市监局统一发放。</w:t>
      </w:r>
    </w:p>
    <w:p w:rsidR="00471015" w:rsidRDefault="00566539">
      <w:pPr>
        <w:spacing w:line="600" w:lineRule="exact"/>
        <w:ind w:firstLineChars="200" w:firstLine="602"/>
        <w:outlineLvl w:val="0"/>
        <w:rPr>
          <w:rFonts w:ascii="仿宋_GB2312"/>
          <w:b/>
          <w:bCs/>
        </w:rPr>
      </w:pPr>
      <w:r>
        <w:rPr>
          <w:rFonts w:ascii="仿宋_GB2312" w:hint="eastAsia"/>
          <w:b/>
          <w:bCs/>
        </w:rPr>
        <w:t>3.资金投入和使用情况</w:t>
      </w:r>
    </w:p>
    <w:p w:rsidR="00471015" w:rsidRDefault="00566539">
      <w:pPr>
        <w:spacing w:line="600" w:lineRule="exact"/>
        <w:ind w:firstLineChars="200" w:firstLine="600"/>
        <w:outlineLvl w:val="0"/>
        <w:rPr>
          <w:rFonts w:ascii="仿宋_GB2312"/>
        </w:rPr>
      </w:pPr>
      <w:r>
        <w:rPr>
          <w:rFonts w:ascii="仿宋_GB2312" w:hint="eastAsia"/>
        </w:rPr>
        <w:t>所有项目资金已按年初预算支付完毕。</w:t>
      </w:r>
    </w:p>
    <w:p w:rsidR="00471015" w:rsidRDefault="00566539">
      <w:pPr>
        <w:numPr>
          <w:ilvl w:val="0"/>
          <w:numId w:val="1"/>
        </w:numPr>
        <w:spacing w:line="600" w:lineRule="exact"/>
        <w:ind w:firstLineChars="200" w:firstLine="600"/>
        <w:outlineLvl w:val="0"/>
        <w:rPr>
          <w:rFonts w:ascii="楷体" w:eastAsia="楷体" w:hAnsi="楷体" w:cs="楷体"/>
        </w:rPr>
      </w:pPr>
      <w:r>
        <w:rPr>
          <w:rFonts w:ascii="楷体" w:eastAsia="楷体" w:hAnsi="楷体" w:cs="楷体" w:hint="eastAsia"/>
        </w:rPr>
        <w:t>项目绩效目标。包括总体目标和阶段性目标。</w:t>
      </w:r>
    </w:p>
    <w:p w:rsidR="00471015" w:rsidRDefault="00566539">
      <w:pPr>
        <w:spacing w:line="600" w:lineRule="exact"/>
        <w:outlineLvl w:val="0"/>
        <w:rPr>
          <w:rFonts w:ascii="仿宋_GB2312"/>
        </w:rPr>
      </w:pPr>
      <w:r>
        <w:rPr>
          <w:rFonts w:ascii="仿宋_GB2312" w:hint="eastAsia"/>
        </w:rPr>
        <w:t xml:space="preserve">    1.</w:t>
      </w:r>
      <w:r>
        <w:rPr>
          <w:rFonts w:ascii="仿宋_GB2312" w:hint="eastAsia"/>
          <w:b/>
          <w:bCs/>
        </w:rPr>
        <w:t>总目标：</w:t>
      </w:r>
      <w:r>
        <w:rPr>
          <w:rFonts w:ascii="仿宋_GB2312" w:hint="eastAsia"/>
        </w:rPr>
        <w:t>保障全年特种设备监管平台的正常运行、提高特种设备安全监管工作人员的业务水平；满足特种设备监管工作中所需物资、设备；保障行政审批事项证件的正常发放。</w:t>
      </w:r>
    </w:p>
    <w:p w:rsidR="00471015" w:rsidRDefault="00566539">
      <w:pPr>
        <w:spacing w:line="600" w:lineRule="exact"/>
        <w:outlineLvl w:val="0"/>
        <w:rPr>
          <w:rFonts w:ascii="仿宋_GB2312"/>
        </w:rPr>
      </w:pPr>
      <w:r>
        <w:rPr>
          <w:rFonts w:ascii="仿宋_GB2312" w:hint="eastAsia"/>
        </w:rPr>
        <w:t xml:space="preserve">   </w:t>
      </w:r>
      <w:r>
        <w:rPr>
          <w:rFonts w:ascii="仿宋_GB2312" w:hint="eastAsia"/>
          <w:b/>
          <w:bCs/>
        </w:rPr>
        <w:t xml:space="preserve"> 2.阶段性目标：</w:t>
      </w:r>
      <w:r>
        <w:rPr>
          <w:rFonts w:ascii="仿宋_GB2312" w:hint="eastAsia"/>
        </w:rPr>
        <w:t>按计划节点支付预算项目所需费用。</w:t>
      </w:r>
    </w:p>
    <w:p w:rsidR="00471015" w:rsidRDefault="00566539">
      <w:pPr>
        <w:spacing w:line="600" w:lineRule="exact"/>
        <w:ind w:firstLineChars="200" w:firstLine="600"/>
        <w:rPr>
          <w:rFonts w:ascii="黑体" w:eastAsia="黑体" w:hAnsi="黑体"/>
        </w:rPr>
      </w:pPr>
      <w:r>
        <w:rPr>
          <w:rFonts w:ascii="黑体" w:eastAsia="黑体" w:hAnsi="黑体" w:hint="eastAsia"/>
        </w:rPr>
        <w:t>二、绩效评价工作开展情况</w:t>
      </w:r>
    </w:p>
    <w:p w:rsidR="00471015" w:rsidRDefault="00566539">
      <w:pPr>
        <w:spacing w:line="600" w:lineRule="exact"/>
        <w:ind w:leftChars="200" w:left="600"/>
        <w:rPr>
          <w:rFonts w:ascii="楷体" w:eastAsia="楷体" w:hAnsi="楷体" w:cs="楷体"/>
        </w:rPr>
      </w:pPr>
      <w:r>
        <w:rPr>
          <w:rFonts w:ascii="楷体" w:eastAsia="楷体" w:hAnsi="楷体" w:cs="楷体" w:hint="eastAsia"/>
        </w:rPr>
        <w:t>（一）绩效评价目的、对象和范围。</w:t>
      </w:r>
    </w:p>
    <w:p w:rsidR="00471015" w:rsidRDefault="00566539">
      <w:pPr>
        <w:spacing w:line="600" w:lineRule="exact"/>
        <w:ind w:firstLineChars="200" w:firstLine="600"/>
        <w:rPr>
          <w:rFonts w:ascii="仿宋_GB2312"/>
        </w:rPr>
      </w:pPr>
      <w:r>
        <w:rPr>
          <w:rFonts w:ascii="仿宋_GB2312" w:hint="eastAsia"/>
        </w:rPr>
        <w:t>1.目的：准确评估所需费用，保证每笔费用落到实处</w:t>
      </w:r>
    </w:p>
    <w:p w:rsidR="00471015" w:rsidRDefault="00566539">
      <w:pPr>
        <w:spacing w:line="600" w:lineRule="exact"/>
        <w:ind w:firstLineChars="200" w:firstLine="600"/>
        <w:rPr>
          <w:rFonts w:ascii="仿宋_GB2312"/>
        </w:rPr>
      </w:pPr>
      <w:r>
        <w:rPr>
          <w:rFonts w:ascii="仿宋_GB2312" w:hint="eastAsia"/>
        </w:rPr>
        <w:t>2.对象：特种设备安全监察科</w:t>
      </w:r>
    </w:p>
    <w:p w:rsidR="00471015" w:rsidRDefault="00566539">
      <w:pPr>
        <w:spacing w:line="600" w:lineRule="exact"/>
        <w:ind w:firstLineChars="200" w:firstLine="600"/>
        <w:rPr>
          <w:rFonts w:ascii="仿宋_GB2312"/>
        </w:rPr>
      </w:pPr>
      <w:r>
        <w:rPr>
          <w:rFonts w:ascii="仿宋_GB2312" w:hint="eastAsia"/>
        </w:rPr>
        <w:t>3.范围：局领导、财务室人员及特种设备安全监察科人员</w:t>
      </w:r>
    </w:p>
    <w:p w:rsidR="00471015" w:rsidRDefault="00566539">
      <w:pPr>
        <w:spacing w:line="600" w:lineRule="exact"/>
        <w:ind w:firstLineChars="200" w:firstLine="600"/>
        <w:rPr>
          <w:rFonts w:ascii="楷体" w:eastAsia="楷体" w:hAnsi="楷体" w:cs="楷体"/>
        </w:rPr>
      </w:pPr>
      <w:r>
        <w:rPr>
          <w:rFonts w:ascii="楷体" w:eastAsia="楷体" w:hAnsi="楷体" w:cs="楷体" w:hint="eastAsia"/>
        </w:rPr>
        <w:t>（二）绩效评价原则、评价指标体系（附表说明）、评价方法、</w:t>
      </w:r>
      <w:r>
        <w:rPr>
          <w:rFonts w:ascii="楷体" w:eastAsia="楷体" w:hAnsi="楷体" w:cs="楷体" w:hint="eastAsia"/>
        </w:rPr>
        <w:lastRenderedPageBreak/>
        <w:t>评价标准等。</w:t>
      </w:r>
    </w:p>
    <w:p w:rsidR="00471015" w:rsidRDefault="00566539">
      <w:pPr>
        <w:spacing w:line="600" w:lineRule="exact"/>
        <w:ind w:firstLineChars="200" w:firstLine="600"/>
        <w:rPr>
          <w:rFonts w:ascii="仿宋_GB2312"/>
        </w:rPr>
      </w:pPr>
      <w:r>
        <w:rPr>
          <w:rFonts w:ascii="仿宋_GB2312" w:hint="eastAsia"/>
        </w:rPr>
        <w:t>1.</w:t>
      </w:r>
      <w:r>
        <w:rPr>
          <w:rFonts w:ascii="楷体" w:eastAsia="楷体" w:hAnsi="楷体" w:cs="楷体" w:hint="eastAsia"/>
        </w:rPr>
        <w:t>评价原则：</w:t>
      </w:r>
      <w:r>
        <w:rPr>
          <w:rFonts w:ascii="仿宋_GB2312" w:hint="eastAsia"/>
        </w:rPr>
        <w:t>根据财政相关规定，本着公平公正，实事求是的原则。</w:t>
      </w:r>
    </w:p>
    <w:p w:rsidR="00471015" w:rsidRDefault="00566539">
      <w:pPr>
        <w:spacing w:line="600" w:lineRule="exact"/>
        <w:ind w:firstLineChars="200" w:firstLine="600"/>
        <w:rPr>
          <w:rFonts w:ascii="仿宋_GB2312" w:eastAsia="楷体"/>
        </w:rPr>
      </w:pPr>
      <w:r>
        <w:rPr>
          <w:rFonts w:ascii="仿宋_GB2312" w:hint="eastAsia"/>
        </w:rPr>
        <w:t>2.评价指标体系（附表说明）。</w:t>
      </w:r>
    </w:p>
    <w:p w:rsidR="00471015" w:rsidRDefault="00566539">
      <w:pPr>
        <w:spacing w:line="600" w:lineRule="exact"/>
        <w:ind w:firstLineChars="200" w:firstLine="600"/>
        <w:rPr>
          <w:rFonts w:ascii="仿宋_GB2312"/>
        </w:rPr>
      </w:pPr>
      <w:r>
        <w:rPr>
          <w:rFonts w:ascii="仿宋_GB2312" w:hint="eastAsia"/>
        </w:rPr>
        <w:t>3.</w:t>
      </w:r>
      <w:r>
        <w:rPr>
          <w:rFonts w:ascii="楷体" w:eastAsia="楷体" w:hAnsi="楷体" w:cs="楷体" w:hint="eastAsia"/>
        </w:rPr>
        <w:t>评价方法：</w:t>
      </w:r>
      <w:r>
        <w:rPr>
          <w:rFonts w:ascii="仿宋_GB2312" w:hint="eastAsia"/>
        </w:rPr>
        <w:t>事实就是，从客观实际出发，制定统一的评价指标、评价标准、评价程序和方法。在统一的基础上，兼顾不同评价对象的特殊情况，具体问题具体分析，建立与之相适应的准则。巴州市监局结合本次绩效评估项目的具体情况，为确保本次绩效评估工作的真实可靠，采用比较法、百分比法进行评价。</w:t>
      </w:r>
    </w:p>
    <w:p w:rsidR="00471015" w:rsidRDefault="00566539">
      <w:pPr>
        <w:spacing w:line="600" w:lineRule="exact"/>
        <w:ind w:firstLineChars="200" w:firstLine="600"/>
        <w:rPr>
          <w:rFonts w:ascii="仿宋_GB2312"/>
        </w:rPr>
      </w:pPr>
      <w:r>
        <w:rPr>
          <w:rFonts w:ascii="仿宋_GB2312" w:hint="eastAsia"/>
        </w:rPr>
        <w:t>4.</w:t>
      </w:r>
      <w:r>
        <w:rPr>
          <w:rFonts w:ascii="楷体" w:eastAsia="楷体" w:hAnsi="楷体" w:cs="楷体" w:hint="eastAsia"/>
        </w:rPr>
        <w:t>评价标准：</w:t>
      </w:r>
      <w:r>
        <w:rPr>
          <w:rFonts w:ascii="仿宋_GB2312" w:hint="eastAsia"/>
        </w:rPr>
        <w:t>以计划标准为评价标准，主要对项目产出指标、效益指标和满意度指标进行综合分析评定、主要包含产出指标及时性、服务对象满意度等综合评定，实际指标90%以上为得分，未达到指标值为不合格。</w:t>
      </w:r>
    </w:p>
    <w:p w:rsidR="00471015" w:rsidRDefault="00566539">
      <w:pPr>
        <w:numPr>
          <w:ilvl w:val="0"/>
          <w:numId w:val="1"/>
        </w:numPr>
        <w:spacing w:line="600" w:lineRule="exact"/>
        <w:ind w:firstLineChars="200" w:firstLine="600"/>
        <w:rPr>
          <w:rFonts w:ascii="楷体" w:eastAsia="楷体" w:hAnsi="楷体" w:cs="楷体"/>
        </w:rPr>
      </w:pPr>
      <w:r>
        <w:rPr>
          <w:rFonts w:ascii="楷体" w:eastAsia="楷体" w:hAnsi="楷体" w:cs="楷体" w:hint="eastAsia"/>
        </w:rPr>
        <w:t>绩效评价工作过程。</w:t>
      </w:r>
    </w:p>
    <w:p w:rsidR="00471015" w:rsidRDefault="00566539">
      <w:pPr>
        <w:spacing w:line="600" w:lineRule="exact"/>
        <w:ind w:firstLineChars="200" w:firstLine="600"/>
        <w:rPr>
          <w:rFonts w:ascii="仿宋_GB2312"/>
        </w:rPr>
      </w:pPr>
      <w:r>
        <w:rPr>
          <w:rFonts w:ascii="仿宋_GB2312" w:hint="eastAsia"/>
        </w:rPr>
        <w:t>参考《项目支出绩效评价指标体系框架》指标内容，逐一核实每项预算的立项依据、立项流程、目标设定、年初预算编制的科学性和合理性以及资金到位、执行等情况，查漏补缺，为下一年预算编制汲取经验。</w:t>
      </w:r>
    </w:p>
    <w:p w:rsidR="00471015" w:rsidRDefault="00566539">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471015" w:rsidRDefault="00566539">
      <w:pPr>
        <w:spacing w:line="600" w:lineRule="exact"/>
        <w:rPr>
          <w:rFonts w:ascii="仿宋_GB2312"/>
        </w:rPr>
      </w:pPr>
      <w:r>
        <w:rPr>
          <w:rFonts w:ascii="仿宋_GB2312" w:hint="eastAsia"/>
        </w:rPr>
        <w:t xml:space="preserve">    根据2019年预算情况和实际支出落实情况，自评良好。</w:t>
      </w:r>
    </w:p>
    <w:p w:rsidR="00471015" w:rsidRDefault="00566539">
      <w:pPr>
        <w:spacing w:line="600" w:lineRule="exact"/>
        <w:ind w:firstLineChars="200" w:firstLine="600"/>
        <w:rPr>
          <w:rFonts w:ascii="黑体" w:eastAsia="黑体" w:hAnsi="黑体"/>
        </w:rPr>
      </w:pPr>
      <w:r>
        <w:rPr>
          <w:rFonts w:ascii="黑体" w:eastAsia="黑体" w:hAnsi="黑体" w:hint="eastAsia"/>
        </w:rPr>
        <w:t>四、绩效评价指标分析</w:t>
      </w:r>
    </w:p>
    <w:p w:rsidR="00471015" w:rsidRDefault="00566539">
      <w:pPr>
        <w:spacing w:line="600" w:lineRule="exact"/>
        <w:ind w:firstLineChars="200" w:firstLine="600"/>
        <w:outlineLvl w:val="0"/>
        <w:rPr>
          <w:rFonts w:ascii="楷体" w:eastAsia="楷体" w:hAnsi="楷体" w:cs="楷体"/>
        </w:rPr>
      </w:pPr>
      <w:r>
        <w:rPr>
          <w:rFonts w:ascii="楷体" w:eastAsia="楷体" w:hAnsi="楷体" w:cs="楷体" w:hint="eastAsia"/>
        </w:rPr>
        <w:t>（一）项目决策情况。</w:t>
      </w:r>
    </w:p>
    <w:p w:rsidR="00471015" w:rsidRDefault="00566539">
      <w:pPr>
        <w:spacing w:line="600" w:lineRule="exact"/>
        <w:ind w:firstLineChars="200" w:firstLine="600"/>
        <w:outlineLvl w:val="0"/>
        <w:rPr>
          <w:rFonts w:ascii="仿宋_GB2312"/>
        </w:rPr>
      </w:pPr>
      <w:r>
        <w:rPr>
          <w:rFonts w:ascii="仿宋_GB2312" w:hint="eastAsia"/>
        </w:rPr>
        <w:lastRenderedPageBreak/>
        <w:t>项目立项是否符合法律法规、相关政策、发展规划以及部门职责，项目申请、设立过程是否符合相关要求，项目所设定的绩效目标依据充分，符合客观实际，依据绩效目标设定的绩效指标清晰、细化、可衡量等，项目预算编制经过科学论证、有明确标准，资金额度与年度目标相适应，资金分配有测算依据。</w:t>
      </w:r>
    </w:p>
    <w:p w:rsidR="00471015" w:rsidRDefault="00566539">
      <w:pPr>
        <w:numPr>
          <w:ilvl w:val="0"/>
          <w:numId w:val="2"/>
        </w:numPr>
        <w:spacing w:line="600" w:lineRule="exact"/>
        <w:ind w:firstLineChars="200" w:firstLine="600"/>
        <w:outlineLvl w:val="0"/>
        <w:rPr>
          <w:rFonts w:ascii="楷体" w:eastAsia="楷体" w:hAnsi="楷体" w:cs="楷体"/>
        </w:rPr>
      </w:pPr>
      <w:r>
        <w:rPr>
          <w:rFonts w:ascii="楷体" w:eastAsia="楷体" w:hAnsi="楷体" w:cs="楷体" w:hint="eastAsia"/>
        </w:rPr>
        <w:t>项目过程情况。</w:t>
      </w:r>
    </w:p>
    <w:p w:rsidR="00471015" w:rsidRDefault="00566539">
      <w:pPr>
        <w:spacing w:line="600" w:lineRule="exact"/>
        <w:outlineLvl w:val="0"/>
        <w:rPr>
          <w:rFonts w:ascii="仿宋_GB2312"/>
        </w:rPr>
      </w:pPr>
      <w:r>
        <w:rPr>
          <w:rFonts w:ascii="仿宋_GB2312" w:hint="eastAsia"/>
        </w:rPr>
        <w:t xml:space="preserve">   实际到位资金与预算资金的比率，按照计划执行，项目资金使用符合相关的财务管理制度规定，财务和业务管理制度健全，每项费用在执行过程中都需经党组会议讨论通过。</w:t>
      </w:r>
    </w:p>
    <w:p w:rsidR="00471015" w:rsidRDefault="00566539">
      <w:pPr>
        <w:numPr>
          <w:ilvl w:val="0"/>
          <w:numId w:val="2"/>
        </w:numPr>
        <w:spacing w:line="600" w:lineRule="exact"/>
        <w:ind w:firstLineChars="200" w:firstLine="600"/>
        <w:outlineLvl w:val="0"/>
        <w:rPr>
          <w:rFonts w:ascii="楷体" w:eastAsia="楷体" w:hAnsi="楷体" w:cs="楷体"/>
        </w:rPr>
      </w:pPr>
      <w:r>
        <w:rPr>
          <w:rFonts w:ascii="楷体" w:eastAsia="楷体" w:hAnsi="楷体" w:cs="楷体" w:hint="eastAsia"/>
        </w:rPr>
        <w:t>项目产出情况。</w:t>
      </w:r>
    </w:p>
    <w:p w:rsidR="00471015" w:rsidRDefault="00566539">
      <w:pPr>
        <w:spacing w:line="600" w:lineRule="exact"/>
        <w:ind w:firstLineChars="200" w:firstLine="600"/>
        <w:outlineLvl w:val="0"/>
        <w:rPr>
          <w:rFonts w:ascii="仿宋_GB2312"/>
        </w:rPr>
      </w:pPr>
      <w:r>
        <w:rPr>
          <w:rFonts w:ascii="仿宋_GB2312" w:hint="eastAsia"/>
        </w:rPr>
        <w:t>项目实施的实际产出数与计划产出数的比率、质量达标产出数与实际产出数的比率、时间与计划完成时间的比较、计划工作目标的实际节约成本与计划成本的比率达到90%合格、低于该指标为不合格，目前每笔费用的支出和项目完成情况都达到了科室预期。</w:t>
      </w:r>
    </w:p>
    <w:p w:rsidR="00471015" w:rsidRDefault="00566539">
      <w:pPr>
        <w:numPr>
          <w:ilvl w:val="0"/>
          <w:numId w:val="2"/>
        </w:numPr>
        <w:spacing w:line="600" w:lineRule="exact"/>
        <w:ind w:firstLineChars="200" w:firstLine="600"/>
        <w:outlineLvl w:val="0"/>
        <w:rPr>
          <w:rFonts w:ascii="楷体" w:eastAsia="楷体" w:hAnsi="楷体" w:cs="楷体"/>
        </w:rPr>
      </w:pPr>
      <w:r>
        <w:rPr>
          <w:rFonts w:ascii="楷体" w:eastAsia="楷体" w:hAnsi="楷体" w:cs="楷体" w:hint="eastAsia"/>
        </w:rPr>
        <w:t>项目效益情况。</w:t>
      </w:r>
    </w:p>
    <w:p w:rsidR="00471015" w:rsidRDefault="00566539">
      <w:pPr>
        <w:spacing w:line="600" w:lineRule="exact"/>
        <w:outlineLvl w:val="0"/>
        <w:rPr>
          <w:rFonts w:ascii="仿宋_GB2312"/>
        </w:rPr>
      </w:pPr>
      <w:r>
        <w:rPr>
          <w:rFonts w:ascii="仿宋_GB2312" w:hint="eastAsia"/>
        </w:rPr>
        <w:t xml:space="preserve">    项目实施所产生的效益和社会公众或服务对象对项目实施效果的满意程度都合格。目前全州7千余部电梯相关信息已全部录入电梯应急救援监管平台；车用气瓶和液化气钢瓶监管平台运行正常；工作中所需设备购置到位；广大群众安全知识得到提升；特种设备监察人员业务水平得到提高；《车用气瓶使用登记证》和《特种设备作业人员证》能够正常发放。</w:t>
      </w:r>
    </w:p>
    <w:p w:rsidR="00471015" w:rsidRDefault="00566539">
      <w:pPr>
        <w:spacing w:line="600" w:lineRule="exact"/>
        <w:ind w:leftChars="200" w:left="600"/>
        <w:rPr>
          <w:rFonts w:ascii="黑体" w:eastAsia="黑体" w:hAnsi="黑体"/>
        </w:rPr>
      </w:pPr>
      <w:r>
        <w:rPr>
          <w:rFonts w:ascii="黑体" w:eastAsia="黑体" w:hAnsi="黑体" w:hint="eastAsia"/>
        </w:rPr>
        <w:t>五、主要经验及做法、存在的问题及原因分析</w:t>
      </w:r>
    </w:p>
    <w:p w:rsidR="00471015" w:rsidRDefault="00566539">
      <w:pPr>
        <w:spacing w:line="600" w:lineRule="exact"/>
        <w:ind w:firstLineChars="200" w:firstLine="600"/>
        <w:outlineLvl w:val="0"/>
        <w:rPr>
          <w:rFonts w:ascii="仿宋_GB2312"/>
        </w:rPr>
      </w:pPr>
      <w:r>
        <w:rPr>
          <w:rFonts w:ascii="仿宋_GB2312" w:hint="eastAsia"/>
        </w:rPr>
        <w:lastRenderedPageBreak/>
        <w:t>无。</w:t>
      </w:r>
    </w:p>
    <w:p w:rsidR="00471015" w:rsidRDefault="00566539">
      <w:pPr>
        <w:spacing w:line="600" w:lineRule="exact"/>
        <w:ind w:leftChars="200" w:left="600"/>
        <w:rPr>
          <w:rFonts w:ascii="黑体" w:eastAsia="黑体" w:hAnsi="黑体"/>
        </w:rPr>
      </w:pPr>
      <w:r>
        <w:rPr>
          <w:rFonts w:ascii="黑体" w:eastAsia="黑体" w:hAnsi="黑体" w:hint="eastAsia"/>
        </w:rPr>
        <w:t>六、有关建议</w:t>
      </w:r>
    </w:p>
    <w:p w:rsidR="00471015" w:rsidRDefault="00566539">
      <w:pPr>
        <w:spacing w:line="600" w:lineRule="exact"/>
        <w:ind w:firstLineChars="200" w:firstLine="600"/>
        <w:outlineLvl w:val="0"/>
        <w:rPr>
          <w:rFonts w:ascii="仿宋_GB2312"/>
        </w:rPr>
      </w:pPr>
      <w:r>
        <w:rPr>
          <w:rFonts w:ascii="仿宋_GB2312" w:hint="eastAsia"/>
        </w:rPr>
        <w:t>无。</w:t>
      </w:r>
    </w:p>
    <w:p w:rsidR="00471015" w:rsidRDefault="00566539">
      <w:pPr>
        <w:spacing w:line="600" w:lineRule="exact"/>
        <w:ind w:leftChars="200" w:left="600"/>
        <w:rPr>
          <w:rFonts w:ascii="黑体" w:eastAsia="黑体" w:hAnsi="黑体"/>
        </w:rPr>
      </w:pPr>
      <w:r>
        <w:rPr>
          <w:rFonts w:ascii="黑体" w:eastAsia="黑体" w:hAnsi="黑体" w:hint="eastAsia"/>
        </w:rPr>
        <w:t>七、其他需要说明的问题</w:t>
      </w:r>
    </w:p>
    <w:p w:rsidR="00471015" w:rsidRDefault="00566539">
      <w:pPr>
        <w:spacing w:line="600" w:lineRule="exact"/>
        <w:rPr>
          <w:rFonts w:ascii="黑体" w:eastAsia="黑体" w:hAnsi="黑体"/>
        </w:rPr>
      </w:pPr>
      <w:r>
        <w:rPr>
          <w:rFonts w:ascii="黑体" w:eastAsia="黑体" w:hAnsi="黑体" w:hint="eastAsia"/>
        </w:rPr>
        <w:t xml:space="preserve">    </w:t>
      </w:r>
      <w:r>
        <w:rPr>
          <w:rFonts w:ascii="仿宋_GB2312" w:hint="eastAsia"/>
        </w:rPr>
        <w:t>无。</w:t>
      </w:r>
    </w:p>
    <w:p w:rsidR="00471015" w:rsidRDefault="00566539">
      <w:pPr>
        <w:spacing w:line="600" w:lineRule="exact"/>
        <w:rPr>
          <w:rFonts w:ascii="黑体" w:eastAsia="黑体" w:hAnsi="黑体"/>
        </w:rPr>
        <w:sectPr w:rsidR="00471015">
          <w:footerReference w:type="default" r:id="rId9"/>
          <w:pgSz w:w="11906" w:h="16838"/>
          <w:pgMar w:top="1928" w:right="1531" w:bottom="1701" w:left="1531" w:header="737" w:footer="851" w:gutter="0"/>
          <w:cols w:space="720"/>
          <w:docGrid w:type="lines" w:linePitch="408"/>
        </w:sectPr>
      </w:pPr>
      <w:r>
        <w:rPr>
          <w:rFonts w:ascii="黑体" w:eastAsia="黑体" w:hAnsi="黑体" w:hint="eastAsia"/>
        </w:rPr>
        <w:t xml:space="preserve">   </w:t>
      </w:r>
    </w:p>
    <w:p w:rsidR="00471015" w:rsidRDefault="00566539">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471015" w:rsidRDefault="0047101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471015">
        <w:trPr>
          <w:gridAfter w:val="1"/>
          <w:wAfter w:w="11" w:type="dxa"/>
          <w:trHeight w:val="692"/>
          <w:tblHeader/>
          <w:jc w:val="center"/>
        </w:trPr>
        <w:tc>
          <w:tcPr>
            <w:tcW w:w="763"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471015" w:rsidRDefault="00566539">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471015">
        <w:trPr>
          <w:gridAfter w:val="1"/>
          <w:wAfter w:w="11" w:type="dxa"/>
          <w:trHeight w:val="2318"/>
          <w:jc w:val="center"/>
        </w:trPr>
        <w:tc>
          <w:tcPr>
            <w:tcW w:w="763"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471015" w:rsidRDefault="0056653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471015">
        <w:trPr>
          <w:gridAfter w:val="1"/>
          <w:wAfter w:w="11" w:type="dxa"/>
          <w:trHeight w:val="1640"/>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471015" w:rsidRDefault="0056653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471015">
        <w:trPr>
          <w:gridAfter w:val="1"/>
          <w:wAfter w:w="11" w:type="dxa"/>
          <w:trHeight w:val="1919"/>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471015" w:rsidRDefault="0056653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471015" w:rsidRDefault="0056653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71015">
        <w:trPr>
          <w:gridAfter w:val="1"/>
          <w:wAfter w:w="11" w:type="dxa"/>
          <w:trHeight w:val="1464"/>
          <w:jc w:val="center"/>
        </w:trPr>
        <w:tc>
          <w:tcPr>
            <w:tcW w:w="763"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r>
      <w:tr w:rsidR="00471015">
        <w:trPr>
          <w:gridAfter w:val="1"/>
          <w:wAfter w:w="11" w:type="dxa"/>
          <w:trHeight w:val="1942"/>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71015">
        <w:trPr>
          <w:gridAfter w:val="1"/>
          <w:wAfter w:w="11" w:type="dxa"/>
          <w:trHeight w:val="1706"/>
          <w:jc w:val="center"/>
        </w:trPr>
        <w:tc>
          <w:tcPr>
            <w:tcW w:w="763"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471015">
        <w:trPr>
          <w:gridAfter w:val="1"/>
          <w:wAfter w:w="11" w:type="dxa"/>
          <w:trHeight w:val="1415"/>
          <w:jc w:val="center"/>
        </w:trPr>
        <w:tc>
          <w:tcPr>
            <w:tcW w:w="763" w:type="dxa"/>
            <w:vMerge w:val="restart"/>
            <w:tcBorders>
              <w:tl2br w:val="nil"/>
              <w:tr2bl w:val="nil"/>
            </w:tcBorders>
            <w:shd w:val="clear" w:color="auto" w:fill="FFFFFF"/>
            <w:vAlign w:val="center"/>
          </w:tcPr>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71015">
        <w:trPr>
          <w:gridAfter w:val="1"/>
          <w:wAfter w:w="11" w:type="dxa"/>
          <w:trHeight w:val="1320"/>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471015">
        <w:trPr>
          <w:gridAfter w:val="2"/>
          <w:wAfter w:w="23" w:type="dxa"/>
          <w:trHeight w:val="2076"/>
          <w:jc w:val="center"/>
        </w:trPr>
        <w:tc>
          <w:tcPr>
            <w:tcW w:w="763"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471015">
        <w:trPr>
          <w:gridAfter w:val="2"/>
          <w:wAfter w:w="23" w:type="dxa"/>
          <w:trHeight w:val="1797"/>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471015">
        <w:trPr>
          <w:gridAfter w:val="2"/>
          <w:wAfter w:w="23" w:type="dxa"/>
          <w:trHeight w:val="1769"/>
          <w:jc w:val="center"/>
        </w:trPr>
        <w:tc>
          <w:tcPr>
            <w:tcW w:w="763"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471015">
        <w:trPr>
          <w:gridAfter w:val="2"/>
          <w:wAfter w:w="23" w:type="dxa"/>
          <w:trHeight w:val="1917"/>
          <w:jc w:val="center"/>
        </w:trPr>
        <w:tc>
          <w:tcPr>
            <w:tcW w:w="763"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471015">
        <w:trPr>
          <w:trHeight w:val="1718"/>
          <w:jc w:val="center"/>
        </w:trPr>
        <w:tc>
          <w:tcPr>
            <w:tcW w:w="763"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471015">
        <w:trPr>
          <w:trHeight w:val="1506"/>
          <w:jc w:val="center"/>
        </w:trPr>
        <w:tc>
          <w:tcPr>
            <w:tcW w:w="763" w:type="dxa"/>
            <w:vMerge/>
            <w:tcBorders>
              <w:tl2br w:val="nil"/>
              <w:tr2bl w:val="nil"/>
            </w:tcBorders>
            <w:shd w:val="clear" w:color="auto" w:fill="FFFFFF"/>
            <w:vAlign w:val="center"/>
          </w:tcPr>
          <w:p w:rsidR="00471015" w:rsidRDefault="0047101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71015" w:rsidRDefault="0056653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71015">
        <w:trPr>
          <w:trHeight w:val="2076"/>
          <w:jc w:val="center"/>
        </w:trPr>
        <w:tc>
          <w:tcPr>
            <w:tcW w:w="763"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71015">
        <w:trPr>
          <w:trHeight w:val="889"/>
          <w:jc w:val="center"/>
        </w:trPr>
        <w:tc>
          <w:tcPr>
            <w:tcW w:w="763"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471015" w:rsidRDefault="0056653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13</w:t>
            </w:r>
          </w:p>
        </w:tc>
      </w:tr>
      <w:tr w:rsidR="00471015">
        <w:trPr>
          <w:trHeight w:val="1137"/>
          <w:jc w:val="center"/>
        </w:trPr>
        <w:tc>
          <w:tcPr>
            <w:tcW w:w="763"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71015" w:rsidRDefault="0047101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471015" w:rsidRDefault="0056653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471015">
        <w:trPr>
          <w:trHeight w:val="1137"/>
          <w:jc w:val="center"/>
        </w:trPr>
        <w:tc>
          <w:tcPr>
            <w:tcW w:w="13601" w:type="dxa"/>
            <w:gridSpan w:val="5"/>
            <w:tcBorders>
              <w:tl2br w:val="nil"/>
              <w:tr2bl w:val="nil"/>
            </w:tcBorders>
            <w:shd w:val="clear" w:color="auto" w:fill="FFFFFF"/>
            <w:vAlign w:val="center"/>
          </w:tcPr>
          <w:p w:rsidR="00471015" w:rsidRDefault="0056653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合计</w:t>
            </w:r>
          </w:p>
        </w:tc>
        <w:tc>
          <w:tcPr>
            <w:tcW w:w="852" w:type="dxa"/>
            <w:gridSpan w:val="3"/>
            <w:tcBorders>
              <w:top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71015" w:rsidRDefault="0056653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91</w:t>
            </w:r>
          </w:p>
        </w:tc>
      </w:tr>
    </w:tbl>
    <w:p w:rsidR="00471015" w:rsidRDefault="00471015">
      <w:pPr>
        <w:spacing w:line="600" w:lineRule="exact"/>
        <w:rPr>
          <w:rFonts w:ascii="仿宋_GB2312"/>
          <w:bCs/>
          <w:sz w:val="32"/>
          <w:szCs w:val="32"/>
        </w:rPr>
        <w:sectPr w:rsidR="00471015">
          <w:pgSz w:w="16838" w:h="11906" w:orient="landscape"/>
          <w:pgMar w:top="1531" w:right="1928" w:bottom="1531" w:left="1701" w:header="737" w:footer="851" w:gutter="0"/>
          <w:cols w:space="720"/>
          <w:docGrid w:type="lines" w:linePitch="408"/>
        </w:sectPr>
      </w:pPr>
    </w:p>
    <w:p w:rsidR="00471015" w:rsidRDefault="00471015"/>
    <w:sectPr w:rsidR="00471015">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74C" w:rsidRDefault="009A074C">
      <w:r>
        <w:separator/>
      </w:r>
    </w:p>
  </w:endnote>
  <w:endnote w:type="continuationSeparator" w:id="0">
    <w:p w:rsidR="009A074C" w:rsidRDefault="009A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015" w:rsidRDefault="00566539">
    <w:pPr>
      <w:pStyle w:val="a3"/>
      <w:jc w:val="center"/>
    </w:pPr>
    <w:r>
      <w:fldChar w:fldCharType="begin"/>
    </w:r>
    <w:r>
      <w:instrText xml:space="preserve"> PAGE   \* MERGEFORMAT </w:instrText>
    </w:r>
    <w:r>
      <w:fldChar w:fldCharType="separate"/>
    </w:r>
    <w:r w:rsidR="002B30F6" w:rsidRPr="002B30F6">
      <w:rPr>
        <w:noProof/>
        <w:lang w:val="zh-CN"/>
      </w:rPr>
      <w:t>1</w:t>
    </w:r>
    <w:r>
      <w:fldChar w:fldCharType="end"/>
    </w:r>
  </w:p>
  <w:p w:rsidR="00471015" w:rsidRDefault="004710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74C" w:rsidRDefault="009A074C">
      <w:r>
        <w:separator/>
      </w:r>
    </w:p>
  </w:footnote>
  <w:footnote w:type="continuationSeparator" w:id="0">
    <w:p w:rsidR="009A074C" w:rsidRDefault="009A0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E7671E6"/>
    <w:multiLevelType w:val="singleLevel"/>
    <w:tmpl w:val="BE7671E6"/>
    <w:lvl w:ilvl="0">
      <w:start w:val="2"/>
      <w:numFmt w:val="chineseCounting"/>
      <w:suff w:val="nothing"/>
      <w:lvlText w:val="（%1）"/>
      <w:lvlJc w:val="left"/>
      <w:rPr>
        <w:rFonts w:hint="eastAsia"/>
      </w:rPr>
    </w:lvl>
  </w:abstractNum>
  <w:abstractNum w:abstractNumId="1" w15:restartNumberingAfterBreak="0">
    <w:nsid w:val="4079F01F"/>
    <w:multiLevelType w:val="singleLevel"/>
    <w:tmpl w:val="4079F01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B5"/>
    <w:rsid w:val="00033C4C"/>
    <w:rsid w:val="0018238C"/>
    <w:rsid w:val="002B30F6"/>
    <w:rsid w:val="00471015"/>
    <w:rsid w:val="00566539"/>
    <w:rsid w:val="005D4220"/>
    <w:rsid w:val="009A074C"/>
    <w:rsid w:val="00C460D9"/>
    <w:rsid w:val="00C470BD"/>
    <w:rsid w:val="00CC10B5"/>
    <w:rsid w:val="00FB45E1"/>
    <w:rsid w:val="01441513"/>
    <w:rsid w:val="02CF7756"/>
    <w:rsid w:val="05124FA4"/>
    <w:rsid w:val="062C5AAF"/>
    <w:rsid w:val="07E406F4"/>
    <w:rsid w:val="086B65DB"/>
    <w:rsid w:val="097A33E6"/>
    <w:rsid w:val="0B3B45E2"/>
    <w:rsid w:val="0B53553C"/>
    <w:rsid w:val="0C371173"/>
    <w:rsid w:val="0F1B130B"/>
    <w:rsid w:val="1002407B"/>
    <w:rsid w:val="11B97A1D"/>
    <w:rsid w:val="12033BED"/>
    <w:rsid w:val="13186F98"/>
    <w:rsid w:val="144442D1"/>
    <w:rsid w:val="183558EC"/>
    <w:rsid w:val="185C6F56"/>
    <w:rsid w:val="1A0744C5"/>
    <w:rsid w:val="1A4D3D8E"/>
    <w:rsid w:val="1B9A593A"/>
    <w:rsid w:val="21E43537"/>
    <w:rsid w:val="245E087D"/>
    <w:rsid w:val="272753D6"/>
    <w:rsid w:val="2C2E4D0A"/>
    <w:rsid w:val="2FDF7ADE"/>
    <w:rsid w:val="33277A7F"/>
    <w:rsid w:val="3A4F5684"/>
    <w:rsid w:val="3D9D0099"/>
    <w:rsid w:val="44332EE4"/>
    <w:rsid w:val="461D6F16"/>
    <w:rsid w:val="47040AAC"/>
    <w:rsid w:val="47263BE9"/>
    <w:rsid w:val="47E61451"/>
    <w:rsid w:val="47F3259C"/>
    <w:rsid w:val="4A452C73"/>
    <w:rsid w:val="4ADC0D13"/>
    <w:rsid w:val="4CD56E4E"/>
    <w:rsid w:val="4D0942C9"/>
    <w:rsid w:val="503E4096"/>
    <w:rsid w:val="504F5FCA"/>
    <w:rsid w:val="535469A4"/>
    <w:rsid w:val="538037EB"/>
    <w:rsid w:val="577A0871"/>
    <w:rsid w:val="59A81B50"/>
    <w:rsid w:val="5A691669"/>
    <w:rsid w:val="62A067A7"/>
    <w:rsid w:val="62EE4E3B"/>
    <w:rsid w:val="630C1FE1"/>
    <w:rsid w:val="656921EB"/>
    <w:rsid w:val="68FE572E"/>
    <w:rsid w:val="69321C9A"/>
    <w:rsid w:val="6B825F06"/>
    <w:rsid w:val="6D6900BF"/>
    <w:rsid w:val="7FDA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009BF8-4D6A-4F70-B824-F0C68EF1F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Arial" w:eastAsia="黑体" w:hAnsi="Arial"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2A9B6E-2C99-4B74-8443-0EFFDAD55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713</Words>
  <Characters>4066</Characters>
  <Application>Microsoft Office Word</Application>
  <DocSecurity>0</DocSecurity>
  <Lines>33</Lines>
  <Paragraphs>9</Paragraphs>
  <ScaleCrop>false</ScaleCrop>
  <Company>Microsoft</Company>
  <LinksUpToDate>false</LinksUpToDate>
  <CharactersWithSpaces>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lenovo</cp:lastModifiedBy>
  <cp:revision>6</cp:revision>
  <dcterms:created xsi:type="dcterms:W3CDTF">2020-04-15T03:47:00Z</dcterms:created>
  <dcterms:modified xsi:type="dcterms:W3CDTF">2020-06-07T14:17:00Z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