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hAnsi="仿宋_GB2312" w:cs="仿宋_GB2312"/>
        </w:rPr>
      </w:pPr>
      <w:r>
        <w:rPr>
          <w:rFonts w:hint="eastAsia" w:ascii="仿宋_GB2312" w:hAnsi="仿宋_GB2312" w:cs="仿宋_GB2312"/>
        </w:rPr>
        <w:t>附件·2</w:t>
      </w:r>
    </w:p>
    <w:p>
      <w:pPr>
        <w:spacing w:line="540" w:lineRule="exact"/>
        <w:jc w:val="center"/>
        <w:rPr>
          <w:rFonts w:ascii="仿宋_GB2312" w:hAnsi="仿宋_GB2312" w:cs="仿宋_GB2312"/>
          <w:b/>
          <w:kern w:val="0"/>
          <w:sz w:val="48"/>
          <w:szCs w:val="48"/>
        </w:rPr>
      </w:pPr>
      <w:r>
        <w:rPr>
          <w:rFonts w:hint="eastAsia" w:ascii="仿宋_GB2312" w:hAnsi="仿宋_GB2312" w:cs="仿宋_GB2312"/>
          <w:b/>
          <w:kern w:val="0"/>
          <w:sz w:val="48"/>
          <w:szCs w:val="48"/>
        </w:rPr>
        <w:t>项目支出绩效部门评价报告</w:t>
      </w:r>
    </w:p>
    <w:p>
      <w:pPr>
        <w:spacing w:line="540" w:lineRule="exact"/>
        <w:ind w:firstLine="1044" w:firstLineChars="200"/>
        <w:jc w:val="center"/>
        <w:rPr>
          <w:rFonts w:ascii="仿宋_GB2312" w:hAnsi="仿宋_GB2312" w:cs="仿宋_GB2312"/>
          <w:b/>
          <w:kern w:val="0"/>
          <w:sz w:val="52"/>
          <w:szCs w:val="52"/>
        </w:rPr>
      </w:pPr>
    </w:p>
    <w:p>
      <w:pPr>
        <w:spacing w:line="540" w:lineRule="exact"/>
        <w:jc w:val="center"/>
        <w:rPr>
          <w:rFonts w:ascii="仿宋_GB2312" w:hAnsi="仿宋_GB2312" w:cs="仿宋_GB2312"/>
          <w:kern w:val="0"/>
          <w:sz w:val="36"/>
          <w:szCs w:val="36"/>
        </w:rPr>
      </w:pPr>
      <w:r>
        <w:rPr>
          <w:rFonts w:hint="eastAsia" w:ascii="仿宋_GB2312" w:hAnsi="仿宋_GB2312" w:cs="仿宋_GB2312"/>
          <w:kern w:val="0"/>
          <w:sz w:val="36"/>
          <w:szCs w:val="36"/>
        </w:rPr>
        <w:t>（2019年度）</w:t>
      </w: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jc w:val="center"/>
        <w:rPr>
          <w:rFonts w:ascii="仿宋_GB2312" w:hAnsi="仿宋_GB2312" w:cs="仿宋_GB2312"/>
          <w:kern w:val="0"/>
          <w:szCs w:val="30"/>
        </w:rPr>
      </w:pPr>
    </w:p>
    <w:p>
      <w:pPr>
        <w:ind w:firstLine="600" w:firstLineChars="200"/>
        <w:rPr>
          <w:rFonts w:ascii="仿宋_GB2312" w:hAnsi="仿宋_GB2312" w:cs="仿宋_GB2312"/>
          <w:kern w:val="0"/>
          <w:szCs w:val="30"/>
        </w:rPr>
      </w:pPr>
    </w:p>
    <w:p>
      <w:pPr>
        <w:ind w:left="2520" w:leftChars="240" w:right="750" w:rightChars="250" w:hanging="1800" w:hangingChars="500"/>
        <w:outlineLvl w:val="0"/>
        <w:rPr>
          <w:rFonts w:ascii="仿宋_GB2312" w:hAnsi="仿宋_GB2312" w:cs="仿宋_GB2312"/>
          <w:kern w:val="0"/>
          <w:sz w:val="32"/>
          <w:szCs w:val="32"/>
        </w:rPr>
      </w:pPr>
      <w:r>
        <w:rPr>
          <w:rFonts w:hint="eastAsia" w:ascii="仿宋_GB2312" w:hAnsi="仿宋_GB2312" w:cs="仿宋_GB2312"/>
          <w:kern w:val="0"/>
          <w:sz w:val="36"/>
          <w:szCs w:val="36"/>
        </w:rPr>
        <w:t>项目名称：</w:t>
      </w:r>
      <w:r>
        <w:rPr>
          <w:rFonts w:hint="eastAsia"/>
          <w:sz w:val="32"/>
          <w:szCs w:val="32"/>
        </w:rPr>
        <w:t>2018年第五批航线补贴资金项目</w:t>
      </w:r>
    </w:p>
    <w:p>
      <w:pPr>
        <w:ind w:firstLine="640" w:firstLineChars="200"/>
        <w:jc w:val="left"/>
        <w:outlineLvl w:val="0"/>
        <w:rPr>
          <w:rFonts w:ascii="仿宋_GB2312" w:hAnsi="仿宋_GB2312" w:cs="仿宋_GB2312"/>
          <w:kern w:val="0"/>
          <w:sz w:val="32"/>
          <w:szCs w:val="32"/>
        </w:rPr>
      </w:pPr>
      <w:r>
        <w:rPr>
          <w:rFonts w:hint="eastAsia" w:ascii="仿宋_GB2312" w:hAnsi="仿宋_GB2312" w:cs="仿宋_GB2312"/>
          <w:kern w:val="0"/>
          <w:sz w:val="32"/>
          <w:szCs w:val="32"/>
        </w:rPr>
        <w:t>实施单位（公章）：</w:t>
      </w:r>
      <w:r>
        <w:rPr>
          <w:rFonts w:hint="eastAsia"/>
          <w:sz w:val="32"/>
          <w:szCs w:val="32"/>
        </w:rPr>
        <w:t>巴州发展和改革委员会</w:t>
      </w:r>
    </w:p>
    <w:p>
      <w:pPr>
        <w:ind w:firstLine="640" w:firstLineChars="200"/>
        <w:jc w:val="left"/>
        <w:outlineLvl w:val="0"/>
        <w:rPr>
          <w:rFonts w:ascii="仿宋_GB2312" w:hAnsi="仿宋_GB2312" w:cs="仿宋_GB2312"/>
          <w:kern w:val="0"/>
          <w:sz w:val="32"/>
          <w:szCs w:val="32"/>
        </w:rPr>
      </w:pPr>
      <w:r>
        <w:rPr>
          <w:rFonts w:hint="eastAsia" w:ascii="仿宋_GB2312" w:hAnsi="仿宋_GB2312" w:cs="仿宋_GB2312"/>
          <w:kern w:val="0"/>
          <w:sz w:val="32"/>
          <w:szCs w:val="32"/>
        </w:rPr>
        <w:t>主管部门（公章）：</w:t>
      </w:r>
      <w:r>
        <w:rPr>
          <w:rFonts w:hint="eastAsia"/>
          <w:sz w:val="32"/>
          <w:szCs w:val="32"/>
        </w:rPr>
        <w:t>巴州发展和改革委员会</w:t>
      </w:r>
    </w:p>
    <w:p>
      <w:pPr>
        <w:ind w:firstLine="640" w:firstLineChars="200"/>
        <w:jc w:val="left"/>
        <w:outlineLvl w:val="0"/>
        <w:rPr>
          <w:rFonts w:ascii="仿宋_GB2312" w:hAnsi="仿宋_GB2312" w:cs="仿宋_GB2312"/>
          <w:kern w:val="0"/>
          <w:sz w:val="32"/>
          <w:szCs w:val="32"/>
        </w:rPr>
      </w:pPr>
      <w:r>
        <w:rPr>
          <w:rFonts w:hint="eastAsia" w:ascii="仿宋_GB2312" w:hAnsi="仿宋_GB2312" w:cs="仿宋_GB2312"/>
          <w:kern w:val="0"/>
          <w:sz w:val="32"/>
          <w:szCs w:val="32"/>
        </w:rPr>
        <w:t>项目负责人（签章）：</w:t>
      </w:r>
      <w:r>
        <w:rPr>
          <w:rFonts w:hint="eastAsia"/>
          <w:sz w:val="32"/>
          <w:szCs w:val="32"/>
        </w:rPr>
        <w:t>田卫东</w:t>
      </w:r>
    </w:p>
    <w:p>
      <w:pPr>
        <w:ind w:firstLine="640" w:firstLineChars="200"/>
        <w:jc w:val="left"/>
        <w:outlineLvl w:val="0"/>
        <w:rPr>
          <w:rFonts w:hint="default" w:ascii="Times New Roman" w:hAnsi="Times New Roman" w:eastAsia="仿宋_GB2312" w:cs="Times New Roman"/>
          <w:color w:val="auto"/>
          <w:sz w:val="32"/>
          <w:szCs w:val="32"/>
          <w:lang w:val="en-US" w:eastAsia="zh-CN"/>
        </w:rPr>
      </w:pPr>
      <w:r>
        <w:rPr>
          <w:rFonts w:hint="eastAsia" w:ascii="仿宋_GB2312" w:hAnsi="仿宋_GB2312" w:cs="仿宋_GB2312"/>
          <w:kern w:val="0"/>
          <w:sz w:val="32"/>
          <w:szCs w:val="32"/>
        </w:rPr>
        <w:t>填报时间：</w:t>
      </w:r>
      <w:r>
        <w:rPr>
          <w:rFonts w:hint="eastAsia" w:ascii="仿宋_GB2312" w:hAnsi="仿宋_GB2312" w:cs="仿宋_GB2312"/>
          <w:kern w:val="0"/>
          <w:sz w:val="32"/>
          <w:szCs w:val="32"/>
          <w:lang w:val="en-US" w:eastAsia="zh-CN"/>
        </w:rPr>
        <w:t>2020年4月</w:t>
      </w:r>
    </w:p>
    <w:p>
      <w:pPr>
        <w:pStyle w:val="10"/>
        <w:rPr>
          <w:rFonts w:hint="default" w:ascii="Times New Roman" w:hAnsi="Times New Roman" w:cs="Times New Roman"/>
          <w:color w:val="auto"/>
          <w:sz w:val="32"/>
          <w:szCs w:val="32"/>
        </w:rPr>
      </w:pPr>
    </w:p>
    <w:p>
      <w:pPr>
        <w:pStyle w:val="11"/>
        <w:rPr>
          <w:rFonts w:hint="default" w:ascii="Times New Roman" w:hAnsi="Times New Roman" w:cs="Times New Roman"/>
          <w:color w:val="auto"/>
          <w:sz w:val="32"/>
          <w:szCs w:val="32"/>
        </w:rPr>
      </w:pPr>
    </w:p>
    <w:p>
      <w:pPr>
        <w:pStyle w:val="11"/>
        <w:rPr>
          <w:rFonts w:hint="default" w:ascii="Times New Roman" w:hAnsi="Times New Roman" w:cs="Times New Roman"/>
          <w:color w:val="auto"/>
          <w:sz w:val="32"/>
          <w:szCs w:val="32"/>
        </w:rPr>
      </w:pPr>
    </w:p>
    <w:p>
      <w:pPr>
        <w:pStyle w:val="11"/>
        <w:rPr>
          <w:rFonts w:hint="default" w:ascii="Times New Roman" w:hAnsi="Times New Roman" w:cs="Times New Roman"/>
          <w:color w:val="auto"/>
          <w:sz w:val="32"/>
          <w:szCs w:val="32"/>
        </w:rPr>
      </w:pPr>
    </w:p>
    <w:p>
      <w:pPr>
        <w:pStyle w:val="11"/>
        <w:rPr>
          <w:rFonts w:hint="default" w:ascii="Times New Roman" w:hAnsi="Times New Roman" w:cs="Times New Roman"/>
          <w:color w:val="auto"/>
          <w:sz w:val="32"/>
          <w:szCs w:val="32"/>
        </w:rPr>
      </w:pPr>
    </w:p>
    <w:p>
      <w:pPr>
        <w:pStyle w:val="11"/>
        <w:rPr>
          <w:rFonts w:hint="default" w:ascii="Times New Roman" w:hAnsi="Times New Roman" w:cs="Times New Roman"/>
          <w:color w:val="auto"/>
          <w:sz w:val="32"/>
          <w:szCs w:val="32"/>
        </w:rPr>
      </w:pPr>
    </w:p>
    <w:p>
      <w:pPr>
        <w:pStyle w:val="11"/>
        <w:rPr>
          <w:rFonts w:hint="default" w:ascii="Times New Roman" w:hAnsi="Times New Roman" w:cs="Times New Roman"/>
          <w:color w:val="auto"/>
          <w:sz w:val="32"/>
          <w:szCs w:val="32"/>
        </w:rPr>
      </w:pPr>
    </w:p>
    <w:p>
      <w:pPr>
        <w:pStyle w:val="11"/>
        <w:rPr>
          <w:rFonts w:hint="default" w:ascii="Times New Roman" w:hAnsi="Times New Roman" w:cs="Times New Roman"/>
          <w:color w:val="auto"/>
          <w:sz w:val="32"/>
          <w:szCs w:val="32"/>
        </w:rPr>
      </w:pPr>
    </w:p>
    <w:p>
      <w:pPr>
        <w:pStyle w:val="11"/>
        <w:rPr>
          <w:rFonts w:hint="default" w:ascii="Times New Roman" w:hAnsi="Times New Roman" w:cs="Times New Roman"/>
          <w:color w:val="auto"/>
          <w:sz w:val="32"/>
          <w:szCs w:val="32"/>
        </w:rPr>
      </w:pPr>
      <w:bookmarkStart w:id="1" w:name="_GoBack"/>
      <w:bookmarkEnd w:id="1"/>
    </w:p>
    <w:p>
      <w:pPr>
        <w:ind w:left="2326" w:leftChars="240" w:right="750" w:rightChars="250" w:hanging="1606" w:hangingChars="500"/>
        <w:outlineLvl w:val="0"/>
        <w:rPr>
          <w:rFonts w:hint="default" w:ascii="Times New Roman" w:hAnsi="Times New Roman" w:eastAsia="黑体" w:cs="Times New Roman"/>
          <w:color w:val="auto"/>
          <w:sz w:val="32"/>
          <w:szCs w:val="32"/>
        </w:rPr>
      </w:pPr>
      <w:r>
        <w:rPr>
          <w:rFonts w:hint="eastAsia" w:asciiTheme="minorEastAsia" w:hAnsiTheme="minorEastAsia" w:eastAsiaTheme="minorEastAsia" w:cstheme="minorEastAsia"/>
          <w:b/>
          <w:bCs/>
          <w:sz w:val="32"/>
          <w:szCs w:val="32"/>
        </w:rPr>
        <w:t>2018年第五批航线补贴资金项目</w:t>
      </w:r>
      <w:r>
        <w:rPr>
          <w:rFonts w:hint="eastAsia" w:asciiTheme="minorEastAsia" w:hAnsiTheme="minorEastAsia" w:eastAsiaTheme="minorEastAsia" w:cstheme="minorEastAsia"/>
          <w:b/>
          <w:bCs/>
          <w:color w:val="auto"/>
          <w:sz w:val="32"/>
          <w:szCs w:val="32"/>
        </w:rPr>
        <w:t>支出绩效评价报告</w:t>
      </w:r>
    </w:p>
    <w:p>
      <w:pPr>
        <w:pStyle w:val="10"/>
        <w:rPr>
          <w:rFonts w:hint="default"/>
        </w:rPr>
      </w:pPr>
    </w:p>
    <w:p>
      <w:pPr>
        <w:wordWrap/>
        <w:adjustRightInd/>
        <w:snapToGrid/>
        <w:spacing w:line="60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一、基本情况</w:t>
      </w:r>
    </w:p>
    <w:p>
      <w:pPr>
        <w:wordWrap/>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cs="Times New Roman"/>
          <w:color w:val="auto"/>
          <w:sz w:val="32"/>
          <w:szCs w:val="32"/>
        </w:rPr>
        <w:t>（一）项目概况。</w:t>
      </w:r>
      <w:r>
        <w:rPr>
          <w:rFonts w:hint="default" w:ascii="Times New Roman" w:hAnsi="Times New Roman" w:eastAsia="方正仿宋_GBK" w:cs="Times New Roman"/>
          <w:color w:val="auto"/>
          <w:sz w:val="32"/>
          <w:szCs w:val="32"/>
        </w:rPr>
        <w:t>2017年我州印发《自治州促进航空业发展实施意见》和《自治州培育航空市场专项补贴资金管理暂行办法》，根据《暂行办法》我州积极与各大航空公司进行洽谈，协商航线补贴情况，经2018年2月26日十届州党委财经领导小组第五次会议研究“同意对航空公司加密国内航线、新增内地航线、发展通用航空、新增货运航线给予适当补贴”。</w:t>
      </w:r>
      <w:r>
        <w:rPr>
          <w:rFonts w:hint="default" w:ascii="Times New Roman" w:hAnsi="Times New Roman" w:eastAsia="方正仿宋_GBK" w:cs="Times New Roman"/>
          <w:color w:val="auto"/>
          <w:sz w:val="32"/>
          <w:szCs w:val="32"/>
          <w:lang w:val="en-US" w:eastAsia="zh-CN"/>
        </w:rPr>
        <w:t>2018年</w:t>
      </w:r>
      <w:r>
        <w:rPr>
          <w:rFonts w:hint="default" w:ascii="Times New Roman" w:hAnsi="Times New Roman" w:eastAsia="方正仿宋_GBK" w:cs="Times New Roman"/>
          <w:color w:val="auto"/>
          <w:sz w:val="32"/>
          <w:szCs w:val="32"/>
        </w:rPr>
        <w:t>我州陆续与各航空公司签订补贴协议，对疆内外航线</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隔夜中转</w:t>
      </w:r>
      <w:r>
        <w:rPr>
          <w:rFonts w:hint="default" w:ascii="Times New Roman" w:hAnsi="Times New Roman" w:eastAsia="方正仿宋_GBK" w:cs="Times New Roman"/>
          <w:color w:val="auto"/>
          <w:sz w:val="32"/>
          <w:szCs w:val="32"/>
        </w:rPr>
        <w:t>进行补贴。具体补贴方式，采取一事一议，协商确定。由州发改委负责新开辟和加密航线（通用航空航线）补贴协议、</w:t>
      </w:r>
      <w:r>
        <w:rPr>
          <w:rFonts w:hint="default" w:ascii="Times New Roman" w:hAnsi="Times New Roman" w:eastAsia="方正仿宋_GBK" w:cs="Times New Roman"/>
          <w:color w:val="auto"/>
          <w:sz w:val="32"/>
          <w:szCs w:val="32"/>
          <w:lang w:val="en-US" w:eastAsia="zh-CN"/>
        </w:rPr>
        <w:t>隔夜中转</w:t>
      </w:r>
      <w:r>
        <w:rPr>
          <w:rFonts w:hint="default" w:ascii="Times New Roman" w:hAnsi="Times New Roman" w:eastAsia="方正仿宋_GBK" w:cs="Times New Roman"/>
          <w:color w:val="auto"/>
          <w:sz w:val="32"/>
          <w:szCs w:val="32"/>
        </w:rPr>
        <w:t>协议的</w:t>
      </w:r>
      <w:r>
        <w:rPr>
          <w:rFonts w:hint="default" w:ascii="Times New Roman" w:hAnsi="Times New Roman" w:eastAsia="方正仿宋_GBK" w:cs="Times New Roman"/>
          <w:color w:val="auto"/>
          <w:sz w:val="32"/>
          <w:szCs w:val="32"/>
          <w:lang w:val="en-US" w:eastAsia="zh-CN"/>
        </w:rPr>
        <w:t>起草、</w:t>
      </w:r>
      <w:r>
        <w:rPr>
          <w:rFonts w:hint="default" w:ascii="Times New Roman" w:hAnsi="Times New Roman" w:eastAsia="方正仿宋_GBK" w:cs="Times New Roman"/>
          <w:color w:val="auto"/>
          <w:sz w:val="32"/>
          <w:szCs w:val="32"/>
        </w:rPr>
        <w:t>签订和航空企业享受航线补贴的相关资料审核；州财政局负责补贴资金的筹措管理和拨付；库尔勒机场负责</w:t>
      </w:r>
      <w:r>
        <w:rPr>
          <w:rFonts w:hint="default" w:ascii="Times New Roman" w:hAnsi="Times New Roman" w:eastAsia="方正仿宋_GBK" w:cs="Times New Roman"/>
          <w:color w:val="auto"/>
          <w:sz w:val="32"/>
          <w:szCs w:val="32"/>
          <w:lang w:val="en-US" w:eastAsia="zh-CN"/>
        </w:rPr>
        <w:t>隔夜中转</w:t>
      </w:r>
      <w:r>
        <w:rPr>
          <w:rFonts w:hint="default" w:ascii="Times New Roman" w:hAnsi="Times New Roman" w:eastAsia="方正仿宋_GBK" w:cs="Times New Roman"/>
          <w:color w:val="auto"/>
          <w:sz w:val="32"/>
          <w:szCs w:val="32"/>
        </w:rPr>
        <w:t>补贴方案的拟定和实施。根据补贴协议，</w:t>
      </w:r>
      <w:r>
        <w:rPr>
          <w:rFonts w:hint="default" w:ascii="Times New Roman" w:hAnsi="Times New Roman" w:eastAsia="方正仿宋_GBK" w:cs="Times New Roman"/>
          <w:color w:val="auto"/>
          <w:sz w:val="32"/>
          <w:szCs w:val="32"/>
          <w:lang w:val="en-US" w:eastAsia="zh-CN"/>
        </w:rPr>
        <w:t>州发改委</w:t>
      </w:r>
      <w:r>
        <w:rPr>
          <w:rFonts w:hint="default" w:ascii="Times New Roman" w:hAnsi="Times New Roman" w:eastAsia="方正仿宋_GBK" w:cs="Times New Roman"/>
          <w:color w:val="auto"/>
          <w:sz w:val="32"/>
          <w:szCs w:val="32"/>
        </w:rPr>
        <w:t>会同库尔勒机场对2018年</w:t>
      </w:r>
      <w:r>
        <w:rPr>
          <w:rFonts w:hint="default" w:ascii="Times New Roman" w:hAnsi="Times New Roman" w:eastAsia="方正仿宋_GBK" w:cs="Times New Roman"/>
          <w:color w:val="auto"/>
          <w:sz w:val="32"/>
          <w:szCs w:val="32"/>
          <w:lang w:val="en-US" w:eastAsia="zh-CN"/>
        </w:rPr>
        <w:t>第五批</w:t>
      </w:r>
      <w:r>
        <w:rPr>
          <w:rFonts w:hint="default" w:ascii="Times New Roman" w:hAnsi="Times New Roman" w:eastAsia="方正仿宋_GBK" w:cs="Times New Roman"/>
          <w:color w:val="auto"/>
          <w:sz w:val="32"/>
          <w:szCs w:val="32"/>
        </w:rPr>
        <w:t>申请航线补贴认真细致审核，本次</w:t>
      </w:r>
      <w:r>
        <w:rPr>
          <w:rFonts w:hint="default" w:ascii="Times New Roman" w:hAnsi="Times New Roman" w:eastAsia="方正仿宋_GBK" w:cs="Times New Roman"/>
          <w:color w:val="auto"/>
          <w:sz w:val="32"/>
          <w:szCs w:val="32"/>
          <w:lang w:val="en-US" w:eastAsia="zh-CN"/>
        </w:rPr>
        <w:t>审核拨付</w:t>
      </w:r>
      <w:r>
        <w:rPr>
          <w:rFonts w:hint="default" w:ascii="Times New Roman" w:hAnsi="Times New Roman" w:eastAsia="方正仿宋_GBK" w:cs="Times New Roman"/>
          <w:color w:val="auto"/>
          <w:sz w:val="32"/>
          <w:szCs w:val="32"/>
        </w:rPr>
        <w:t>补贴资金合计2170.211万元</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华夏航空</w:t>
      </w:r>
      <w:r>
        <w:rPr>
          <w:rFonts w:hint="default" w:ascii="Times New Roman" w:hAnsi="Times New Roman" w:eastAsia="方正仿宋_GBK" w:cs="Times New Roman"/>
          <w:color w:val="auto"/>
          <w:sz w:val="32"/>
          <w:szCs w:val="32"/>
        </w:rPr>
        <w:t>拨付</w:t>
      </w:r>
      <w:r>
        <w:rPr>
          <w:rFonts w:hint="default" w:ascii="Times New Roman" w:hAnsi="Times New Roman" w:eastAsia="方正仿宋_GBK" w:cs="Times New Roman"/>
          <w:color w:val="auto"/>
          <w:sz w:val="32"/>
          <w:szCs w:val="32"/>
          <w:lang w:val="en-US" w:eastAsia="zh-CN"/>
        </w:rPr>
        <w:t>疆内12月航线</w:t>
      </w:r>
      <w:r>
        <w:rPr>
          <w:rFonts w:hint="default" w:ascii="Times New Roman" w:hAnsi="Times New Roman" w:eastAsia="方正仿宋_GBK" w:cs="Times New Roman"/>
          <w:color w:val="auto"/>
          <w:sz w:val="32"/>
          <w:szCs w:val="32"/>
        </w:rPr>
        <w:t>补贴资金231.625万元。</w:t>
      </w:r>
      <w:r>
        <w:rPr>
          <w:rFonts w:hint="default" w:ascii="Times New Roman" w:hAnsi="Times New Roman" w:eastAsia="方正仿宋_GBK" w:cs="Times New Roman"/>
          <w:color w:val="auto"/>
          <w:sz w:val="32"/>
          <w:szCs w:val="32"/>
          <w:lang w:val="en-US" w:eastAsia="zh-CN"/>
        </w:rPr>
        <w:t>拨付</w:t>
      </w:r>
      <w:r>
        <w:rPr>
          <w:rFonts w:hint="default" w:ascii="Times New Roman" w:hAnsi="Times New Roman" w:eastAsia="方正仿宋_GBK" w:cs="Times New Roman"/>
          <w:color w:val="auto"/>
          <w:sz w:val="32"/>
          <w:szCs w:val="32"/>
        </w:rPr>
        <w:t>库尔勒-兰州-杭州航线2018年度（2017年10月29日至2018年10月28日）补贴资金1700万元，2019年度（2018年10月29日至2019年10月28日）</w:t>
      </w:r>
      <w:r>
        <w:rPr>
          <w:rFonts w:hint="default" w:ascii="Times New Roman" w:hAnsi="Times New Roman" w:eastAsia="方正仿宋_GBK" w:cs="Times New Roman"/>
          <w:color w:val="auto"/>
          <w:sz w:val="32"/>
          <w:szCs w:val="32"/>
          <w:lang w:val="en-US" w:eastAsia="zh-CN"/>
        </w:rPr>
        <w:t>2018年10-12月</w:t>
      </w:r>
      <w:r>
        <w:rPr>
          <w:rFonts w:hint="default" w:ascii="Times New Roman" w:hAnsi="Times New Roman" w:eastAsia="方正仿宋_GBK" w:cs="Times New Roman"/>
          <w:color w:val="auto"/>
          <w:sz w:val="32"/>
          <w:szCs w:val="32"/>
        </w:rPr>
        <w:t>补贴资金234万元，共计1934万元。</w:t>
      </w:r>
      <w:r>
        <w:rPr>
          <w:rFonts w:hint="default" w:ascii="Times New Roman" w:hAnsi="Times New Roman" w:eastAsia="方正仿宋_GBK" w:cs="Times New Roman"/>
          <w:color w:val="auto"/>
          <w:sz w:val="32"/>
          <w:szCs w:val="32"/>
          <w:lang w:val="en-US" w:eastAsia="zh-CN"/>
        </w:rPr>
        <w:t>拨付</w:t>
      </w:r>
      <w:r>
        <w:rPr>
          <w:rFonts w:hint="default" w:ascii="Times New Roman" w:hAnsi="Times New Roman" w:eastAsia="方正仿宋_GBK" w:cs="Times New Roman"/>
          <w:color w:val="auto"/>
          <w:sz w:val="32"/>
          <w:szCs w:val="32"/>
        </w:rPr>
        <w:t>2018年10-12月，</w:t>
      </w:r>
      <w:r>
        <w:rPr>
          <w:rFonts w:hint="default" w:ascii="Times New Roman" w:hAnsi="Times New Roman" w:eastAsia="方正仿宋_GBK" w:cs="Times New Roman"/>
          <w:color w:val="auto"/>
          <w:sz w:val="32"/>
          <w:szCs w:val="32"/>
          <w:lang w:val="en-US" w:eastAsia="zh-CN"/>
        </w:rPr>
        <w:t>隔夜中转补贴</w:t>
      </w:r>
      <w:r>
        <w:rPr>
          <w:rFonts w:hint="default" w:ascii="Times New Roman" w:hAnsi="Times New Roman" w:eastAsia="方正仿宋_GBK" w:cs="Times New Roman"/>
          <w:color w:val="auto"/>
          <w:sz w:val="32"/>
          <w:szCs w:val="32"/>
        </w:rPr>
        <w:t>共计45860元。</w:t>
      </w:r>
    </w:p>
    <w:p>
      <w:pPr>
        <w:wordWrap/>
        <w:adjustRightInd/>
        <w:snapToGrid/>
        <w:spacing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（二）项目绩效目标。包括总体目标和阶段性目标。</w:t>
      </w:r>
    </w:p>
    <w:p>
      <w:pPr>
        <w:wordWrap/>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总体目标：改善南疆出行条件、助推脱贫攻坚、促进各民族交往交流交融，实现新疆社会稳定和长治久安总目标。</w:t>
      </w:r>
    </w:p>
    <w:p>
      <w:pPr>
        <w:wordWrap/>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阶段目标：2018年库尔勒机场旅客吞吐量</w:t>
      </w:r>
      <w:r>
        <w:rPr>
          <w:rFonts w:hint="default" w:ascii="Times New Roman" w:hAnsi="Times New Roman" w:eastAsia="方正仿宋_GBK" w:cs="Times New Roman"/>
          <w:color w:val="auto"/>
          <w:sz w:val="32"/>
          <w:szCs w:val="32"/>
        </w:rPr>
        <w:t>2018年库尔勒机场旅客吞吐量17</w:t>
      </w:r>
      <w:r>
        <w:rPr>
          <w:rFonts w:hint="default"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万人次</w:t>
      </w:r>
      <w:r>
        <w:rPr>
          <w:rFonts w:hint="default" w:ascii="Times New Roman" w:hAnsi="Times New Roman" w:eastAsia="方正仿宋_GBK" w:cs="Times New Roman"/>
          <w:color w:val="auto"/>
          <w:sz w:val="32"/>
          <w:szCs w:val="32"/>
          <w:lang w:val="en-US" w:eastAsia="zh-CN"/>
        </w:rPr>
        <w:t>以上</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val="en-US" w:eastAsia="zh-CN"/>
        </w:rPr>
        <w:t>持续</w:t>
      </w:r>
      <w:r>
        <w:rPr>
          <w:rFonts w:hint="default" w:ascii="Times New Roman" w:hAnsi="Times New Roman" w:eastAsia="方正仿宋_GBK" w:cs="Times New Roman"/>
          <w:color w:val="auto"/>
          <w:sz w:val="32"/>
          <w:szCs w:val="32"/>
        </w:rPr>
        <w:t>增长</w:t>
      </w:r>
      <w:r>
        <w:rPr>
          <w:rFonts w:hint="default" w:ascii="Times New Roman" w:hAnsi="Times New Roman" w:eastAsia="方正仿宋_GBK" w:cs="Times New Roman"/>
          <w:color w:val="auto"/>
          <w:sz w:val="32"/>
          <w:szCs w:val="32"/>
          <w:lang w:val="en-US" w:eastAsia="zh-CN"/>
        </w:rPr>
        <w:t>30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val="en-US" w:eastAsia="zh-CN"/>
        </w:rPr>
        <w:t>以上</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val="en-US" w:eastAsia="zh-CN"/>
        </w:rPr>
        <w:t>开通疆内航线10条以上；开通疆内航线1条以上；</w:t>
      </w:r>
    </w:p>
    <w:p>
      <w:pPr>
        <w:wordWrap/>
        <w:adjustRightInd/>
        <w:snapToGrid/>
        <w:spacing w:line="60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二、绩效评价工作开展情况</w:t>
      </w:r>
    </w:p>
    <w:p>
      <w:pPr>
        <w:wordWrap/>
        <w:adjustRightInd/>
        <w:snapToGrid/>
        <w:spacing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（一）绩效评价目的、对象和范围。</w:t>
      </w:r>
    </w:p>
    <w:p>
      <w:pPr>
        <w:wordWrap/>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目的：</w:t>
      </w:r>
      <w:r>
        <w:rPr>
          <w:rFonts w:hint="default" w:ascii="Times New Roman" w:hAnsi="Times New Roman" w:eastAsia="方正仿宋_GBK" w:cs="Times New Roman"/>
          <w:color w:val="auto"/>
          <w:sz w:val="32"/>
          <w:szCs w:val="32"/>
        </w:rPr>
        <w:t>通过项目绩效评价，进一步加强和规范自治州培育航空市场补贴项目资金管理工作，加强项目资金支出的规范性和合理性，发挥公共财政资金对巴州航空运输的促进和推动作用，提高财政资金使用效益和政府管理职能；库尔勒机场航线的不断增加，巴州农副产品的销售渠道将进一步拓宽，也将极大的改善巴州旅游交通服务质量和效益，为巴州临空经济区建设创造了基础条件。</w:t>
      </w:r>
    </w:p>
    <w:p>
      <w:pPr>
        <w:wordWrap/>
        <w:adjustRightInd/>
        <w:snapToGrid/>
        <w:spacing w:line="60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cs="Times New Roman"/>
          <w:color w:val="auto"/>
          <w:sz w:val="32"/>
          <w:szCs w:val="32"/>
          <w:lang w:val="en-US" w:eastAsia="zh-CN"/>
        </w:rPr>
        <w:t>对象和范围：</w:t>
      </w:r>
      <w:r>
        <w:rPr>
          <w:rFonts w:hint="eastAsia" w:ascii="Times New Roman" w:hAnsi="Times New Roman" w:cs="Times New Roman"/>
          <w:color w:val="auto"/>
          <w:sz w:val="32"/>
          <w:szCs w:val="32"/>
        </w:rPr>
        <w:t>2018年第五批航线补贴资金</w:t>
      </w:r>
    </w:p>
    <w:p>
      <w:pPr>
        <w:wordWrap/>
        <w:adjustRightInd/>
        <w:snapToGrid/>
        <w:spacing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（二）绩效评价原则、评价指标体系（附表说明）、评价方法、评价标准等。</w:t>
      </w:r>
    </w:p>
    <w:p>
      <w:pPr>
        <w:wordWrap/>
        <w:adjustRightInd/>
        <w:snapToGrid/>
        <w:spacing w:line="600" w:lineRule="exact"/>
        <w:ind w:firstLine="627" w:firstLineChars="200"/>
        <w:textAlignment w:val="auto"/>
        <w:rPr>
          <w:rFonts w:hint="default" w:ascii="Times New Roman" w:hAnsi="Times New Roman" w:eastAsia="方正仿宋_GBK" w:cs="Times New Roman"/>
          <w:b w:val="0"/>
          <w:bCs/>
          <w:color w:val="auto"/>
          <w:sz w:val="32"/>
          <w:szCs w:val="32"/>
        </w:rPr>
      </w:pPr>
      <w:bookmarkStart w:id="0" w:name="_Toc22215289"/>
      <w:r>
        <w:rPr>
          <w:rStyle w:val="9"/>
          <w:rFonts w:hint="default" w:ascii="Times New Roman" w:hAnsi="Times New Roman" w:eastAsia="方正仿宋_GBK" w:cs="Times New Roman"/>
          <w:bCs w:val="0"/>
          <w:color w:val="auto"/>
          <w:spacing w:val="-4"/>
          <w:sz w:val="32"/>
          <w:szCs w:val="32"/>
          <w:lang w:val="en-US" w:eastAsia="zh-CN"/>
        </w:rPr>
        <w:t>评价原则：</w:t>
      </w:r>
      <w:r>
        <w:rPr>
          <w:rStyle w:val="9"/>
          <w:rFonts w:hint="default" w:ascii="Times New Roman" w:hAnsi="Times New Roman" w:eastAsia="方正仿宋_GBK" w:cs="Times New Roman"/>
          <w:b w:val="0"/>
          <w:bCs/>
          <w:color w:val="auto"/>
          <w:spacing w:val="-4"/>
          <w:sz w:val="32"/>
          <w:szCs w:val="32"/>
        </w:rPr>
        <w:t>1.科学规范原则。</w:t>
      </w:r>
      <w:r>
        <w:rPr>
          <w:rFonts w:hint="default" w:ascii="Times New Roman" w:hAnsi="Times New Roman" w:eastAsia="方正仿宋_GBK" w:cs="Times New Roman"/>
          <w:b w:val="0"/>
          <w:bCs/>
          <w:color w:val="auto"/>
          <w:sz w:val="32"/>
          <w:szCs w:val="32"/>
        </w:rPr>
        <w:t>绩效评价应当严格执行规定的程序，按照科学可行的要求，采用定量与定性分析相结合的方法。</w:t>
      </w:r>
      <w:r>
        <w:rPr>
          <w:rStyle w:val="9"/>
          <w:rFonts w:hint="default" w:ascii="Times New Roman" w:hAnsi="Times New Roman" w:eastAsia="方正仿宋_GBK" w:cs="Times New Roman"/>
          <w:b w:val="0"/>
          <w:bCs/>
          <w:color w:val="auto"/>
          <w:spacing w:val="-4"/>
          <w:sz w:val="32"/>
          <w:szCs w:val="32"/>
        </w:rPr>
        <w:t>2.公正公开原则。</w:t>
      </w:r>
      <w:r>
        <w:rPr>
          <w:rFonts w:hint="default" w:ascii="Times New Roman" w:hAnsi="Times New Roman" w:eastAsia="方正仿宋_GBK" w:cs="Times New Roman"/>
          <w:b w:val="0"/>
          <w:bCs/>
          <w:color w:val="auto"/>
          <w:sz w:val="32"/>
          <w:szCs w:val="32"/>
        </w:rPr>
        <w:t>绩效评价应当符合真实、客观、公正的要求，依法公开并接受监督。</w:t>
      </w:r>
      <w:r>
        <w:rPr>
          <w:rStyle w:val="9"/>
          <w:rFonts w:hint="default" w:ascii="Times New Roman" w:hAnsi="Times New Roman" w:eastAsia="方正仿宋_GBK" w:cs="Times New Roman"/>
          <w:b w:val="0"/>
          <w:bCs/>
          <w:color w:val="auto"/>
          <w:spacing w:val="-4"/>
          <w:sz w:val="32"/>
          <w:szCs w:val="32"/>
        </w:rPr>
        <w:t>3.绩效相关原则。</w:t>
      </w:r>
      <w:r>
        <w:rPr>
          <w:rFonts w:hint="default" w:ascii="Times New Roman" w:hAnsi="Times New Roman" w:eastAsia="方正仿宋_GBK" w:cs="Times New Roman"/>
          <w:b w:val="0"/>
          <w:bCs/>
          <w:color w:val="auto"/>
          <w:sz w:val="32"/>
          <w:szCs w:val="32"/>
        </w:rPr>
        <w:t>绩效评价应当针对具体支出及其产出绩效进行，评价结果应当清晰反映支出和产出绩效之间的紧密对应关系。</w:t>
      </w:r>
      <w:bookmarkEnd w:id="0"/>
    </w:p>
    <w:p>
      <w:pPr>
        <w:wordWrap/>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评价方法：</w:t>
      </w:r>
      <w:r>
        <w:rPr>
          <w:rFonts w:hint="default" w:ascii="Times New Roman" w:hAnsi="Times New Roman" w:eastAsia="方正仿宋_GBK" w:cs="Times New Roman"/>
          <w:color w:val="auto"/>
          <w:sz w:val="32"/>
          <w:szCs w:val="32"/>
        </w:rPr>
        <w:t>本项目绩效评价采用定量与定性相结合、项目实施单位自评与</w:t>
      </w:r>
      <w:r>
        <w:rPr>
          <w:rFonts w:hint="default" w:ascii="Times New Roman" w:hAnsi="Times New Roman" w:eastAsia="方正仿宋_GBK" w:cs="Times New Roman"/>
          <w:color w:val="auto"/>
          <w:sz w:val="32"/>
          <w:szCs w:val="32"/>
          <w:lang w:val="en-US" w:eastAsia="zh-CN"/>
        </w:rPr>
        <w:t>航空公司</w:t>
      </w:r>
      <w:r>
        <w:rPr>
          <w:rFonts w:hint="default" w:ascii="Times New Roman" w:hAnsi="Times New Roman" w:eastAsia="方正仿宋_GBK" w:cs="Times New Roman"/>
          <w:color w:val="auto"/>
          <w:sz w:val="32"/>
          <w:szCs w:val="32"/>
        </w:rPr>
        <w:t>评价相结合，综合运用成本效益法、比较法和公众评判等方法依据 《2018年自治州培育航空市场补贴专项资金项目绩效评价指标体系》进行评价。</w:t>
      </w:r>
    </w:p>
    <w:p>
      <w:pPr>
        <w:wordWrap/>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cs="Times New Roman"/>
          <w:color w:val="auto"/>
          <w:sz w:val="32"/>
          <w:szCs w:val="32"/>
          <w:lang w:val="en-US" w:eastAsia="zh-CN"/>
        </w:rPr>
        <w:t>评价标准：</w:t>
      </w:r>
      <w:r>
        <w:rPr>
          <w:rFonts w:hint="default" w:ascii="Times New Roman" w:hAnsi="Times New Roman" w:eastAsia="方正仿宋_GBK" w:cs="Times New Roman"/>
          <w:color w:val="auto"/>
          <w:sz w:val="32"/>
          <w:szCs w:val="32"/>
        </w:rPr>
        <w:t>《自治州促进航空业发展实施意见》和《自治州培育航空市场专项补贴资金管理暂行办法》</w:t>
      </w:r>
    </w:p>
    <w:p>
      <w:pPr>
        <w:wordWrap/>
        <w:adjustRightInd/>
        <w:snapToGrid/>
        <w:spacing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（三）绩效评价工作过程。</w:t>
      </w:r>
    </w:p>
    <w:p>
      <w:pPr>
        <w:wordWrap/>
        <w:adjustRightInd/>
        <w:snapToGrid/>
        <w:spacing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eastAsia="方正仿宋_GBK" w:cs="Times New Roman"/>
          <w:color w:val="auto"/>
          <w:sz w:val="32"/>
          <w:szCs w:val="32"/>
        </w:rPr>
        <w:t>按照绩效评价规范要求，对所有资料进行核实、验证。通过案卷研究、实地调研、集中座谈、随机抽样等方式，对被评价项目的相关资料信息进行收集、整理、分析，以评价该项目在项目决策、项目管理上是否依法依规，在项目绩效方面是否高效可持续。</w:t>
      </w:r>
    </w:p>
    <w:p>
      <w:pPr>
        <w:numPr>
          <w:ilvl w:val="0"/>
          <w:numId w:val="1"/>
        </w:numPr>
        <w:wordWrap/>
        <w:adjustRightInd/>
        <w:snapToGrid/>
        <w:spacing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eastAsia="黑体" w:cs="Times New Roman"/>
          <w:color w:val="auto"/>
          <w:sz w:val="32"/>
          <w:szCs w:val="32"/>
        </w:rPr>
        <w:t>综合评价情况及评价结论</w:t>
      </w:r>
      <w:r>
        <w:rPr>
          <w:rFonts w:hint="default" w:ascii="Times New Roman" w:hAnsi="Times New Roman" w:cs="Times New Roman"/>
          <w:color w:val="auto"/>
          <w:sz w:val="32"/>
          <w:szCs w:val="32"/>
        </w:rPr>
        <w:t>（附相关评分表）</w:t>
      </w:r>
    </w:p>
    <w:p>
      <w:pPr>
        <w:ind w:right="750" w:rightChars="250"/>
        <w:outlineLvl w:val="0"/>
        <w:rPr>
          <w:rFonts w:ascii="仿宋_GB2312" w:hAnsi="仿宋_GB2312" w:cs="仿宋_GB2312"/>
          <w:bCs/>
          <w:sz w:val="31"/>
          <w:szCs w:val="31"/>
          <w:highlight w:val="none"/>
        </w:rPr>
      </w:pPr>
      <w:r>
        <w:rPr>
          <w:rFonts w:hint="eastAsia"/>
          <w:sz w:val="32"/>
          <w:szCs w:val="32"/>
          <w:lang w:val="en-US" w:eastAsia="zh-CN"/>
        </w:rPr>
        <w:t xml:space="preserve">   </w:t>
      </w:r>
      <w:r>
        <w:rPr>
          <w:rFonts w:hint="eastAsia"/>
          <w:sz w:val="32"/>
          <w:szCs w:val="32"/>
          <w:highlight w:val="none"/>
          <w:lang w:val="en-US" w:eastAsia="zh-CN"/>
        </w:rPr>
        <w:t xml:space="preserve"> </w:t>
      </w:r>
      <w:r>
        <w:rPr>
          <w:rFonts w:hint="eastAsia"/>
          <w:sz w:val="32"/>
          <w:szCs w:val="32"/>
          <w:highlight w:val="none"/>
        </w:rPr>
        <w:t>2018年第五批航线补贴资金项目</w:t>
      </w:r>
      <w:r>
        <w:rPr>
          <w:rFonts w:hint="eastAsia" w:ascii="仿宋_GB2312" w:hAnsi="仿宋_GB2312" w:cs="仿宋_GB2312"/>
          <w:szCs w:val="30"/>
          <w:highlight w:val="none"/>
        </w:rPr>
        <w:t>综合评价情况：</w:t>
      </w:r>
      <w:r>
        <w:rPr>
          <w:rFonts w:hint="eastAsia"/>
          <w:sz w:val="32"/>
          <w:szCs w:val="32"/>
          <w:highlight w:val="none"/>
        </w:rPr>
        <w:t>2018年第五批航线补贴资金项目</w:t>
      </w:r>
      <w:r>
        <w:rPr>
          <w:rFonts w:hint="eastAsia" w:ascii="仿宋_GB2312" w:hAnsi="仿宋_GB2312" w:cs="仿宋_GB2312"/>
          <w:szCs w:val="30"/>
          <w:highlight w:val="none"/>
        </w:rPr>
        <w:t>预算资金</w:t>
      </w:r>
      <w:r>
        <w:rPr>
          <w:rFonts w:hint="eastAsia"/>
          <w:highlight w:val="none"/>
        </w:rPr>
        <w:t>2170.21</w:t>
      </w:r>
      <w:r>
        <w:rPr>
          <w:rFonts w:hint="eastAsia" w:ascii="仿宋_GB2312" w:hAnsi="仿宋_GB2312" w:cs="仿宋_GB2312"/>
          <w:szCs w:val="30"/>
          <w:highlight w:val="none"/>
        </w:rPr>
        <w:t>万元，实际执行</w:t>
      </w:r>
      <w:r>
        <w:rPr>
          <w:rFonts w:hint="eastAsia"/>
          <w:highlight w:val="none"/>
        </w:rPr>
        <w:t>2170.21</w:t>
      </w:r>
      <w:r>
        <w:rPr>
          <w:rFonts w:hint="eastAsia" w:ascii="仿宋_GB2312" w:hAnsi="仿宋_GB2312" w:cs="仿宋_GB2312"/>
          <w:szCs w:val="30"/>
          <w:highlight w:val="none"/>
        </w:rPr>
        <w:t>万元。</w:t>
      </w:r>
      <w:r>
        <w:rPr>
          <w:rFonts w:hint="eastAsia"/>
          <w:highlight w:val="none"/>
        </w:rPr>
        <w:t>改善南疆出行条件，助推脱贫攻坚，促进各民族交往交流交融，实现新疆社会稳定和长治久安总目标。</w:t>
      </w:r>
      <w:r>
        <w:rPr>
          <w:rFonts w:hint="eastAsia"/>
          <w:sz w:val="32"/>
          <w:szCs w:val="32"/>
          <w:highlight w:val="none"/>
        </w:rPr>
        <w:t>2018年第五批航线补贴资金项目</w:t>
      </w:r>
      <w:r>
        <w:rPr>
          <w:rFonts w:hint="eastAsia" w:ascii="仿宋_GB2312" w:hAnsi="仿宋_GB2312" w:cs="仿宋_GB2312"/>
          <w:bCs/>
          <w:sz w:val="31"/>
          <w:szCs w:val="31"/>
          <w:highlight w:val="none"/>
        </w:rPr>
        <w:t>支出绩效评价得分9</w:t>
      </w:r>
      <w:r>
        <w:rPr>
          <w:rFonts w:hint="eastAsia" w:ascii="仿宋_GB2312" w:hAnsi="仿宋_GB2312" w:cs="仿宋_GB2312"/>
          <w:bCs/>
          <w:sz w:val="31"/>
          <w:szCs w:val="31"/>
          <w:highlight w:val="none"/>
          <w:lang w:val="en-US" w:eastAsia="zh-CN"/>
        </w:rPr>
        <w:t>6</w:t>
      </w:r>
      <w:r>
        <w:rPr>
          <w:rFonts w:hint="eastAsia" w:ascii="仿宋_GB2312" w:hAnsi="仿宋_GB2312" w:cs="仿宋_GB2312"/>
          <w:bCs/>
          <w:sz w:val="31"/>
          <w:szCs w:val="31"/>
          <w:highlight w:val="none"/>
        </w:rPr>
        <w:t>分，评价结果为优秀。</w:t>
      </w:r>
    </w:p>
    <w:p>
      <w:pPr>
        <w:wordWrap/>
        <w:adjustRightInd/>
        <w:snapToGrid/>
        <w:spacing w:line="60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四、绩效评价指标分析</w:t>
      </w:r>
    </w:p>
    <w:p>
      <w:pPr>
        <w:wordWrap/>
        <w:adjustRightInd/>
        <w:snapToGrid/>
        <w:spacing w:line="600" w:lineRule="exact"/>
        <w:ind w:firstLine="640" w:firstLineChars="200"/>
        <w:textAlignment w:val="auto"/>
        <w:outlineLvl w:val="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（一）项目决策情况。</w:t>
      </w:r>
    </w:p>
    <w:p>
      <w:pPr>
        <w:wordWrap/>
        <w:adjustRightInd/>
        <w:snapToGrid/>
        <w:spacing w:line="600" w:lineRule="exact"/>
        <w:ind w:firstLine="640" w:firstLineChars="200"/>
        <w:textAlignment w:val="auto"/>
        <w:rPr>
          <w:rFonts w:hint="default" w:ascii="Times New Roman" w:hAnsi="Times New Roman" w:eastAsia="方正仿宋_GBK" w:cs="Times New Roman"/>
          <w:color w:val="auto"/>
          <w:kern w:val="2"/>
          <w:sz w:val="32"/>
          <w:szCs w:val="32"/>
          <w:lang w:val="en-US" w:eastAsia="zh-CN" w:bidi="ar-SA"/>
        </w:rPr>
      </w:pPr>
      <w:r>
        <w:rPr>
          <w:rFonts w:hint="eastAsia" w:ascii="Times New Roman" w:hAnsi="Times New Roman" w:eastAsia="方正仿宋_GBK" w:cs="Times New Roman"/>
          <w:color w:val="auto"/>
          <w:kern w:val="2"/>
          <w:sz w:val="32"/>
          <w:szCs w:val="32"/>
          <w:lang w:val="en-US" w:eastAsia="zh-CN" w:bidi="ar-SA"/>
        </w:rPr>
        <w:t xml:space="preserve">根据《关于自治区民航支线航线补贴的通知》（新政办发〔2017〕130号）精神，为培育我州航空市场发展，促进当地经济社会发展， </w:t>
      </w:r>
      <w:r>
        <w:rPr>
          <w:rFonts w:hint="default" w:ascii="Times New Roman" w:hAnsi="Times New Roman" w:eastAsia="方正仿宋_GBK" w:cs="Times New Roman"/>
          <w:color w:val="auto"/>
          <w:kern w:val="2"/>
          <w:sz w:val="32"/>
          <w:szCs w:val="32"/>
          <w:lang w:val="en-US" w:eastAsia="zh-CN" w:bidi="ar-SA"/>
        </w:rPr>
        <w:t>2017年我州印发《自治州促进航空业发展实施意见》和《自治州培育航空市场专项补贴资金管理暂行办法》，根据《暂行办法》我州积极与各大航空公司进行洽谈，协商航线补贴情况，经2018年2月26日十届州党委财经领导小组第五次会议研究“同意对航空公司加密国内航线、新增内地航线、发展通用航空、新增货运航线给予适当补贴”。</w:t>
      </w:r>
    </w:p>
    <w:p>
      <w:pPr>
        <w:numPr>
          <w:ilvl w:val="0"/>
          <w:numId w:val="2"/>
        </w:numPr>
        <w:wordWrap/>
        <w:adjustRightInd/>
        <w:snapToGrid/>
        <w:spacing w:line="600" w:lineRule="exact"/>
        <w:ind w:firstLine="640" w:firstLineChars="200"/>
        <w:textAlignment w:val="auto"/>
        <w:outlineLvl w:val="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项目过程情况。</w:t>
      </w:r>
    </w:p>
    <w:p>
      <w:pPr>
        <w:pStyle w:val="10"/>
        <w:numPr>
          <w:ilvl w:val="0"/>
          <w:numId w:val="0"/>
        </w:numPr>
        <w:wordWrap/>
        <w:adjustRightInd/>
        <w:snapToGrid/>
        <w:spacing w:after="0"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eastAsia="方正仿宋_GBK" w:cs="Times New Roman"/>
          <w:color w:val="auto"/>
          <w:sz w:val="32"/>
          <w:szCs w:val="32"/>
        </w:rPr>
        <w:t>项目的航班补贴协议、相关付款申请、会议纪要、管理制度、付款依据等保存完整健全，依据《自治州培育航空市场专项补贴资金管理暂行办法》以保证项目的顺利进行。</w:t>
      </w:r>
      <w:r>
        <w:rPr>
          <w:rFonts w:hint="default" w:ascii="Times New Roman" w:hAnsi="Times New Roman" w:eastAsia="方正仿宋_GBK" w:cs="Times New Roman"/>
          <w:color w:val="auto"/>
          <w:kern w:val="2"/>
          <w:sz w:val="32"/>
          <w:szCs w:val="32"/>
        </w:rPr>
        <w:t xml:space="preserve"> 项目资金支付符合国家财经法规和财务管理制度的规定，资金的拨付有完整的审批程序和手续，符合项目预算批复和合同规定的用途，并且项目资金支付通过财政直接支付，资金拨付使用严格按照程序执行，以保证财政资金的安全完整，会计核算规范，不存在截留、挤占、挪用的情况。</w:t>
      </w:r>
    </w:p>
    <w:p>
      <w:pPr>
        <w:numPr>
          <w:ilvl w:val="0"/>
          <w:numId w:val="2"/>
        </w:numPr>
        <w:wordWrap/>
        <w:adjustRightInd/>
        <w:snapToGrid/>
        <w:spacing w:line="600" w:lineRule="exact"/>
        <w:ind w:left="0" w:leftChars="0" w:firstLine="640" w:firstLineChars="200"/>
        <w:textAlignment w:val="auto"/>
        <w:outlineLvl w:val="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项目产出情况。</w:t>
      </w:r>
    </w:p>
    <w:p>
      <w:pPr>
        <w:numPr>
          <w:ilvl w:val="0"/>
          <w:numId w:val="0"/>
        </w:numPr>
        <w:wordWrap/>
        <w:adjustRightInd/>
        <w:snapToGrid/>
        <w:spacing w:line="600" w:lineRule="exact"/>
        <w:ind w:firstLine="640" w:firstLineChars="200"/>
        <w:textAlignment w:val="auto"/>
        <w:outlineLvl w:val="0"/>
        <w:rPr>
          <w:rFonts w:hint="default" w:ascii="Times New Roman" w:hAnsi="Times New Roman" w:cs="Times New Roman"/>
          <w:color w:val="auto"/>
          <w:sz w:val="32"/>
          <w:szCs w:val="32"/>
        </w:rPr>
      </w:pPr>
      <w:r>
        <w:rPr>
          <w:rFonts w:hint="default" w:ascii="Times New Roman" w:hAnsi="Times New Roman" w:eastAsia="方正仿宋_GBK" w:cs="Times New Roman"/>
          <w:color w:val="auto"/>
          <w:sz w:val="32"/>
          <w:szCs w:val="32"/>
        </w:rPr>
        <w:t>2018年库尔勒机场共开辟新航线15条，</w:t>
      </w:r>
      <w:r>
        <w:rPr>
          <w:rFonts w:hint="default" w:ascii="Times New Roman" w:hAnsi="Times New Roman" w:eastAsia="方正仿宋_GBK" w:cs="Times New Roman"/>
          <w:color w:val="auto"/>
          <w:sz w:val="32"/>
          <w:szCs w:val="32"/>
          <w:lang w:val="en-US" w:eastAsia="zh-CN"/>
        </w:rPr>
        <w:t>疆内航线13条，疆外航线2条，</w:t>
      </w:r>
      <w:r>
        <w:rPr>
          <w:rFonts w:hint="default" w:ascii="Times New Roman" w:hAnsi="Times New Roman" w:eastAsia="方正仿宋_GBK" w:cs="Times New Roman"/>
          <w:color w:val="auto"/>
          <w:sz w:val="32"/>
          <w:szCs w:val="32"/>
        </w:rPr>
        <w:t>2018年库尔勒机场旅客吞吐量175万人次，同比增长36.7%</w:t>
      </w:r>
      <w:r>
        <w:rPr>
          <w:rFonts w:hint="default" w:ascii="Times New Roman" w:hAnsi="Times New Roman" w:eastAsia="方正仿宋_GBK" w:cs="Times New Roman"/>
          <w:color w:val="auto"/>
          <w:sz w:val="32"/>
          <w:szCs w:val="32"/>
          <w:lang w:eastAsia="zh-CN"/>
        </w:rPr>
        <w:t>。</w:t>
      </w:r>
    </w:p>
    <w:p>
      <w:pPr>
        <w:numPr>
          <w:ilvl w:val="0"/>
          <w:numId w:val="2"/>
        </w:numPr>
        <w:wordWrap/>
        <w:adjustRightInd/>
        <w:snapToGrid/>
        <w:spacing w:line="600" w:lineRule="exact"/>
        <w:ind w:left="0" w:leftChars="0" w:firstLine="640" w:firstLineChars="200"/>
        <w:textAlignment w:val="auto"/>
        <w:outlineLvl w:val="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项目效益情况。</w:t>
      </w:r>
    </w:p>
    <w:p>
      <w:pPr>
        <w:wordWrap/>
        <w:adjustRightInd/>
        <w:snapToGrid/>
        <w:spacing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eastAsia="仿宋_GB2312" w:cs="Times New Roman"/>
          <w:color w:val="auto"/>
          <w:sz w:val="32"/>
          <w:szCs w:val="32"/>
        </w:rPr>
        <w:t>通过培育航空市场专项补贴资金的实施，极大地改善和提升了航空运输条件,为以库尔勒市为核心城市与其他城市的融通提供了便利的条件,因而能够大力提升地区的区位优势,促进其它相关行业的飞速发展,给外市商户提供良好的投资条件,为经济区域的招商引资创造良好的平台,带动区域经济建设,促进地区间的经济合作与协同发展,使沿线地区在各项经济投入加大的条件下,达到增加产值和收入的发展目标,获得较好的区域经济增长效益。</w:t>
      </w:r>
    </w:p>
    <w:p>
      <w:pPr>
        <w:wordWrap/>
        <w:adjustRightInd/>
        <w:snapToGrid/>
        <w:spacing w:line="60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五、主要经验及做法、存在的问题及原因分析</w:t>
      </w:r>
    </w:p>
    <w:p>
      <w:pPr>
        <w:wordWrap/>
        <w:adjustRightInd/>
        <w:snapToGrid/>
        <w:spacing w:line="60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方正仿宋_GBK" w:cs="Times New Roman"/>
          <w:color w:val="auto"/>
          <w:sz w:val="32"/>
          <w:szCs w:val="32"/>
        </w:rPr>
        <w:t>航空市场的培育将进一步提升巴州综合运输能力水平，使库尔勒机场作为新疆航空次枢纽地位得以凸显，库尔勒机场从一般支线机场将跃升为拥有基地航空公司的区域枢纽机场，我州航空产业发展将迈上一个新台阶，为我州经济社会发展创造了有力的基础条件。</w:t>
      </w:r>
    </w:p>
    <w:p>
      <w:pPr>
        <w:wordWrap/>
        <w:adjustRightInd/>
        <w:snapToGrid/>
        <w:spacing w:line="60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六、有关建议</w:t>
      </w:r>
    </w:p>
    <w:p>
      <w:pPr>
        <w:wordWrap/>
        <w:adjustRightInd/>
        <w:snapToGrid/>
        <w:spacing w:line="600" w:lineRule="exact"/>
        <w:ind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无</w:t>
      </w:r>
    </w:p>
    <w:p>
      <w:pPr>
        <w:numPr>
          <w:ilvl w:val="0"/>
          <w:numId w:val="0"/>
        </w:numPr>
        <w:wordWrap/>
        <w:adjustRightInd/>
        <w:snapToGrid/>
        <w:spacing w:line="600" w:lineRule="exact"/>
        <w:ind w:firstLine="640" w:firstLineChars="200"/>
        <w:textAlignment w:val="auto"/>
        <w:rPr>
          <w:rFonts w:hint="default" w:ascii="Times New Roman" w:hAnsi="Times New Roman" w:cs="Times New Roman"/>
          <w:color w:val="auto"/>
          <w:sz w:val="32"/>
          <w:szCs w:val="32"/>
        </w:rPr>
      </w:pPr>
      <w:r>
        <w:rPr>
          <w:rFonts w:hint="default" w:ascii="Times New Roman" w:hAnsi="Times New Roman" w:eastAsia="黑体" w:cs="Times New Roman"/>
          <w:color w:val="auto"/>
          <w:sz w:val="32"/>
          <w:szCs w:val="32"/>
          <w:lang w:val="en-US" w:eastAsia="zh-CN"/>
        </w:rPr>
        <w:t>七、</w:t>
      </w:r>
      <w:r>
        <w:rPr>
          <w:rFonts w:hint="default" w:ascii="Times New Roman" w:hAnsi="Times New Roman" w:eastAsia="黑体" w:cs="Times New Roman"/>
          <w:color w:val="auto"/>
          <w:sz w:val="32"/>
          <w:szCs w:val="32"/>
        </w:rPr>
        <w:t>其他需要说明的问题</w:t>
      </w:r>
    </w:p>
    <w:p>
      <w:pPr>
        <w:pStyle w:val="11"/>
        <w:wordWrap/>
        <w:adjustRightInd/>
        <w:snapToGrid/>
        <w:spacing w:line="600" w:lineRule="exact"/>
        <w:textAlignment w:val="auto"/>
        <w:sectPr>
          <w:footerReference r:id="rId3" w:type="default"/>
          <w:pgSz w:w="11906" w:h="16838"/>
          <w:pgMar w:top="1928" w:right="1531" w:bottom="1701" w:left="1531" w:header="737" w:footer="851" w:gutter="0"/>
          <w:cols w:space="720" w:num="1"/>
          <w:docGrid w:type="lines" w:linePitch="408" w:charSpace="0"/>
        </w:sectPr>
      </w:pPr>
      <w:r>
        <w:rPr>
          <w:rFonts w:hint="default" w:ascii="Times New Roman" w:hAnsi="Times New Roman" w:cs="Times New Roman"/>
          <w:color w:val="auto"/>
          <w:sz w:val="32"/>
          <w:szCs w:val="32"/>
          <w:lang w:val="en-US" w:eastAsia="zh-CN"/>
        </w:rPr>
        <w:t>无</w:t>
      </w:r>
    </w:p>
    <w:p>
      <w:pPr>
        <w:pStyle w:val="4"/>
        <w:wordWrap/>
        <w:adjustRightInd/>
        <w:snapToGrid/>
        <w:spacing w:before="0" w:after="0" w:line="600" w:lineRule="exact"/>
        <w:jc w:val="center"/>
        <w:textAlignment w:val="auto"/>
        <w:rPr>
          <w:rFonts w:hint="default" w:ascii="Times New Roman" w:hAnsi="Times New Roman" w:cs="Times New Roman"/>
          <w:bCs/>
          <w:color w:val="auto"/>
        </w:rPr>
      </w:pPr>
      <w:r>
        <w:rPr>
          <w:rFonts w:hint="default" w:ascii="Times New Roman" w:hAnsi="Times New Roman" w:eastAsia="宋体" w:cs="Times New Roman"/>
          <w:bCs/>
          <w:color w:val="auto"/>
          <w:sz w:val="36"/>
          <w:szCs w:val="28"/>
        </w:rPr>
        <w:t>项目支出绩效评价指标体系框架</w:t>
      </w:r>
    </w:p>
    <w:tbl>
      <w:tblPr>
        <w:tblStyle w:val="7"/>
        <w:tblW w:w="1537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63"/>
        <w:gridCol w:w="1297"/>
        <w:gridCol w:w="1411"/>
        <w:gridCol w:w="2789"/>
        <w:gridCol w:w="7341"/>
        <w:gridCol w:w="829"/>
        <w:gridCol w:w="12"/>
        <w:gridCol w:w="11"/>
        <w:gridCol w:w="899"/>
        <w:gridCol w:w="12"/>
        <w:gridCol w:w="1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692" w:hRule="atLeast"/>
          <w:tblHeader/>
          <w:jc w:val="center"/>
        </w:trPr>
        <w:tc>
          <w:tcPr>
            <w:tcW w:w="763"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b/>
                <w:bCs/>
                <w:color w:val="auto"/>
                <w:kern w:val="0"/>
                <w:sz w:val="22"/>
                <w:szCs w:val="22"/>
              </w:rPr>
            </w:pPr>
            <w:r>
              <w:rPr>
                <w:rFonts w:hint="default" w:ascii="Times New Roman" w:hAnsi="Times New Roman" w:eastAsia="宋体" w:cs="Times New Roman"/>
                <w:b/>
                <w:bCs/>
                <w:color w:val="auto"/>
                <w:kern w:val="0"/>
                <w:sz w:val="22"/>
                <w:szCs w:val="22"/>
              </w:rPr>
              <w:t>一级指标</w:t>
            </w:r>
          </w:p>
        </w:tc>
        <w:tc>
          <w:tcPr>
            <w:tcW w:w="1297"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b/>
                <w:bCs/>
                <w:color w:val="auto"/>
                <w:kern w:val="0"/>
                <w:sz w:val="22"/>
                <w:szCs w:val="22"/>
              </w:rPr>
            </w:pPr>
            <w:r>
              <w:rPr>
                <w:rFonts w:hint="default" w:ascii="Times New Roman" w:hAnsi="Times New Roman" w:eastAsia="宋体" w:cs="Times New Roman"/>
                <w:b/>
                <w:bCs/>
                <w:color w:val="auto"/>
                <w:kern w:val="0"/>
                <w:sz w:val="22"/>
                <w:szCs w:val="22"/>
              </w:rPr>
              <w:t>二级指标</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b/>
                <w:bCs/>
                <w:color w:val="auto"/>
                <w:kern w:val="0"/>
                <w:sz w:val="22"/>
                <w:szCs w:val="22"/>
              </w:rPr>
            </w:pPr>
            <w:r>
              <w:rPr>
                <w:rFonts w:hint="default" w:ascii="Times New Roman" w:hAnsi="Times New Roman" w:eastAsia="宋体" w:cs="Times New Roman"/>
                <w:b/>
                <w:bCs/>
                <w:color w:val="auto"/>
                <w:kern w:val="0"/>
                <w:sz w:val="22"/>
                <w:szCs w:val="22"/>
              </w:rPr>
              <w:t>三级指标</w:t>
            </w:r>
          </w:p>
        </w:tc>
        <w:tc>
          <w:tcPr>
            <w:tcW w:w="2789"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b/>
                <w:bCs/>
                <w:color w:val="auto"/>
                <w:kern w:val="0"/>
                <w:sz w:val="22"/>
                <w:szCs w:val="22"/>
              </w:rPr>
            </w:pPr>
            <w:r>
              <w:rPr>
                <w:rFonts w:hint="default" w:ascii="Times New Roman" w:hAnsi="Times New Roman" w:eastAsia="宋体" w:cs="Times New Roman"/>
                <w:b/>
                <w:bCs/>
                <w:color w:val="auto"/>
                <w:kern w:val="0"/>
                <w:sz w:val="22"/>
                <w:szCs w:val="22"/>
              </w:rPr>
              <w:t>指标解释</w:t>
            </w:r>
          </w:p>
        </w:tc>
        <w:tc>
          <w:tcPr>
            <w:tcW w:w="734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b/>
                <w:bCs/>
                <w:color w:val="auto"/>
                <w:kern w:val="0"/>
                <w:sz w:val="22"/>
                <w:szCs w:val="22"/>
              </w:rPr>
            </w:pPr>
            <w:r>
              <w:rPr>
                <w:rFonts w:hint="default" w:ascii="Times New Roman" w:hAnsi="Times New Roman" w:eastAsia="宋体" w:cs="Times New Roman"/>
                <w:b/>
                <w:bCs/>
                <w:color w:val="auto"/>
                <w:kern w:val="0"/>
                <w:sz w:val="22"/>
                <w:szCs w:val="22"/>
              </w:rPr>
              <w:t>指标说明</w:t>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center"/>
              <w:textAlignment w:val="auto"/>
              <w:rPr>
                <w:rFonts w:hint="default" w:ascii="Times New Roman" w:hAnsi="Times New Roman" w:eastAsia="宋体" w:cs="Times New Roman"/>
                <w:b/>
                <w:bCs/>
                <w:color w:val="auto"/>
                <w:kern w:val="0"/>
                <w:sz w:val="22"/>
                <w:szCs w:val="22"/>
              </w:rPr>
            </w:pPr>
            <w:r>
              <w:rPr>
                <w:rFonts w:hint="default" w:ascii="Times New Roman" w:hAnsi="Times New Roman" w:eastAsia="宋体" w:cs="Times New Roman"/>
                <w:b/>
                <w:bCs/>
                <w:color w:val="auto"/>
                <w:kern w:val="0"/>
                <w:sz w:val="22"/>
                <w:szCs w:val="22"/>
              </w:rPr>
              <w:t>分值</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b/>
                <w:bCs/>
                <w:color w:val="auto"/>
                <w:kern w:val="0"/>
                <w:sz w:val="22"/>
                <w:szCs w:val="22"/>
              </w:rPr>
            </w:pPr>
            <w:r>
              <w:rPr>
                <w:rFonts w:hint="default" w:ascii="Times New Roman" w:hAnsi="Times New Roman" w:eastAsia="宋体" w:cs="Times New Roman"/>
                <w:b/>
                <w:bCs/>
                <w:color w:val="auto"/>
                <w:kern w:val="0"/>
                <w:sz w:val="22"/>
                <w:szCs w:val="22"/>
              </w:rPr>
              <w:t>评价</w:t>
            </w:r>
          </w:p>
          <w:p>
            <w:pPr>
              <w:widowControl/>
              <w:wordWrap/>
              <w:adjustRightInd/>
              <w:snapToGrid/>
              <w:spacing w:line="600" w:lineRule="exact"/>
              <w:jc w:val="left"/>
              <w:textAlignment w:val="auto"/>
              <w:rPr>
                <w:rFonts w:hint="default" w:ascii="Times New Roman" w:hAnsi="Times New Roman" w:eastAsia="宋体" w:cs="Times New Roman"/>
                <w:b/>
                <w:bCs/>
                <w:color w:val="auto"/>
                <w:kern w:val="0"/>
                <w:sz w:val="22"/>
                <w:szCs w:val="22"/>
              </w:rPr>
            </w:pPr>
            <w:r>
              <w:rPr>
                <w:rFonts w:hint="default" w:ascii="Times New Roman" w:hAnsi="Times New Roman" w:eastAsia="宋体" w:cs="Times New Roman"/>
                <w:b/>
                <w:bCs/>
                <w:color w:val="auto"/>
                <w:kern w:val="0"/>
                <w:sz w:val="22"/>
                <w:szCs w:val="22"/>
              </w:rPr>
              <w:t>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18" w:hRule="atLeast"/>
          <w:jc w:val="center"/>
        </w:trPr>
        <w:tc>
          <w:tcPr>
            <w:tcW w:w="763"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决策(20分)　</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　</w:t>
            </w:r>
          </w:p>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　</w:t>
            </w:r>
          </w:p>
        </w:tc>
        <w:tc>
          <w:tcPr>
            <w:tcW w:w="1297"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项目立项（5）　</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立项依据</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充分性</w:t>
            </w:r>
          </w:p>
        </w:tc>
        <w:tc>
          <w:tcPr>
            <w:tcW w:w="2789" w:type="dxa"/>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项目立项符合</w:t>
            </w:r>
            <w:r>
              <w:rPr>
                <w:rFonts w:hint="eastAsia" w:ascii="Times New Roman" w:hAnsi="Times New Roman" w:eastAsia="宋体" w:cs="Times New Roman"/>
                <w:color w:val="auto"/>
                <w:kern w:val="0"/>
                <w:sz w:val="22"/>
                <w:szCs w:val="22"/>
              </w:rPr>
              <w:t>《国务院关于促进民航发展的若干意见》</w:t>
            </w:r>
            <w:r>
              <w:rPr>
                <w:rFonts w:hint="eastAsia" w:ascii="Times New Roman" w:hAnsi="Times New Roman" w:eastAsia="宋体" w:cs="Times New Roman"/>
                <w:color w:val="auto"/>
                <w:kern w:val="0"/>
                <w:sz w:val="22"/>
                <w:szCs w:val="22"/>
                <w:lang w:eastAsia="zh-CN"/>
              </w:rPr>
              <w:t>、</w:t>
            </w:r>
            <w:r>
              <w:rPr>
                <w:rFonts w:hint="eastAsia" w:ascii="Times New Roman" w:hAnsi="Times New Roman" w:eastAsia="宋体" w:cs="Times New Roman"/>
                <w:color w:val="auto"/>
                <w:kern w:val="0"/>
                <w:sz w:val="22"/>
                <w:szCs w:val="22"/>
              </w:rPr>
              <w:t>《关于自治区民航支线航线补贴的通知》</w:t>
            </w:r>
            <w:r>
              <w:rPr>
                <w:rFonts w:hint="default" w:ascii="Times New Roman" w:hAnsi="Times New Roman" w:eastAsia="宋体" w:cs="Times New Roman"/>
                <w:color w:val="auto"/>
                <w:kern w:val="0"/>
                <w:sz w:val="22"/>
                <w:szCs w:val="22"/>
              </w:rPr>
              <w:t>。</w:t>
            </w:r>
          </w:p>
        </w:tc>
        <w:tc>
          <w:tcPr>
            <w:tcW w:w="7341" w:type="dxa"/>
            <w:tcBorders>
              <w:bottom w:val="single" w:color="auto" w:sz="4" w:space="0"/>
              <w:tl2br w:val="nil"/>
              <w:tr2bl w:val="nil"/>
            </w:tcBorders>
            <w:shd w:val="clear" w:color="auto" w:fill="FFFFFF"/>
            <w:vAlign w:val="center"/>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评价要点：</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①项目立项符合行业发展规划和政策要求；</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②项目属于公共财政支持范围，符合中央、地方事权支出责任划分原则；</w:t>
            </w:r>
          </w:p>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③项目立项</w:t>
            </w:r>
            <w:r>
              <w:rPr>
                <w:rFonts w:hint="eastAsia" w:eastAsia="宋体" w:cs="Times New Roman"/>
                <w:color w:val="auto"/>
                <w:kern w:val="0"/>
                <w:sz w:val="22"/>
                <w:szCs w:val="22"/>
                <w:lang w:val="en-US" w:eastAsia="zh-CN"/>
              </w:rPr>
              <w:t>符合程序</w:t>
            </w:r>
            <w:r>
              <w:rPr>
                <w:rFonts w:hint="default" w:ascii="Times New Roman" w:hAnsi="Times New Roman" w:eastAsia="宋体" w:cs="Times New Roman"/>
                <w:color w:val="auto"/>
                <w:kern w:val="0"/>
                <w:sz w:val="22"/>
                <w:szCs w:val="22"/>
              </w:rPr>
              <w:t>。</w:t>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640" w:hRule="atLeast"/>
          <w:jc w:val="center"/>
        </w:trPr>
        <w:tc>
          <w:tcPr>
            <w:tcW w:w="763" w:type="dxa"/>
            <w:vMerge w:val="continue"/>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vMerge w:val="continue"/>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立项程序</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规范性</w:t>
            </w:r>
          </w:p>
        </w:tc>
        <w:tc>
          <w:tcPr>
            <w:tcW w:w="2789" w:type="dxa"/>
            <w:tcBorders>
              <w:tl2br w:val="nil"/>
              <w:tr2bl w:val="nil"/>
            </w:tcBorders>
            <w:shd w:val="clear" w:color="auto" w:fill="FFFFFF"/>
            <w:vAlign w:val="center"/>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rPr>
              <w:t>项目的航班补贴协议、相关付款申请、会议纪要、管理制度、付款依据等保存完整健全，依据《自治州培育航空市场专项补贴资金管理暂行办法》</w:t>
            </w:r>
            <w:r>
              <w:rPr>
                <w:rFonts w:hint="eastAsia" w:eastAsia="宋体" w:cs="Times New Roman"/>
                <w:color w:val="auto"/>
                <w:kern w:val="0"/>
                <w:sz w:val="22"/>
                <w:szCs w:val="22"/>
                <w:lang w:eastAsia="zh-CN"/>
              </w:rPr>
              <w:t>，</w:t>
            </w:r>
            <w:r>
              <w:rPr>
                <w:rFonts w:hint="eastAsia" w:eastAsia="宋体" w:cs="Times New Roman"/>
                <w:color w:val="auto"/>
                <w:kern w:val="0"/>
                <w:sz w:val="22"/>
                <w:szCs w:val="22"/>
                <w:lang w:val="en-US" w:eastAsia="zh-CN"/>
              </w:rPr>
              <w:t>符合向立项程序。</w:t>
            </w:r>
          </w:p>
        </w:tc>
        <w:tc>
          <w:tcPr>
            <w:tcW w:w="7341" w:type="dxa"/>
            <w:tcBorders>
              <w:tl2br w:val="nil"/>
              <w:tr2bl w:val="nil"/>
            </w:tcBorders>
            <w:shd w:val="clear" w:color="auto" w:fill="FFFFFF"/>
            <w:vAlign w:val="center"/>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评价要点：</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①项目按照规定的程序申请设立；</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②审批文件、材料符合相关要求；</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③事前已经过必要的可行性研究、专家论证、绩效评估、集体决策。</w:t>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3</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919" w:hRule="atLeast"/>
          <w:jc w:val="center"/>
        </w:trPr>
        <w:tc>
          <w:tcPr>
            <w:tcW w:w="763" w:type="dxa"/>
            <w:vMerge w:val="continue"/>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绩效目标（10）　</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绩效目标</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合理性</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项目所设定的绩效目标依据充分，符合客观实际。</w:t>
            </w:r>
          </w:p>
        </w:tc>
        <w:tc>
          <w:tcPr>
            <w:tcW w:w="7341" w:type="dxa"/>
            <w:tcBorders>
              <w:tl2br w:val="nil"/>
              <w:tr2bl w:val="nil"/>
            </w:tcBorders>
            <w:shd w:val="clear" w:color="000000" w:fill="FFFFFF"/>
            <w:vAlign w:val="center"/>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评价要点：</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①项目有绩效目标；</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②项目绩效目标与实际工作内容相关；</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③项目预期产出效益和效果符合正常的业绩水平；</w:t>
            </w:r>
          </w:p>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④</w:t>
            </w:r>
            <w:r>
              <w:rPr>
                <w:rFonts w:hint="eastAsia" w:eastAsia="宋体" w:cs="Times New Roman"/>
                <w:color w:val="auto"/>
                <w:kern w:val="0"/>
                <w:sz w:val="22"/>
                <w:szCs w:val="22"/>
                <w:lang w:val="en-US" w:eastAsia="zh-CN"/>
              </w:rPr>
              <w:t>控制在</w:t>
            </w:r>
            <w:r>
              <w:rPr>
                <w:rFonts w:hint="default" w:ascii="Times New Roman" w:hAnsi="Times New Roman" w:eastAsia="宋体" w:cs="Times New Roman"/>
                <w:color w:val="auto"/>
                <w:kern w:val="0"/>
                <w:sz w:val="22"/>
                <w:szCs w:val="22"/>
              </w:rPr>
              <w:t>预算确定的项目投资额</w:t>
            </w:r>
            <w:r>
              <w:rPr>
                <w:rFonts w:hint="eastAsia" w:eastAsia="宋体" w:cs="Times New Roman"/>
                <w:color w:val="auto"/>
                <w:kern w:val="0"/>
                <w:sz w:val="22"/>
                <w:szCs w:val="22"/>
                <w:lang w:val="en-US" w:eastAsia="zh-CN"/>
              </w:rPr>
              <w:t>内</w:t>
            </w:r>
            <w:r>
              <w:rPr>
                <w:rFonts w:hint="default" w:ascii="Times New Roman" w:hAnsi="Times New Roman" w:eastAsia="宋体" w:cs="Times New Roman"/>
                <w:color w:val="auto"/>
                <w:kern w:val="0"/>
                <w:sz w:val="22"/>
                <w:szCs w:val="22"/>
              </w:rPr>
              <w:t>。</w:t>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64" w:hRule="atLeast"/>
          <w:jc w:val="center"/>
        </w:trPr>
        <w:tc>
          <w:tcPr>
            <w:tcW w:w="763"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决策（20分）　</w:t>
            </w:r>
          </w:p>
        </w:tc>
        <w:tc>
          <w:tcPr>
            <w:tcW w:w="1297"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绩效目标</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绩效指标</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明确性</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依据绩效目标设定的绩效指标清晰、细化、可衡量等。</w:t>
            </w:r>
          </w:p>
        </w:tc>
        <w:tc>
          <w:tcPr>
            <w:tcW w:w="7341"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评价要点：</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①将项目绩效目标细化分解为具体的绩效指标；</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②通过清晰、可衡量的指标值予以体现；</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③与项目目标任务数或计划数相对应。</w:t>
            </w:r>
            <w:r>
              <w:rPr>
                <w:rFonts w:hint="default" w:ascii="Times New Roman" w:hAnsi="Times New Roman" w:eastAsia="宋体" w:cs="Times New Roman"/>
                <w:color w:val="auto"/>
                <w:kern w:val="0"/>
                <w:sz w:val="22"/>
                <w:szCs w:val="22"/>
              </w:rPr>
              <w:br w:type="textWrapping"/>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2340" w:hRule="atLeast"/>
          <w:jc w:val="center"/>
        </w:trPr>
        <w:tc>
          <w:tcPr>
            <w:tcW w:w="763" w:type="dxa"/>
            <w:vMerge w:val="continue"/>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资金投入（5）</w:t>
            </w:r>
          </w:p>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　</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预算编制</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科学性</w:t>
            </w:r>
          </w:p>
        </w:tc>
        <w:tc>
          <w:tcPr>
            <w:tcW w:w="2789" w:type="dxa"/>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项目预算编制经过科学论证、有明确标准，资金额度</w:t>
            </w:r>
            <w:r>
              <w:rPr>
                <w:rFonts w:hint="eastAsia" w:eastAsia="宋体" w:cs="Times New Roman"/>
                <w:color w:val="auto"/>
                <w:kern w:val="0"/>
                <w:sz w:val="22"/>
                <w:szCs w:val="22"/>
                <w:lang w:val="en-US" w:eastAsia="zh-CN"/>
              </w:rPr>
              <w:t>控制在</w:t>
            </w:r>
            <w:r>
              <w:rPr>
                <w:rFonts w:hint="default" w:ascii="Times New Roman" w:hAnsi="Times New Roman" w:eastAsia="宋体" w:cs="Times New Roman"/>
                <w:color w:val="auto"/>
                <w:kern w:val="0"/>
                <w:sz w:val="22"/>
                <w:szCs w:val="22"/>
              </w:rPr>
              <w:t>年度目标</w:t>
            </w:r>
            <w:r>
              <w:rPr>
                <w:rFonts w:hint="eastAsia" w:eastAsia="宋体" w:cs="Times New Roman"/>
                <w:color w:val="auto"/>
                <w:kern w:val="0"/>
                <w:sz w:val="22"/>
                <w:szCs w:val="22"/>
                <w:lang w:val="en-US" w:eastAsia="zh-CN"/>
              </w:rPr>
              <w:t>值内</w:t>
            </w:r>
            <w:r>
              <w:rPr>
                <w:rFonts w:hint="default" w:ascii="Times New Roman" w:hAnsi="Times New Roman" w:eastAsia="宋体" w:cs="Times New Roman"/>
                <w:color w:val="auto"/>
                <w:kern w:val="0"/>
                <w:sz w:val="22"/>
                <w:szCs w:val="22"/>
              </w:rPr>
              <w:t>。</w:t>
            </w:r>
          </w:p>
        </w:tc>
        <w:tc>
          <w:tcPr>
            <w:tcW w:w="7341" w:type="dxa"/>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评价要点：</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①预算编制经过科学论证；</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②预算内容与项目内容匹配；</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③预算额度测算依据充分，按照标准编制；</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④预算确定的项目投资额与工作任务相匹配。</w:t>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590" w:hRule="atLeast"/>
          <w:jc w:val="center"/>
        </w:trPr>
        <w:tc>
          <w:tcPr>
            <w:tcW w:w="763" w:type="dxa"/>
            <w:vMerge w:val="continue"/>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vMerge w:val="continue"/>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资金分配</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合理性</w:t>
            </w:r>
          </w:p>
        </w:tc>
        <w:tc>
          <w:tcPr>
            <w:tcW w:w="2789" w:type="dxa"/>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项目预算资金分配有测算依据，与补助单位相适应。</w:t>
            </w:r>
          </w:p>
        </w:tc>
        <w:tc>
          <w:tcPr>
            <w:tcW w:w="7341" w:type="dxa"/>
            <w:tcBorders>
              <w:bottom w:val="single" w:color="auto" w:sz="4" w:space="0"/>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评价要点：</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①预算资金分配依据充分；</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②资金分配额度合理，与项目单位相适应。</w:t>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3</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1415" w:hRule="atLeast"/>
          <w:jc w:val="center"/>
        </w:trPr>
        <w:tc>
          <w:tcPr>
            <w:tcW w:w="763" w:type="dxa"/>
            <w:vMerge w:val="restart"/>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过程（20分）</w:t>
            </w:r>
          </w:p>
        </w:tc>
        <w:tc>
          <w:tcPr>
            <w:tcW w:w="1297"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资金管理（10）</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资金到位率</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rPr>
              <w:t>实际到位资金</w:t>
            </w:r>
            <w:r>
              <w:rPr>
                <w:rFonts w:hint="eastAsia" w:eastAsia="宋体" w:cs="Times New Roman"/>
                <w:color w:val="auto"/>
                <w:kern w:val="0"/>
                <w:sz w:val="22"/>
                <w:szCs w:val="22"/>
                <w:lang w:val="en-US" w:eastAsia="zh-CN"/>
              </w:rPr>
              <w:t>占</w:t>
            </w:r>
            <w:r>
              <w:rPr>
                <w:rFonts w:hint="default" w:ascii="Times New Roman" w:hAnsi="Times New Roman" w:eastAsia="宋体" w:cs="Times New Roman"/>
                <w:color w:val="auto"/>
                <w:kern w:val="0"/>
                <w:sz w:val="22"/>
                <w:szCs w:val="22"/>
              </w:rPr>
              <w:t>预算资金</w:t>
            </w:r>
            <w:r>
              <w:rPr>
                <w:rFonts w:hint="eastAsia" w:eastAsia="宋体" w:cs="Times New Roman"/>
                <w:color w:val="auto"/>
                <w:kern w:val="0"/>
                <w:sz w:val="22"/>
                <w:szCs w:val="22"/>
                <w:lang w:val="en-US" w:eastAsia="zh-CN"/>
              </w:rPr>
              <w:t>100%</w:t>
            </w:r>
          </w:p>
        </w:tc>
        <w:tc>
          <w:tcPr>
            <w:tcW w:w="7341"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100%=（</w:t>
            </w:r>
            <w:r>
              <w:rPr>
                <w:rFonts w:hint="eastAsia" w:eastAsia="宋体" w:cs="Times New Roman"/>
                <w:color w:val="auto"/>
                <w:kern w:val="0"/>
                <w:sz w:val="22"/>
                <w:szCs w:val="22"/>
                <w:lang w:val="en-US" w:eastAsia="zh-CN"/>
              </w:rPr>
              <w:t>2170.211</w:t>
            </w:r>
            <w:r>
              <w:rPr>
                <w:rFonts w:hint="default" w:ascii="Times New Roman" w:hAnsi="Times New Roman" w:eastAsia="宋体" w:cs="Times New Roman"/>
                <w:color w:val="auto"/>
                <w:kern w:val="0"/>
                <w:sz w:val="22"/>
                <w:szCs w:val="22"/>
              </w:rPr>
              <w:t>/</w:t>
            </w:r>
            <w:r>
              <w:rPr>
                <w:rFonts w:hint="eastAsia" w:eastAsia="宋体" w:cs="Times New Roman"/>
                <w:color w:val="auto"/>
                <w:kern w:val="0"/>
                <w:sz w:val="22"/>
                <w:szCs w:val="22"/>
                <w:lang w:val="en-US" w:eastAsia="zh-CN"/>
              </w:rPr>
              <w:t>2170.211</w:t>
            </w:r>
            <w:r>
              <w:rPr>
                <w:rFonts w:hint="default" w:ascii="Times New Roman" w:hAnsi="Times New Roman" w:eastAsia="宋体" w:cs="Times New Roman"/>
                <w:color w:val="auto"/>
                <w:kern w:val="0"/>
                <w:sz w:val="22"/>
                <w:szCs w:val="22"/>
              </w:rPr>
              <w:t>）×100%。</w:t>
            </w:r>
          </w:p>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实际到位资金：</w:t>
            </w:r>
            <w:r>
              <w:rPr>
                <w:rFonts w:hint="eastAsia" w:eastAsia="宋体" w:cs="Times New Roman"/>
                <w:color w:val="auto"/>
                <w:kern w:val="0"/>
                <w:sz w:val="22"/>
                <w:szCs w:val="22"/>
                <w:lang w:val="en-US" w:eastAsia="zh-CN"/>
              </w:rPr>
              <w:t>项目期</w:t>
            </w:r>
            <w:r>
              <w:rPr>
                <w:rFonts w:hint="default" w:ascii="Times New Roman" w:hAnsi="Times New Roman" w:eastAsia="宋体" w:cs="Times New Roman"/>
                <w:color w:val="auto"/>
                <w:kern w:val="0"/>
                <w:sz w:val="22"/>
                <w:szCs w:val="22"/>
              </w:rPr>
              <w:t>内落实到具体项目的资金。</w:t>
            </w:r>
          </w:p>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预算资金：</w:t>
            </w:r>
            <w:r>
              <w:rPr>
                <w:rFonts w:hint="eastAsia" w:eastAsia="宋体" w:cs="Times New Roman"/>
                <w:color w:val="auto"/>
                <w:kern w:val="0"/>
                <w:sz w:val="22"/>
                <w:szCs w:val="22"/>
                <w:lang w:val="en-US" w:eastAsia="zh-CN"/>
              </w:rPr>
              <w:t>项目期</w:t>
            </w:r>
            <w:r>
              <w:rPr>
                <w:rFonts w:hint="default" w:ascii="Times New Roman" w:hAnsi="Times New Roman" w:eastAsia="宋体" w:cs="Times New Roman"/>
                <w:color w:val="auto"/>
                <w:kern w:val="0"/>
                <w:sz w:val="22"/>
                <w:szCs w:val="22"/>
              </w:rPr>
              <w:t>内落实到具体项目的资金。</w:t>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1"/>
          <w:wAfter w:w="11" w:type="dxa"/>
          <w:trHeight w:val="840" w:hRule="atLeast"/>
          <w:jc w:val="center"/>
        </w:trPr>
        <w:tc>
          <w:tcPr>
            <w:tcW w:w="763" w:type="dxa"/>
            <w:vMerge w:val="continue"/>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vMerge w:val="continue"/>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预算执行率</w:t>
            </w:r>
          </w:p>
        </w:tc>
        <w:tc>
          <w:tcPr>
            <w:tcW w:w="2789" w:type="dxa"/>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项目预算资金按照计划执行。</w:t>
            </w:r>
          </w:p>
        </w:tc>
        <w:tc>
          <w:tcPr>
            <w:tcW w:w="7341" w:type="dxa"/>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预算执行率=（实际支出资金/实际到位资金）×100%。</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实际支出资金：一定时期（本年度或项目期）内项目实际拨付的资金。</w:t>
            </w:r>
          </w:p>
        </w:tc>
        <w:tc>
          <w:tcPr>
            <w:tcW w:w="841" w:type="dxa"/>
            <w:gridSpan w:val="2"/>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2076" w:hRule="atLeast"/>
          <w:jc w:val="center"/>
        </w:trPr>
        <w:tc>
          <w:tcPr>
            <w:tcW w:w="763"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　</w:t>
            </w:r>
          </w:p>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过程（20分）　</w:t>
            </w:r>
          </w:p>
        </w:tc>
        <w:tc>
          <w:tcPr>
            <w:tcW w:w="1297"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资金管理</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资金使用</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合规性</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项目资金使用符合相关的财务管理制度规定。</w:t>
            </w:r>
          </w:p>
        </w:tc>
        <w:tc>
          <w:tcPr>
            <w:tcW w:w="7341" w:type="dxa"/>
            <w:tcBorders>
              <w:bottom w:val="single" w:color="auto" w:sz="4" w:space="0"/>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评价要点：</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①符合国家财经法规和财务管理制度以及有关专项资金管理办法的规定；</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②资金的拨付有完整的审批程序和手续；</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③符合项目预算批复或合同规定的用途；</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④</w:t>
            </w:r>
            <w:r>
              <w:rPr>
                <w:rFonts w:hint="eastAsia" w:eastAsia="宋体" w:cs="Times New Roman"/>
                <w:color w:val="auto"/>
                <w:kern w:val="0"/>
                <w:sz w:val="22"/>
                <w:szCs w:val="22"/>
                <w:lang w:val="en-US" w:eastAsia="zh-CN"/>
              </w:rPr>
              <w:t>不</w:t>
            </w:r>
            <w:r>
              <w:rPr>
                <w:rFonts w:hint="default" w:ascii="Times New Roman" w:hAnsi="Times New Roman" w:eastAsia="宋体" w:cs="Times New Roman"/>
                <w:color w:val="auto"/>
                <w:kern w:val="0"/>
                <w:sz w:val="22"/>
                <w:szCs w:val="22"/>
              </w:rPr>
              <w:t>存在截留、挤占、挪用、虚列支出等情况。</w:t>
            </w:r>
          </w:p>
        </w:tc>
        <w:tc>
          <w:tcPr>
            <w:tcW w:w="829" w:type="dxa"/>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530" w:hRule="atLeast"/>
          <w:jc w:val="center"/>
        </w:trPr>
        <w:tc>
          <w:tcPr>
            <w:tcW w:w="763" w:type="dxa"/>
            <w:vMerge w:val="continue"/>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组织实施（10）</w:t>
            </w:r>
          </w:p>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　</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管理制度</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健全性</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项目实施单位的财务和业务管理制度健全。</w:t>
            </w:r>
          </w:p>
        </w:tc>
        <w:tc>
          <w:tcPr>
            <w:tcW w:w="7341"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评价要点：</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①具有相应的财务和业务管理制度；</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②财务和业务管理制度合法、合规、完整。</w:t>
            </w:r>
          </w:p>
        </w:tc>
        <w:tc>
          <w:tcPr>
            <w:tcW w:w="829" w:type="dxa"/>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599" w:hRule="atLeast"/>
          <w:jc w:val="center"/>
        </w:trPr>
        <w:tc>
          <w:tcPr>
            <w:tcW w:w="763" w:type="dxa"/>
            <w:vMerge w:val="continue"/>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vMerge w:val="continue"/>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制度执行</w:t>
            </w:r>
          </w:p>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有效性</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项目实施符合相关管理规定。</w:t>
            </w:r>
          </w:p>
        </w:tc>
        <w:tc>
          <w:tcPr>
            <w:tcW w:w="7341" w:type="dxa"/>
            <w:tcBorders>
              <w:tl2br w:val="nil"/>
              <w:tr2bl w:val="nil"/>
            </w:tcBorders>
            <w:shd w:val="clear" w:color="000000" w:fill="FFFFFF"/>
            <w:vAlign w:val="center"/>
          </w:tcPr>
          <w:p>
            <w:pPr>
              <w:widowControl/>
              <w:wordWrap/>
              <w:adjustRightInd/>
              <w:snapToGrid/>
              <w:spacing w:line="600" w:lineRule="exact"/>
              <w:textAlignment w:val="auto"/>
              <w:rPr>
                <w:rFonts w:hint="eastAsia" w:ascii="Times New Roman" w:hAnsi="Times New Roman" w:eastAsia="宋体" w:cs="Times New Roman"/>
                <w:color w:val="auto"/>
                <w:kern w:val="0"/>
                <w:sz w:val="22"/>
                <w:szCs w:val="22"/>
                <w:lang w:eastAsia="zh-CN"/>
              </w:rPr>
            </w:pPr>
            <w:r>
              <w:rPr>
                <w:rFonts w:hint="eastAsia" w:eastAsia="宋体" w:cs="Times New Roman"/>
                <w:color w:val="auto"/>
                <w:kern w:val="0"/>
                <w:sz w:val="22"/>
                <w:szCs w:val="22"/>
                <w:lang w:val="en-US" w:eastAsia="zh-CN"/>
              </w:rPr>
              <w:t>2.5</w:t>
            </w:r>
          </w:p>
        </w:tc>
        <w:tc>
          <w:tcPr>
            <w:tcW w:w="829" w:type="dxa"/>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gridAfter w:val="2"/>
          <w:wAfter w:w="23" w:type="dxa"/>
          <w:trHeight w:val="1602" w:hRule="atLeast"/>
          <w:jc w:val="center"/>
        </w:trPr>
        <w:tc>
          <w:tcPr>
            <w:tcW w:w="763"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产出（30分）</w:t>
            </w:r>
          </w:p>
        </w:tc>
        <w:tc>
          <w:tcPr>
            <w:tcW w:w="1297"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产出数量（10分）</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实际完成率</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rPr>
              <w:t>项目实施的实际产出数与计划产出数的比率</w:t>
            </w:r>
            <w:r>
              <w:rPr>
                <w:rFonts w:hint="eastAsia" w:eastAsia="宋体" w:cs="Times New Roman"/>
                <w:color w:val="auto"/>
                <w:kern w:val="0"/>
                <w:sz w:val="22"/>
                <w:szCs w:val="22"/>
                <w:lang w:val="en-US" w:eastAsia="zh-CN"/>
              </w:rPr>
              <w:t>136%</w:t>
            </w:r>
          </w:p>
        </w:tc>
        <w:tc>
          <w:tcPr>
            <w:tcW w:w="7341"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eastAsia" w:eastAsia="宋体" w:cs="Times New Roman"/>
                <w:color w:val="auto"/>
                <w:kern w:val="0"/>
                <w:sz w:val="22"/>
                <w:szCs w:val="22"/>
                <w:lang w:val="en-US" w:eastAsia="zh-CN"/>
              </w:rPr>
              <w:t>136%</w:t>
            </w:r>
            <w:r>
              <w:rPr>
                <w:rFonts w:hint="default" w:ascii="Times New Roman" w:hAnsi="Times New Roman" w:eastAsia="宋体" w:cs="Times New Roman"/>
                <w:color w:val="auto"/>
                <w:kern w:val="0"/>
                <w:sz w:val="22"/>
                <w:szCs w:val="22"/>
              </w:rPr>
              <w:t>=（</w:t>
            </w:r>
            <w:r>
              <w:rPr>
                <w:rFonts w:hint="eastAsia" w:eastAsia="宋体" w:cs="Times New Roman"/>
                <w:color w:val="auto"/>
                <w:kern w:val="0"/>
                <w:sz w:val="22"/>
                <w:szCs w:val="22"/>
                <w:lang w:val="en-US" w:eastAsia="zh-CN"/>
              </w:rPr>
              <w:t>15</w:t>
            </w:r>
            <w:r>
              <w:rPr>
                <w:rFonts w:hint="default" w:ascii="Times New Roman" w:hAnsi="Times New Roman" w:eastAsia="宋体" w:cs="Times New Roman"/>
                <w:color w:val="auto"/>
                <w:kern w:val="0"/>
                <w:sz w:val="22"/>
                <w:szCs w:val="22"/>
              </w:rPr>
              <w:t>/</w:t>
            </w:r>
            <w:r>
              <w:rPr>
                <w:rFonts w:hint="eastAsia" w:eastAsia="宋体" w:cs="Times New Roman"/>
                <w:color w:val="auto"/>
                <w:kern w:val="0"/>
                <w:sz w:val="22"/>
                <w:szCs w:val="22"/>
                <w:lang w:val="en-US" w:eastAsia="zh-CN"/>
              </w:rPr>
              <w:t>11</w:t>
            </w:r>
            <w:r>
              <w:rPr>
                <w:rFonts w:hint="default" w:ascii="Times New Roman" w:hAnsi="Times New Roman" w:eastAsia="宋体" w:cs="Times New Roman"/>
                <w:color w:val="auto"/>
                <w:kern w:val="0"/>
                <w:sz w:val="22"/>
                <w:szCs w:val="22"/>
              </w:rPr>
              <w:t>）×100%。</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实际产出数：</w:t>
            </w:r>
            <w:r>
              <w:rPr>
                <w:rFonts w:hint="eastAsia" w:eastAsia="宋体" w:cs="Times New Roman"/>
                <w:color w:val="auto"/>
                <w:kern w:val="0"/>
                <w:sz w:val="22"/>
                <w:szCs w:val="22"/>
                <w:lang w:val="en-US" w:eastAsia="zh-CN"/>
              </w:rPr>
              <w:t>增加15条航线</w:t>
            </w:r>
            <w:r>
              <w:rPr>
                <w:rFonts w:hint="default" w:ascii="Times New Roman" w:hAnsi="Times New Roman" w:eastAsia="宋体" w:cs="Times New Roman"/>
                <w:color w:val="auto"/>
                <w:kern w:val="0"/>
                <w:sz w:val="22"/>
                <w:szCs w:val="22"/>
              </w:rPr>
              <w:t>。</w:t>
            </w:r>
            <w:r>
              <w:rPr>
                <w:rFonts w:hint="default" w:ascii="Times New Roman" w:hAnsi="Times New Roman" w:eastAsia="宋体" w:cs="Times New Roman"/>
                <w:color w:val="auto"/>
                <w:kern w:val="0"/>
                <w:sz w:val="22"/>
                <w:szCs w:val="22"/>
              </w:rPr>
              <w:br w:type="textWrapping"/>
            </w:r>
            <w:r>
              <w:rPr>
                <w:rFonts w:hint="default" w:ascii="Times New Roman" w:hAnsi="Times New Roman" w:eastAsia="宋体" w:cs="Times New Roman"/>
                <w:color w:val="auto"/>
                <w:kern w:val="0"/>
                <w:sz w:val="22"/>
                <w:szCs w:val="22"/>
              </w:rPr>
              <w:t>计划产出数：</w:t>
            </w:r>
            <w:r>
              <w:rPr>
                <w:rFonts w:hint="eastAsia" w:eastAsia="宋体" w:cs="Times New Roman"/>
                <w:color w:val="auto"/>
                <w:kern w:val="0"/>
                <w:sz w:val="22"/>
                <w:szCs w:val="22"/>
                <w:lang w:val="en-US" w:eastAsia="zh-CN"/>
              </w:rPr>
              <w:t>增加11条航线</w:t>
            </w:r>
            <w:r>
              <w:rPr>
                <w:rFonts w:hint="default" w:ascii="Times New Roman" w:hAnsi="Times New Roman" w:eastAsia="宋体" w:cs="Times New Roman"/>
                <w:color w:val="auto"/>
                <w:kern w:val="0"/>
                <w:sz w:val="22"/>
                <w:szCs w:val="22"/>
              </w:rPr>
              <w:t>。</w:t>
            </w:r>
          </w:p>
        </w:tc>
        <w:tc>
          <w:tcPr>
            <w:tcW w:w="829" w:type="dxa"/>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10</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25" w:hRule="atLeast"/>
          <w:jc w:val="center"/>
        </w:trPr>
        <w:tc>
          <w:tcPr>
            <w:tcW w:w="763"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产出（30分）</w:t>
            </w:r>
          </w:p>
        </w:tc>
        <w:tc>
          <w:tcPr>
            <w:tcW w:w="1297"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产出质量（10分）</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质量达标率</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项目完成的质量达标产出数与实际产出数的比率</w:t>
            </w:r>
            <w:r>
              <w:rPr>
                <w:rFonts w:hint="eastAsia" w:eastAsia="宋体" w:cs="Times New Roman"/>
                <w:color w:val="auto"/>
                <w:kern w:val="0"/>
                <w:sz w:val="22"/>
                <w:szCs w:val="22"/>
                <w:lang w:val="en-US" w:eastAsia="zh-CN"/>
              </w:rPr>
              <w:t>122%</w:t>
            </w:r>
            <w:r>
              <w:rPr>
                <w:rFonts w:hint="default" w:ascii="Times New Roman" w:hAnsi="Times New Roman" w:eastAsia="宋体" w:cs="Times New Roman"/>
                <w:color w:val="auto"/>
                <w:kern w:val="0"/>
                <w:sz w:val="22"/>
                <w:szCs w:val="22"/>
              </w:rPr>
              <w:t>。</w:t>
            </w:r>
          </w:p>
        </w:tc>
        <w:tc>
          <w:tcPr>
            <w:tcW w:w="7341" w:type="dxa"/>
            <w:tcBorders>
              <w:bottom w:val="single" w:color="auto" w:sz="4" w:space="0"/>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eastAsia" w:eastAsia="宋体" w:cs="Times New Roman"/>
                <w:color w:val="auto"/>
                <w:kern w:val="0"/>
                <w:sz w:val="22"/>
                <w:szCs w:val="22"/>
                <w:lang w:val="en-US" w:eastAsia="zh-CN"/>
              </w:rPr>
              <w:t>122%</w:t>
            </w:r>
            <w:r>
              <w:rPr>
                <w:rFonts w:hint="default" w:ascii="Times New Roman" w:hAnsi="Times New Roman" w:eastAsia="宋体" w:cs="Times New Roman"/>
                <w:color w:val="auto"/>
                <w:kern w:val="0"/>
                <w:sz w:val="22"/>
                <w:szCs w:val="22"/>
              </w:rPr>
              <w:t>=（</w:t>
            </w:r>
            <w:r>
              <w:rPr>
                <w:rFonts w:hint="eastAsia" w:eastAsia="宋体" w:cs="Times New Roman"/>
                <w:color w:val="auto"/>
                <w:kern w:val="0"/>
                <w:sz w:val="22"/>
                <w:szCs w:val="22"/>
                <w:lang w:val="en-US" w:eastAsia="zh-CN"/>
              </w:rPr>
              <w:t>30</w:t>
            </w:r>
            <w:r>
              <w:rPr>
                <w:rFonts w:hint="default" w:ascii="Times New Roman" w:hAnsi="Times New Roman" w:eastAsia="宋体" w:cs="Times New Roman"/>
                <w:color w:val="auto"/>
                <w:kern w:val="0"/>
                <w:sz w:val="22"/>
                <w:szCs w:val="22"/>
              </w:rPr>
              <w:t>/</w:t>
            </w:r>
            <w:r>
              <w:rPr>
                <w:rFonts w:hint="eastAsia" w:eastAsia="宋体" w:cs="Times New Roman"/>
                <w:color w:val="auto"/>
                <w:kern w:val="0"/>
                <w:sz w:val="22"/>
                <w:szCs w:val="22"/>
                <w:lang w:val="en-US" w:eastAsia="zh-CN"/>
              </w:rPr>
              <w:t>36.7</w:t>
            </w:r>
            <w:r>
              <w:rPr>
                <w:rFonts w:hint="default" w:ascii="Times New Roman" w:hAnsi="Times New Roman" w:eastAsia="宋体" w:cs="Times New Roman"/>
                <w:color w:val="auto"/>
                <w:kern w:val="0"/>
                <w:sz w:val="22"/>
                <w:szCs w:val="22"/>
              </w:rPr>
              <w:t>）×100%。</w:t>
            </w:r>
          </w:p>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rPr>
            </w:pPr>
            <w:r>
              <w:rPr>
                <w:rFonts w:hint="default" w:ascii="Times New Roman" w:hAnsi="Times New Roman" w:eastAsia="宋体" w:cs="Times New Roman"/>
                <w:color w:val="auto"/>
                <w:kern w:val="0"/>
                <w:sz w:val="22"/>
                <w:szCs w:val="22"/>
              </w:rPr>
              <w:t>质量达标产出数：</w:t>
            </w:r>
            <w:r>
              <w:rPr>
                <w:rFonts w:hint="eastAsia" w:eastAsia="宋体" w:cs="Times New Roman"/>
                <w:color w:val="auto"/>
                <w:kern w:val="0"/>
                <w:sz w:val="22"/>
                <w:szCs w:val="22"/>
                <w:lang w:val="en-US" w:eastAsia="zh-CN"/>
              </w:rPr>
              <w:t>计划旅客吞吐量持续增长30%，实际增长36.7%。</w:t>
            </w:r>
          </w:p>
        </w:tc>
        <w:tc>
          <w:tcPr>
            <w:tcW w:w="852" w:type="dxa"/>
            <w:gridSpan w:val="3"/>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10</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63" w:type="dxa"/>
            <w:vMerge w:val="continue"/>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tcBorders>
              <w:tl2br w:val="nil"/>
              <w:tr2bl w:val="nil"/>
            </w:tcBorders>
            <w:shd w:val="clear" w:color="auto" w:fill="FFFFFF"/>
            <w:vAlign w:val="center"/>
          </w:tcPr>
          <w:p>
            <w:pPr>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产出时效（5分）</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完成及时性</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完成时间为2018年12月31日</w:t>
            </w:r>
          </w:p>
        </w:tc>
        <w:tc>
          <w:tcPr>
            <w:tcW w:w="7341" w:type="dxa"/>
            <w:tcBorders>
              <w:tl2br w:val="nil"/>
              <w:tr2bl w:val="nil"/>
            </w:tcBorders>
            <w:shd w:val="clear" w:color="000000" w:fill="FFFFFF"/>
            <w:vAlign w:val="center"/>
          </w:tcPr>
          <w:p>
            <w:pPr>
              <w:widowControl/>
              <w:wordWrap/>
              <w:adjustRightInd/>
              <w:snapToGrid/>
              <w:spacing w:line="600" w:lineRule="exact"/>
              <w:textAlignment w:val="auto"/>
              <w:rPr>
                <w:rFonts w:hint="eastAsia" w:eastAsia="宋体" w:cs="Times New Roman"/>
                <w:color w:val="auto"/>
                <w:kern w:val="0"/>
                <w:sz w:val="22"/>
                <w:szCs w:val="22"/>
                <w:lang w:val="en-US" w:eastAsia="zh-CN"/>
              </w:rPr>
            </w:pPr>
            <w:r>
              <w:rPr>
                <w:rFonts w:hint="default" w:ascii="Times New Roman" w:hAnsi="Times New Roman" w:eastAsia="宋体" w:cs="Times New Roman"/>
                <w:color w:val="auto"/>
                <w:kern w:val="0"/>
                <w:sz w:val="22"/>
                <w:szCs w:val="22"/>
              </w:rPr>
              <w:t>实际完成时间：</w:t>
            </w:r>
            <w:r>
              <w:rPr>
                <w:rFonts w:hint="eastAsia" w:eastAsia="宋体" w:cs="Times New Roman"/>
                <w:color w:val="auto"/>
                <w:kern w:val="0"/>
                <w:sz w:val="22"/>
                <w:szCs w:val="22"/>
                <w:lang w:val="en-US" w:eastAsia="zh-CN"/>
              </w:rPr>
              <w:t>2018年12月31日</w:t>
            </w:r>
          </w:p>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计划完成时间：</w:t>
            </w:r>
            <w:r>
              <w:rPr>
                <w:rFonts w:hint="eastAsia" w:eastAsia="宋体" w:cs="Times New Roman"/>
                <w:color w:val="auto"/>
                <w:kern w:val="0"/>
                <w:sz w:val="22"/>
                <w:szCs w:val="22"/>
                <w:lang w:val="en-US" w:eastAsia="zh-CN"/>
              </w:rPr>
              <w:t>2018年12月31日</w:t>
            </w:r>
          </w:p>
        </w:tc>
        <w:tc>
          <w:tcPr>
            <w:tcW w:w="852" w:type="dxa"/>
            <w:gridSpan w:val="3"/>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1" w:hRule="atLeast"/>
          <w:jc w:val="center"/>
        </w:trPr>
        <w:tc>
          <w:tcPr>
            <w:tcW w:w="763" w:type="dxa"/>
            <w:vMerge w:val="continue"/>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p>
        </w:tc>
        <w:tc>
          <w:tcPr>
            <w:tcW w:w="1297"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产出成本（5分）</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成本节约率</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eastAsia" w:ascii="Times New Roman" w:hAnsi="Times New Roman" w:eastAsia="宋体" w:cs="Times New Roman"/>
                <w:color w:val="auto"/>
                <w:kern w:val="0"/>
                <w:sz w:val="22"/>
                <w:szCs w:val="22"/>
                <w:lang w:val="en-US" w:eastAsia="zh-CN"/>
              </w:rPr>
              <w:t>全年</w:t>
            </w:r>
            <w:r>
              <w:rPr>
                <w:rFonts w:hint="eastAsia" w:ascii="Times New Roman" w:hAnsi="Times New Roman" w:eastAsia="宋体" w:cs="Times New Roman"/>
                <w:color w:val="auto"/>
                <w:kern w:val="0"/>
                <w:sz w:val="22"/>
                <w:szCs w:val="22"/>
              </w:rPr>
              <w:t>总额低于1亿元，未超出项目总预算</w:t>
            </w:r>
            <w:r>
              <w:rPr>
                <w:rFonts w:hint="default" w:ascii="Times New Roman" w:hAnsi="Times New Roman" w:eastAsia="宋体" w:cs="Times New Roman"/>
                <w:color w:val="auto"/>
                <w:kern w:val="0"/>
                <w:sz w:val="22"/>
                <w:szCs w:val="22"/>
              </w:rPr>
              <w:t>。</w:t>
            </w:r>
          </w:p>
        </w:tc>
        <w:tc>
          <w:tcPr>
            <w:tcW w:w="7341"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br w:type="textWrapping"/>
            </w:r>
            <w:r>
              <w:rPr>
                <w:rFonts w:hint="eastAsia" w:ascii="Times New Roman" w:hAnsi="Times New Roman" w:eastAsia="宋体" w:cs="Times New Roman"/>
                <w:color w:val="auto"/>
                <w:kern w:val="0"/>
                <w:sz w:val="22"/>
                <w:szCs w:val="22"/>
                <w:lang w:val="en-US" w:eastAsia="zh-CN"/>
              </w:rPr>
              <w:t>全年</w:t>
            </w:r>
            <w:r>
              <w:rPr>
                <w:rFonts w:hint="eastAsia" w:ascii="Times New Roman" w:hAnsi="Times New Roman" w:eastAsia="宋体" w:cs="Times New Roman"/>
                <w:color w:val="auto"/>
                <w:kern w:val="0"/>
                <w:sz w:val="22"/>
                <w:szCs w:val="22"/>
              </w:rPr>
              <w:t>总额低于1亿元，未超出项目总预算</w:t>
            </w:r>
            <w:r>
              <w:rPr>
                <w:rFonts w:hint="default" w:ascii="Times New Roman" w:hAnsi="Times New Roman" w:eastAsia="宋体" w:cs="Times New Roman"/>
                <w:color w:val="auto"/>
                <w:kern w:val="0"/>
                <w:sz w:val="22"/>
                <w:szCs w:val="22"/>
              </w:rPr>
              <w:t>。</w:t>
            </w:r>
          </w:p>
        </w:tc>
        <w:tc>
          <w:tcPr>
            <w:tcW w:w="852" w:type="dxa"/>
            <w:gridSpan w:val="3"/>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eastAsia"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63"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效益（30分）　</w:t>
            </w:r>
          </w:p>
        </w:tc>
        <w:tc>
          <w:tcPr>
            <w:tcW w:w="1297" w:type="dxa"/>
            <w:vMerge w:val="restart"/>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项目效益（30分）　</w:t>
            </w:r>
          </w:p>
        </w:tc>
        <w:tc>
          <w:tcPr>
            <w:tcW w:w="1411" w:type="dxa"/>
            <w:tcBorders>
              <w:tl2br w:val="nil"/>
              <w:tr2bl w:val="nil"/>
            </w:tcBorders>
            <w:shd w:val="clear" w:color="auto" w:fill="FFFFFF"/>
            <w:vAlign w:val="center"/>
          </w:tcPr>
          <w:p>
            <w:pPr>
              <w:widowControl/>
              <w:wordWrap/>
              <w:adjustRightInd/>
              <w:snapToGrid/>
              <w:spacing w:line="600" w:lineRule="exact"/>
              <w:jc w:val="center"/>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实施效益</w:t>
            </w:r>
          </w:p>
        </w:tc>
        <w:tc>
          <w:tcPr>
            <w:tcW w:w="2789" w:type="dxa"/>
            <w:tcBorders>
              <w:tl2br w:val="nil"/>
              <w:tr2bl w:val="nil"/>
            </w:tcBorders>
            <w:shd w:val="clear" w:color="auto" w:fill="FFFFFF"/>
            <w:vAlign w:val="center"/>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改善南疆出行条件、助推脱贫攻坚。</w:t>
            </w:r>
          </w:p>
        </w:tc>
        <w:tc>
          <w:tcPr>
            <w:tcW w:w="7341" w:type="dxa"/>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改善南疆出行条件、助推脱贫攻坚、促进各民族交往交流交融，实现新疆社会稳定和长治久安总目标</w:t>
            </w:r>
          </w:p>
        </w:tc>
        <w:tc>
          <w:tcPr>
            <w:tcW w:w="852" w:type="dxa"/>
            <w:gridSpan w:val="3"/>
            <w:tcBorders>
              <w:top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20</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jc w:val="lef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09" w:hRule="atLeast"/>
          <w:jc w:val="center"/>
        </w:trPr>
        <w:tc>
          <w:tcPr>
            <w:tcW w:w="763" w:type="dxa"/>
            <w:vMerge w:val="continue"/>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p>
        </w:tc>
        <w:tc>
          <w:tcPr>
            <w:tcW w:w="1297" w:type="dxa"/>
            <w:vMerge w:val="continue"/>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p>
        </w:tc>
        <w:tc>
          <w:tcPr>
            <w:tcW w:w="1411" w:type="dxa"/>
            <w:tcBorders>
              <w:tl2br w:val="nil"/>
              <w:tr2bl w:val="nil"/>
            </w:tcBorders>
            <w:shd w:val="clear" w:color="auto"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满意度</w:t>
            </w:r>
          </w:p>
        </w:tc>
        <w:tc>
          <w:tcPr>
            <w:tcW w:w="2789"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社会公众或服务对象对项目实施效果的满意程度</w:t>
            </w:r>
            <w:r>
              <w:rPr>
                <w:rFonts w:hint="eastAsia" w:ascii="Times New Roman" w:hAnsi="Times New Roman" w:eastAsia="宋体" w:cs="Times New Roman"/>
                <w:color w:val="auto"/>
                <w:kern w:val="0"/>
                <w:sz w:val="22"/>
                <w:szCs w:val="22"/>
                <w:lang w:val="en-US" w:eastAsia="zh-CN"/>
              </w:rPr>
              <w:t>90%</w:t>
            </w:r>
            <w:r>
              <w:rPr>
                <w:rFonts w:hint="default" w:ascii="Times New Roman" w:hAnsi="Times New Roman" w:eastAsia="宋体" w:cs="Times New Roman"/>
                <w:color w:val="auto"/>
                <w:kern w:val="0"/>
                <w:sz w:val="22"/>
                <w:szCs w:val="22"/>
              </w:rPr>
              <w:t>。</w:t>
            </w:r>
          </w:p>
        </w:tc>
        <w:tc>
          <w:tcPr>
            <w:tcW w:w="7341" w:type="dxa"/>
            <w:tcBorders>
              <w:tl2br w:val="nil"/>
              <w:tr2bl w:val="nil"/>
            </w:tcBorders>
            <w:shd w:val="clear" w:color="000000" w:fill="FFFFFF"/>
            <w:vAlign w:val="center"/>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rPr>
            </w:pPr>
            <w:r>
              <w:rPr>
                <w:rFonts w:hint="default" w:ascii="Times New Roman" w:hAnsi="Times New Roman" w:eastAsia="宋体" w:cs="Times New Roman"/>
                <w:color w:val="auto"/>
                <w:kern w:val="0"/>
                <w:sz w:val="22"/>
                <w:szCs w:val="22"/>
              </w:rPr>
              <w:t>社会公众或服务对象对项目实施效果的满意程度</w:t>
            </w:r>
            <w:r>
              <w:rPr>
                <w:rFonts w:hint="eastAsia" w:ascii="Times New Roman" w:hAnsi="Times New Roman" w:eastAsia="宋体" w:cs="Times New Roman"/>
                <w:color w:val="auto"/>
                <w:kern w:val="0"/>
                <w:sz w:val="22"/>
                <w:szCs w:val="22"/>
                <w:lang w:val="en-US" w:eastAsia="zh-CN"/>
              </w:rPr>
              <w:t>90%</w:t>
            </w:r>
            <w:r>
              <w:rPr>
                <w:rFonts w:hint="default" w:ascii="Times New Roman" w:hAnsi="Times New Roman" w:eastAsia="宋体" w:cs="Times New Roman"/>
                <w:color w:val="auto"/>
                <w:kern w:val="0"/>
                <w:sz w:val="22"/>
                <w:szCs w:val="22"/>
              </w:rPr>
              <w:t>。</w:t>
            </w:r>
          </w:p>
        </w:tc>
        <w:tc>
          <w:tcPr>
            <w:tcW w:w="852" w:type="dxa"/>
            <w:gridSpan w:val="3"/>
            <w:tcBorders>
              <w:top w:val="single" w:color="auto" w:sz="4" w:space="0"/>
              <w:bottom w:val="single" w:color="auto" w:sz="4" w:space="0"/>
              <w:right w:val="single" w:color="auto" w:sz="4" w:space="0"/>
            </w:tcBorders>
            <w:vAlign w:val="top"/>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10</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eastAsia="zh-CN"/>
              </w:rPr>
            </w:pPr>
            <w:r>
              <w:rPr>
                <w:rFonts w:hint="eastAsia" w:ascii="Times New Roman" w:hAnsi="Times New Roman" w:eastAsia="宋体" w:cs="Times New Roman"/>
                <w:color w:val="auto"/>
                <w:kern w:val="0"/>
                <w:sz w:val="22"/>
                <w:szCs w:val="22"/>
                <w:lang w:val="en-US" w:eastAsia="zh-CN"/>
              </w:rPr>
              <w:t>10</w:t>
            </w:r>
          </w:p>
          <w:p>
            <w:pPr>
              <w:widowControl/>
              <w:wordWrap/>
              <w:adjustRightInd/>
              <w:snapToGrid/>
              <w:spacing w:line="600" w:lineRule="exact"/>
              <w:textAlignment w:val="auto"/>
              <w:rPr>
                <w:rFonts w:hint="eastAsia" w:ascii="Times New Roman" w:hAnsi="Times New Roman" w:eastAsia="宋体" w:cs="Times New Roman"/>
                <w:color w:val="auto"/>
                <w:kern w:val="0"/>
                <w:sz w:val="22"/>
                <w:szCs w:val="22"/>
                <w:lang w:val="en-US" w:eastAsia="zh-CN"/>
              </w:rPr>
            </w:pPr>
          </w:p>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eastAsia="zh-CN"/>
              </w:rPr>
            </w:pPr>
          </w:p>
          <w:p>
            <w:pPr>
              <w:widowControl/>
              <w:wordWrap/>
              <w:adjustRightInd/>
              <w:snapToGrid/>
              <w:spacing w:line="600" w:lineRule="exact"/>
              <w:textAlignment w:val="auto"/>
              <w:rPr>
                <w:rFonts w:hint="eastAsia" w:ascii="Times New Roman" w:hAnsi="Times New Roman" w:eastAsia="宋体" w:cs="Times New Roman"/>
                <w:color w:val="auto"/>
                <w:kern w:val="0"/>
                <w:sz w:val="22"/>
                <w:szCs w:val="22"/>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4" w:hRule="atLeast"/>
          <w:jc w:val="center"/>
        </w:trPr>
        <w:tc>
          <w:tcPr>
            <w:tcW w:w="13601" w:type="dxa"/>
            <w:gridSpan w:val="5"/>
            <w:tcBorders>
              <w:tl2br w:val="nil"/>
              <w:tr2bl w:val="nil"/>
            </w:tcBorders>
            <w:shd w:val="clear" w:color="auto" w:fill="FFFFFF"/>
            <w:vAlign w:val="center"/>
          </w:tcPr>
          <w:p>
            <w:pPr>
              <w:widowControl/>
              <w:wordWrap/>
              <w:adjustRightInd/>
              <w:snapToGrid/>
              <w:spacing w:line="600" w:lineRule="exact"/>
              <w:textAlignment w:val="auto"/>
              <w:rPr>
                <w:rFonts w:hint="eastAsia" w:ascii="Times New Roman" w:hAnsi="Times New Roman" w:eastAsia="宋体" w:cs="Times New Roman"/>
                <w:color w:val="auto"/>
                <w:kern w:val="0"/>
                <w:sz w:val="22"/>
                <w:szCs w:val="22"/>
                <w:lang w:eastAsia="zh-CN"/>
              </w:rPr>
            </w:pPr>
            <w:r>
              <w:rPr>
                <w:rFonts w:hint="eastAsia" w:ascii="Times New Roman" w:hAnsi="Times New Roman" w:eastAsia="宋体" w:cs="Times New Roman"/>
                <w:color w:val="auto"/>
                <w:kern w:val="0"/>
                <w:sz w:val="22"/>
                <w:szCs w:val="22"/>
                <w:lang w:eastAsia="zh-CN"/>
              </w:rPr>
              <w:t>总分</w:t>
            </w:r>
          </w:p>
        </w:tc>
        <w:tc>
          <w:tcPr>
            <w:tcW w:w="852" w:type="dxa"/>
            <w:gridSpan w:val="3"/>
            <w:tcBorders>
              <w:top w:val="single" w:color="auto" w:sz="4" w:space="0"/>
              <w:bottom w:val="single" w:color="auto" w:sz="4" w:space="0"/>
              <w:right w:val="single" w:color="auto" w:sz="4" w:space="0"/>
            </w:tcBorders>
            <w:vAlign w:val="top"/>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100</w:t>
            </w:r>
          </w:p>
        </w:tc>
        <w:tc>
          <w:tcPr>
            <w:tcW w:w="922" w:type="dxa"/>
            <w:gridSpan w:val="3"/>
            <w:tcBorders>
              <w:top w:val="single" w:color="auto" w:sz="4" w:space="0"/>
              <w:left w:val="single" w:color="auto" w:sz="4" w:space="0"/>
              <w:bottom w:val="single" w:color="auto" w:sz="4" w:space="0"/>
              <w:right w:val="single" w:color="auto" w:sz="4" w:space="0"/>
            </w:tcBorders>
            <w:vAlign w:val="top"/>
          </w:tcPr>
          <w:p>
            <w:pPr>
              <w:widowControl/>
              <w:wordWrap/>
              <w:adjustRightInd/>
              <w:snapToGrid/>
              <w:spacing w:line="600" w:lineRule="exact"/>
              <w:textAlignment w:val="auto"/>
              <w:rPr>
                <w:rFonts w:hint="default" w:ascii="Times New Roman" w:hAnsi="Times New Roman" w:eastAsia="宋体" w:cs="Times New Roman"/>
                <w:color w:val="auto"/>
                <w:kern w:val="0"/>
                <w:sz w:val="22"/>
                <w:szCs w:val="22"/>
                <w:lang w:val="en-US" w:eastAsia="zh-CN"/>
              </w:rPr>
            </w:pPr>
            <w:r>
              <w:rPr>
                <w:rFonts w:hint="eastAsia" w:eastAsia="宋体" w:cs="Times New Roman"/>
                <w:color w:val="auto"/>
                <w:kern w:val="0"/>
                <w:sz w:val="22"/>
                <w:szCs w:val="22"/>
                <w:lang w:val="en-US" w:eastAsia="zh-CN"/>
              </w:rPr>
              <w:t>98</w:t>
            </w:r>
          </w:p>
        </w:tc>
      </w:tr>
    </w:tbl>
    <w:p>
      <w:pPr>
        <w:wordWrap/>
        <w:adjustRightInd/>
        <w:snapToGrid/>
        <w:spacing w:line="600" w:lineRule="exact"/>
        <w:textAlignment w:val="auto"/>
        <w:rPr>
          <w:rFonts w:hint="default" w:ascii="Times New Roman" w:hAnsi="Times New Roman" w:cs="Times New Roman"/>
          <w:color w:val="auto"/>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t>1</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3"/>
      <w:numFmt w:val="chineseCounting"/>
      <w:suff w:val="nothing"/>
      <w:lvlText w:val="%1、"/>
      <w:lvlJc w:val="left"/>
    </w:lvl>
  </w:abstractNum>
  <w:abstractNum w:abstractNumId="1">
    <w:nsid w:val="00000003"/>
    <w:multiLevelType w:val="singleLevel"/>
    <w:tmpl w:val="00000003"/>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EF96DD6"/>
    <w:rsid w:val="418E3BBE"/>
    <w:rsid w:val="57F40239"/>
    <w:rsid w:val="6E403FC5"/>
    <w:rsid w:val="71AB178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4">
    <w:name w:val="heading 2"/>
    <w:basedOn w:val="1"/>
    <w:next w:val="1"/>
    <w:link w:val="14"/>
    <w:qFormat/>
    <w:uiPriority w:val="0"/>
    <w:pPr>
      <w:keepNext/>
      <w:keepLines/>
      <w:spacing w:before="260" w:after="260" w:line="413" w:lineRule="auto"/>
      <w:outlineLvl w:val="1"/>
    </w:pPr>
    <w:rPr>
      <w:rFonts w:ascii="Arial" w:hAnsi="Arial" w:eastAsia="黑体" w:cs="Times New Roman"/>
      <w:b/>
      <w:sz w:val="32"/>
      <w:szCs w:val="24"/>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3"/>
    <w:unhideWhenUsed/>
    <w:qFormat/>
    <w:uiPriority w:val="99"/>
    <w:pPr>
      <w:spacing w:after="120"/>
      <w:ind w:left="420" w:leftChars="200" w:firstLine="420"/>
    </w:pPr>
    <w:rPr>
      <w:rFonts w:eastAsia="宋体" w:cs="Arial"/>
      <w:sz w:val="21"/>
    </w:rPr>
  </w:style>
  <w:style w:type="paragraph" w:styleId="3">
    <w:name w:val="Body Text Indent"/>
    <w:basedOn w:val="1"/>
    <w:qFormat/>
    <w:uiPriority w:val="0"/>
    <w:pPr>
      <w:ind w:firstLine="640" w:firstLineChars="200"/>
    </w:pPr>
    <w:rPr>
      <w:rFonts w:ascii="Calibri" w:hAnsi="Calibri" w:eastAsia="方正仿宋简体" w:cs="Times New Roman"/>
      <w:sz w:val="32"/>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bCs/>
    </w:rPr>
  </w:style>
  <w:style w:type="paragraph" w:customStyle="1" w:styleId="10">
    <w:name w:val="Body Text First Indent 2"/>
    <w:basedOn w:val="11"/>
    <w:next w:val="11"/>
    <w:qFormat/>
    <w:uiPriority w:val="0"/>
    <w:pPr>
      <w:spacing w:after="120"/>
      <w:ind w:left="420" w:leftChars="200" w:firstLine="420"/>
    </w:pPr>
    <w:rPr>
      <w:rFonts w:eastAsia="宋体" w:cs="Arial"/>
      <w:sz w:val="21"/>
    </w:rPr>
  </w:style>
  <w:style w:type="paragraph" w:customStyle="1" w:styleId="11">
    <w:name w:val="Body Text Indent"/>
    <w:basedOn w:val="1"/>
    <w:qFormat/>
    <w:uiPriority w:val="0"/>
    <w:pPr>
      <w:ind w:firstLine="640" w:firstLineChars="200"/>
    </w:pPr>
    <w:rPr>
      <w:rFonts w:ascii="Calibri" w:hAnsi="Calibri" w:eastAsia="方正仿宋简体" w:cs="Times New Roman"/>
      <w:sz w:val="32"/>
    </w:rPr>
  </w:style>
  <w:style w:type="character" w:customStyle="1" w:styleId="12">
    <w:name w:val="页眉 字符"/>
    <w:basedOn w:val="8"/>
    <w:link w:val="6"/>
    <w:semiHidden/>
    <w:qFormat/>
    <w:uiPriority w:val="0"/>
    <w:rPr>
      <w:sz w:val="18"/>
      <w:szCs w:val="18"/>
    </w:rPr>
  </w:style>
  <w:style w:type="character" w:customStyle="1" w:styleId="13">
    <w:name w:val="页脚 字符"/>
    <w:basedOn w:val="8"/>
    <w:link w:val="5"/>
    <w:semiHidden/>
    <w:qFormat/>
    <w:uiPriority w:val="0"/>
    <w:rPr>
      <w:sz w:val="18"/>
      <w:szCs w:val="18"/>
    </w:rPr>
  </w:style>
  <w:style w:type="character" w:customStyle="1" w:styleId="14">
    <w:name w:val="标题 2 字符"/>
    <w:basedOn w:val="8"/>
    <w:link w:val="4"/>
    <w:semiHidden/>
    <w:qFormat/>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87FB7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430</Words>
  <Characters>2452</Characters>
  <Lines>20</Lines>
  <Paragraphs>5</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2020-04-15T11:47:00Z</dcterms:created>
  <dc:creator>CurUserName</dc:creator>
  <cp:lastModifiedBy>Administrator</cp:lastModifiedBy>
  <cp:lastPrinted>2020-06-04T21:46:00Z</cp:lastPrinted>
  <dcterms:modified xsi:type="dcterms:W3CDTF">2019-12-20T08:49:34Z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