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F5E" w:rsidRDefault="0058499D">
      <w:pPr>
        <w:jc w:val="center"/>
        <w:rPr>
          <w:rFonts w:ascii="Arial" w:eastAsia="宋体" w:hAnsi="Arial" w:cs="Arial"/>
          <w:b/>
          <w:bCs/>
          <w:sz w:val="36"/>
          <w:szCs w:val="36"/>
        </w:rPr>
      </w:pPr>
      <w:bookmarkStart w:id="0" w:name="_GoBack"/>
      <w:bookmarkEnd w:id="0"/>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BD0F5E" w:rsidRDefault="00BD0F5E">
      <w:pPr>
        <w:jc w:val="center"/>
        <w:rPr>
          <w:rFonts w:ascii="仿宋_GB2312"/>
          <w:szCs w:val="30"/>
        </w:rPr>
      </w:pPr>
    </w:p>
    <w:p w:rsidR="00BD0F5E" w:rsidRDefault="0058499D">
      <w:pPr>
        <w:spacing w:line="600" w:lineRule="exact"/>
        <w:ind w:firstLineChars="200" w:firstLine="600"/>
        <w:rPr>
          <w:rFonts w:ascii="黑体" w:eastAsia="黑体" w:hAnsi="黑体"/>
        </w:rPr>
      </w:pPr>
      <w:r>
        <w:rPr>
          <w:rFonts w:ascii="黑体" w:eastAsia="黑体" w:hAnsi="黑体" w:hint="eastAsia"/>
        </w:rPr>
        <w:t>一、基本情况</w:t>
      </w:r>
    </w:p>
    <w:p w:rsidR="00BD0F5E" w:rsidRPr="00E50A93" w:rsidRDefault="0058499D" w:rsidP="00E50A93">
      <w:pPr>
        <w:spacing w:line="600" w:lineRule="exact"/>
        <w:ind w:firstLineChars="200" w:firstLine="600"/>
        <w:outlineLvl w:val="0"/>
        <w:rPr>
          <w:rFonts w:ascii="仿宋_GB2312"/>
        </w:rPr>
      </w:pPr>
      <w:r w:rsidRPr="00E50A93">
        <w:rPr>
          <w:rFonts w:ascii="仿宋_GB2312" w:hint="eastAsia"/>
        </w:rPr>
        <w:t>受巴州卫生行政部门委托，代表巴州卫计委依法行使卫生法律、法规、规章规定的卫生监督执法职责。负责面向社会的职业卫生、公共场所卫生、学校卫生、化妆品卫生、放射诊疗等公共卫生、传染病、医疗机构、健康相关产品等日常卫生监督执法任务。负责公共场所、生活饮用水、放射诊疗卫生许可证的申请受理、现场卫生审查和发证工作。负责对违反卫生法律、法规、规章案件的受理、立案和调查处理工作。负责国家、自治区和自治州卫生行政部门下达产品抽检，快检监测工作和专项整治任务的实施。负责国家卫生法律、法规、规章包括卫生知识的宣传培训工作。负责上级卫生行政部门交办的其它卫生监督工作。</w:t>
      </w:r>
      <w:r>
        <w:rPr>
          <w:rFonts w:ascii="仿宋_GB2312" w:hint="eastAsia"/>
        </w:rPr>
        <w:t>2019年保障卫生监督各项业务经费12万元，支出11.14万元，开展督导</w:t>
      </w:r>
      <w:r w:rsidRPr="00E50A93">
        <w:rPr>
          <w:rFonts w:ascii="仿宋_GB2312" w:hint="eastAsia"/>
        </w:rPr>
        <w:t>检查监督，全面推进巴州医疗体制改革和卫生计生工作。</w:t>
      </w:r>
    </w:p>
    <w:p w:rsidR="00BD0F5E" w:rsidRDefault="0058499D">
      <w:pPr>
        <w:numPr>
          <w:ilvl w:val="0"/>
          <w:numId w:val="1"/>
        </w:numPr>
        <w:spacing w:line="600" w:lineRule="exact"/>
        <w:ind w:firstLineChars="200" w:firstLine="600"/>
        <w:rPr>
          <w:rFonts w:ascii="仿宋_GB2312"/>
        </w:rPr>
      </w:pPr>
      <w:r>
        <w:rPr>
          <w:rFonts w:ascii="仿宋_GB2312" w:hint="eastAsia"/>
        </w:rPr>
        <w:t>项目绩效目标。包括总体目标和阶段性目标。</w:t>
      </w:r>
    </w:p>
    <w:p w:rsidR="00BD0F5E" w:rsidRDefault="0058499D">
      <w:pPr>
        <w:spacing w:line="600" w:lineRule="exact"/>
        <w:rPr>
          <w:rFonts w:ascii="仿宋_GB2312"/>
        </w:rPr>
      </w:pPr>
      <w:r>
        <w:rPr>
          <w:rFonts w:ascii="仿宋_GB2312" w:hint="eastAsia"/>
        </w:rPr>
        <w:t>总体目标：认真贯彻落实相关重要指示精神和具体部署，抓好基层基础工作，全面推进单位相关工作持续健康发展，提升医疗服务质量和服务水平，满足人民群众需求，实现卫生健康工作的可持续发展。</w:t>
      </w:r>
    </w:p>
    <w:p w:rsidR="00BD0F5E" w:rsidRDefault="0058499D">
      <w:pPr>
        <w:spacing w:line="600" w:lineRule="exact"/>
        <w:rPr>
          <w:rFonts w:ascii="仿宋_GB2312"/>
        </w:rPr>
      </w:pPr>
      <w:r>
        <w:rPr>
          <w:rFonts w:ascii="仿宋_GB2312" w:hint="eastAsia"/>
        </w:rPr>
        <w:t>阶段性目标：1.全年按照国家双随机的任务开展双随机监督检查，</w:t>
      </w:r>
    </w:p>
    <w:p w:rsidR="00BD0F5E" w:rsidRDefault="0058499D">
      <w:pPr>
        <w:spacing w:line="600" w:lineRule="exact"/>
        <w:rPr>
          <w:rFonts w:ascii="仿宋_GB2312"/>
        </w:rPr>
      </w:pPr>
      <w:r>
        <w:rPr>
          <w:rFonts w:ascii="仿宋_GB2312" w:hint="eastAsia"/>
        </w:rPr>
        <w:lastRenderedPageBreak/>
        <w:t>2.全年不定期的对医疗机构、医疗技术运行、医疗质量和安全，医疗服务、采供血机构以及行风建设等行业管理政策规范、标准情况进行督导检查。</w:t>
      </w:r>
    </w:p>
    <w:p w:rsidR="00BD0F5E" w:rsidRDefault="0058499D">
      <w:pPr>
        <w:spacing w:line="600" w:lineRule="exact"/>
        <w:rPr>
          <w:rFonts w:ascii="仿宋_GB2312"/>
        </w:rPr>
      </w:pPr>
      <w:r>
        <w:rPr>
          <w:rFonts w:ascii="仿宋_GB2312" w:hint="eastAsia"/>
        </w:rPr>
        <w:t>3.全年针对各卫生宣传日进行不定期的宣传服务</w:t>
      </w:r>
    </w:p>
    <w:p w:rsidR="00BD0F5E" w:rsidRDefault="0058499D">
      <w:pPr>
        <w:spacing w:line="600" w:lineRule="exact"/>
        <w:ind w:firstLineChars="200" w:firstLine="600"/>
        <w:rPr>
          <w:rFonts w:ascii="黑体" w:eastAsia="黑体" w:hAnsi="黑体"/>
        </w:rPr>
      </w:pPr>
      <w:r>
        <w:rPr>
          <w:rFonts w:ascii="黑体" w:eastAsia="黑体" w:hAnsi="黑体" w:hint="eastAsia"/>
        </w:rPr>
        <w:t>二、绩效评价工作开展情况</w:t>
      </w:r>
    </w:p>
    <w:p w:rsidR="00BD0F5E" w:rsidRDefault="0058499D">
      <w:pPr>
        <w:spacing w:line="600" w:lineRule="exact"/>
        <w:ind w:firstLineChars="200" w:firstLine="600"/>
        <w:rPr>
          <w:rFonts w:ascii="仿宋_GB2312"/>
        </w:rPr>
      </w:pPr>
      <w:r>
        <w:rPr>
          <w:rFonts w:ascii="仿宋_GB2312" w:hint="eastAsia"/>
        </w:rPr>
        <w:t>（一）绩效评价目的、对象和范围。</w:t>
      </w:r>
    </w:p>
    <w:p w:rsidR="00BD0F5E" w:rsidRDefault="0058499D">
      <w:pPr>
        <w:spacing w:line="600" w:lineRule="exact"/>
        <w:ind w:firstLineChars="200" w:firstLine="600"/>
        <w:rPr>
          <w:rFonts w:ascii="仿宋_GB2312"/>
        </w:rPr>
      </w:pPr>
      <w:r>
        <w:rPr>
          <w:rFonts w:ascii="仿宋_GB2312" w:hint="eastAsia"/>
        </w:rPr>
        <w:t>开展绩效评价是对于全年度进行项目的实施进行整体的把握，了解项目实施情况，做好项目绩效评估，预计是否达到绩效目标，主要对年初设置绩效监控的项目进行评价，在于了解项目实施动态，做出有效评价。</w:t>
      </w:r>
    </w:p>
    <w:p w:rsidR="00BD0F5E" w:rsidRDefault="0058499D">
      <w:pPr>
        <w:pStyle w:val="2"/>
        <w:ind w:leftChars="0" w:left="0" w:firstLine="600"/>
      </w:pPr>
      <w:r>
        <w:rPr>
          <w:rFonts w:hint="eastAsia"/>
        </w:rPr>
        <w:t>绩效评价</w:t>
      </w:r>
      <w:r>
        <w:t>对象：</w:t>
      </w:r>
      <w:r>
        <w:rPr>
          <w:rFonts w:hint="eastAsia"/>
        </w:rPr>
        <w:t>保障</w:t>
      </w:r>
      <w:r>
        <w:t>卫生监督各项业务</w:t>
      </w:r>
      <w:r>
        <w:rPr>
          <w:rFonts w:hint="eastAsia"/>
        </w:rPr>
        <w:t>工作</w:t>
      </w:r>
      <w:r>
        <w:t>经费</w:t>
      </w:r>
    </w:p>
    <w:p w:rsidR="00BD0F5E" w:rsidRDefault="0058499D">
      <w:pPr>
        <w:pStyle w:val="a3"/>
        <w:ind w:left="600"/>
      </w:pPr>
      <w:r>
        <w:rPr>
          <w:rFonts w:hint="eastAsia"/>
        </w:rPr>
        <w:t>绩效</w:t>
      </w:r>
      <w:r>
        <w:t>评价范围：</w:t>
      </w:r>
      <w:r>
        <w:rPr>
          <w:rFonts w:hint="eastAsia"/>
        </w:rPr>
        <w:t>保障</w:t>
      </w:r>
      <w:r>
        <w:t>卫生监督信息正常上报</w:t>
      </w:r>
    </w:p>
    <w:p w:rsidR="00BD0F5E" w:rsidRDefault="0058499D">
      <w:pPr>
        <w:numPr>
          <w:ilvl w:val="0"/>
          <w:numId w:val="1"/>
        </w:numPr>
        <w:spacing w:line="600" w:lineRule="exact"/>
        <w:ind w:firstLineChars="200" w:firstLine="600"/>
        <w:rPr>
          <w:rFonts w:ascii="仿宋_GB2312"/>
        </w:rPr>
      </w:pPr>
      <w:r>
        <w:rPr>
          <w:rFonts w:ascii="仿宋_GB2312" w:hint="eastAsia"/>
        </w:rPr>
        <w:t>绩效评价原则、评价指标体系（附表说明）、评价方法、评价标准等。</w:t>
      </w:r>
    </w:p>
    <w:p w:rsidR="00BD0F5E" w:rsidRDefault="0058499D">
      <w:pPr>
        <w:spacing w:line="600" w:lineRule="exact"/>
        <w:rPr>
          <w:rFonts w:ascii="仿宋_GB2312" w:hAnsi="仿宋_GB2312" w:cs="仿宋_GB2312"/>
          <w:bCs/>
          <w:szCs w:val="30"/>
        </w:rPr>
      </w:pPr>
      <w:r>
        <w:rPr>
          <w:rFonts w:ascii="仿宋_GB2312" w:hAnsi="仿宋_GB2312" w:cs="仿宋_GB2312" w:hint="eastAsia"/>
          <w:bCs/>
          <w:szCs w:val="30"/>
        </w:rPr>
        <w:t>1、绩效评价原则：</w:t>
      </w:r>
    </w:p>
    <w:p w:rsidR="00BD0F5E" w:rsidRPr="00E50A93" w:rsidRDefault="0058499D">
      <w:pPr>
        <w:spacing w:line="600" w:lineRule="exact"/>
        <w:rPr>
          <w:rFonts w:ascii="仿宋_GB2312"/>
        </w:rPr>
      </w:pPr>
      <w:r w:rsidRPr="00E50A93">
        <w:rPr>
          <w:rFonts w:ascii="仿宋_GB2312" w:hint="eastAsia"/>
        </w:rPr>
        <w:t>（1）科学公正。绩效评价应当运用科学合理的方法，按照规范的程序，对项目绩效进行客观、公正的反映。</w:t>
      </w:r>
    </w:p>
    <w:p w:rsidR="00BD0F5E" w:rsidRPr="00E50A93" w:rsidRDefault="0058499D">
      <w:pPr>
        <w:spacing w:line="600" w:lineRule="exact"/>
        <w:rPr>
          <w:rFonts w:ascii="仿宋_GB2312"/>
        </w:rPr>
      </w:pPr>
      <w:r w:rsidRPr="00E50A93">
        <w:rPr>
          <w:rFonts w:ascii="仿宋_GB2312"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BD0F5E" w:rsidRPr="00E50A93" w:rsidRDefault="0058499D">
      <w:pPr>
        <w:spacing w:line="600" w:lineRule="exact"/>
        <w:rPr>
          <w:rFonts w:ascii="仿宋_GB2312"/>
        </w:rPr>
      </w:pPr>
      <w:r w:rsidRPr="00E50A93">
        <w:rPr>
          <w:rFonts w:ascii="仿宋_GB2312" w:hint="eastAsia"/>
        </w:rPr>
        <w:t>（3）激励约束。绩效评价结果应与预算安排、政策调整、改进管理</w:t>
      </w:r>
      <w:r w:rsidRPr="00E50A93">
        <w:rPr>
          <w:rFonts w:ascii="仿宋_GB2312" w:hint="eastAsia"/>
        </w:rPr>
        <w:lastRenderedPageBreak/>
        <w:t>实质性挂钩，体现奖优罚劣和激励相容导向，有效要安排、低效要压减、无效要问责。</w:t>
      </w:r>
    </w:p>
    <w:p w:rsidR="00BD0F5E" w:rsidRDefault="0058499D">
      <w:pPr>
        <w:spacing w:line="600" w:lineRule="exact"/>
        <w:rPr>
          <w:rFonts w:ascii="仿宋_GB2312"/>
        </w:rPr>
      </w:pPr>
      <w:r w:rsidRPr="00E50A93">
        <w:rPr>
          <w:rFonts w:ascii="仿宋_GB2312" w:hint="eastAsia"/>
        </w:rPr>
        <w:t>（4）公开透明。绩效评价结果应依法依规公开，并自觉接受社会监督。</w:t>
      </w:r>
    </w:p>
    <w:p w:rsidR="00BD0F5E" w:rsidRDefault="0058499D">
      <w:pPr>
        <w:pStyle w:val="Default"/>
        <w:spacing w:line="520" w:lineRule="exact"/>
        <w:ind w:firstLine="608"/>
        <w:rPr>
          <w:rFonts w:ascii="Times New Roman" w:eastAsia="仿宋_GB2312" w:cs="Times New Roman"/>
          <w:spacing w:val="-8"/>
          <w:sz w:val="32"/>
          <w:szCs w:val="32"/>
        </w:rPr>
      </w:pPr>
      <w:r>
        <w:rPr>
          <w:rFonts w:ascii="Times New Roman" w:eastAsia="仿宋_GB2312" w:cs="Times New Roman" w:hint="eastAsia"/>
          <w:spacing w:val="-8"/>
          <w:sz w:val="32"/>
          <w:szCs w:val="32"/>
        </w:rPr>
        <w:t>2.</w:t>
      </w:r>
      <w:r>
        <w:rPr>
          <w:rFonts w:ascii="Times New Roman" w:eastAsia="仿宋_GB2312" w:cs="Times New Roman" w:hint="eastAsia"/>
          <w:spacing w:val="-8"/>
          <w:sz w:val="32"/>
          <w:szCs w:val="32"/>
        </w:rPr>
        <w:t>评价方法</w:t>
      </w:r>
    </w:p>
    <w:p w:rsidR="00BD0F5E" w:rsidRDefault="0058499D">
      <w:pPr>
        <w:spacing w:line="580" w:lineRule="exact"/>
        <w:ind w:firstLineChars="200" w:firstLine="600"/>
        <w:rPr>
          <w:rFonts w:ascii="仿宋_GB2312"/>
        </w:rPr>
      </w:pPr>
      <w:r>
        <w:rPr>
          <w:rFonts w:ascii="仿宋_GB2312" w:hint="eastAsia"/>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ascii="仿宋_GB2312" w:hint="eastAsia"/>
        </w:rPr>
        <w:t>我单位采用了成本效益分析法进行评价。</w:t>
      </w:r>
    </w:p>
    <w:p w:rsidR="00BD0F5E" w:rsidRDefault="0058499D">
      <w:pPr>
        <w:pStyle w:val="Default"/>
        <w:spacing w:line="520" w:lineRule="exact"/>
        <w:ind w:firstLineChars="233" w:firstLine="699"/>
        <w:rPr>
          <w:rFonts w:ascii="仿宋_GB2312" w:eastAsia="仿宋_GB2312" w:cs="Times New Roman"/>
          <w:color w:val="auto"/>
          <w:kern w:val="2"/>
          <w:sz w:val="30"/>
        </w:rPr>
      </w:pPr>
      <w:r>
        <w:rPr>
          <w:rFonts w:ascii="仿宋_GB2312" w:eastAsia="仿宋_GB2312" w:cs="Times New Roman" w:hint="eastAsia"/>
          <w:color w:val="auto"/>
          <w:kern w:val="2"/>
          <w:sz w:val="30"/>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公共卫生监管</w:t>
      </w:r>
      <w:r>
        <w:rPr>
          <w:rFonts w:ascii="仿宋_GB2312" w:eastAsia="仿宋_GB2312" w:cs="Times New Roman"/>
          <w:color w:val="auto"/>
          <w:kern w:val="2"/>
          <w:sz w:val="30"/>
        </w:rPr>
        <w:t>水平</w:t>
      </w:r>
      <w:r>
        <w:rPr>
          <w:rFonts w:ascii="仿宋_GB2312" w:eastAsia="仿宋_GB2312" w:cs="Times New Roman" w:hint="eastAsia"/>
          <w:color w:val="auto"/>
          <w:kern w:val="2"/>
          <w:sz w:val="30"/>
        </w:rPr>
        <w:t>及和谐社会的构建。</w:t>
      </w:r>
    </w:p>
    <w:p w:rsidR="00BD0F5E" w:rsidRDefault="0058499D">
      <w:pPr>
        <w:spacing w:line="520" w:lineRule="exact"/>
        <w:ind w:firstLineChars="233" w:firstLine="699"/>
        <w:outlineLvl w:val="0"/>
        <w:rPr>
          <w:szCs w:val="32"/>
        </w:rPr>
      </w:pPr>
      <w:r>
        <w:rPr>
          <w:szCs w:val="32"/>
        </w:rPr>
        <w:t>4.</w:t>
      </w:r>
      <w:r>
        <w:rPr>
          <w:szCs w:val="32"/>
        </w:rPr>
        <w:t>绩效评价标准</w:t>
      </w:r>
    </w:p>
    <w:p w:rsidR="00BD0F5E" w:rsidRPr="00E50A93" w:rsidRDefault="0058499D">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color w:val="auto"/>
          <w:kern w:val="2"/>
          <w:sz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p>
    <w:p w:rsidR="00BD0F5E" w:rsidRDefault="0058499D">
      <w:pPr>
        <w:spacing w:line="600" w:lineRule="exact"/>
        <w:ind w:firstLineChars="100" w:firstLine="301"/>
        <w:rPr>
          <w:rFonts w:ascii="仿宋_GB2312" w:hAnsi="仿宋_GB2312" w:cs="仿宋_GB2312"/>
          <w:b/>
        </w:rPr>
      </w:pPr>
      <w:r>
        <w:rPr>
          <w:rFonts w:ascii="仿宋_GB2312" w:hAnsi="仿宋_GB2312" w:cs="仿宋_GB2312" w:hint="eastAsia"/>
          <w:b/>
        </w:rPr>
        <w:lastRenderedPageBreak/>
        <w:t>（三）绩效评价工作过程。</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1、前期准备工作</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2、组织实施过程内容</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一是收集了项目决策、过程、产出及效益相关资料。</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二是通过与项目实施人员、财务人员进行座谈听取取得的成果和存在的问题，针对存在的问题进行探讨，给出相关建议。</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三是查阅账本、凭证，包括单位的总账、明细账及辅助账等进行核查，对项目的资金来源及去向进行分类整理。</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四是查阅项目档案,包括项目的分析报告等文件。</w:t>
      </w:r>
    </w:p>
    <w:p w:rsidR="00BD0F5E" w:rsidRPr="00E50A93" w:rsidRDefault="0058499D" w:rsidP="00E50A93">
      <w:pPr>
        <w:pStyle w:val="Default"/>
        <w:spacing w:line="520" w:lineRule="exact"/>
        <w:ind w:firstLine="640"/>
        <w:rPr>
          <w:rFonts w:ascii="仿宋_GB2312" w:eastAsia="仿宋_GB2312" w:cs="Times New Roman"/>
          <w:color w:val="auto"/>
          <w:kern w:val="2"/>
          <w:sz w:val="30"/>
        </w:rPr>
      </w:pPr>
      <w:bookmarkStart w:id="1" w:name="_Toc454729246"/>
      <w:bookmarkStart w:id="2" w:name="_Toc403599257"/>
      <w:r w:rsidRPr="00E50A93">
        <w:rPr>
          <w:rFonts w:ascii="仿宋_GB2312" w:eastAsia="仿宋_GB2312" w:cs="Times New Roman" w:hint="eastAsia"/>
          <w:color w:val="auto"/>
          <w:kern w:val="2"/>
          <w:sz w:val="30"/>
        </w:rPr>
        <w:t>通过了群众留言册、单位满意度调查表</w:t>
      </w:r>
      <w:bookmarkStart w:id="3" w:name="_Toc5831"/>
      <w:r w:rsidRPr="00E50A93">
        <w:rPr>
          <w:rFonts w:ascii="仿宋_GB2312" w:eastAsia="仿宋_GB2312" w:cs="Times New Roman" w:hint="eastAsia"/>
          <w:color w:val="auto"/>
          <w:kern w:val="2"/>
          <w:sz w:val="30"/>
        </w:rPr>
        <w:t>等方式了解社会公众对卫生监督执法工作的满意度。</w:t>
      </w:r>
      <w:bookmarkEnd w:id="1"/>
      <w:bookmarkEnd w:id="3"/>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lastRenderedPageBreak/>
        <w:t>3、绩效评价分析阶段</w:t>
      </w:r>
      <w:bookmarkEnd w:id="2"/>
    </w:p>
    <w:p w:rsidR="00BD0F5E" w:rsidRPr="00E50A93" w:rsidRDefault="0058499D" w:rsidP="00E50A93">
      <w:pPr>
        <w:pStyle w:val="Default"/>
        <w:spacing w:line="520" w:lineRule="exact"/>
        <w:ind w:firstLine="640"/>
        <w:rPr>
          <w:rFonts w:ascii="仿宋_GB2312" w:eastAsia="仿宋_GB2312" w:cs="Times New Roman"/>
          <w:color w:val="auto"/>
          <w:kern w:val="2"/>
          <w:sz w:val="30"/>
        </w:rPr>
      </w:pPr>
      <w:r w:rsidRPr="00E50A93">
        <w:rPr>
          <w:rFonts w:ascii="仿宋_GB2312" w:eastAsia="仿宋_GB2312" w:cs="Times New Roman" w:hint="eastAsia"/>
          <w:color w:val="auto"/>
          <w:kern w:val="2"/>
          <w:sz w:val="30"/>
        </w:rPr>
        <w:t>经过对收集到的资料进行比对和交叉验证后，确定用于继续分析和评价的证据，通过比较指标的实际情况与预期数据对应程度，最终确认评价结果。</w:t>
      </w:r>
    </w:p>
    <w:p w:rsidR="00BD0F5E" w:rsidRDefault="0058499D">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BD0F5E" w:rsidRDefault="0058499D">
      <w:pPr>
        <w:spacing w:line="600" w:lineRule="exact"/>
        <w:ind w:firstLineChars="200" w:firstLine="600"/>
        <w:rPr>
          <w:rFonts w:ascii="黑体" w:eastAsia="黑体" w:hAnsi="黑体"/>
        </w:rPr>
      </w:pPr>
      <w:r>
        <w:rPr>
          <w:rFonts w:ascii="黑体" w:eastAsia="黑体" w:hAnsi="黑体" w:hint="eastAsia"/>
        </w:rPr>
        <w:t>四、绩效评价指标分析</w:t>
      </w:r>
    </w:p>
    <w:p w:rsidR="00BD0F5E" w:rsidRDefault="0058499D">
      <w:pPr>
        <w:spacing w:line="600" w:lineRule="exact"/>
        <w:ind w:firstLineChars="200" w:firstLine="600"/>
        <w:outlineLvl w:val="0"/>
        <w:rPr>
          <w:rFonts w:ascii="仿宋_GB2312"/>
        </w:rPr>
      </w:pPr>
      <w:r>
        <w:rPr>
          <w:rFonts w:ascii="仿宋_GB2312" w:hint="eastAsia"/>
        </w:rPr>
        <w:t>（一）项目决策情况。</w:t>
      </w:r>
    </w:p>
    <w:p w:rsidR="00BD0F5E" w:rsidRDefault="0058499D">
      <w:pPr>
        <w:spacing w:line="360" w:lineRule="auto"/>
        <w:ind w:firstLineChars="200" w:firstLine="600"/>
        <w:outlineLvl w:val="0"/>
        <w:rPr>
          <w:rFonts w:ascii="仿宋_GB2312" w:hAnsi="仿宋_GB2312" w:cs="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）立项依据充分性</w:t>
      </w:r>
    </w:p>
    <w:p w:rsidR="00BD0F5E" w:rsidRDefault="0058499D">
      <w:pPr>
        <w:spacing w:line="360" w:lineRule="auto"/>
        <w:ind w:firstLineChars="200" w:firstLine="600"/>
        <w:outlineLvl w:val="0"/>
        <w:rPr>
          <w:rFonts w:ascii="仿宋_GB2312"/>
        </w:rPr>
      </w:pPr>
      <w:r>
        <w:rPr>
          <w:rFonts w:ascii="仿宋_GB2312" w:hAnsi="仿宋_GB2312" w:cs="仿宋_GB2312" w:hint="eastAsia"/>
        </w:rPr>
        <w:t>项目立项与部门职责范围相符，属于部门履职所需。</w:t>
      </w:r>
    </w:p>
    <w:p w:rsidR="00BD0F5E" w:rsidRDefault="0058499D">
      <w:pPr>
        <w:spacing w:line="360" w:lineRule="auto"/>
        <w:ind w:firstLineChars="200" w:firstLine="600"/>
        <w:outlineLvl w:val="0"/>
        <w:rPr>
          <w:rFonts w:ascii="仿宋_GB2312" w:hAnsi="仿宋_GB2312" w:cs="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）立项程序规范性</w:t>
      </w:r>
    </w:p>
    <w:p w:rsidR="00BD0F5E" w:rsidRDefault="0058499D">
      <w:pPr>
        <w:spacing w:line="360" w:lineRule="auto"/>
        <w:ind w:firstLineChars="200" w:firstLine="600"/>
        <w:outlineLvl w:val="0"/>
        <w:rPr>
          <w:rFonts w:ascii="仿宋_GB2312" w:hAnsi="仿宋_GB2312" w:cs="仿宋_GB2312"/>
        </w:rPr>
      </w:pPr>
      <w:r>
        <w:rPr>
          <w:rFonts w:ascii="仿宋_GB2312" w:hAnsi="仿宋_GB2312" w:cs="仿宋_GB2312" w:hint="eastAsia"/>
        </w:rPr>
        <w:t>项目是按照规定的程序设立；事前是已经过必要的研究、集体决策。</w:t>
      </w:r>
    </w:p>
    <w:p w:rsidR="00BD0F5E" w:rsidRDefault="0058499D">
      <w:pPr>
        <w:spacing w:line="360" w:lineRule="auto"/>
        <w:ind w:left="600"/>
        <w:outlineLvl w:val="0"/>
        <w:rPr>
          <w:rFonts w:ascii="仿宋_GB2312" w:hAnsi="仿宋_GB2312" w:cs="仿宋_GB2312"/>
        </w:rPr>
      </w:pPr>
      <w:r>
        <w:rPr>
          <w:rFonts w:ascii="仿宋_GB2312" w:hAnsi="仿宋_GB2312" w:cs="仿宋_GB2312"/>
        </w:rPr>
        <w:t>2</w:t>
      </w:r>
      <w:r>
        <w:rPr>
          <w:rFonts w:ascii="仿宋_GB2312" w:hAnsi="仿宋_GB2312" w:cs="仿宋_GB2312" w:hint="eastAsia"/>
        </w:rPr>
        <w:t>、绩效目标分析</w:t>
      </w:r>
    </w:p>
    <w:p w:rsidR="00BD0F5E" w:rsidRDefault="0058499D">
      <w:pPr>
        <w:spacing w:line="360" w:lineRule="auto"/>
        <w:ind w:left="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）绩效目标合理性</w:t>
      </w:r>
    </w:p>
    <w:p w:rsidR="00BD0F5E" w:rsidRDefault="0058499D">
      <w:pPr>
        <w:widowControl/>
        <w:spacing w:line="600" w:lineRule="exact"/>
        <w:ind w:leftChars="160" w:left="480"/>
        <w:jc w:val="left"/>
        <w:rPr>
          <w:rFonts w:ascii="仿宋_GB2312"/>
        </w:rPr>
      </w:pPr>
      <w:r>
        <w:rPr>
          <w:rFonts w:ascii="仿宋_GB2312" w:hAnsi="仿宋_GB2312" w:cs="仿宋_GB2312" w:hint="eastAsia"/>
          <w:kern w:val="0"/>
        </w:rPr>
        <w:t>项目是有绩效目标；项目绩效目标与实际工作内容是具有相关性；项目预期产出效益和效果是符合正常的业绩水平；是与预算确定的项目投资额或资金量相匹配。</w:t>
      </w:r>
    </w:p>
    <w:p w:rsidR="00BD0F5E" w:rsidRDefault="0058499D">
      <w:pPr>
        <w:spacing w:line="360" w:lineRule="auto"/>
        <w:ind w:firstLineChars="200" w:firstLine="600"/>
        <w:outlineLvl w:val="0"/>
        <w:rPr>
          <w:rFonts w:ascii="仿宋_GB2312"/>
        </w:rPr>
      </w:pPr>
      <w:r>
        <w:rPr>
          <w:rFonts w:ascii="仿宋_GB2312" w:hAnsi="仿宋_GB2312" w:cs="仿宋_GB2312" w:hint="eastAsia"/>
        </w:rPr>
        <w:t>（2</w:t>
      </w:r>
      <w:r>
        <w:rPr>
          <w:rFonts w:ascii="仿宋_GB2312" w:hAnsi="仿宋_GB2312" w:cs="仿宋_GB2312"/>
        </w:rPr>
        <w:t>）</w:t>
      </w:r>
      <w:r>
        <w:rPr>
          <w:rFonts w:ascii="仿宋_GB2312" w:hAnsi="仿宋_GB2312" w:cs="仿宋_GB2312" w:hint="eastAsia"/>
        </w:rPr>
        <w:t>绩效指标明确性</w:t>
      </w:r>
    </w:p>
    <w:p w:rsidR="00BD0F5E" w:rsidRDefault="0058499D">
      <w:pPr>
        <w:spacing w:line="600" w:lineRule="exact"/>
        <w:ind w:firstLineChars="150" w:firstLine="450"/>
        <w:outlineLvl w:val="0"/>
        <w:rPr>
          <w:rFonts w:ascii="仿宋_GB2312"/>
        </w:rPr>
      </w:pPr>
      <w:r>
        <w:rPr>
          <w:rFonts w:ascii="仿宋_GB2312" w:hAnsi="仿宋_GB2312" w:cs="仿宋_GB2312" w:hint="eastAsia"/>
          <w:kern w:val="0"/>
        </w:rPr>
        <w:t>是将项目绩效目标细化分解为具体的绩效指标；是通过清晰、可衡量的指标值予以体现；是与项目目标任务数或计划数相对应。</w:t>
      </w:r>
      <w:r>
        <w:rPr>
          <w:rFonts w:ascii="仿宋_GB2312"/>
          <w:kern w:val="0"/>
        </w:rPr>
        <w:br/>
      </w:r>
      <w:r>
        <w:rPr>
          <w:rFonts w:ascii="仿宋_GB2312" w:hint="eastAsia"/>
        </w:rPr>
        <w:t>项目过程情况。</w:t>
      </w:r>
    </w:p>
    <w:p w:rsidR="00BD0F5E" w:rsidRDefault="0058499D">
      <w:pPr>
        <w:spacing w:line="600" w:lineRule="exact"/>
        <w:ind w:firstLineChars="200" w:firstLine="600"/>
        <w:outlineLvl w:val="0"/>
        <w:rPr>
          <w:rFonts w:ascii="仿宋_GB2312"/>
        </w:rPr>
      </w:pPr>
      <w:r>
        <w:rPr>
          <w:rFonts w:ascii="仿宋_GB2312" w:hint="eastAsia"/>
        </w:rPr>
        <w:t>对项目开展绩效监控，每季度对项目实施情况进行上报，掌握</w:t>
      </w:r>
      <w:r>
        <w:rPr>
          <w:rFonts w:ascii="仿宋_GB2312" w:hint="eastAsia"/>
        </w:rPr>
        <w:lastRenderedPageBreak/>
        <w:t>实施动态，了解资金支出情况。</w:t>
      </w:r>
    </w:p>
    <w:p w:rsidR="00BD0F5E" w:rsidRDefault="0058499D">
      <w:pPr>
        <w:spacing w:line="360" w:lineRule="auto"/>
        <w:ind w:left="600"/>
        <w:outlineLvl w:val="0"/>
        <w:rPr>
          <w:rFonts w:ascii="仿宋_GB2312"/>
        </w:rPr>
      </w:pPr>
      <w:r>
        <w:rPr>
          <w:rFonts w:ascii="仿宋_GB2312" w:hAnsi="仿宋_GB2312" w:cs="仿宋_GB2312"/>
        </w:rPr>
        <w:t>3</w:t>
      </w:r>
      <w:r>
        <w:rPr>
          <w:rFonts w:ascii="仿宋_GB2312" w:hAnsi="仿宋_GB2312" w:cs="仿宋_GB2312" w:hint="eastAsia"/>
        </w:rPr>
        <w:t>、资金投入分析</w:t>
      </w:r>
    </w:p>
    <w:p w:rsidR="00BD0F5E" w:rsidRDefault="0058499D">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）预算编制科学性</w:t>
      </w:r>
    </w:p>
    <w:p w:rsidR="00BD0F5E" w:rsidRDefault="0058499D">
      <w:pPr>
        <w:spacing w:line="360" w:lineRule="auto"/>
        <w:ind w:firstLineChars="350" w:firstLine="1050"/>
        <w:outlineLvl w:val="0"/>
        <w:rPr>
          <w:rFonts w:ascii="仿宋_GB2312"/>
        </w:rPr>
      </w:pPr>
      <w:r>
        <w:rPr>
          <w:rFonts w:ascii="仿宋_GB2312" w:hAnsi="仿宋_GB2312" w:cs="仿宋_GB2312" w:hint="eastAsia"/>
          <w:kern w:val="0"/>
        </w:rPr>
        <w:t>预算内容与项目内容是匹配；预算额度测算依据是充分，是按照标准编制；预算确定的项目投资额或资金量是与工作任务相匹配。</w:t>
      </w:r>
    </w:p>
    <w:p w:rsidR="00BD0F5E" w:rsidRDefault="0058499D">
      <w:pPr>
        <w:spacing w:line="360" w:lineRule="auto"/>
        <w:ind w:firstLineChars="250" w:firstLine="75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）资金分配合理性</w:t>
      </w:r>
    </w:p>
    <w:p w:rsidR="00BD0F5E" w:rsidRDefault="0058499D">
      <w:pPr>
        <w:spacing w:line="360" w:lineRule="auto"/>
        <w:ind w:firstLineChars="250" w:firstLine="750"/>
        <w:outlineLvl w:val="0"/>
        <w:rPr>
          <w:rFonts w:ascii="仿宋_GB2312" w:hAnsi="仿宋_GB2312" w:cs="仿宋_GB2312"/>
          <w:kern w:val="0"/>
        </w:rPr>
      </w:pPr>
      <w:r>
        <w:rPr>
          <w:rFonts w:ascii="仿宋_GB2312" w:hAnsi="仿宋_GB2312" w:cs="仿宋_GB2312" w:hint="eastAsia"/>
          <w:kern w:val="0"/>
        </w:rPr>
        <w:t>预算资金分配依据是充分；资金分配额度是合理，与项目单位实际情况是相适应。</w:t>
      </w:r>
    </w:p>
    <w:p w:rsidR="00BD0F5E" w:rsidRDefault="0058499D">
      <w:pPr>
        <w:pStyle w:val="2"/>
        <w:ind w:leftChars="0" w:left="0" w:firstLine="600"/>
      </w:pPr>
      <w:r>
        <w:rPr>
          <w:rFonts w:hint="eastAsia"/>
        </w:rPr>
        <w:t>（二</w:t>
      </w:r>
      <w:r>
        <w:t>）</w:t>
      </w:r>
      <w:r>
        <w:rPr>
          <w:rFonts w:hint="eastAsia"/>
        </w:rPr>
        <w:t>项目</w:t>
      </w:r>
      <w:r>
        <w:t>过程情况</w:t>
      </w:r>
    </w:p>
    <w:p w:rsidR="00BD0F5E" w:rsidRDefault="0058499D">
      <w:pPr>
        <w:spacing w:line="360" w:lineRule="auto"/>
        <w:ind w:firstLineChars="200" w:firstLine="600"/>
        <w:outlineLvl w:val="0"/>
        <w:rPr>
          <w:rFonts w:ascii="仿宋_GB2312"/>
        </w:rPr>
      </w:pPr>
      <w:r>
        <w:rPr>
          <w:rFonts w:ascii="仿宋_GB2312" w:hAnsi="仿宋_GB2312" w:cs="仿宋_GB2312"/>
        </w:rPr>
        <w:t>1</w:t>
      </w:r>
      <w:r>
        <w:rPr>
          <w:rFonts w:ascii="仿宋_GB2312" w:hAnsi="仿宋_GB2312" w:cs="仿宋_GB2312" w:hint="eastAsia"/>
        </w:rPr>
        <w:t>、资金管理分析</w:t>
      </w:r>
    </w:p>
    <w:p w:rsidR="00BD0F5E" w:rsidRDefault="0058499D">
      <w:pPr>
        <w:spacing w:line="360" w:lineRule="auto"/>
        <w:ind w:firstLineChars="200" w:firstLine="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）资金到位率</w:t>
      </w:r>
    </w:p>
    <w:p w:rsidR="00BD0F5E" w:rsidRDefault="0058499D">
      <w:pPr>
        <w:widowControl/>
        <w:spacing w:line="600" w:lineRule="exact"/>
        <w:ind w:firstLineChars="300" w:firstLine="900"/>
        <w:rPr>
          <w:rFonts w:ascii="仿宋_GB2312"/>
          <w:kern w:val="0"/>
        </w:rPr>
      </w:pPr>
      <w:r>
        <w:rPr>
          <w:rFonts w:ascii="仿宋_GB2312" w:hAnsi="仿宋_GB2312" w:cs="仿宋_GB2312" w:hint="eastAsia"/>
          <w:kern w:val="0"/>
        </w:rPr>
        <w:t>资金到位率</w:t>
      </w:r>
      <w:r>
        <w:rPr>
          <w:rFonts w:ascii="仿宋_GB2312" w:hAnsi="仿宋_GB2312" w:cs="仿宋_GB2312"/>
          <w:kern w:val="0"/>
        </w:rPr>
        <w:t>=</w:t>
      </w:r>
      <w:r>
        <w:rPr>
          <w:rFonts w:ascii="仿宋_GB2312" w:hAnsi="仿宋_GB2312" w:cs="仿宋_GB2312" w:hint="eastAsia"/>
          <w:kern w:val="0"/>
        </w:rPr>
        <w:t>（实际到位资金</w:t>
      </w:r>
      <w:r>
        <w:rPr>
          <w:rFonts w:ascii="仿宋_GB2312" w:hAnsi="仿宋_GB2312" w:cs="仿宋_GB2312"/>
          <w:kern w:val="0"/>
        </w:rPr>
        <w:t>/</w:t>
      </w:r>
      <w:r>
        <w:rPr>
          <w:rFonts w:ascii="仿宋_GB2312" w:hAnsi="仿宋_GB2312" w:cs="仿宋_GB2312" w:hint="eastAsia"/>
          <w:kern w:val="0"/>
        </w:rPr>
        <w:t>预算资金）×</w:t>
      </w:r>
      <w:r>
        <w:rPr>
          <w:rFonts w:ascii="仿宋_GB2312" w:hAnsi="仿宋_GB2312" w:cs="仿宋_GB2312"/>
          <w:kern w:val="0"/>
        </w:rPr>
        <w:t>100%</w:t>
      </w:r>
      <w:r>
        <w:rPr>
          <w:rFonts w:ascii="仿宋_GB2312" w:hAnsi="仿宋_GB2312" w:cs="仿宋_GB2312" w:hint="eastAsia"/>
          <w:kern w:val="0"/>
        </w:rPr>
        <w:t>。</w:t>
      </w:r>
    </w:p>
    <w:p w:rsidR="00BD0F5E" w:rsidRDefault="0058499D">
      <w:pPr>
        <w:spacing w:line="360" w:lineRule="auto"/>
        <w:ind w:firstLineChars="200" w:firstLine="600"/>
        <w:outlineLvl w:val="0"/>
        <w:rPr>
          <w:rFonts w:ascii="仿宋_GB2312"/>
        </w:rPr>
      </w:pPr>
      <w:r>
        <w:rPr>
          <w:rFonts w:ascii="仿宋_GB2312" w:hAnsi="仿宋_GB2312" w:cs="仿宋_GB2312" w:hint="eastAsia"/>
        </w:rPr>
        <w:t>资金到位率用以反映和考核资金落实情况对项目实施的总体保障程度。资金到位率</w:t>
      </w:r>
      <w:r>
        <w:rPr>
          <w:rFonts w:ascii="仿宋_GB2312" w:hAnsi="仿宋_GB2312" w:cs="仿宋_GB2312"/>
        </w:rPr>
        <w:t>100%</w:t>
      </w:r>
      <w:r>
        <w:rPr>
          <w:rFonts w:ascii="仿宋_GB2312" w:hAnsi="仿宋_GB2312" w:cs="仿宋_GB2312" w:hint="eastAsia"/>
        </w:rPr>
        <w:t>。</w:t>
      </w:r>
    </w:p>
    <w:p w:rsidR="00BD0F5E" w:rsidRDefault="0058499D">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）预算执行率</w:t>
      </w:r>
    </w:p>
    <w:p w:rsidR="00BD0F5E" w:rsidRDefault="0058499D">
      <w:pPr>
        <w:spacing w:line="360" w:lineRule="auto"/>
        <w:ind w:firstLineChars="200" w:firstLine="600"/>
        <w:outlineLvl w:val="0"/>
        <w:rPr>
          <w:rFonts w:ascii="仿宋_GB2312"/>
        </w:rPr>
      </w:pPr>
      <w:r>
        <w:rPr>
          <w:rFonts w:ascii="仿宋_GB2312" w:hAnsi="仿宋_GB2312" w:cs="仿宋_GB2312" w:hint="eastAsia"/>
          <w:kern w:val="0"/>
        </w:rPr>
        <w:t>预算执行率</w:t>
      </w:r>
      <w:r>
        <w:rPr>
          <w:rFonts w:ascii="仿宋_GB2312" w:hAnsi="仿宋_GB2312" w:cs="仿宋_GB2312"/>
          <w:kern w:val="0"/>
        </w:rPr>
        <w:t>=</w:t>
      </w:r>
      <w:r>
        <w:rPr>
          <w:rFonts w:ascii="仿宋_GB2312" w:hAnsi="仿宋_GB2312" w:cs="仿宋_GB2312" w:hint="eastAsia"/>
          <w:kern w:val="0"/>
        </w:rPr>
        <w:t>（实际支出资金</w:t>
      </w:r>
      <w:r>
        <w:rPr>
          <w:rFonts w:ascii="仿宋_GB2312" w:hAnsi="仿宋_GB2312" w:cs="仿宋_GB2312"/>
          <w:kern w:val="0"/>
        </w:rPr>
        <w:t>/</w:t>
      </w:r>
      <w:r>
        <w:rPr>
          <w:rFonts w:ascii="仿宋_GB2312" w:hAnsi="仿宋_GB2312" w:cs="仿宋_GB2312" w:hint="eastAsia"/>
          <w:kern w:val="0"/>
        </w:rPr>
        <w:t>实际到位资金）×</w:t>
      </w:r>
      <w:r>
        <w:rPr>
          <w:rFonts w:ascii="仿宋_GB2312" w:hAnsi="仿宋_GB2312" w:cs="仿宋_GB2312"/>
          <w:kern w:val="0"/>
        </w:rPr>
        <w:t>100%</w:t>
      </w:r>
      <w:r>
        <w:rPr>
          <w:rFonts w:ascii="仿宋_GB2312" w:hAnsi="仿宋_GB2312" w:cs="仿宋_GB2312" w:hint="eastAsia"/>
          <w:kern w:val="0"/>
        </w:rPr>
        <w:t>。</w:t>
      </w:r>
      <w:r>
        <w:rPr>
          <w:rFonts w:ascii="仿宋_GB2312" w:hAnsi="仿宋_GB2312" w:cs="仿宋_GB2312" w:hint="eastAsia"/>
        </w:rPr>
        <w:t>预算执行率用以反映或考核项目预算执行情况。预算执行率</w:t>
      </w:r>
      <w:r>
        <w:rPr>
          <w:rFonts w:ascii="仿宋_GB2312" w:hAnsi="仿宋_GB2312" w:cs="仿宋_GB2312"/>
        </w:rPr>
        <w:t>92.83%</w:t>
      </w:r>
      <w:r>
        <w:rPr>
          <w:rFonts w:ascii="仿宋_GB2312" w:hAnsi="仿宋_GB2312" w:cs="仿宋_GB2312" w:hint="eastAsia"/>
        </w:rPr>
        <w:t>。</w:t>
      </w:r>
    </w:p>
    <w:p w:rsidR="00BD0F5E" w:rsidRDefault="0058499D">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3</w:t>
      </w:r>
      <w:r>
        <w:rPr>
          <w:rFonts w:ascii="仿宋_GB2312" w:hAnsi="仿宋_GB2312" w:cs="仿宋_GB2312" w:hint="eastAsia"/>
        </w:rPr>
        <w:t>）资金使用合规性</w:t>
      </w:r>
    </w:p>
    <w:p w:rsidR="00BD0F5E" w:rsidRDefault="0058499D">
      <w:pPr>
        <w:spacing w:line="360" w:lineRule="auto"/>
        <w:ind w:leftChars="160" w:left="480"/>
        <w:outlineLvl w:val="0"/>
        <w:rPr>
          <w:rFonts w:ascii="仿宋_GB2312"/>
        </w:rPr>
      </w:pPr>
      <w:r>
        <w:rPr>
          <w:rFonts w:ascii="仿宋_GB2312" w:hAnsi="仿宋_GB2312" w:cs="仿宋_GB2312" w:hint="eastAsia"/>
          <w:kern w:val="0"/>
        </w:rPr>
        <w:t>是符合国家财经法规和财务管理制度以及有关专项资金管理办法的规定；资金的拨付是有完整的审批程序和手续；符合项目预算批复或合同规定的用途</w:t>
      </w:r>
      <w:r>
        <w:rPr>
          <w:rFonts w:asciiTheme="minorHAnsi" w:hAnsiTheme="minorHAnsi" w:cs="仿宋_GB2312" w:hint="eastAsia"/>
          <w:kern w:val="0"/>
        </w:rPr>
        <w:t>。</w:t>
      </w:r>
    </w:p>
    <w:p w:rsidR="00BD0F5E" w:rsidRDefault="0058499D">
      <w:pPr>
        <w:spacing w:line="360" w:lineRule="auto"/>
        <w:ind w:left="600"/>
        <w:outlineLvl w:val="0"/>
        <w:rPr>
          <w:rFonts w:ascii="仿宋_GB2312" w:hAnsi="仿宋_GB2312" w:cs="仿宋_GB2312"/>
        </w:rPr>
      </w:pPr>
      <w:r>
        <w:rPr>
          <w:rFonts w:ascii="仿宋_GB2312" w:hAnsi="仿宋_GB2312" w:cs="仿宋_GB2312"/>
        </w:rPr>
        <w:lastRenderedPageBreak/>
        <w:t>2</w:t>
      </w:r>
      <w:r>
        <w:rPr>
          <w:rFonts w:ascii="仿宋_GB2312" w:hAnsi="仿宋_GB2312" w:cs="仿宋_GB2312" w:hint="eastAsia"/>
        </w:rPr>
        <w:t>、组织实施分析</w:t>
      </w:r>
    </w:p>
    <w:p w:rsidR="00BD0F5E" w:rsidRDefault="0058499D">
      <w:pPr>
        <w:spacing w:line="360" w:lineRule="auto"/>
        <w:ind w:left="600"/>
        <w:outlineLvl w:val="0"/>
        <w:rPr>
          <w:rFonts w:ascii="仿宋_GB2312"/>
        </w:rPr>
      </w:pPr>
      <w:r>
        <w:rPr>
          <w:rFonts w:ascii="仿宋_GB2312" w:hAnsi="仿宋_GB2312" w:cs="仿宋_GB2312" w:hint="eastAsia"/>
        </w:rPr>
        <w:t>（</w:t>
      </w:r>
      <w:r>
        <w:rPr>
          <w:rFonts w:ascii="仿宋_GB2312" w:hAnsi="仿宋_GB2312" w:cs="仿宋_GB2312"/>
        </w:rPr>
        <w:t>1</w:t>
      </w:r>
      <w:r>
        <w:rPr>
          <w:rFonts w:ascii="仿宋_GB2312" w:hAnsi="仿宋_GB2312" w:cs="仿宋_GB2312" w:hint="eastAsia"/>
        </w:rPr>
        <w:t>）管理制度健全性</w:t>
      </w:r>
    </w:p>
    <w:p w:rsidR="00BD0F5E" w:rsidRDefault="0058499D">
      <w:pPr>
        <w:spacing w:line="360" w:lineRule="auto"/>
        <w:ind w:leftChars="100" w:left="600" w:hangingChars="100" w:hanging="300"/>
        <w:outlineLvl w:val="0"/>
        <w:rPr>
          <w:rFonts w:ascii="仿宋_GB2312"/>
        </w:rPr>
      </w:pPr>
      <w:r>
        <w:rPr>
          <w:rFonts w:ascii="仿宋_GB2312" w:hAnsi="仿宋_GB2312" w:cs="仿宋_GB2312" w:hint="eastAsia"/>
          <w:kern w:val="0"/>
        </w:rPr>
        <w:t>具有相应的财务和业务管理制度；财务和业务管理制度是合法、合规、完整。</w:t>
      </w:r>
    </w:p>
    <w:p w:rsidR="00BD0F5E" w:rsidRDefault="0058499D">
      <w:pPr>
        <w:spacing w:line="360" w:lineRule="auto"/>
        <w:ind w:leftChars="200" w:left="600"/>
        <w:outlineLvl w:val="0"/>
        <w:rPr>
          <w:rFonts w:ascii="仿宋_GB2312"/>
        </w:rPr>
      </w:pPr>
      <w:r>
        <w:rPr>
          <w:rFonts w:ascii="仿宋_GB2312" w:hAnsi="仿宋_GB2312" w:cs="仿宋_GB2312" w:hint="eastAsia"/>
        </w:rPr>
        <w:t>（</w:t>
      </w:r>
      <w:r>
        <w:rPr>
          <w:rFonts w:ascii="仿宋_GB2312" w:hAnsi="仿宋_GB2312" w:cs="仿宋_GB2312"/>
        </w:rPr>
        <w:t>2</w:t>
      </w:r>
      <w:r>
        <w:rPr>
          <w:rFonts w:ascii="仿宋_GB2312" w:hAnsi="仿宋_GB2312" w:cs="仿宋_GB2312" w:hint="eastAsia"/>
        </w:rPr>
        <w:t>）制度执行有效性</w:t>
      </w:r>
    </w:p>
    <w:p w:rsidR="00BD0F5E" w:rsidRPr="002F62D9" w:rsidRDefault="0058499D" w:rsidP="002F62D9">
      <w:pPr>
        <w:spacing w:line="360" w:lineRule="auto"/>
        <w:ind w:left="600" w:hangingChars="200" w:hanging="600"/>
        <w:outlineLvl w:val="0"/>
        <w:rPr>
          <w:rFonts w:ascii="仿宋_GB2312"/>
        </w:rPr>
      </w:pPr>
      <w:r>
        <w:rPr>
          <w:rFonts w:ascii="仿宋_GB2312"/>
        </w:rPr>
        <w:tab/>
      </w:r>
      <w:r>
        <w:rPr>
          <w:rFonts w:ascii="仿宋_GB2312" w:hAnsi="仿宋_GB2312" w:cs="仿宋_GB2312" w:hint="eastAsia"/>
          <w:kern w:val="0"/>
        </w:rPr>
        <w:t>是遵守相关法律法规和相关管理规定；项目合同书、验收报告、技术鉴定等资料是齐全并及时归档；项目实施的人员条件、场地设备、信息支撑等是落实到位。</w:t>
      </w:r>
    </w:p>
    <w:p w:rsidR="00BD0F5E" w:rsidRDefault="0058499D">
      <w:pPr>
        <w:numPr>
          <w:ilvl w:val="0"/>
          <w:numId w:val="2"/>
        </w:numPr>
        <w:spacing w:line="600" w:lineRule="exact"/>
        <w:ind w:firstLineChars="200" w:firstLine="600"/>
        <w:outlineLvl w:val="0"/>
        <w:rPr>
          <w:rFonts w:ascii="仿宋_GB2312"/>
        </w:rPr>
      </w:pPr>
      <w:r>
        <w:rPr>
          <w:rFonts w:ascii="仿宋_GB2312" w:hint="eastAsia"/>
        </w:rPr>
        <w:t>项目产出情况。</w:t>
      </w:r>
    </w:p>
    <w:p w:rsidR="00BD0F5E" w:rsidRPr="00E50A93" w:rsidRDefault="0058499D">
      <w:pPr>
        <w:spacing w:line="600" w:lineRule="exact"/>
        <w:ind w:firstLineChars="200" w:firstLine="600"/>
        <w:outlineLvl w:val="0"/>
        <w:rPr>
          <w:rFonts w:ascii="仿宋_GB2312" w:hAnsi="仿宋_GB2312" w:cs="仿宋_GB2312"/>
          <w:kern w:val="0"/>
        </w:rPr>
      </w:pPr>
      <w:r w:rsidRPr="00E50A93">
        <w:rPr>
          <w:rFonts w:ascii="仿宋_GB2312" w:hAnsi="仿宋_GB2312" w:cs="仿宋_GB2312" w:hint="eastAsia"/>
          <w:kern w:val="0"/>
        </w:rPr>
        <w:t>全年完成国家双随机监督检查任务99家，制服采购24套，全年卫生监督法律法规、综合治理、精神文明创建工作宣传制作2批次，全年公务用车维修2辆，所有的项目均按年度计划顺利实施。</w:t>
      </w:r>
    </w:p>
    <w:p w:rsidR="00BD0F5E" w:rsidRDefault="0058499D">
      <w:pPr>
        <w:numPr>
          <w:ilvl w:val="0"/>
          <w:numId w:val="2"/>
        </w:numPr>
        <w:spacing w:line="600" w:lineRule="exact"/>
        <w:ind w:firstLineChars="200" w:firstLine="600"/>
        <w:outlineLvl w:val="0"/>
        <w:rPr>
          <w:rFonts w:ascii="仿宋_GB2312"/>
        </w:rPr>
      </w:pPr>
      <w:r>
        <w:rPr>
          <w:rFonts w:ascii="仿宋_GB2312" w:hint="eastAsia"/>
        </w:rPr>
        <w:t>项目效益情况。</w:t>
      </w:r>
    </w:p>
    <w:p w:rsidR="00BD0F5E" w:rsidRDefault="0058499D">
      <w:pPr>
        <w:spacing w:line="600" w:lineRule="exact"/>
        <w:ind w:firstLineChars="200" w:firstLine="600"/>
        <w:outlineLvl w:val="0"/>
      </w:pPr>
      <w:r>
        <w:rPr>
          <w:rFonts w:ascii="仿宋_GB2312" w:hint="eastAsia"/>
        </w:rPr>
        <w:t>此项目的开展保障了居民健康素养水平提高，居民的重大传染病及时得到救治，不断改善相关医疗卫生条件，全面提高居民健康水平医疗服务水平和服务质量，逐步提升，逐步解决群众看病难看病贵的问题，提升了人民满意度。对监管单位的满意对有了一定的提升。</w:t>
      </w:r>
    </w:p>
    <w:p w:rsidR="00BD0F5E" w:rsidRDefault="0058499D">
      <w:pPr>
        <w:numPr>
          <w:ilvl w:val="0"/>
          <w:numId w:val="3"/>
        </w:numPr>
        <w:spacing w:line="600" w:lineRule="exact"/>
        <w:ind w:firstLineChars="200" w:firstLine="600"/>
        <w:rPr>
          <w:rFonts w:ascii="黑体" w:eastAsia="黑体" w:hAnsi="黑体"/>
        </w:rPr>
      </w:pPr>
      <w:r>
        <w:rPr>
          <w:rFonts w:ascii="黑体" w:eastAsia="黑体" w:hAnsi="黑体" w:hint="eastAsia"/>
        </w:rPr>
        <w:t>主要经验及做法、存在的问题及原因分析</w:t>
      </w:r>
    </w:p>
    <w:p w:rsidR="00BD0F5E" w:rsidRDefault="0058499D">
      <w:pPr>
        <w:spacing w:line="600" w:lineRule="exact"/>
        <w:ind w:firstLineChars="200" w:firstLine="600"/>
        <w:outlineLvl w:val="0"/>
        <w:rPr>
          <w:rFonts w:ascii="仿宋_GB2312"/>
        </w:rPr>
      </w:pPr>
      <w:r>
        <w:rPr>
          <w:rFonts w:ascii="仿宋_GB2312" w:hint="eastAsia"/>
        </w:rPr>
        <w:t>存在问题:业务科室对项目资金使用情况不清晰，财务室与业务科室沟通不到位，项目执行进度缓慢</w:t>
      </w:r>
    </w:p>
    <w:p w:rsidR="00BD0F5E" w:rsidRDefault="0058499D">
      <w:pPr>
        <w:spacing w:line="600" w:lineRule="exact"/>
        <w:ind w:firstLineChars="200" w:firstLine="600"/>
        <w:outlineLvl w:val="0"/>
        <w:rPr>
          <w:rFonts w:ascii="仿宋_GB2312"/>
        </w:rPr>
      </w:pPr>
      <w:r>
        <w:rPr>
          <w:rFonts w:ascii="仿宋_GB2312" w:hint="eastAsia"/>
        </w:rPr>
        <w:lastRenderedPageBreak/>
        <w:t>原因分析：业务沟通不足，没有及时督促，没有落实项目实施绩效管理办法。</w:t>
      </w:r>
    </w:p>
    <w:p w:rsidR="00BD0F5E" w:rsidRDefault="0058499D">
      <w:pPr>
        <w:numPr>
          <w:ilvl w:val="0"/>
          <w:numId w:val="3"/>
        </w:numPr>
        <w:spacing w:line="600" w:lineRule="exact"/>
        <w:ind w:firstLineChars="200" w:firstLine="600"/>
        <w:rPr>
          <w:rFonts w:ascii="黑体" w:eastAsia="黑体" w:hAnsi="黑体"/>
        </w:rPr>
      </w:pPr>
      <w:r>
        <w:rPr>
          <w:rFonts w:ascii="黑体" w:eastAsia="黑体" w:hAnsi="黑体" w:hint="eastAsia"/>
        </w:rPr>
        <w:t>有关建议</w:t>
      </w:r>
    </w:p>
    <w:p w:rsidR="00BD0F5E" w:rsidRPr="00E50A93" w:rsidRDefault="0058499D" w:rsidP="00E50A93">
      <w:pPr>
        <w:spacing w:line="600" w:lineRule="exact"/>
        <w:ind w:firstLineChars="200" w:firstLine="600"/>
        <w:outlineLvl w:val="0"/>
        <w:rPr>
          <w:rFonts w:ascii="仿宋_GB2312"/>
        </w:rPr>
      </w:pPr>
      <w:r>
        <w:rPr>
          <w:rFonts w:ascii="仿宋_GB2312" w:hint="eastAsia"/>
        </w:rPr>
        <w:t>建议绩效目标设置与项目实施保持一致，预算安排加强业务沟通；项目管理要及时跟进，资金支出了解清楚</w:t>
      </w:r>
    </w:p>
    <w:p w:rsidR="00BD0F5E" w:rsidRDefault="0058499D">
      <w:pPr>
        <w:spacing w:line="600" w:lineRule="exact"/>
        <w:ind w:firstLineChars="200" w:firstLine="600"/>
        <w:rPr>
          <w:rFonts w:ascii="仿宋_GB2312"/>
          <w:bCs/>
          <w:sz w:val="32"/>
          <w:szCs w:val="32"/>
        </w:rPr>
      </w:pPr>
      <w:r>
        <w:rPr>
          <w:rFonts w:ascii="黑体" w:eastAsia="黑体" w:hAnsi="黑体" w:hint="eastAsia"/>
        </w:rPr>
        <w:t>七、其他需要说明的问题</w:t>
      </w:r>
    </w:p>
    <w:p w:rsidR="00BD0F5E" w:rsidRDefault="0058499D">
      <w:r>
        <w:rPr>
          <w:rFonts w:hint="eastAsia"/>
        </w:rPr>
        <w:t>无</w:t>
      </w:r>
    </w:p>
    <w:p w:rsidR="00BD0F5E" w:rsidRDefault="00BD0F5E">
      <w:pPr>
        <w:spacing w:line="600" w:lineRule="exact"/>
        <w:ind w:firstLineChars="200" w:firstLine="600"/>
        <w:rPr>
          <w:rFonts w:ascii="黑体" w:eastAsia="黑体" w:hAnsi="黑体"/>
        </w:rPr>
        <w:sectPr w:rsidR="00BD0F5E">
          <w:footerReference w:type="default" r:id="rId9"/>
          <w:pgSz w:w="11906" w:h="16838"/>
          <w:pgMar w:top="1928" w:right="1531" w:bottom="1701" w:left="1531" w:header="737" w:footer="851" w:gutter="0"/>
          <w:cols w:space="720"/>
          <w:docGrid w:type="lines" w:linePitch="408"/>
        </w:sectPr>
      </w:pPr>
    </w:p>
    <w:p w:rsidR="00BD0F5E" w:rsidRDefault="0058499D">
      <w:pPr>
        <w:pStyle w:val="20"/>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BD0F5E" w:rsidRDefault="00BD0F5E">
      <w:pPr>
        <w:pStyle w:val="20"/>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BD0F5E">
        <w:trPr>
          <w:gridAfter w:val="1"/>
          <w:wAfter w:w="11" w:type="dxa"/>
          <w:trHeight w:val="692"/>
          <w:tblHeader/>
          <w:jc w:val="center"/>
        </w:trPr>
        <w:tc>
          <w:tcPr>
            <w:tcW w:w="763"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BD0F5E" w:rsidRDefault="0058499D">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BD0F5E">
        <w:trPr>
          <w:gridAfter w:val="1"/>
          <w:wAfter w:w="11" w:type="dxa"/>
          <w:trHeight w:val="2318"/>
          <w:jc w:val="center"/>
        </w:trPr>
        <w:tc>
          <w:tcPr>
            <w:tcW w:w="763"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BD0F5E" w:rsidRDefault="0058499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BD0F5E" w:rsidRDefault="0058499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BD0F5E">
        <w:trPr>
          <w:gridAfter w:val="1"/>
          <w:wAfter w:w="11" w:type="dxa"/>
          <w:trHeight w:val="1640"/>
          <w:jc w:val="center"/>
        </w:trPr>
        <w:tc>
          <w:tcPr>
            <w:tcW w:w="763" w:type="dxa"/>
            <w:vMerge/>
            <w:tcBorders>
              <w:tl2br w:val="nil"/>
              <w:tr2bl w:val="nil"/>
            </w:tcBorders>
            <w:shd w:val="clear" w:color="auto" w:fill="FFFFFF"/>
            <w:vAlign w:val="center"/>
          </w:tcPr>
          <w:p w:rsidR="00BD0F5E" w:rsidRDefault="00BD0F5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BD0F5E" w:rsidRDefault="0058499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BD0F5E">
        <w:trPr>
          <w:gridAfter w:val="1"/>
          <w:wAfter w:w="11" w:type="dxa"/>
          <w:trHeight w:val="1919"/>
          <w:jc w:val="center"/>
        </w:trPr>
        <w:tc>
          <w:tcPr>
            <w:tcW w:w="763" w:type="dxa"/>
            <w:vMerge/>
            <w:tcBorders>
              <w:tl2br w:val="nil"/>
              <w:tr2bl w:val="nil"/>
            </w:tcBorders>
            <w:shd w:val="clear" w:color="auto" w:fill="FFFFFF"/>
            <w:vAlign w:val="center"/>
          </w:tcPr>
          <w:p w:rsidR="00BD0F5E" w:rsidRDefault="00BD0F5E">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BD0F5E" w:rsidRDefault="0058499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BD0F5E" w:rsidRDefault="0058499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r>
      <w:tr w:rsidR="00BD0F5E">
        <w:trPr>
          <w:gridAfter w:val="1"/>
          <w:wAfter w:w="11" w:type="dxa"/>
          <w:trHeight w:val="1464"/>
          <w:jc w:val="center"/>
        </w:trPr>
        <w:tc>
          <w:tcPr>
            <w:tcW w:w="763"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BD0F5E">
        <w:trPr>
          <w:gridAfter w:val="1"/>
          <w:wAfter w:w="11" w:type="dxa"/>
          <w:trHeight w:val="1942"/>
          <w:jc w:val="center"/>
        </w:trPr>
        <w:tc>
          <w:tcPr>
            <w:tcW w:w="763" w:type="dxa"/>
            <w:vMerge/>
            <w:tcBorders>
              <w:tl2br w:val="nil"/>
              <w:tr2bl w:val="nil"/>
            </w:tcBorders>
            <w:shd w:val="clear" w:color="auto" w:fill="FFFFFF"/>
            <w:vAlign w:val="center"/>
          </w:tcPr>
          <w:p w:rsidR="00BD0F5E" w:rsidRDefault="00BD0F5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BD0F5E" w:rsidRDefault="0058499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BD0F5E">
        <w:trPr>
          <w:gridAfter w:val="1"/>
          <w:wAfter w:w="11" w:type="dxa"/>
          <w:trHeight w:val="1706"/>
          <w:jc w:val="center"/>
        </w:trPr>
        <w:tc>
          <w:tcPr>
            <w:tcW w:w="763"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BD0F5E">
        <w:trPr>
          <w:gridAfter w:val="1"/>
          <w:wAfter w:w="11" w:type="dxa"/>
          <w:trHeight w:val="1415"/>
          <w:jc w:val="center"/>
        </w:trPr>
        <w:tc>
          <w:tcPr>
            <w:tcW w:w="763" w:type="dxa"/>
            <w:vMerge w:val="restart"/>
            <w:tcBorders>
              <w:tl2br w:val="nil"/>
              <w:tr2bl w:val="nil"/>
            </w:tcBorders>
            <w:shd w:val="clear" w:color="auto" w:fill="FFFFFF"/>
            <w:vAlign w:val="center"/>
          </w:tcPr>
          <w:p w:rsidR="00BD0F5E" w:rsidRDefault="0058499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D0F5E">
        <w:trPr>
          <w:gridAfter w:val="1"/>
          <w:wAfter w:w="11" w:type="dxa"/>
          <w:trHeight w:val="1320"/>
          <w:jc w:val="center"/>
        </w:trPr>
        <w:tc>
          <w:tcPr>
            <w:tcW w:w="763" w:type="dxa"/>
            <w:vMerge/>
            <w:tcBorders>
              <w:tl2br w:val="nil"/>
              <w:tr2bl w:val="nil"/>
            </w:tcBorders>
            <w:shd w:val="clear" w:color="auto" w:fill="FFFFFF"/>
            <w:vAlign w:val="center"/>
          </w:tcPr>
          <w:p w:rsidR="00BD0F5E" w:rsidRDefault="00BD0F5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D0F5E" w:rsidRDefault="00BD0F5E">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BD0F5E">
        <w:trPr>
          <w:gridAfter w:val="2"/>
          <w:wAfter w:w="23" w:type="dxa"/>
          <w:trHeight w:val="2076"/>
          <w:jc w:val="center"/>
        </w:trPr>
        <w:tc>
          <w:tcPr>
            <w:tcW w:w="763"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BD0F5E" w:rsidRDefault="0058499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D0F5E">
        <w:trPr>
          <w:gridAfter w:val="2"/>
          <w:wAfter w:w="23" w:type="dxa"/>
          <w:trHeight w:val="1797"/>
          <w:jc w:val="center"/>
        </w:trPr>
        <w:tc>
          <w:tcPr>
            <w:tcW w:w="763" w:type="dxa"/>
            <w:vMerge/>
            <w:tcBorders>
              <w:tl2br w:val="nil"/>
              <w:tr2bl w:val="nil"/>
            </w:tcBorders>
            <w:shd w:val="clear" w:color="auto" w:fill="FFFFFF"/>
            <w:vAlign w:val="center"/>
          </w:tcPr>
          <w:p w:rsidR="00BD0F5E" w:rsidRDefault="00BD0F5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BD0F5E" w:rsidRDefault="0058499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BD0F5E">
        <w:trPr>
          <w:gridAfter w:val="2"/>
          <w:wAfter w:w="23" w:type="dxa"/>
          <w:trHeight w:val="1769"/>
          <w:jc w:val="center"/>
        </w:trPr>
        <w:tc>
          <w:tcPr>
            <w:tcW w:w="763"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BD0F5E">
        <w:trPr>
          <w:gridAfter w:val="2"/>
          <w:wAfter w:w="23" w:type="dxa"/>
          <w:trHeight w:val="1917"/>
          <w:jc w:val="center"/>
        </w:trPr>
        <w:tc>
          <w:tcPr>
            <w:tcW w:w="763"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BD0F5E">
        <w:trPr>
          <w:trHeight w:val="1718"/>
          <w:jc w:val="center"/>
        </w:trPr>
        <w:tc>
          <w:tcPr>
            <w:tcW w:w="763"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BD0F5E">
        <w:trPr>
          <w:trHeight w:val="1506"/>
          <w:jc w:val="center"/>
        </w:trPr>
        <w:tc>
          <w:tcPr>
            <w:tcW w:w="763" w:type="dxa"/>
            <w:vMerge/>
            <w:tcBorders>
              <w:tl2br w:val="nil"/>
              <w:tr2bl w:val="nil"/>
            </w:tcBorders>
            <w:shd w:val="clear" w:color="auto" w:fill="FFFFFF"/>
            <w:vAlign w:val="center"/>
          </w:tcPr>
          <w:p w:rsidR="00BD0F5E" w:rsidRDefault="00BD0F5E">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BD0F5E" w:rsidRDefault="0058499D">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D0F5E">
        <w:trPr>
          <w:trHeight w:val="2076"/>
          <w:jc w:val="center"/>
        </w:trPr>
        <w:tc>
          <w:tcPr>
            <w:tcW w:w="763"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D0F5E">
        <w:trPr>
          <w:trHeight w:val="889"/>
          <w:jc w:val="center"/>
        </w:trPr>
        <w:tc>
          <w:tcPr>
            <w:tcW w:w="763"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BD0F5E" w:rsidRDefault="0058499D">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D0F5E">
        <w:trPr>
          <w:trHeight w:val="1137"/>
          <w:jc w:val="center"/>
        </w:trPr>
        <w:tc>
          <w:tcPr>
            <w:tcW w:w="763"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BD0F5E" w:rsidRDefault="00BD0F5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D0F5E" w:rsidRDefault="0058499D">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BD0F5E" w:rsidRDefault="0058499D">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0F5E" w:rsidRDefault="0058499D">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r>
    </w:tbl>
    <w:p w:rsidR="00BD0F5E" w:rsidRDefault="00BD0F5E">
      <w:pPr>
        <w:spacing w:line="600" w:lineRule="exact"/>
        <w:rPr>
          <w:rFonts w:ascii="仿宋_GB2312"/>
          <w:bCs/>
          <w:sz w:val="32"/>
          <w:szCs w:val="32"/>
        </w:rPr>
        <w:sectPr w:rsidR="00BD0F5E">
          <w:pgSz w:w="16838" w:h="11906" w:orient="landscape"/>
          <w:pgMar w:top="1531" w:right="1928" w:bottom="1531" w:left="1701" w:header="737" w:footer="851" w:gutter="0"/>
          <w:cols w:space="720"/>
          <w:docGrid w:type="lines" w:linePitch="408"/>
        </w:sectPr>
      </w:pPr>
    </w:p>
    <w:p w:rsidR="00BD0F5E" w:rsidRDefault="00BD0F5E"/>
    <w:sectPr w:rsidR="00BD0F5E" w:rsidSect="00BD0F5E">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2F5" w:rsidRDefault="00A842F5" w:rsidP="00BD0F5E">
      <w:r>
        <w:separator/>
      </w:r>
    </w:p>
  </w:endnote>
  <w:endnote w:type="continuationSeparator" w:id="1">
    <w:p w:rsidR="00A842F5" w:rsidRDefault="00A842F5" w:rsidP="00BD0F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F5E" w:rsidRDefault="008D6D27">
    <w:pPr>
      <w:pStyle w:val="a4"/>
      <w:jc w:val="center"/>
    </w:pPr>
    <w:r>
      <w:fldChar w:fldCharType="begin"/>
    </w:r>
    <w:r w:rsidR="0058499D">
      <w:instrText xml:space="preserve"> PAGE   \* MERGEFORMAT </w:instrText>
    </w:r>
    <w:r>
      <w:fldChar w:fldCharType="separate"/>
    </w:r>
    <w:r w:rsidR="00E50A93" w:rsidRPr="00E50A93">
      <w:rPr>
        <w:noProof/>
        <w:lang w:val="zh-CN"/>
      </w:rPr>
      <w:t>8</w:t>
    </w:r>
    <w:r>
      <w:fldChar w:fldCharType="end"/>
    </w:r>
  </w:p>
  <w:p w:rsidR="00BD0F5E" w:rsidRDefault="00BD0F5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2F5" w:rsidRDefault="00A842F5" w:rsidP="00BD0F5E">
      <w:r>
        <w:separator/>
      </w:r>
    </w:p>
  </w:footnote>
  <w:footnote w:type="continuationSeparator" w:id="1">
    <w:p w:rsidR="00A842F5" w:rsidRDefault="00A842F5" w:rsidP="00BD0F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DA24B5"/>
    <w:multiLevelType w:val="singleLevel"/>
    <w:tmpl w:val="CCDA24B5"/>
    <w:lvl w:ilvl="0">
      <w:start w:val="5"/>
      <w:numFmt w:val="chineseCounting"/>
      <w:suff w:val="nothing"/>
      <w:lvlText w:val="%1、"/>
      <w:lvlJc w:val="left"/>
      <w:rPr>
        <w:rFonts w:hint="eastAsia"/>
      </w:rPr>
    </w:lvl>
  </w:abstractNum>
  <w:abstractNum w:abstractNumId="1">
    <w:nsid w:val="D528120B"/>
    <w:multiLevelType w:val="singleLevel"/>
    <w:tmpl w:val="D528120B"/>
    <w:lvl w:ilvl="0">
      <w:start w:val="2"/>
      <w:numFmt w:val="chineseCounting"/>
      <w:suff w:val="nothing"/>
      <w:lvlText w:val="（%1）"/>
      <w:lvlJc w:val="left"/>
      <w:rPr>
        <w:rFonts w:hint="eastAsia"/>
      </w:rPr>
    </w:lvl>
  </w:abstractNum>
  <w:abstractNum w:abstractNumId="2">
    <w:nsid w:val="FB74665F"/>
    <w:multiLevelType w:val="singleLevel"/>
    <w:tmpl w:val="FB74665F"/>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33C4C"/>
    <w:rsid w:val="00095FF9"/>
    <w:rsid w:val="0018238C"/>
    <w:rsid w:val="002F62D9"/>
    <w:rsid w:val="00331B61"/>
    <w:rsid w:val="003A49B4"/>
    <w:rsid w:val="0058499D"/>
    <w:rsid w:val="005E2B8D"/>
    <w:rsid w:val="006A7E4A"/>
    <w:rsid w:val="007B6E07"/>
    <w:rsid w:val="008A78FA"/>
    <w:rsid w:val="008D6D27"/>
    <w:rsid w:val="00A842F5"/>
    <w:rsid w:val="00B338D2"/>
    <w:rsid w:val="00BD0F5E"/>
    <w:rsid w:val="00C460D9"/>
    <w:rsid w:val="00C470BD"/>
    <w:rsid w:val="00CC10B5"/>
    <w:rsid w:val="00D5136C"/>
    <w:rsid w:val="00E16F92"/>
    <w:rsid w:val="00E50A93"/>
    <w:rsid w:val="00EF3294"/>
    <w:rsid w:val="00F74D47"/>
    <w:rsid w:val="00F95F2C"/>
    <w:rsid w:val="00FB45E1"/>
    <w:rsid w:val="4094285E"/>
    <w:rsid w:val="48327D28"/>
    <w:rsid w:val="4C06128B"/>
    <w:rsid w:val="56E263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D0F5E"/>
    <w:pPr>
      <w:widowControl w:val="0"/>
      <w:jc w:val="both"/>
    </w:pPr>
    <w:rPr>
      <w:rFonts w:ascii="Times New Roman" w:eastAsia="仿宋_GB2312" w:hAnsi="Times New Roman" w:cs="Times New Roman"/>
      <w:kern w:val="2"/>
      <w:sz w:val="30"/>
      <w:szCs w:val="24"/>
    </w:rPr>
  </w:style>
  <w:style w:type="paragraph" w:styleId="20">
    <w:name w:val="heading 2"/>
    <w:basedOn w:val="a"/>
    <w:next w:val="a"/>
    <w:link w:val="2Char"/>
    <w:qFormat/>
    <w:rsid w:val="00BD0F5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3"/>
    <w:qFormat/>
    <w:rsid w:val="00BD0F5E"/>
    <w:pPr>
      <w:ind w:firstLineChars="200" w:firstLine="420"/>
    </w:pPr>
  </w:style>
  <w:style w:type="paragraph" w:styleId="a3">
    <w:name w:val="Body Text Indent"/>
    <w:basedOn w:val="a"/>
    <w:qFormat/>
    <w:rsid w:val="00BD0F5E"/>
    <w:pPr>
      <w:ind w:leftChars="200" w:left="420"/>
    </w:pPr>
  </w:style>
  <w:style w:type="paragraph" w:styleId="a4">
    <w:name w:val="footer"/>
    <w:basedOn w:val="a"/>
    <w:link w:val="Char"/>
    <w:uiPriority w:val="99"/>
    <w:unhideWhenUsed/>
    <w:qFormat/>
    <w:rsid w:val="00BD0F5E"/>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0"/>
    <w:uiPriority w:val="99"/>
    <w:semiHidden/>
    <w:unhideWhenUsed/>
    <w:qFormat/>
    <w:rsid w:val="00BD0F5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5"/>
    <w:uiPriority w:val="99"/>
    <w:semiHidden/>
    <w:qFormat/>
    <w:rsid w:val="00BD0F5E"/>
    <w:rPr>
      <w:sz w:val="18"/>
      <w:szCs w:val="18"/>
    </w:rPr>
  </w:style>
  <w:style w:type="character" w:customStyle="1" w:styleId="Char">
    <w:name w:val="页脚 Char"/>
    <w:basedOn w:val="a0"/>
    <w:link w:val="a4"/>
    <w:uiPriority w:val="99"/>
    <w:qFormat/>
    <w:rsid w:val="00BD0F5E"/>
    <w:rPr>
      <w:sz w:val="18"/>
      <w:szCs w:val="18"/>
    </w:rPr>
  </w:style>
  <w:style w:type="character" w:customStyle="1" w:styleId="2Char">
    <w:name w:val="标题 2 Char"/>
    <w:basedOn w:val="a0"/>
    <w:link w:val="20"/>
    <w:qFormat/>
    <w:rsid w:val="00BD0F5E"/>
    <w:rPr>
      <w:rFonts w:ascii="Arial" w:eastAsia="黑体" w:hAnsi="Arial" w:cs="Times New Roman"/>
      <w:b/>
      <w:sz w:val="32"/>
      <w:szCs w:val="24"/>
    </w:rPr>
  </w:style>
  <w:style w:type="paragraph" w:styleId="a6">
    <w:name w:val="List Paragraph"/>
    <w:basedOn w:val="a"/>
    <w:uiPriority w:val="99"/>
    <w:qFormat/>
    <w:rsid w:val="00BD0F5E"/>
    <w:pPr>
      <w:ind w:firstLineChars="200" w:firstLine="420"/>
    </w:pPr>
  </w:style>
  <w:style w:type="paragraph" w:customStyle="1" w:styleId="Default">
    <w:name w:val="Default"/>
    <w:qFormat/>
    <w:rsid w:val="00BD0F5E"/>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D8812D-AD3D-4E67-A7DE-0F057F644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903</Words>
  <Characters>5150</Characters>
  <Application>Microsoft Office Word</Application>
  <DocSecurity>0</DocSecurity>
  <Lines>42</Lines>
  <Paragraphs>12</Paragraphs>
  <ScaleCrop>false</ScaleCrop>
  <Company>Microsoft</Company>
  <LinksUpToDate>false</LinksUpToDate>
  <CharactersWithSpaces>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9</cp:revision>
  <cp:lastPrinted>2020-05-12T03:53:00Z</cp:lastPrinted>
  <dcterms:created xsi:type="dcterms:W3CDTF">2020-05-11T11:45:00Z</dcterms:created>
  <dcterms:modified xsi:type="dcterms:W3CDTF">2020-06-08T11:54:00Z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