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巴州党委直属机关工委项目</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cs="宋体"/>
          <w:kern w:val="0"/>
          <w:sz w:val="36"/>
          <w:szCs w:val="36"/>
        </w:rPr>
      </w:pPr>
      <w:r>
        <w:rPr>
          <w:rFonts w:hint="eastAsia" w:hAnsi="宋体" w:cs="宋体"/>
          <w:kern w:val="0"/>
          <w:sz w:val="36"/>
          <w:szCs w:val="36"/>
        </w:rPr>
        <w:t>（2019年度）</w:t>
      </w: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jc w:val="center"/>
        <w:rPr>
          <w:rFonts w:hAnsi="宋体" w:cs="宋体"/>
          <w:kern w:val="0"/>
          <w:szCs w:val="30"/>
        </w:rPr>
      </w:pPr>
    </w:p>
    <w:p>
      <w:pPr>
        <w:spacing w:line="540" w:lineRule="exact"/>
        <w:rPr>
          <w:rFonts w:hAnsi="宋体" w:cs="宋体"/>
          <w:kern w:val="0"/>
          <w:szCs w:val="30"/>
        </w:rPr>
      </w:pPr>
    </w:p>
    <w:p>
      <w:pPr>
        <w:spacing w:line="700" w:lineRule="exact"/>
        <w:jc w:val="left"/>
        <w:rPr>
          <w:rFonts w:hAnsi="宋体" w:cs="宋体"/>
          <w:kern w:val="0"/>
          <w:sz w:val="36"/>
          <w:szCs w:val="36"/>
        </w:rPr>
      </w:pPr>
    </w:p>
    <w:p>
      <w:pPr>
        <w:spacing w:line="700" w:lineRule="exact"/>
        <w:ind w:left="2662" w:leftChars="250" w:hanging="1875" w:hangingChars="500"/>
        <w:jc w:val="left"/>
        <w:rPr>
          <w:rFonts w:hAnsi="宋体" w:cs="宋体"/>
          <w:kern w:val="0"/>
          <w:sz w:val="36"/>
          <w:szCs w:val="36"/>
        </w:rPr>
      </w:pPr>
      <w:r>
        <w:rPr>
          <w:rFonts w:hint="eastAsia" w:hAnsi="宋体" w:cs="宋体"/>
          <w:kern w:val="0"/>
          <w:sz w:val="36"/>
          <w:szCs w:val="36"/>
        </w:rPr>
        <w:t>项目名称：2019年州直机关基层党组织党务人才队伍建设项目</w:t>
      </w:r>
    </w:p>
    <w:p>
      <w:pPr>
        <w:spacing w:line="700" w:lineRule="exact"/>
        <w:ind w:firstLine="937"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w:t>
      </w:r>
      <w:r>
        <w:rPr>
          <w:rFonts w:hint="eastAsia" w:hAnsi="宋体" w:cs="宋体"/>
          <w:kern w:val="0"/>
          <w:sz w:val="36"/>
          <w:szCs w:val="36"/>
        </w:rPr>
        <w:t>巴州党委直属机关工委</w:t>
      </w:r>
    </w:p>
    <w:p>
      <w:pPr>
        <w:spacing w:line="700" w:lineRule="exact"/>
        <w:ind w:firstLine="884" w:firstLineChars="236"/>
        <w:jc w:val="left"/>
        <w:rPr>
          <w:rFonts w:hAnsi="宋体" w:cs="宋体"/>
          <w:kern w:val="0"/>
          <w:sz w:val="36"/>
          <w:szCs w:val="36"/>
        </w:rPr>
      </w:pPr>
      <w:r>
        <w:rPr>
          <w:rFonts w:hint="eastAsia" w:hAnsi="宋体" w:cs="宋体"/>
          <w:kern w:val="0"/>
          <w:sz w:val="36"/>
          <w:szCs w:val="36"/>
        </w:rPr>
        <w:t>主管部门（公章）：巴州党委直属机关工委</w:t>
      </w:r>
    </w:p>
    <w:p>
      <w:pPr>
        <w:spacing w:line="700" w:lineRule="exact"/>
        <w:ind w:firstLine="884" w:firstLineChars="236"/>
        <w:jc w:val="left"/>
        <w:rPr>
          <w:rFonts w:hAnsi="宋体" w:cs="宋体"/>
          <w:kern w:val="0"/>
          <w:sz w:val="36"/>
          <w:szCs w:val="36"/>
        </w:rPr>
      </w:pPr>
      <w:r>
        <w:rPr>
          <w:rFonts w:hint="eastAsia" w:hAnsi="宋体" w:cs="宋体"/>
          <w:kern w:val="0"/>
          <w:sz w:val="36"/>
          <w:szCs w:val="36"/>
        </w:rPr>
        <w:t>项目负责人（签章）：</w:t>
      </w:r>
      <w:r>
        <w:rPr>
          <w:rFonts w:hint="eastAsia" w:ascii="仿宋" w:hAnsi="仿宋" w:eastAsia="仿宋" w:cs="微软雅黑"/>
          <w:kern w:val="0"/>
          <w:sz w:val="36"/>
          <w:szCs w:val="36"/>
        </w:rPr>
        <w:t>李洪波</w:t>
      </w:r>
      <w:r>
        <w:rPr>
          <w:rFonts w:ascii="仿宋" w:hAnsi="仿宋" w:eastAsia="仿宋" w:cs="宋体"/>
          <w:kern w:val="0"/>
          <w:sz w:val="36"/>
          <w:szCs w:val="36"/>
        </w:rPr>
        <w:t xml:space="preserve"> </w:t>
      </w:r>
    </w:p>
    <w:p>
      <w:pPr>
        <w:spacing w:line="700" w:lineRule="exact"/>
        <w:ind w:firstLine="884" w:firstLineChars="236"/>
        <w:jc w:val="left"/>
        <w:rPr>
          <w:rFonts w:hAnsi="宋体" w:cs="宋体"/>
          <w:kern w:val="0"/>
          <w:sz w:val="36"/>
          <w:szCs w:val="36"/>
        </w:rPr>
      </w:pPr>
      <w:r>
        <w:rPr>
          <w:rFonts w:hint="eastAsia" w:hAnsi="宋体" w:cs="宋体"/>
          <w:kern w:val="0"/>
          <w:sz w:val="36"/>
          <w:szCs w:val="36"/>
        </w:rPr>
        <w:t xml:space="preserve">填报时间：2020年5月14日  </w:t>
      </w:r>
      <w:r>
        <w:rPr>
          <w:rFonts w:hAnsi="宋体" w:cs="宋体"/>
          <w:kern w:val="0"/>
          <w:sz w:val="36"/>
          <w:szCs w:val="36"/>
        </w:rPr>
        <w:t xml:space="preserve"> </w:t>
      </w:r>
    </w:p>
    <w:p>
      <w:pPr>
        <w:spacing w:line="480" w:lineRule="auto"/>
        <w:jc w:val="center"/>
        <w:rPr>
          <w:rFonts w:ascii="方正小标宋_GBK" w:hAnsi="方正小标宋_GBK" w:eastAsia="方正小标宋_GBK" w:cs="方正小标宋_GBK"/>
          <w:kern w:val="0"/>
          <w:sz w:val="31"/>
          <w:szCs w:val="31"/>
          <w:lang w:bidi="en-US"/>
        </w:rPr>
      </w:pPr>
      <w:r>
        <w:rPr>
          <w:rFonts w:hint="eastAsia" w:ascii="方正小标宋_GBK" w:hAnsi="方正小标宋_GBK" w:eastAsia="方正小标宋_GBK" w:cs="方正小标宋_GBK"/>
          <w:kern w:val="0"/>
          <w:sz w:val="31"/>
          <w:szCs w:val="31"/>
          <w:lang w:bidi="en-US"/>
        </w:rPr>
        <w:t>2019年州直机关基层党组织党务人才队伍建设项目</w:t>
      </w:r>
    </w:p>
    <w:p>
      <w:pPr>
        <w:spacing w:line="600" w:lineRule="exact"/>
        <w:ind w:firstLine="650" w:firstLineChars="200"/>
        <w:rPr>
          <w:rFonts w:ascii="方正仿宋_GBK" w:hAnsi="方正仿宋_GBK" w:eastAsia="方正仿宋_GBK" w:cs="方正仿宋_GBK"/>
          <w:sz w:val="31"/>
          <w:szCs w:val="31"/>
        </w:rPr>
      </w:pPr>
    </w:p>
    <w:p>
      <w:pPr>
        <w:spacing w:line="600" w:lineRule="exact"/>
        <w:ind w:firstLine="670"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一、基本情况</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（一）项目概况。包括项目背景、主要内容及实施情况、资金投入和使用情况等。</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1.项目背景：认真贯彻落实习近平新时代中国特色社会主义思想和党的十九大精神，贯彻落实以习近平同志为核心的党中央治疆方略、特别是社会稳定和长治久安总目标，贯彻落实《2016—2020年全国组织系统信息化工作规则》，贯彻落实自治区党委九届六次、自治州党委十届六次全体会议精神，聚焦社会稳定和长治久安总目标，着力解决州直机关基层党组织“有人干事”问题，激发党员干部工作积极性，提升党务干部能力素质。</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2.项目主要内容：以提升组织力为重点，加快推进州直机关基层党建信息化建设，进一步发挥州直机关基层党组织党务人才队伍作用，抓好党员网上活动室和“党校到支部”日常工作的落实，提升机关党建工作质量。</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3.项目实施情况： 2019年度州本级行政事业单位培养党务人才73名；州直机关基层党组织党务人才每人每月给予200元的培养经费。实施党务人才动态管理制度，将优秀年轻干部作为党务人才的重要来源，及时补充完善，加强培养锻炼，着力培养一批政治过硬、能力突出、数量充足的基层党组织书记后备人选。</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4.项目资金投入情况：2019年该项目预算数为17.52万元，实际下达预算数为17.52万元，投入资金为17.52万元。</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5.项目资金使用情况：2019年该项目实际支出17.52万元，完成全年比例的100%。</w:t>
      </w:r>
    </w:p>
    <w:p>
      <w:pPr>
        <w:pStyle w:val="11"/>
        <w:numPr>
          <w:ilvl w:val="0"/>
          <w:numId w:val="1"/>
        </w:numPr>
        <w:spacing w:line="600" w:lineRule="exact"/>
        <w:ind w:firstLineChars="0"/>
        <w:outlineLvl w:val="0"/>
        <w:rPr>
          <w:rFonts w:ascii="方正仿宋_GBK" w:hAnsi="方正仿宋_GBK" w:eastAsia="方正仿宋_GBK" w:cs="方正仿宋_GBK"/>
          <w:color w:val="FF0000"/>
          <w:sz w:val="31"/>
          <w:szCs w:val="31"/>
        </w:rPr>
      </w:pPr>
      <w:r>
        <w:rPr>
          <w:rFonts w:hint="eastAsia" w:ascii="方正仿宋_GBK" w:hAnsi="方正仿宋_GBK" w:eastAsia="方正仿宋_GBK" w:cs="方正仿宋_GBK"/>
          <w:sz w:val="31"/>
          <w:szCs w:val="31"/>
        </w:rPr>
        <w:t>项目绩效目标。</w:t>
      </w:r>
      <w:r>
        <w:rPr>
          <w:rFonts w:hint="eastAsia" w:ascii="方正仿宋_GBK" w:hAnsi="方正仿宋_GBK" w:eastAsia="方正仿宋_GBK" w:cs="方正仿宋_GBK"/>
          <w:color w:val="000000" w:themeColor="text1"/>
          <w:sz w:val="31"/>
          <w:szCs w:val="31"/>
          <w14:textFill>
            <w14:solidFill>
              <w14:schemeClr w14:val="tx1"/>
            </w14:solidFill>
          </w14:textFill>
        </w:rPr>
        <w:t>包括总体目标和阶段性目标。</w:t>
      </w:r>
    </w:p>
    <w:p>
      <w:pPr>
        <w:adjustRightInd w:val="0"/>
        <w:snapToGrid w:val="0"/>
        <w:spacing w:line="600" w:lineRule="exact"/>
        <w:ind w:firstLine="650" w:firstLineChars="200"/>
        <w:jc w:val="left"/>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1.项目总目标：着力培养一批政治过硬、能力突出、数量充足的机关党组织书记后备人选。</w:t>
      </w:r>
    </w:p>
    <w:p>
      <w:pPr>
        <w:adjustRightInd w:val="0"/>
        <w:snapToGrid w:val="0"/>
        <w:spacing w:line="600" w:lineRule="exact"/>
        <w:ind w:firstLine="650" w:firstLineChars="200"/>
        <w:jc w:val="left"/>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2.阶段性目：2019年度州本级行政事业单位培养党务人才73名；党务人才每人每月给予200元的培养经费。</w:t>
      </w:r>
    </w:p>
    <w:p>
      <w:pPr>
        <w:spacing w:line="600" w:lineRule="exact"/>
        <w:ind w:firstLine="670"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二、绩效评价工作开展情况</w:t>
      </w:r>
    </w:p>
    <w:p>
      <w:pPr>
        <w:spacing w:line="600" w:lineRule="exact"/>
        <w:ind w:firstLine="650" w:firstLineChars="20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（一）绩效评价目的、对象和范围。</w:t>
      </w:r>
    </w:p>
    <w:p>
      <w:pPr>
        <w:spacing w:line="600" w:lineRule="exact"/>
        <w:ind w:firstLine="650" w:firstLineChars="200"/>
        <w:rPr>
          <w:rFonts w:ascii="方正仿宋_GBK" w:hAnsi="方正仿宋_GBK" w:eastAsia="方正仿宋_GBK" w:cs="方正仿宋_GBK"/>
          <w:sz w:val="31"/>
          <w:szCs w:val="31"/>
        </w:rPr>
      </w:pPr>
      <w:r>
        <w:rPr>
          <w:rFonts w:hint="eastAsia" w:ascii="方正仿宋_GBK" w:hAnsi="方正仿宋_GBK" w:eastAsia="方正仿宋_GBK" w:cs="方正仿宋_GBK"/>
          <w:b/>
          <w:sz w:val="31"/>
          <w:szCs w:val="31"/>
        </w:rPr>
        <w:t>1、评价目的：</w:t>
      </w:r>
      <w:r>
        <w:rPr>
          <w:rFonts w:hint="eastAsia" w:ascii="方正仿宋_GBK" w:hAnsi="方正仿宋_GBK" w:eastAsia="方正仿宋_GBK" w:cs="方正仿宋_GBK"/>
          <w:sz w:val="31"/>
          <w:szCs w:val="31"/>
        </w:rPr>
        <w:t>通过开展绩效评价，了解州直机关基层党组织党务人才队伍建设项目目标设定情况；资金使用及管理情况；资金使用效果和绩效目标完成情况；项目实施后的经济效益、社会效益和可持续性影响等情况。同时，及时总结经验，分析存在问题，采取相应措施进一步改进和加强财政支出项目管理，切实提高财政性资金使用效益。</w:t>
      </w:r>
    </w:p>
    <w:p>
      <w:pPr>
        <w:spacing w:line="600" w:lineRule="exact"/>
        <w:ind w:firstLine="650" w:firstLineChars="200"/>
        <w:rPr>
          <w:rFonts w:ascii="方正仿宋_GBK" w:hAnsi="方正仿宋_GBK" w:eastAsia="方正仿宋_GBK" w:cs="方正仿宋_GBK"/>
          <w:sz w:val="31"/>
          <w:szCs w:val="31"/>
        </w:rPr>
      </w:pPr>
      <w:r>
        <w:rPr>
          <w:rFonts w:hint="eastAsia" w:ascii="方正仿宋_GBK" w:hAnsi="方正仿宋_GBK" w:eastAsia="方正仿宋_GBK" w:cs="方正仿宋_GBK"/>
          <w:b/>
          <w:sz w:val="31"/>
          <w:szCs w:val="31"/>
        </w:rPr>
        <w:t>2、评价对象：</w:t>
      </w:r>
      <w:r>
        <w:rPr>
          <w:rFonts w:hint="eastAsia" w:ascii="方正仿宋_GBK" w:hAnsi="方正仿宋_GBK" w:eastAsia="方正仿宋_GBK" w:cs="方正仿宋_GBK"/>
          <w:sz w:val="31"/>
          <w:szCs w:val="31"/>
        </w:rPr>
        <w:t>2019年州直机关基层党组织党务人才队伍建设项目。</w:t>
      </w:r>
    </w:p>
    <w:p>
      <w:pPr>
        <w:spacing w:line="600" w:lineRule="exact"/>
        <w:ind w:firstLine="650" w:firstLineChars="20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3、评价范围：根据本专项资金具体投向及实施内容，</w:t>
      </w:r>
      <w:r>
        <w:rPr>
          <w:rFonts w:hint="eastAsia" w:ascii="仿宋" w:hAnsi="仿宋" w:eastAsia="仿宋" w:cs="宋体"/>
          <w:sz w:val="31"/>
          <w:szCs w:val="31"/>
        </w:rPr>
        <w:t>巴州</w:t>
      </w:r>
      <w:r>
        <w:rPr>
          <w:rFonts w:ascii="仿宋" w:hAnsi="仿宋" w:eastAsia="仿宋" w:cs="宋体"/>
          <w:sz w:val="31"/>
          <w:szCs w:val="31"/>
        </w:rPr>
        <w:t>党委直属机关工委办公室</w:t>
      </w:r>
      <w:r>
        <w:rPr>
          <w:rFonts w:hint="eastAsia" w:ascii="方正仿宋_GBK" w:hAnsi="方正仿宋_GBK" w:eastAsia="方正仿宋_GBK" w:cs="方正仿宋_GBK"/>
          <w:sz w:val="31"/>
          <w:szCs w:val="31"/>
        </w:rPr>
        <w:t>对2019年州直机关基层党组织党务人才队伍建设项目进行评价。</w:t>
      </w:r>
    </w:p>
    <w:p>
      <w:pPr>
        <w:spacing w:line="600" w:lineRule="exact"/>
        <w:ind w:firstLine="650" w:firstLineChars="20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（二）绩效评价原则、评价指标体系（附表说明）、评价方法、评价标准等。</w:t>
      </w:r>
    </w:p>
    <w:p>
      <w:pPr>
        <w:spacing w:line="600" w:lineRule="exact"/>
        <w:ind w:firstLine="650" w:firstLineChars="20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1.绩效评价原则：科学规范原则：绩效评价严格执行规定的程序，按照科学可行的要求，采用定量于定性分析相结合的方法；公平公正原则：绩效评价符合真实、客观、公正的要求，标准统一、资料可靠，依法公开并接收监督；绩效相关原则：绩效评价针对具体支出及其产出绩效进行，评价结果应当清晰反映支出和产出绩效之间的紧密对应关系。</w:t>
      </w:r>
    </w:p>
    <w:p>
      <w:pPr>
        <w:spacing w:line="560" w:lineRule="exact"/>
        <w:ind w:firstLine="650" w:firstLineChars="200"/>
        <w:rPr>
          <w:rFonts w:ascii="仿宋" w:hAnsi="仿宋" w:eastAsia="仿宋"/>
        </w:rPr>
      </w:pPr>
      <w:r>
        <w:rPr>
          <w:rFonts w:hint="eastAsia" w:ascii="方正仿宋_GBK" w:hAnsi="方正仿宋_GBK" w:eastAsia="方正仿宋_GBK" w:cs="方正仿宋_GBK"/>
          <w:sz w:val="31"/>
          <w:szCs w:val="31"/>
        </w:rPr>
        <w:t>2.评价指标体系：</w:t>
      </w:r>
      <w:r>
        <w:rPr>
          <w:rFonts w:hint="eastAsia" w:ascii="仿宋" w:hAnsi="仿宋" w:eastAsia="仿宋" w:cs="仿宋_GB2312"/>
        </w:rPr>
        <w:t>指标主要根据财政部门设置的指标、绩效评价管理制度及单位职能职责、发展规划、年度工作计划、年度绩效目标制定，选取科学、灵活，具有可操作性，贴近实际。分为长期、年度绩效指标。(详见附表)</w:t>
      </w:r>
    </w:p>
    <w:p>
      <w:pPr>
        <w:spacing w:line="560" w:lineRule="exact"/>
        <w:ind w:firstLine="650" w:firstLineChars="200"/>
        <w:rPr>
          <w:rFonts w:ascii="仿宋" w:hAnsi="仿宋" w:eastAsia="仿宋"/>
        </w:rPr>
      </w:pPr>
      <w:r>
        <w:rPr>
          <w:rFonts w:hint="eastAsia" w:ascii="方正仿宋_GBK" w:hAnsi="方正仿宋_GBK" w:eastAsia="方正仿宋_GBK" w:cs="方正仿宋_GBK"/>
          <w:sz w:val="31"/>
          <w:szCs w:val="31"/>
        </w:rPr>
        <w:t>3.评价方法：</w:t>
      </w:r>
      <w:r>
        <w:rPr>
          <w:rFonts w:hint="eastAsia" w:ascii="仿宋" w:hAnsi="仿宋" w:eastAsia="仿宋" w:cs="仿宋_GB2312"/>
        </w:rPr>
        <w:t>采用直接比对方法，将实际工作完成情况与绩效指标完成情况进行直接对比，在此基础上进行评价。</w:t>
      </w:r>
    </w:p>
    <w:p>
      <w:pPr>
        <w:spacing w:line="600" w:lineRule="exact"/>
        <w:ind w:firstLine="650" w:firstLineChars="200"/>
        <w:rPr>
          <w:rFonts w:ascii="仿宋" w:hAnsi="仿宋" w:eastAsia="仿宋"/>
        </w:rPr>
      </w:pPr>
      <w:r>
        <w:rPr>
          <w:rFonts w:hint="eastAsia" w:ascii="方正仿宋_GBK" w:hAnsi="方正仿宋_GBK" w:eastAsia="方正仿宋_GBK" w:cs="方正仿宋_GBK"/>
          <w:sz w:val="31"/>
          <w:szCs w:val="31"/>
        </w:rPr>
        <w:t>4.评价标准:</w:t>
      </w:r>
      <w:r>
        <w:rPr>
          <w:rFonts w:hint="eastAsia" w:ascii="方正仿宋_GBK" w:hAnsi="方正仿宋_GBK" w:eastAsia="方正仿宋_GBK" w:cs="方正仿宋_GBK"/>
        </w:rPr>
        <w:t xml:space="preserve"> 鉴于该项目特点及实际情况，主要采用计划标准，</w:t>
      </w:r>
      <w:r>
        <w:rPr>
          <w:rFonts w:hint="eastAsia" w:ascii="仿宋_GB2312"/>
        </w:rPr>
        <w:t>以预先制定的预算目标作为评价标准。</w:t>
      </w:r>
      <w:r>
        <w:rPr>
          <w:rFonts w:hint="eastAsia" w:ascii="方正仿宋_GBK" w:hAnsi="方正仿宋_GBK" w:eastAsia="方正仿宋_GBK" w:cs="方正仿宋_GBK"/>
        </w:rPr>
        <w:t>设置一级指标4个、二级指标</w:t>
      </w:r>
      <w:r>
        <w:rPr>
          <w:rFonts w:ascii="方正仿宋_GBK" w:hAnsi="方正仿宋_GBK" w:eastAsia="方正仿宋_GBK" w:cs="方正仿宋_GBK"/>
        </w:rPr>
        <w:t>10</w:t>
      </w:r>
      <w:r>
        <w:rPr>
          <w:rFonts w:hint="eastAsia" w:ascii="方正仿宋_GBK" w:hAnsi="方正仿宋_GBK" w:eastAsia="方正仿宋_GBK" w:cs="方正仿宋_GBK"/>
        </w:rPr>
        <w:t>个、三级指标</w:t>
      </w:r>
      <w:r>
        <w:rPr>
          <w:rFonts w:ascii="方正仿宋_GBK" w:hAnsi="方正仿宋_GBK" w:eastAsia="方正仿宋_GBK" w:cs="方正仿宋_GBK"/>
        </w:rPr>
        <w:t>17</w:t>
      </w:r>
      <w:r>
        <w:rPr>
          <w:rFonts w:hint="eastAsia" w:ascii="方正仿宋_GBK" w:hAnsi="方正仿宋_GBK" w:eastAsia="方正仿宋_GBK" w:cs="方正仿宋_GBK"/>
        </w:rPr>
        <w:t>个，其中：一级指标包括决策（</w:t>
      </w:r>
      <w:r>
        <w:rPr>
          <w:rFonts w:ascii="方正仿宋_GBK" w:hAnsi="方正仿宋_GBK" w:eastAsia="方正仿宋_GBK" w:cs="方正仿宋_GBK"/>
        </w:rPr>
        <w:t>2</w:t>
      </w:r>
      <w:r>
        <w:rPr>
          <w:rFonts w:hint="eastAsia" w:ascii="方正仿宋_GBK" w:hAnsi="方正仿宋_GBK" w:eastAsia="方正仿宋_GBK" w:cs="方正仿宋_GBK"/>
        </w:rPr>
        <w:t>0分）过程（20分）产出指标（30分）、效益指标（30分）、四个维度，总分为100分。</w:t>
      </w:r>
      <w:r>
        <w:rPr>
          <w:rFonts w:hint="eastAsia" w:ascii="仿宋" w:hAnsi="仿宋" w:eastAsia="仿宋" w:cs="仿宋_GB2312"/>
        </w:rPr>
        <w:t>坚持客观、科学、公正、公平、公开的原则，根据项目设置年初目标值，对预定目标设置分值，按照客观实际的工作情况，评价打分。</w:t>
      </w:r>
    </w:p>
    <w:p>
      <w:pPr>
        <w:adjustRightInd w:val="0"/>
        <w:snapToGrid w:val="0"/>
        <w:spacing w:line="600" w:lineRule="exact"/>
        <w:ind w:firstLine="650" w:firstLineChars="20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（三）绩效评价工作过程。</w:t>
      </w:r>
    </w:p>
    <w:p>
      <w:pPr>
        <w:spacing w:line="560" w:lineRule="exact"/>
        <w:ind w:firstLine="630" w:firstLineChars="200"/>
        <w:rPr>
          <w:rFonts w:ascii="仿宋" w:hAnsi="仿宋" w:eastAsia="仿宋" w:cs="仿宋_GB2312"/>
        </w:rPr>
      </w:pPr>
      <w:r>
        <w:rPr>
          <w:rFonts w:ascii="仿宋" w:hAnsi="仿宋" w:eastAsia="仿宋" w:cs="仿宋_GB2312"/>
        </w:rPr>
        <w:t>1</w:t>
      </w:r>
      <w:r>
        <w:rPr>
          <w:rFonts w:hint="eastAsia" w:ascii="仿宋" w:hAnsi="仿宋" w:eastAsia="仿宋" w:cs="仿宋_GB2312"/>
        </w:rPr>
        <w:t>、确定该项目的绩效评价对象和评价范围，下达绩效评价通知；</w:t>
      </w:r>
    </w:p>
    <w:p>
      <w:pPr>
        <w:spacing w:line="560" w:lineRule="exact"/>
        <w:ind w:firstLine="630" w:firstLineChars="200"/>
        <w:rPr>
          <w:rFonts w:ascii="仿宋" w:hAnsi="仿宋" w:eastAsia="仿宋" w:cs="仿宋_GB2312"/>
        </w:rPr>
      </w:pPr>
      <w:r>
        <w:rPr>
          <w:rFonts w:ascii="仿宋" w:hAnsi="仿宋" w:eastAsia="仿宋" w:cs="仿宋_GB2312"/>
        </w:rPr>
        <w:t>2</w:t>
      </w:r>
      <w:r>
        <w:rPr>
          <w:rFonts w:hint="eastAsia" w:ascii="仿宋" w:hAnsi="仿宋" w:eastAsia="仿宋" w:cs="仿宋_GB2312"/>
        </w:rPr>
        <w:t>、制定该项目的评价工作方案；</w:t>
      </w:r>
    </w:p>
    <w:p>
      <w:pPr>
        <w:spacing w:line="560" w:lineRule="exact"/>
        <w:ind w:firstLine="630" w:firstLineChars="200"/>
        <w:rPr>
          <w:rFonts w:ascii="仿宋" w:hAnsi="仿宋" w:eastAsia="仿宋" w:cs="仿宋_GB2312"/>
        </w:rPr>
      </w:pPr>
      <w:r>
        <w:rPr>
          <w:rFonts w:ascii="仿宋" w:hAnsi="仿宋" w:eastAsia="仿宋" w:cs="仿宋_GB2312"/>
        </w:rPr>
        <w:t>3</w:t>
      </w:r>
      <w:r>
        <w:rPr>
          <w:rFonts w:hint="eastAsia" w:ascii="仿宋" w:hAnsi="仿宋" w:eastAsia="仿宋" w:cs="仿宋_GB2312"/>
        </w:rPr>
        <w:t>、收集该项目绩效评价相关数据资料；</w:t>
      </w:r>
    </w:p>
    <w:p>
      <w:pPr>
        <w:spacing w:line="560" w:lineRule="exact"/>
        <w:ind w:firstLine="630" w:firstLineChars="200"/>
        <w:rPr>
          <w:rFonts w:ascii="仿宋" w:hAnsi="仿宋" w:eastAsia="仿宋" w:cs="仿宋_GB2312"/>
        </w:rPr>
      </w:pPr>
      <w:r>
        <w:rPr>
          <w:rFonts w:ascii="仿宋" w:hAnsi="仿宋" w:eastAsia="仿宋" w:cs="仿宋_GB2312"/>
        </w:rPr>
        <w:t>4</w:t>
      </w:r>
      <w:r>
        <w:rPr>
          <w:rFonts w:hint="eastAsia" w:ascii="仿宋" w:hAnsi="仿宋" w:eastAsia="仿宋" w:cs="仿宋_GB2312"/>
        </w:rPr>
        <w:t>、核实该项目相关情况，分析形成初步绩效评价结论；</w:t>
      </w:r>
    </w:p>
    <w:p>
      <w:pPr>
        <w:adjustRightInd w:val="0"/>
        <w:snapToGrid w:val="0"/>
        <w:spacing w:line="600" w:lineRule="exact"/>
        <w:ind w:firstLine="630" w:firstLineChars="200"/>
        <w:rPr>
          <w:rFonts w:ascii="仿宋" w:hAnsi="仿宋" w:eastAsia="仿宋" w:cs="仿宋_GB2312"/>
        </w:rPr>
      </w:pPr>
      <w:r>
        <w:rPr>
          <w:rFonts w:ascii="仿宋" w:hAnsi="仿宋" w:eastAsia="仿宋" w:cs="仿宋_GB2312"/>
        </w:rPr>
        <w:t>5</w:t>
      </w:r>
      <w:r>
        <w:rPr>
          <w:rFonts w:hint="eastAsia" w:ascii="仿宋" w:hAnsi="仿宋" w:eastAsia="仿宋" w:cs="仿宋_GB2312"/>
        </w:rPr>
        <w:t>、综合分析形成最终结论，提交绩效评价报告。</w:t>
      </w:r>
    </w:p>
    <w:p>
      <w:pPr>
        <w:spacing w:line="600" w:lineRule="exact"/>
        <w:ind w:firstLine="630" w:firstLineChars="200"/>
        <w:rPr>
          <w:rFonts w:ascii="黑体" w:hAnsi="黑体" w:eastAsia="黑体"/>
        </w:rPr>
      </w:pPr>
      <w:r>
        <w:rPr>
          <w:rFonts w:hint="eastAsia" w:ascii="黑体" w:hAnsi="黑体" w:eastAsia="黑体"/>
        </w:rPr>
        <w:t>三、综合评价情况及评价结论</w:t>
      </w:r>
    </w:p>
    <w:p>
      <w:pPr>
        <w:spacing w:line="560" w:lineRule="exact"/>
        <w:ind w:firstLine="630" w:firstLineChars="200"/>
        <w:rPr>
          <w:rFonts w:ascii="仿宋_GB2312"/>
        </w:rPr>
      </w:pPr>
      <w:r>
        <w:rPr>
          <w:rFonts w:hint="eastAsia" w:ascii="仿宋" w:hAnsi="仿宋" w:eastAsia="仿宋" w:cs="仿宋_GB2312"/>
        </w:rPr>
        <w:t>该项目实施完毕后，在进行绩效评价过程中，巴州党委直属机关工委绩效评价小组组织办公室相关业务科室负责人、经办人对该项目从立项、安排部门预算资金、项目实施管理、项目支出绩效评价等情况，按照设定的指标值，通过项目支出绩效评价体系结合评价方法、评价标准进行评价，首先要求相关科室负责人对该项目的规模、资金使用情况和管理制度进行学习了解熟悉，按照项目实施后达到的目的和效果制定评价方案，明确了绩效评价的目标、评价依据、指标体系架构以及指标分值分配原则等。</w:t>
      </w:r>
      <w:r>
        <w:rPr>
          <w:rFonts w:hint="eastAsia" w:ascii="仿宋_GB2312"/>
        </w:rPr>
        <w:t>评价认为，该项目较为充分地安排和使用了</w:t>
      </w:r>
      <w:r>
        <w:rPr>
          <w:rFonts w:hint="eastAsia" w:ascii="方正仿宋_GBK" w:hAnsi="方正仿宋_GBK" w:eastAsia="方正仿宋_GBK" w:cs="方正仿宋_GBK"/>
          <w:sz w:val="31"/>
          <w:szCs w:val="31"/>
        </w:rPr>
        <w:t>2019年州直机关基层党组织党务人才队伍建设项目</w:t>
      </w:r>
      <w:r>
        <w:rPr>
          <w:rFonts w:hint="eastAsia" w:ascii="仿宋_GB2312"/>
        </w:rPr>
        <w:t>资金，决策程序科学、合理，资金使用准确、规范，项目完成及时且较为有效，实施效果较为显著、服务对象较为满意。综合评价得分93分，评价等级为优。具体评价评分情况见附件中的分值和评价结果部分。</w:t>
      </w:r>
    </w:p>
    <w:p>
      <w:pPr>
        <w:spacing w:line="600" w:lineRule="exact"/>
        <w:ind w:firstLine="670"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四、绩效评价指标分析</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（一）项目决策情况。</w:t>
      </w:r>
    </w:p>
    <w:p>
      <w:pPr>
        <w:spacing w:line="560" w:lineRule="exact"/>
        <w:ind w:firstLine="630" w:firstLineChars="200"/>
        <w:outlineLvl w:val="0"/>
        <w:rPr>
          <w:rFonts w:ascii="仿宋_GB2312"/>
        </w:rPr>
      </w:pPr>
      <w:r>
        <w:rPr>
          <w:rFonts w:ascii="仿宋_GB2312" w:cs="仿宋_GB2312"/>
        </w:rPr>
        <w:t>2019</w:t>
      </w:r>
      <w:r>
        <w:rPr>
          <w:rFonts w:hint="eastAsia" w:ascii="仿宋_GB2312" w:cs="仿宋_GB2312"/>
        </w:rPr>
        <w:t>年，州财政预算17.52万元用于</w:t>
      </w:r>
      <w:r>
        <w:rPr>
          <w:rFonts w:hint="eastAsia" w:ascii="方正仿宋_GBK" w:hAnsi="方正仿宋_GBK" w:eastAsia="方正仿宋_GBK" w:cs="方正仿宋_GBK"/>
          <w:sz w:val="31"/>
          <w:szCs w:val="31"/>
        </w:rPr>
        <w:t>州直机关基层党组织党务人才队伍建设项目</w:t>
      </w:r>
      <w:r>
        <w:rPr>
          <w:rFonts w:hint="eastAsia" w:ascii="仿宋_GB2312" w:cs="仿宋_GB2312"/>
        </w:rPr>
        <w:t>工作，整个项目经费使用规范，目标设置合理，符合本单位的职能任务；项目预期目标结合实际和年度工作要求，指标明确。</w:t>
      </w:r>
    </w:p>
    <w:p>
      <w:pPr>
        <w:spacing w:line="600" w:lineRule="exact"/>
        <w:ind w:left="630" w:left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（二）项目过程情况。</w:t>
      </w:r>
    </w:p>
    <w:p>
      <w:pPr>
        <w:spacing w:line="560" w:lineRule="exact"/>
        <w:ind w:firstLine="630" w:firstLineChars="200"/>
        <w:outlineLvl w:val="0"/>
        <w:rPr>
          <w:rFonts w:ascii="仿宋_GB2312"/>
        </w:rPr>
      </w:pPr>
      <w:r>
        <w:rPr>
          <w:rFonts w:ascii="仿宋_GB2312" w:cs="仿宋_GB2312"/>
        </w:rPr>
        <w:t>1</w:t>
      </w:r>
      <w:r>
        <w:rPr>
          <w:rFonts w:hint="eastAsia" w:ascii="仿宋_GB2312" w:cs="仿宋_GB2312"/>
        </w:rPr>
        <w:t>、此次绩效评价由项目实施科室巴州党委直属机关工委办公室完成。根据项目绩效目标进行，一是前期准备，明确工作分工、了解基本情况、设计指标体系；二是收集信息，分别落实工作；三是对照检查核实，提出意见建议。</w:t>
      </w:r>
    </w:p>
    <w:p>
      <w:pPr>
        <w:spacing w:line="560" w:lineRule="exact"/>
        <w:ind w:firstLine="630" w:firstLineChars="200"/>
        <w:outlineLvl w:val="0"/>
        <w:rPr>
          <w:rFonts w:ascii="仿宋_GB2312"/>
        </w:rPr>
      </w:pPr>
      <w:r>
        <w:rPr>
          <w:rFonts w:ascii="仿宋_GB2312" w:cs="仿宋_GB2312"/>
        </w:rPr>
        <w:t>2</w:t>
      </w:r>
      <w:r>
        <w:rPr>
          <w:rFonts w:hint="eastAsia" w:ascii="仿宋_GB2312" w:cs="仿宋_GB2312"/>
        </w:rPr>
        <w:t>、办公室负责对项目实施过程中规范使用资金，监督资金使用进度，严格执行专款专用。</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（三）项目产出情况。</w:t>
      </w:r>
    </w:p>
    <w:p>
      <w:pPr>
        <w:adjustRightInd w:val="0"/>
        <w:snapToGrid w:val="0"/>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1.实际完成情况：项目按计划全部完成。</w:t>
      </w:r>
    </w:p>
    <w:p>
      <w:pPr>
        <w:adjustRightInd w:val="0"/>
        <w:snapToGrid w:val="0"/>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2.项目完成及时性：项目按期完成。</w:t>
      </w:r>
    </w:p>
    <w:p>
      <w:pPr>
        <w:adjustRightInd w:val="0"/>
        <w:snapToGrid w:val="0"/>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3.项目成本控制情况：项目符合预算，实时监控建设项目资金流动。</w:t>
      </w:r>
    </w:p>
    <w:p>
      <w:pPr>
        <w:spacing w:line="600" w:lineRule="exact"/>
        <w:ind w:left="630" w:left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（四）项目效益情况。</w:t>
      </w:r>
    </w:p>
    <w:p>
      <w:pPr>
        <w:adjustRightInd w:val="0"/>
        <w:snapToGrid w:val="0"/>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为州本级行政事业单位培养了一批政治过硬、能力突出、数量充足的机关党组织书记后备人选。</w:t>
      </w:r>
    </w:p>
    <w:p>
      <w:pPr>
        <w:spacing w:line="600" w:lineRule="exact"/>
        <w:ind w:firstLine="670"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五、主要经验及做法、存在的问题及原因分析</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主要经验及做法</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（1）坚持规划先行，以规划统领整个项目；</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（2）强化项目前期工作，为项目实施奠定基础；</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（3）加强项目的监督检查，确保项目工作进度和质量。</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存在问题：项目实施过程中，项目绩效目标内容制定不够完整，对项目具体实施指导性不强。</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原因分析：财务制度不够完善；财务人员编制项目绩效能力不足。</w:t>
      </w:r>
    </w:p>
    <w:p>
      <w:pPr>
        <w:spacing w:line="600" w:lineRule="exact"/>
        <w:ind w:firstLine="670"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六、有关建议</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针对上面存在的问题，提出相关建议如下：</w:t>
      </w:r>
    </w:p>
    <w:p>
      <w:pPr>
        <w:spacing w:line="600" w:lineRule="exact"/>
        <w:ind w:firstLine="650" w:firstLineChars="200"/>
        <w:outlineLvl w:val="0"/>
        <w:rPr>
          <w:rFonts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加强项目实施方案的制定，增强实施方案对项目整个实施过程的指导，同时提高项目实施方案的可操作行。</w:t>
      </w:r>
    </w:p>
    <w:p>
      <w:pPr>
        <w:spacing w:line="600" w:lineRule="exact"/>
        <w:ind w:firstLine="670"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七、其他需要说明的问题</w:t>
      </w:r>
    </w:p>
    <w:p>
      <w:pPr>
        <w:spacing w:line="600" w:lineRule="exact"/>
        <w:ind w:firstLine="650" w:firstLineChars="200"/>
        <w:rPr>
          <w:rFonts w:ascii="方正仿宋_GBK" w:hAnsi="方正仿宋_GBK" w:eastAsia="方正仿宋_GBK" w:cs="方正仿宋_GBK"/>
          <w:bCs/>
          <w:sz w:val="31"/>
          <w:szCs w:val="31"/>
        </w:rPr>
      </w:pPr>
      <w:r>
        <w:rPr>
          <w:rFonts w:hint="eastAsia" w:ascii="方正仿宋_GBK" w:hAnsi="方正仿宋_GBK" w:eastAsia="方正仿宋_GBK" w:cs="方正仿宋_GBK"/>
          <w:bCs/>
          <w:sz w:val="31"/>
          <w:szCs w:val="31"/>
        </w:rPr>
        <w:t>无</w:t>
      </w:r>
    </w:p>
    <w:p>
      <w:pPr>
        <w:spacing w:line="600" w:lineRule="exact"/>
        <w:ind w:firstLine="650" w:firstLineChars="200"/>
        <w:rPr>
          <w:rFonts w:ascii="方正仿宋_GBK" w:hAnsi="方正仿宋_GBK" w:eastAsia="方正仿宋_GBK" w:cs="方正仿宋_GBK"/>
          <w:bCs/>
          <w:sz w:val="31"/>
          <w:szCs w:val="31"/>
        </w:rPr>
      </w:pPr>
    </w:p>
    <w:p>
      <w:pPr>
        <w:spacing w:line="600" w:lineRule="exact"/>
        <w:ind w:firstLine="650" w:firstLineChars="200"/>
        <w:rPr>
          <w:rFonts w:ascii="方正仿宋_GBK" w:hAnsi="方正仿宋_GBK" w:eastAsia="方正仿宋_GBK" w:cs="方正仿宋_GBK"/>
          <w:bCs/>
          <w:sz w:val="31"/>
          <w:szCs w:val="31"/>
        </w:rPr>
        <w:sectPr>
          <w:pgSz w:w="11906" w:h="16838"/>
          <w:pgMar w:top="1871" w:right="1531" w:bottom="1984" w:left="1531" w:header="964" w:footer="1644" w:gutter="0"/>
          <w:cols w:space="0" w:num="1"/>
          <w:docGrid w:type="linesAndChars" w:linePitch="590" w:charSpace="3247"/>
        </w:sectPr>
      </w:pPr>
    </w:p>
    <w:p>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90"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90" w:hRule="atLeast"/>
          <w:jc w:val="center"/>
        </w:trPr>
        <w:tc>
          <w:tcPr>
            <w:tcW w:w="13601" w:type="dxa"/>
            <w:gridSpan w:val="5"/>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w:t>
            </w:r>
          </w:p>
        </w:tc>
        <w:tc>
          <w:tcPr>
            <w:tcW w:w="852" w:type="dxa"/>
            <w:gridSpan w:val="3"/>
            <w:tcBorders>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93</w:t>
            </w:r>
          </w:p>
        </w:tc>
      </w:tr>
    </w:tbl>
    <w:p>
      <w:pPr>
        <w:spacing w:line="600" w:lineRule="exact"/>
        <w:ind w:firstLine="4875" w:firstLineChars="1500"/>
        <w:rPr>
          <w:rFonts w:ascii="方正仿宋_GBK" w:hAnsi="方正仿宋_GBK" w:eastAsia="方正仿宋_GBK" w:cs="方正仿宋_GBK"/>
          <w:bCs/>
          <w:sz w:val="31"/>
          <w:szCs w:val="31"/>
        </w:rPr>
      </w:pPr>
    </w:p>
    <w:sectPr>
      <w:pgSz w:w="16838" w:h="11906" w:orient="landscape"/>
      <w:pgMar w:top="1531" w:right="1871" w:bottom="1531" w:left="1984" w:header="964" w:footer="1644" w:gutter="0"/>
      <w:cols w:space="0" w:num="1"/>
      <w:docGrid w:type="linesAndChars" w:linePitch="590" w:charSpace="3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528AB8-4A00-4F24-9456-065BDEB1F66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33BDB987-61DB-4861-8F65-E102F678A746}"/>
  </w:font>
  <w:font w:name="仿宋_GB2312">
    <w:altName w:val="仿宋"/>
    <w:panose1 w:val="00000000000000000000"/>
    <w:charset w:val="86"/>
    <w:family w:val="modern"/>
    <w:pitch w:val="default"/>
    <w:sig w:usb0="00000000" w:usb1="00000000" w:usb2="00000000" w:usb3="00000000" w:csb0="00040000" w:csb1="00000000"/>
    <w:embedRegular r:id="rId3" w:fontKey="{2787637F-DA27-4CF8-938D-732BB575C489}"/>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embedRegular r:id="rId4" w:fontKey="{83236793-E403-4EB3-A283-E1346A8B79B6}"/>
  </w:font>
  <w:font w:name="方正小标宋_GBK">
    <w:altName w:val="微软雅黑"/>
    <w:panose1 w:val="00000000000000000000"/>
    <w:charset w:val="86"/>
    <w:family w:val="script"/>
    <w:pitch w:val="default"/>
    <w:sig w:usb0="00000000" w:usb1="00000000" w:usb2="00000010" w:usb3="00000000" w:csb0="00040000" w:csb1="00000000"/>
    <w:embedRegular r:id="rId5" w:fontKey="{E6B1C62A-6817-4C0D-9097-36D6BBBE796B}"/>
  </w:font>
  <w:font w:name="仿宋">
    <w:panose1 w:val="02010609060101010101"/>
    <w:charset w:val="86"/>
    <w:family w:val="modern"/>
    <w:pitch w:val="default"/>
    <w:sig w:usb0="800002BF" w:usb1="38CF7CFA" w:usb2="00000016" w:usb3="00000000" w:csb0="00040001" w:csb1="00000000"/>
    <w:embedRegular r:id="rId6" w:fontKey="{39B86D32-1C3E-4373-A920-BC43F7D77B38}"/>
  </w:font>
  <w:font w:name="微软雅黑">
    <w:panose1 w:val="020B0503020204020204"/>
    <w:charset w:val="86"/>
    <w:family w:val="swiss"/>
    <w:pitch w:val="default"/>
    <w:sig w:usb0="80000287" w:usb1="280F3C52" w:usb2="00000016" w:usb3="00000000" w:csb0="0004001F" w:csb1="00000000"/>
    <w:embedRegular r:id="rId7" w:fontKey="{9FAC719F-D886-4524-8228-32A92F447031}"/>
  </w:font>
  <w:font w:name="方正仿宋_GBK">
    <w:panose1 w:val="02000000000000000000"/>
    <w:charset w:val="86"/>
    <w:family w:val="script"/>
    <w:pitch w:val="default"/>
    <w:sig w:usb0="A00002BF" w:usb1="38CF7CFA" w:usb2="00082016" w:usb3="00000000" w:csb0="00040001" w:csb1="00000000"/>
    <w:embedRegular r:id="rId8" w:fontKey="{43855F6C-F8FA-41A7-8988-CD0527180BF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D2FA1"/>
    <w:multiLevelType w:val="multilevel"/>
    <w:tmpl w:val="245D2FA1"/>
    <w:lvl w:ilvl="0" w:tentative="0">
      <w:start w:val="2"/>
      <w:numFmt w:val="japaneseCounting"/>
      <w:lvlText w:val="（%1）"/>
      <w:lvlJc w:val="left"/>
      <w:pPr>
        <w:ind w:left="1080" w:hanging="108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HorizontalSpacing w:val="158"/>
  <w:drawingGridVerticalSpacing w:val="295"/>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AC9"/>
    <w:rsid w:val="0001374C"/>
    <w:rsid w:val="00014168"/>
    <w:rsid w:val="000B4E42"/>
    <w:rsid w:val="00122B84"/>
    <w:rsid w:val="00133557"/>
    <w:rsid w:val="00195528"/>
    <w:rsid w:val="001B7BB2"/>
    <w:rsid w:val="002306B0"/>
    <w:rsid w:val="002957A3"/>
    <w:rsid w:val="002D1F73"/>
    <w:rsid w:val="00390574"/>
    <w:rsid w:val="0043448B"/>
    <w:rsid w:val="00445BE6"/>
    <w:rsid w:val="00527882"/>
    <w:rsid w:val="00535AC9"/>
    <w:rsid w:val="00600F27"/>
    <w:rsid w:val="00665403"/>
    <w:rsid w:val="006C6C9D"/>
    <w:rsid w:val="0082328E"/>
    <w:rsid w:val="0092429D"/>
    <w:rsid w:val="00956D83"/>
    <w:rsid w:val="00965947"/>
    <w:rsid w:val="00AB6C72"/>
    <w:rsid w:val="00B02F78"/>
    <w:rsid w:val="00CB5E37"/>
    <w:rsid w:val="00CD7A69"/>
    <w:rsid w:val="00E3118B"/>
    <w:rsid w:val="00EB7F8C"/>
    <w:rsid w:val="00EF421D"/>
    <w:rsid w:val="00EF5F40"/>
    <w:rsid w:val="00F4174E"/>
    <w:rsid w:val="00FB4B5B"/>
    <w:rsid w:val="00FE022E"/>
    <w:rsid w:val="00FF71C7"/>
    <w:rsid w:val="015D2B36"/>
    <w:rsid w:val="06EC2E33"/>
    <w:rsid w:val="08854006"/>
    <w:rsid w:val="0CDD343C"/>
    <w:rsid w:val="11CA35D1"/>
    <w:rsid w:val="12060B09"/>
    <w:rsid w:val="13DA38A3"/>
    <w:rsid w:val="186E1997"/>
    <w:rsid w:val="1CBF3785"/>
    <w:rsid w:val="1F7D5E5C"/>
    <w:rsid w:val="1FE46245"/>
    <w:rsid w:val="223233AC"/>
    <w:rsid w:val="2504371B"/>
    <w:rsid w:val="2EC97928"/>
    <w:rsid w:val="303C3AF0"/>
    <w:rsid w:val="30B609AD"/>
    <w:rsid w:val="36897DEC"/>
    <w:rsid w:val="373E2470"/>
    <w:rsid w:val="3ACA67DE"/>
    <w:rsid w:val="3C5D0400"/>
    <w:rsid w:val="45724971"/>
    <w:rsid w:val="4B93156E"/>
    <w:rsid w:val="517A420E"/>
    <w:rsid w:val="517C48FF"/>
    <w:rsid w:val="51806436"/>
    <w:rsid w:val="56286E91"/>
    <w:rsid w:val="7BF52BF6"/>
    <w:rsid w:val="7EBD6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bCs/>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822</Words>
  <Characters>4686</Characters>
  <Lines>39</Lines>
  <Paragraphs>10</Paragraphs>
  <TotalTime>72</TotalTime>
  <ScaleCrop>false</ScaleCrop>
  <LinksUpToDate>false</LinksUpToDate>
  <CharactersWithSpaces>5498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xzzf</cp:lastModifiedBy>
  <cp:lastPrinted>2020-05-06T01:56:00Z</cp:lastPrinted>
  <dcterms:modified xsi:type="dcterms:W3CDTF">2020-06-07T13:09:08Z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