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5E7" w:rsidRDefault="00DF55E7" w:rsidP="00DF55E7">
      <w:pPr>
        <w:spacing w:line="540" w:lineRule="exact"/>
        <w:jc w:val="center"/>
        <w:rPr>
          <w:rFonts w:ascii="方正小标宋_GBK" w:eastAsia="方正小标宋_GBK" w:hAnsi="华文中宋" w:cs="宋体"/>
          <w:b/>
          <w:kern w:val="0"/>
          <w:sz w:val="48"/>
          <w:szCs w:val="48"/>
        </w:rPr>
      </w:pPr>
      <w:r w:rsidRPr="00DF55E7">
        <w:rPr>
          <w:rFonts w:ascii="方正小标宋_GBK" w:eastAsia="方正小标宋_GBK" w:hAnsi="华文中宋" w:cs="宋体" w:hint="eastAsia"/>
          <w:b/>
          <w:kern w:val="0"/>
          <w:sz w:val="48"/>
          <w:szCs w:val="48"/>
        </w:rPr>
        <w:t>巴州住房公积金管理中心</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DF55E7" w:rsidRDefault="00DF55E7" w:rsidP="00DF55E7">
      <w:pPr>
        <w:spacing w:line="540" w:lineRule="exact"/>
        <w:jc w:val="center"/>
        <w:rPr>
          <w:rFonts w:ascii="华文中宋" w:eastAsia="华文中宋" w:hAnsi="华文中宋" w:cs="宋体"/>
          <w:b/>
          <w:kern w:val="0"/>
          <w:sz w:val="52"/>
          <w:szCs w:val="52"/>
        </w:rPr>
      </w:pPr>
    </w:p>
    <w:p w:rsidR="00DF55E7" w:rsidRDefault="00DF55E7" w:rsidP="00DF55E7">
      <w:pPr>
        <w:spacing w:line="540" w:lineRule="exact"/>
        <w:jc w:val="center"/>
        <w:rPr>
          <w:rFonts w:ascii="华文中宋" w:eastAsia="华文中宋" w:hAnsi="华文中宋" w:cs="宋体"/>
          <w:b/>
          <w:kern w:val="0"/>
          <w:sz w:val="52"/>
          <w:szCs w:val="52"/>
        </w:rPr>
      </w:pPr>
    </w:p>
    <w:p w:rsidR="00DF55E7" w:rsidRDefault="00DF55E7" w:rsidP="00DF55E7">
      <w:pPr>
        <w:spacing w:line="540" w:lineRule="exact"/>
        <w:jc w:val="center"/>
        <w:rPr>
          <w:rFonts w:ascii="华文中宋" w:eastAsia="华文中宋" w:hAnsi="华文中宋" w:cs="宋体"/>
          <w:b/>
          <w:kern w:val="0"/>
          <w:sz w:val="52"/>
          <w:szCs w:val="52"/>
        </w:rPr>
      </w:pPr>
    </w:p>
    <w:p w:rsidR="00DF55E7" w:rsidRDefault="00DF55E7" w:rsidP="00DF55E7">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DF55E7" w:rsidRDefault="00DF55E7" w:rsidP="00DF55E7">
      <w:pPr>
        <w:spacing w:line="540" w:lineRule="exact"/>
        <w:jc w:val="center"/>
        <w:rPr>
          <w:rFonts w:hAnsi="宋体" w:cs="宋体"/>
          <w:kern w:val="0"/>
          <w:szCs w:val="30"/>
        </w:rPr>
      </w:pPr>
    </w:p>
    <w:p w:rsidR="00DF55E7" w:rsidRDefault="00DF55E7" w:rsidP="00DF55E7">
      <w:pPr>
        <w:spacing w:line="540" w:lineRule="exact"/>
        <w:jc w:val="center"/>
        <w:rPr>
          <w:rFonts w:hAnsi="宋体" w:cs="宋体"/>
          <w:kern w:val="0"/>
          <w:szCs w:val="30"/>
        </w:rPr>
      </w:pPr>
    </w:p>
    <w:p w:rsidR="00DF55E7" w:rsidRDefault="00DF55E7" w:rsidP="00DF55E7">
      <w:pPr>
        <w:spacing w:line="540" w:lineRule="exact"/>
        <w:jc w:val="center"/>
        <w:rPr>
          <w:rFonts w:hAnsi="宋体" w:cs="宋体"/>
          <w:kern w:val="0"/>
          <w:szCs w:val="30"/>
        </w:rPr>
      </w:pPr>
    </w:p>
    <w:p w:rsidR="00DF55E7" w:rsidRDefault="00DF55E7" w:rsidP="00DF55E7">
      <w:pPr>
        <w:spacing w:line="540" w:lineRule="exact"/>
        <w:jc w:val="center"/>
        <w:rPr>
          <w:rFonts w:hAnsi="宋体" w:cs="宋体"/>
          <w:kern w:val="0"/>
          <w:szCs w:val="30"/>
        </w:rPr>
      </w:pPr>
    </w:p>
    <w:p w:rsidR="00DF55E7" w:rsidRDefault="00DF55E7" w:rsidP="00DF55E7">
      <w:pPr>
        <w:spacing w:line="540" w:lineRule="exact"/>
        <w:jc w:val="center"/>
        <w:rPr>
          <w:rFonts w:hAnsi="宋体" w:cs="宋体"/>
          <w:kern w:val="0"/>
          <w:szCs w:val="30"/>
        </w:rPr>
      </w:pPr>
    </w:p>
    <w:p w:rsidR="00DF55E7" w:rsidRDefault="00DF55E7" w:rsidP="00DF55E7">
      <w:pPr>
        <w:spacing w:line="540" w:lineRule="exact"/>
        <w:rPr>
          <w:rFonts w:hAnsi="宋体" w:cs="宋体"/>
          <w:kern w:val="0"/>
          <w:szCs w:val="30"/>
        </w:rPr>
      </w:pPr>
    </w:p>
    <w:p w:rsidR="00DF55E7" w:rsidRDefault="00DF55E7" w:rsidP="00DF55E7">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w:t>
      </w:r>
      <w:r w:rsidRPr="00DF55E7">
        <w:rPr>
          <w:rFonts w:hAnsi="宋体" w:cs="宋体" w:hint="eastAsia"/>
          <w:kern w:val="0"/>
          <w:sz w:val="36"/>
          <w:szCs w:val="36"/>
        </w:rPr>
        <w:t>百川办公场所改造</w:t>
      </w:r>
    </w:p>
    <w:p w:rsidR="00DF55E7" w:rsidRDefault="00DF55E7" w:rsidP="00DF55E7">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sidRPr="00DF55E7">
        <w:rPr>
          <w:rFonts w:hAnsi="宋体" w:cs="宋体" w:hint="eastAsia"/>
          <w:kern w:val="0"/>
          <w:sz w:val="36"/>
          <w:szCs w:val="36"/>
        </w:rPr>
        <w:t>巴州住房公积金管理中心</w:t>
      </w:r>
      <w:r>
        <w:rPr>
          <w:rFonts w:hAnsi="宋体" w:cs="宋体"/>
          <w:kern w:val="0"/>
          <w:sz w:val="36"/>
          <w:szCs w:val="36"/>
        </w:rPr>
        <w:t xml:space="preserve"> </w:t>
      </w:r>
    </w:p>
    <w:p w:rsidR="00DF55E7" w:rsidRDefault="00DF55E7" w:rsidP="00DF55E7">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w:t>
      </w:r>
      <w:r w:rsidRPr="00DF55E7">
        <w:rPr>
          <w:rFonts w:hAnsi="宋体" w:cs="宋体" w:hint="eastAsia"/>
          <w:kern w:val="0"/>
          <w:sz w:val="36"/>
          <w:szCs w:val="36"/>
        </w:rPr>
        <w:t>巴州住房公积金管理中心</w:t>
      </w:r>
      <w:r>
        <w:rPr>
          <w:rFonts w:hAnsi="宋体" w:cs="宋体"/>
          <w:kern w:val="0"/>
          <w:sz w:val="36"/>
          <w:szCs w:val="36"/>
        </w:rPr>
        <w:t xml:space="preserve">  </w:t>
      </w:r>
    </w:p>
    <w:p w:rsidR="00DF55E7" w:rsidRDefault="00DF55E7" w:rsidP="00DF55E7">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项目负责人（签章）：易晓秋</w:t>
      </w:r>
      <w:r>
        <w:rPr>
          <w:rFonts w:hAnsi="宋体" w:cs="宋体"/>
          <w:kern w:val="0"/>
          <w:sz w:val="36"/>
          <w:szCs w:val="36"/>
        </w:rPr>
        <w:t xml:space="preserve"> </w:t>
      </w:r>
    </w:p>
    <w:p w:rsidR="00DF55E7" w:rsidRDefault="00DF55E7" w:rsidP="00DF55E7">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2020</w:t>
      </w:r>
      <w:r>
        <w:rPr>
          <w:rFonts w:hAnsi="宋体" w:cs="宋体" w:hint="eastAsia"/>
          <w:kern w:val="0"/>
          <w:sz w:val="36"/>
          <w:szCs w:val="36"/>
        </w:rPr>
        <w:t>年</w:t>
      </w:r>
      <w:r>
        <w:rPr>
          <w:rFonts w:hAnsi="宋体" w:cs="宋体" w:hint="eastAsia"/>
          <w:kern w:val="0"/>
          <w:sz w:val="36"/>
          <w:szCs w:val="36"/>
        </w:rPr>
        <w:t>4</w:t>
      </w:r>
      <w:r>
        <w:rPr>
          <w:rFonts w:hAnsi="宋体" w:cs="宋体" w:hint="eastAsia"/>
          <w:kern w:val="0"/>
          <w:sz w:val="36"/>
          <w:szCs w:val="36"/>
        </w:rPr>
        <w:t>月</w:t>
      </w:r>
      <w:r>
        <w:rPr>
          <w:rFonts w:hAnsi="宋体" w:cs="宋体" w:hint="eastAsia"/>
          <w:kern w:val="0"/>
          <w:sz w:val="36"/>
          <w:szCs w:val="36"/>
        </w:rPr>
        <w:t xml:space="preserve">  </w:t>
      </w:r>
      <w:r>
        <w:rPr>
          <w:rFonts w:hAnsi="宋体" w:cs="宋体"/>
          <w:kern w:val="0"/>
          <w:sz w:val="36"/>
          <w:szCs w:val="36"/>
        </w:rPr>
        <w:t xml:space="preserve"> </w:t>
      </w:r>
    </w:p>
    <w:p w:rsidR="00DF55E7" w:rsidRDefault="00DF55E7" w:rsidP="00DF55E7">
      <w:pPr>
        <w:spacing w:line="540" w:lineRule="exact"/>
        <w:jc w:val="center"/>
        <w:rPr>
          <w:rFonts w:hAnsi="宋体" w:cs="宋体"/>
          <w:kern w:val="0"/>
          <w:szCs w:val="30"/>
        </w:rPr>
      </w:pPr>
    </w:p>
    <w:p w:rsidR="00DF55E7" w:rsidRDefault="00DF55E7">
      <w:pPr>
        <w:rPr>
          <w:rFonts w:ascii="黑体" w:eastAsia="黑体" w:hAnsi="黑体"/>
        </w:rPr>
      </w:pPr>
    </w:p>
    <w:p w:rsidR="00DF55E7" w:rsidRDefault="00DF55E7">
      <w:pPr>
        <w:rPr>
          <w:rFonts w:ascii="黑体" w:eastAsia="黑体" w:hAnsi="黑体"/>
        </w:rPr>
      </w:pPr>
    </w:p>
    <w:p w:rsidR="00DF55E7" w:rsidRDefault="00DF55E7">
      <w:pPr>
        <w:rPr>
          <w:rFonts w:ascii="黑体" w:eastAsia="黑体" w:hAnsi="黑体"/>
        </w:rPr>
      </w:pPr>
    </w:p>
    <w:p w:rsidR="00DF55E7" w:rsidRDefault="00DF55E7">
      <w:pPr>
        <w:rPr>
          <w:rFonts w:ascii="黑体" w:eastAsia="黑体" w:hAnsi="黑体"/>
        </w:rPr>
      </w:pPr>
    </w:p>
    <w:p w:rsidR="00DF55E7" w:rsidRDefault="00DF55E7">
      <w:pPr>
        <w:rPr>
          <w:rFonts w:ascii="黑体" w:eastAsia="黑体" w:hAnsi="黑体"/>
        </w:rPr>
      </w:pPr>
    </w:p>
    <w:p w:rsidR="00DF55E7" w:rsidRDefault="00DF55E7">
      <w:pPr>
        <w:rPr>
          <w:rFonts w:ascii="黑体" w:eastAsia="黑体" w:hAnsi="黑体"/>
        </w:rPr>
      </w:pPr>
    </w:p>
    <w:p w:rsidR="00DF55E7" w:rsidRDefault="00DF55E7">
      <w:pPr>
        <w:rPr>
          <w:rFonts w:ascii="黑体" w:eastAsia="黑体" w:hAnsi="黑体"/>
        </w:rPr>
      </w:pPr>
    </w:p>
    <w:p w:rsidR="003C3D3E" w:rsidRDefault="00595914">
      <w:pPr>
        <w:rPr>
          <w:rFonts w:ascii="黑体" w:eastAsia="黑体" w:hAnsi="黑体"/>
        </w:rPr>
      </w:pPr>
      <w:r>
        <w:rPr>
          <w:rFonts w:ascii="黑体" w:eastAsia="黑体" w:hAnsi="黑体" w:hint="eastAsia"/>
        </w:rPr>
        <w:t>附件·2</w:t>
      </w:r>
    </w:p>
    <w:p w:rsidR="003C3D3E" w:rsidRDefault="00595914">
      <w:pPr>
        <w:jc w:val="center"/>
        <w:rPr>
          <w:rFonts w:ascii="Arial" w:eastAsia="宋体" w:hAnsi="Arial" w:cs="Arial"/>
          <w:b/>
          <w:bCs/>
          <w:sz w:val="36"/>
          <w:szCs w:val="36"/>
        </w:rPr>
      </w:pPr>
      <w:r>
        <w:rPr>
          <w:rFonts w:ascii="宋体" w:eastAsia="宋体" w:hAnsi="宋体" w:cs="Arial" w:hint="eastAsia"/>
          <w:b/>
          <w:bCs/>
          <w:sz w:val="36"/>
          <w:szCs w:val="36"/>
        </w:rPr>
        <w:t>巴州住房公积金管理中心项目支出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3C3D3E" w:rsidRDefault="003C3D3E">
      <w:pPr>
        <w:jc w:val="center"/>
        <w:rPr>
          <w:rFonts w:ascii="仿宋_GB2312"/>
          <w:szCs w:val="30"/>
        </w:rPr>
      </w:pPr>
    </w:p>
    <w:p w:rsidR="003C3D3E" w:rsidRDefault="00595914">
      <w:pPr>
        <w:spacing w:line="500" w:lineRule="exact"/>
        <w:ind w:firstLineChars="200" w:firstLine="600"/>
        <w:rPr>
          <w:rFonts w:ascii="黑体" w:eastAsia="黑体" w:hAnsi="黑体"/>
        </w:rPr>
      </w:pPr>
      <w:r>
        <w:rPr>
          <w:rFonts w:ascii="黑体" w:eastAsia="黑体" w:hAnsi="黑体" w:hint="eastAsia"/>
        </w:rPr>
        <w:t>一、基本情况</w:t>
      </w:r>
    </w:p>
    <w:p w:rsidR="003C3D3E" w:rsidRDefault="00595914">
      <w:pPr>
        <w:pStyle w:val="-"/>
        <w:ind w:firstLine="560"/>
        <w:rPr>
          <w:kern w:val="2"/>
          <w:sz w:val="32"/>
          <w:szCs w:val="32"/>
        </w:rPr>
      </w:pPr>
      <w:r>
        <w:rPr>
          <w:rFonts w:hint="eastAsia"/>
          <w:kern w:val="2"/>
          <w:sz w:val="32"/>
          <w:szCs w:val="32"/>
        </w:rPr>
        <w:t>（一）项目概况。为稳步推进巴州住房公积金工作，实现一窗受理、集成服务，让群众最多跑一趟，为办事群众及中心职工提供优良的办公环境。根据巴州人民政府工作安排，将我中心在金色时代广场</w:t>
      </w:r>
      <w:r>
        <w:rPr>
          <w:rFonts w:hint="eastAsia"/>
          <w:kern w:val="2"/>
          <w:sz w:val="32"/>
          <w:szCs w:val="32"/>
        </w:rPr>
        <w:t>3</w:t>
      </w:r>
      <w:r>
        <w:rPr>
          <w:rFonts w:hint="eastAsia"/>
          <w:kern w:val="2"/>
          <w:sz w:val="32"/>
          <w:szCs w:val="32"/>
        </w:rPr>
        <w:t>楼办公场所移交巴州机关事务管理局，将中心办公场所迁移至我中心购置的百川办公写字楼。因原写字楼内办公格局不适合办公使用，所以对百川写字楼三楼、四楼办公场所进行土建部分改造和消防改造，共计面积</w:t>
      </w:r>
      <w:r>
        <w:rPr>
          <w:rFonts w:hint="eastAsia"/>
          <w:kern w:val="2"/>
          <w:sz w:val="32"/>
          <w:szCs w:val="32"/>
        </w:rPr>
        <w:t>2100</w:t>
      </w:r>
      <w:r>
        <w:rPr>
          <w:rFonts w:hint="eastAsia"/>
          <w:kern w:val="2"/>
          <w:sz w:val="32"/>
          <w:szCs w:val="32"/>
        </w:rPr>
        <w:t>平方米。三楼用于库尔勒管理部服务大厅、中心档案室、中心技术科、中心机房办公使用，四楼用于中心各科室办公室、中心会议室、中心党委会议室办公使用。</w:t>
      </w:r>
      <w:r>
        <w:rPr>
          <w:rFonts w:hint="eastAsia"/>
          <w:kern w:val="2"/>
          <w:sz w:val="32"/>
          <w:szCs w:val="32"/>
        </w:rPr>
        <w:t>2018</w:t>
      </w:r>
      <w:r>
        <w:rPr>
          <w:rFonts w:hint="eastAsia"/>
          <w:kern w:val="2"/>
          <w:sz w:val="32"/>
          <w:szCs w:val="32"/>
        </w:rPr>
        <w:t>年该项目已完成</w:t>
      </w:r>
      <w:r>
        <w:rPr>
          <w:rFonts w:hint="eastAsia"/>
          <w:kern w:val="2"/>
          <w:sz w:val="32"/>
          <w:szCs w:val="32"/>
        </w:rPr>
        <w:t>80%</w:t>
      </w:r>
      <w:r>
        <w:rPr>
          <w:rFonts w:hint="eastAsia"/>
          <w:kern w:val="2"/>
          <w:sz w:val="32"/>
          <w:szCs w:val="32"/>
        </w:rPr>
        <w:t>，工程款已支付。</w:t>
      </w:r>
      <w:r>
        <w:rPr>
          <w:rFonts w:hint="eastAsia"/>
          <w:kern w:val="2"/>
          <w:sz w:val="32"/>
          <w:szCs w:val="32"/>
        </w:rPr>
        <w:t>2019</w:t>
      </w:r>
      <w:r>
        <w:rPr>
          <w:rFonts w:hint="eastAsia"/>
          <w:kern w:val="2"/>
          <w:sz w:val="32"/>
          <w:szCs w:val="32"/>
        </w:rPr>
        <w:t>年根据签订的施工合同和工程进度支付剩余</w:t>
      </w:r>
      <w:r>
        <w:rPr>
          <w:rFonts w:hint="eastAsia"/>
          <w:kern w:val="2"/>
          <w:sz w:val="32"/>
          <w:szCs w:val="32"/>
        </w:rPr>
        <w:t>20%</w:t>
      </w:r>
      <w:r>
        <w:rPr>
          <w:rFonts w:hint="eastAsia"/>
          <w:kern w:val="2"/>
          <w:sz w:val="32"/>
          <w:szCs w:val="32"/>
        </w:rPr>
        <w:t>工程款。</w:t>
      </w:r>
    </w:p>
    <w:p w:rsidR="003D7CAC" w:rsidRDefault="00595914">
      <w:pPr>
        <w:spacing w:line="500" w:lineRule="exact"/>
        <w:ind w:firstLineChars="200" w:firstLine="640"/>
        <w:rPr>
          <w:sz w:val="32"/>
          <w:szCs w:val="32"/>
        </w:rPr>
      </w:pPr>
      <w:r>
        <w:rPr>
          <w:rFonts w:hint="eastAsia"/>
          <w:sz w:val="32"/>
          <w:szCs w:val="32"/>
        </w:rPr>
        <w:t>（二）项目绩效目标。</w:t>
      </w:r>
    </w:p>
    <w:p w:rsidR="003C3D3E" w:rsidRDefault="003D7CAC" w:rsidP="003D7CAC">
      <w:pPr>
        <w:spacing w:line="500" w:lineRule="exact"/>
        <w:ind w:firstLineChars="200" w:firstLine="643"/>
        <w:rPr>
          <w:sz w:val="32"/>
          <w:szCs w:val="32"/>
        </w:rPr>
      </w:pPr>
      <w:r w:rsidRPr="003D7CAC">
        <w:rPr>
          <w:rFonts w:hint="eastAsia"/>
          <w:b/>
          <w:sz w:val="32"/>
          <w:szCs w:val="32"/>
        </w:rPr>
        <w:t>总体目标：</w:t>
      </w:r>
      <w:r w:rsidR="00595914">
        <w:rPr>
          <w:rFonts w:hint="eastAsia"/>
          <w:sz w:val="32"/>
          <w:szCs w:val="32"/>
        </w:rPr>
        <w:t>项目工程按照合同约定全部完工，改善工作人员办公环境，加强机关效能建设。提升外部形象，提高住房公积金服务质量和优化服务环境。</w:t>
      </w:r>
    </w:p>
    <w:p w:rsidR="003D7CAC" w:rsidRPr="003D7CAC" w:rsidRDefault="003D7CAC" w:rsidP="003D7CAC">
      <w:pPr>
        <w:spacing w:line="500" w:lineRule="exact"/>
        <w:ind w:firstLineChars="200" w:firstLine="643"/>
        <w:rPr>
          <w:b/>
          <w:sz w:val="32"/>
          <w:szCs w:val="32"/>
        </w:rPr>
      </w:pPr>
      <w:r w:rsidRPr="003D7CAC">
        <w:rPr>
          <w:rFonts w:hint="eastAsia"/>
          <w:b/>
          <w:sz w:val="32"/>
          <w:szCs w:val="32"/>
        </w:rPr>
        <w:t>阶段性目标：</w:t>
      </w:r>
      <w:r w:rsidRPr="003D7CAC">
        <w:rPr>
          <w:rFonts w:hint="eastAsia"/>
          <w:sz w:val="32"/>
          <w:szCs w:val="32"/>
        </w:rPr>
        <w:t>该项目无阶段性目标</w:t>
      </w:r>
      <w:r>
        <w:rPr>
          <w:rFonts w:hint="eastAsia"/>
          <w:sz w:val="32"/>
          <w:szCs w:val="32"/>
        </w:rPr>
        <w:t>。</w:t>
      </w:r>
    </w:p>
    <w:p w:rsidR="003C3D3E" w:rsidRDefault="00595914">
      <w:pPr>
        <w:spacing w:line="500" w:lineRule="exact"/>
        <w:ind w:firstLineChars="200" w:firstLine="600"/>
        <w:rPr>
          <w:rFonts w:ascii="黑体" w:eastAsia="黑体" w:hAnsi="黑体"/>
        </w:rPr>
      </w:pPr>
      <w:r>
        <w:rPr>
          <w:rFonts w:ascii="黑体" w:eastAsia="黑体" w:hAnsi="黑体" w:hint="eastAsia"/>
        </w:rPr>
        <w:t>二、绩效评价工作开展情况</w:t>
      </w:r>
    </w:p>
    <w:p w:rsidR="003C3D3E" w:rsidRDefault="00595914">
      <w:pPr>
        <w:spacing w:line="500" w:lineRule="exact"/>
        <w:ind w:firstLineChars="200" w:firstLine="640"/>
        <w:rPr>
          <w:sz w:val="32"/>
          <w:szCs w:val="32"/>
        </w:rPr>
      </w:pPr>
      <w:r>
        <w:rPr>
          <w:rFonts w:hint="eastAsia"/>
          <w:sz w:val="32"/>
          <w:szCs w:val="32"/>
        </w:rPr>
        <w:t>（一）绩效评价目的、对象和范围。为深化“放管服”改革，深入推进供给侧结构性改革，主动作为，精准发力，充分发挥住房公积金的保障作用，显著提升单位社会形象。并通过对中心百川办公场所改造项目资金使用情况、绩效表现情况的自我评价，</w:t>
      </w:r>
      <w:r>
        <w:rPr>
          <w:rFonts w:hint="eastAsia"/>
          <w:sz w:val="32"/>
          <w:szCs w:val="32"/>
        </w:rPr>
        <w:lastRenderedPageBreak/>
        <w:t>了解相关项目资金使用是否达到预期目标、资金管理是否规范、资金使用是否有效，检验资金支出效率和效果，分析存在的问题及原因，及时总结经验，改进管理措施，完善工作机制，有效提高项目资金管理水平和使用效益。</w:t>
      </w:r>
    </w:p>
    <w:p w:rsidR="003C3D3E" w:rsidRDefault="00595914">
      <w:pPr>
        <w:spacing w:line="500" w:lineRule="exact"/>
        <w:ind w:firstLineChars="200" w:firstLine="640"/>
        <w:rPr>
          <w:sz w:val="32"/>
          <w:szCs w:val="32"/>
        </w:rPr>
      </w:pPr>
      <w:r>
        <w:rPr>
          <w:rFonts w:hint="eastAsia"/>
          <w:sz w:val="32"/>
          <w:szCs w:val="32"/>
        </w:rPr>
        <w:t>（二）绩效评价原则、评价指标体系（见附件）、评价方法、评价标准等。</w:t>
      </w:r>
    </w:p>
    <w:p w:rsidR="003C3D3E" w:rsidRDefault="00595914">
      <w:pPr>
        <w:spacing w:line="500" w:lineRule="exact"/>
        <w:ind w:firstLineChars="200" w:firstLine="640"/>
        <w:rPr>
          <w:sz w:val="32"/>
          <w:szCs w:val="32"/>
        </w:rPr>
      </w:pPr>
      <w:r>
        <w:rPr>
          <w:rFonts w:hint="eastAsia"/>
          <w:sz w:val="32"/>
          <w:szCs w:val="32"/>
        </w:rPr>
        <w:t>项目绩效原则：</w:t>
      </w:r>
      <w:r>
        <w:rPr>
          <w:rFonts w:hint="eastAsia"/>
          <w:sz w:val="32"/>
          <w:szCs w:val="32"/>
        </w:rPr>
        <w:t>1</w:t>
      </w:r>
      <w:r>
        <w:rPr>
          <w:rFonts w:hint="eastAsia"/>
          <w:sz w:val="32"/>
          <w:szCs w:val="32"/>
        </w:rPr>
        <w:t>、履行部门主体责任。按照“谁使用资金、谁负责绩效评价”的要求，各科室认真组织相关项目支出绩效评价的数据统计、信息采集以及资料汇总审核等相关工作。</w:t>
      </w:r>
      <w:r>
        <w:rPr>
          <w:rFonts w:hint="eastAsia"/>
          <w:sz w:val="32"/>
          <w:szCs w:val="32"/>
        </w:rPr>
        <w:t>2</w:t>
      </w:r>
      <w:r>
        <w:rPr>
          <w:rFonts w:hint="eastAsia"/>
          <w:sz w:val="32"/>
          <w:szCs w:val="32"/>
        </w:rPr>
        <w:t>、确保评价客观真实。项目绩效自评应做到依法依规，实事求是，确保数据真实、准确，内容全面、完整，严禁弄虚作假，刻意抬高分数。</w:t>
      </w:r>
    </w:p>
    <w:p w:rsidR="003C3D3E" w:rsidRDefault="00595914">
      <w:pPr>
        <w:spacing w:line="500" w:lineRule="exact"/>
        <w:ind w:firstLineChars="200" w:firstLine="640"/>
        <w:rPr>
          <w:sz w:val="32"/>
          <w:szCs w:val="32"/>
        </w:rPr>
      </w:pPr>
      <w:r>
        <w:rPr>
          <w:rFonts w:hint="eastAsia"/>
          <w:sz w:val="32"/>
          <w:szCs w:val="32"/>
        </w:rPr>
        <w:t>评价指标体系：</w:t>
      </w:r>
      <w:r>
        <w:rPr>
          <w:rFonts w:hint="eastAsia"/>
          <w:sz w:val="32"/>
          <w:szCs w:val="32"/>
        </w:rPr>
        <w:t>1</w:t>
      </w:r>
      <w:r>
        <w:rPr>
          <w:rFonts w:hint="eastAsia"/>
          <w:sz w:val="32"/>
          <w:szCs w:val="32"/>
        </w:rPr>
        <w:t>、数量指标</w:t>
      </w:r>
      <w:r>
        <w:rPr>
          <w:rFonts w:hint="eastAsia"/>
          <w:sz w:val="32"/>
          <w:szCs w:val="32"/>
        </w:rPr>
        <w:t>2</w:t>
      </w:r>
      <w:r>
        <w:rPr>
          <w:rFonts w:hint="eastAsia"/>
          <w:sz w:val="32"/>
          <w:szCs w:val="32"/>
        </w:rPr>
        <w:t>个。其中：办公场所改造面积为</w:t>
      </w:r>
      <w:r>
        <w:rPr>
          <w:rFonts w:hint="eastAsia"/>
          <w:sz w:val="32"/>
          <w:szCs w:val="32"/>
        </w:rPr>
        <w:t>2100</w:t>
      </w:r>
      <w:r>
        <w:rPr>
          <w:rFonts w:hint="eastAsia"/>
          <w:sz w:val="32"/>
          <w:szCs w:val="32"/>
        </w:rPr>
        <w:t>㎡；消防改造面积为</w:t>
      </w:r>
      <w:r>
        <w:rPr>
          <w:rFonts w:hint="eastAsia"/>
          <w:sz w:val="32"/>
          <w:szCs w:val="32"/>
        </w:rPr>
        <w:t>2100</w:t>
      </w:r>
      <w:r>
        <w:rPr>
          <w:rFonts w:hint="eastAsia"/>
          <w:sz w:val="32"/>
          <w:szCs w:val="32"/>
        </w:rPr>
        <w:t>㎡，截止</w:t>
      </w:r>
      <w:r>
        <w:rPr>
          <w:rFonts w:hint="eastAsia"/>
          <w:sz w:val="32"/>
          <w:szCs w:val="32"/>
        </w:rPr>
        <w:t>2019</w:t>
      </w:r>
      <w:r>
        <w:rPr>
          <w:rFonts w:hint="eastAsia"/>
          <w:sz w:val="32"/>
          <w:szCs w:val="32"/>
        </w:rPr>
        <w:t>年</w:t>
      </w:r>
      <w:r>
        <w:rPr>
          <w:rFonts w:hint="eastAsia"/>
          <w:sz w:val="32"/>
          <w:szCs w:val="32"/>
        </w:rPr>
        <w:t>12</w:t>
      </w:r>
      <w:r>
        <w:rPr>
          <w:rFonts w:hint="eastAsia"/>
          <w:sz w:val="32"/>
          <w:szCs w:val="32"/>
        </w:rPr>
        <w:t>月</w:t>
      </w:r>
      <w:r>
        <w:rPr>
          <w:rFonts w:hint="eastAsia"/>
          <w:sz w:val="32"/>
          <w:szCs w:val="32"/>
        </w:rPr>
        <w:t>31</w:t>
      </w:r>
      <w:r>
        <w:rPr>
          <w:rFonts w:hint="eastAsia"/>
          <w:sz w:val="32"/>
          <w:szCs w:val="32"/>
        </w:rPr>
        <w:t>日办公场所改造和消防改造均已完成。</w:t>
      </w:r>
      <w:r>
        <w:rPr>
          <w:rFonts w:hint="eastAsia"/>
          <w:sz w:val="32"/>
          <w:szCs w:val="32"/>
        </w:rPr>
        <w:t>2</w:t>
      </w:r>
      <w:r>
        <w:rPr>
          <w:rFonts w:hint="eastAsia"/>
          <w:sz w:val="32"/>
          <w:szCs w:val="32"/>
        </w:rPr>
        <w:t>、质量指标</w:t>
      </w:r>
      <w:r>
        <w:rPr>
          <w:rFonts w:hint="eastAsia"/>
          <w:sz w:val="32"/>
          <w:szCs w:val="32"/>
        </w:rPr>
        <w:t>3</w:t>
      </w:r>
      <w:r>
        <w:rPr>
          <w:rFonts w:hint="eastAsia"/>
          <w:sz w:val="32"/>
          <w:szCs w:val="32"/>
        </w:rPr>
        <w:t>个。其中：施工安全事故数</w:t>
      </w:r>
      <w:r>
        <w:rPr>
          <w:rFonts w:hint="eastAsia"/>
          <w:sz w:val="32"/>
          <w:szCs w:val="32"/>
        </w:rPr>
        <w:t>0</w:t>
      </w:r>
      <w:r>
        <w:rPr>
          <w:rFonts w:hint="eastAsia"/>
          <w:sz w:val="32"/>
          <w:szCs w:val="32"/>
        </w:rPr>
        <w:t>起；土建和消防工程改造合格率要达到≥</w:t>
      </w:r>
      <w:r>
        <w:rPr>
          <w:rFonts w:hint="eastAsia"/>
          <w:sz w:val="32"/>
          <w:szCs w:val="32"/>
        </w:rPr>
        <w:t>95%</w:t>
      </w:r>
      <w:r>
        <w:rPr>
          <w:rFonts w:hint="eastAsia"/>
          <w:sz w:val="32"/>
          <w:szCs w:val="32"/>
        </w:rPr>
        <w:t>；工程质量达标率要达到</w:t>
      </w:r>
      <w:r>
        <w:rPr>
          <w:rFonts w:hint="eastAsia"/>
          <w:sz w:val="32"/>
          <w:szCs w:val="32"/>
        </w:rPr>
        <w:t>100%</w:t>
      </w:r>
      <w:r>
        <w:rPr>
          <w:rFonts w:hint="eastAsia"/>
          <w:sz w:val="32"/>
          <w:szCs w:val="32"/>
        </w:rPr>
        <w:t>，截止</w:t>
      </w:r>
      <w:r>
        <w:rPr>
          <w:rFonts w:hint="eastAsia"/>
          <w:sz w:val="32"/>
          <w:szCs w:val="32"/>
        </w:rPr>
        <w:t>2019</w:t>
      </w:r>
      <w:r>
        <w:rPr>
          <w:rFonts w:hint="eastAsia"/>
          <w:sz w:val="32"/>
          <w:szCs w:val="32"/>
        </w:rPr>
        <w:t>年</w:t>
      </w:r>
      <w:r>
        <w:rPr>
          <w:rFonts w:hint="eastAsia"/>
          <w:sz w:val="32"/>
          <w:szCs w:val="32"/>
        </w:rPr>
        <w:t>12</w:t>
      </w:r>
      <w:r>
        <w:rPr>
          <w:rFonts w:hint="eastAsia"/>
          <w:sz w:val="32"/>
          <w:szCs w:val="32"/>
        </w:rPr>
        <w:t>月</w:t>
      </w:r>
      <w:r>
        <w:rPr>
          <w:rFonts w:hint="eastAsia"/>
          <w:sz w:val="32"/>
          <w:szCs w:val="32"/>
        </w:rPr>
        <w:t>31</w:t>
      </w:r>
      <w:r>
        <w:rPr>
          <w:rFonts w:hint="eastAsia"/>
          <w:sz w:val="32"/>
          <w:szCs w:val="32"/>
        </w:rPr>
        <w:t>日，百川办公场所改造</w:t>
      </w:r>
      <w:r>
        <w:rPr>
          <w:rFonts w:hint="eastAsia"/>
          <w:sz w:val="32"/>
          <w:szCs w:val="32"/>
        </w:rPr>
        <w:t>0</w:t>
      </w:r>
      <w:r>
        <w:rPr>
          <w:rFonts w:hint="eastAsia"/>
          <w:sz w:val="32"/>
          <w:szCs w:val="32"/>
        </w:rPr>
        <w:t>起施工安全事故，土建和消防工程改造合格率达到≥</w:t>
      </w:r>
      <w:r>
        <w:rPr>
          <w:rFonts w:hint="eastAsia"/>
          <w:sz w:val="32"/>
          <w:szCs w:val="32"/>
        </w:rPr>
        <w:t>95%</w:t>
      </w:r>
      <w:r>
        <w:rPr>
          <w:rFonts w:hint="eastAsia"/>
          <w:sz w:val="32"/>
          <w:szCs w:val="32"/>
        </w:rPr>
        <w:t>，工程质量达标率达到</w:t>
      </w:r>
      <w:r>
        <w:rPr>
          <w:rFonts w:hint="eastAsia"/>
          <w:sz w:val="32"/>
          <w:szCs w:val="32"/>
        </w:rPr>
        <w:t>100%</w:t>
      </w:r>
      <w:r>
        <w:rPr>
          <w:rFonts w:hint="eastAsia"/>
          <w:sz w:val="32"/>
          <w:szCs w:val="32"/>
        </w:rPr>
        <w:t>。</w:t>
      </w:r>
      <w:r>
        <w:rPr>
          <w:rFonts w:hint="eastAsia"/>
          <w:sz w:val="32"/>
          <w:szCs w:val="32"/>
        </w:rPr>
        <w:t>3</w:t>
      </w:r>
      <w:r>
        <w:rPr>
          <w:rFonts w:hint="eastAsia"/>
          <w:sz w:val="32"/>
          <w:szCs w:val="32"/>
        </w:rPr>
        <w:t>、时效指标</w:t>
      </w:r>
      <w:r>
        <w:rPr>
          <w:rFonts w:hint="eastAsia"/>
          <w:sz w:val="32"/>
          <w:szCs w:val="32"/>
        </w:rPr>
        <w:t>1</w:t>
      </w:r>
      <w:r>
        <w:rPr>
          <w:rFonts w:hint="eastAsia"/>
          <w:sz w:val="32"/>
          <w:szCs w:val="32"/>
        </w:rPr>
        <w:t>个。项目完成及时性，要求项目必须及时完成，截止</w:t>
      </w:r>
      <w:r>
        <w:rPr>
          <w:rFonts w:hint="eastAsia"/>
          <w:sz w:val="32"/>
          <w:szCs w:val="32"/>
        </w:rPr>
        <w:t>2019</w:t>
      </w:r>
      <w:r>
        <w:rPr>
          <w:rFonts w:hint="eastAsia"/>
          <w:sz w:val="32"/>
          <w:szCs w:val="32"/>
        </w:rPr>
        <w:t>年</w:t>
      </w:r>
      <w:r>
        <w:rPr>
          <w:rFonts w:hint="eastAsia"/>
          <w:sz w:val="32"/>
          <w:szCs w:val="32"/>
        </w:rPr>
        <w:t>12</w:t>
      </w:r>
      <w:r>
        <w:rPr>
          <w:rFonts w:hint="eastAsia"/>
          <w:sz w:val="32"/>
          <w:szCs w:val="32"/>
        </w:rPr>
        <w:t>月</w:t>
      </w:r>
      <w:r>
        <w:rPr>
          <w:rFonts w:hint="eastAsia"/>
          <w:sz w:val="32"/>
          <w:szCs w:val="32"/>
        </w:rPr>
        <w:t>31</w:t>
      </w:r>
      <w:r>
        <w:rPr>
          <w:rFonts w:hint="eastAsia"/>
          <w:sz w:val="32"/>
          <w:szCs w:val="32"/>
        </w:rPr>
        <w:t>日，项目已全部完成，资金兑付全部完毕。</w:t>
      </w:r>
      <w:r>
        <w:rPr>
          <w:rFonts w:hint="eastAsia"/>
          <w:sz w:val="32"/>
          <w:szCs w:val="32"/>
        </w:rPr>
        <w:t>4</w:t>
      </w:r>
      <w:r>
        <w:rPr>
          <w:rFonts w:hint="eastAsia"/>
          <w:sz w:val="32"/>
          <w:szCs w:val="32"/>
        </w:rPr>
        <w:t>、社会效益指标</w:t>
      </w:r>
      <w:r>
        <w:rPr>
          <w:rFonts w:hint="eastAsia"/>
          <w:sz w:val="32"/>
          <w:szCs w:val="32"/>
        </w:rPr>
        <w:t>1</w:t>
      </w:r>
      <w:r>
        <w:rPr>
          <w:rFonts w:hint="eastAsia"/>
          <w:sz w:val="32"/>
          <w:szCs w:val="32"/>
        </w:rPr>
        <w:t>个。办公环境改善指标，要求显著改善办公环境，截止</w:t>
      </w:r>
      <w:r>
        <w:rPr>
          <w:rFonts w:hint="eastAsia"/>
          <w:sz w:val="32"/>
          <w:szCs w:val="32"/>
        </w:rPr>
        <w:t>2019</w:t>
      </w:r>
      <w:r>
        <w:rPr>
          <w:rFonts w:hint="eastAsia"/>
          <w:sz w:val="32"/>
          <w:szCs w:val="32"/>
        </w:rPr>
        <w:t>年</w:t>
      </w:r>
      <w:r>
        <w:rPr>
          <w:rFonts w:hint="eastAsia"/>
          <w:sz w:val="32"/>
          <w:szCs w:val="32"/>
        </w:rPr>
        <w:t>12</w:t>
      </w:r>
      <w:r>
        <w:rPr>
          <w:rFonts w:hint="eastAsia"/>
          <w:sz w:val="32"/>
          <w:szCs w:val="32"/>
        </w:rPr>
        <w:t>月</w:t>
      </w:r>
      <w:r>
        <w:rPr>
          <w:rFonts w:hint="eastAsia"/>
          <w:sz w:val="32"/>
          <w:szCs w:val="32"/>
        </w:rPr>
        <w:t>31</w:t>
      </w:r>
      <w:r>
        <w:rPr>
          <w:rFonts w:hint="eastAsia"/>
          <w:sz w:val="32"/>
          <w:szCs w:val="32"/>
        </w:rPr>
        <w:t>日办公环境得到显著改善，达到</w:t>
      </w:r>
      <w:r>
        <w:rPr>
          <w:rFonts w:hint="eastAsia"/>
          <w:sz w:val="32"/>
          <w:szCs w:val="32"/>
        </w:rPr>
        <w:t>95%</w:t>
      </w:r>
      <w:r>
        <w:rPr>
          <w:rFonts w:hint="eastAsia"/>
          <w:sz w:val="32"/>
          <w:szCs w:val="32"/>
        </w:rPr>
        <w:t>。</w:t>
      </w:r>
      <w:r>
        <w:rPr>
          <w:rFonts w:hint="eastAsia"/>
          <w:sz w:val="32"/>
          <w:szCs w:val="32"/>
        </w:rPr>
        <w:t>5</w:t>
      </w:r>
      <w:r>
        <w:rPr>
          <w:rFonts w:hint="eastAsia"/>
          <w:sz w:val="32"/>
          <w:szCs w:val="32"/>
        </w:rPr>
        <w:t>、服务对象满意指标</w:t>
      </w:r>
      <w:r>
        <w:rPr>
          <w:rFonts w:hint="eastAsia"/>
          <w:sz w:val="32"/>
          <w:szCs w:val="32"/>
        </w:rPr>
        <w:t>1</w:t>
      </w:r>
      <w:r>
        <w:rPr>
          <w:rFonts w:hint="eastAsia"/>
          <w:sz w:val="32"/>
          <w:szCs w:val="32"/>
        </w:rPr>
        <w:t>个。职工满意度需≥</w:t>
      </w:r>
      <w:r>
        <w:rPr>
          <w:rFonts w:hint="eastAsia"/>
          <w:sz w:val="32"/>
          <w:szCs w:val="32"/>
        </w:rPr>
        <w:t>95%</w:t>
      </w:r>
      <w:r>
        <w:rPr>
          <w:rFonts w:hint="eastAsia"/>
          <w:sz w:val="32"/>
          <w:szCs w:val="32"/>
        </w:rPr>
        <w:t>，截止</w:t>
      </w:r>
      <w:r>
        <w:rPr>
          <w:rFonts w:hint="eastAsia"/>
          <w:sz w:val="32"/>
          <w:szCs w:val="32"/>
        </w:rPr>
        <w:t>2019</w:t>
      </w:r>
      <w:r>
        <w:rPr>
          <w:rFonts w:hint="eastAsia"/>
          <w:sz w:val="32"/>
          <w:szCs w:val="32"/>
        </w:rPr>
        <w:t>年</w:t>
      </w:r>
      <w:r>
        <w:rPr>
          <w:rFonts w:hint="eastAsia"/>
          <w:sz w:val="32"/>
          <w:szCs w:val="32"/>
        </w:rPr>
        <w:t>12</w:t>
      </w:r>
      <w:r>
        <w:rPr>
          <w:rFonts w:hint="eastAsia"/>
          <w:sz w:val="32"/>
          <w:szCs w:val="32"/>
        </w:rPr>
        <w:t>月</w:t>
      </w:r>
      <w:r>
        <w:rPr>
          <w:rFonts w:hint="eastAsia"/>
          <w:sz w:val="32"/>
          <w:szCs w:val="32"/>
        </w:rPr>
        <w:t>31</w:t>
      </w:r>
      <w:r>
        <w:rPr>
          <w:rFonts w:hint="eastAsia"/>
          <w:sz w:val="32"/>
          <w:szCs w:val="32"/>
        </w:rPr>
        <w:t>日，通过对职工和办事群众民意调查，职工满意度达到预期指标值。</w:t>
      </w:r>
    </w:p>
    <w:p w:rsidR="003C3D3E" w:rsidRDefault="00595914">
      <w:pPr>
        <w:spacing w:line="500" w:lineRule="exact"/>
        <w:ind w:firstLineChars="200" w:firstLine="640"/>
        <w:rPr>
          <w:sz w:val="32"/>
          <w:szCs w:val="32"/>
        </w:rPr>
      </w:pPr>
      <w:r>
        <w:rPr>
          <w:rFonts w:hint="eastAsia"/>
          <w:sz w:val="32"/>
          <w:szCs w:val="32"/>
        </w:rPr>
        <w:t>评价方法</w:t>
      </w:r>
      <w:r>
        <w:rPr>
          <w:rFonts w:hint="eastAsia"/>
          <w:sz w:val="32"/>
          <w:szCs w:val="32"/>
        </w:rPr>
        <w:t>1</w:t>
      </w:r>
      <w:r>
        <w:rPr>
          <w:rFonts w:hint="eastAsia"/>
          <w:sz w:val="32"/>
          <w:szCs w:val="32"/>
        </w:rPr>
        <w:t>、各项目责任科室自评；</w:t>
      </w:r>
      <w:r>
        <w:rPr>
          <w:rFonts w:hint="eastAsia"/>
          <w:sz w:val="32"/>
          <w:szCs w:val="32"/>
        </w:rPr>
        <w:t>2</w:t>
      </w:r>
      <w:r>
        <w:rPr>
          <w:rFonts w:hint="eastAsia"/>
          <w:sz w:val="32"/>
          <w:szCs w:val="32"/>
        </w:rPr>
        <w:t>、绩效评价工作小组</w:t>
      </w:r>
      <w:r>
        <w:rPr>
          <w:rFonts w:hint="eastAsia"/>
          <w:sz w:val="32"/>
          <w:szCs w:val="32"/>
        </w:rPr>
        <w:lastRenderedPageBreak/>
        <w:t>复核；</w:t>
      </w:r>
      <w:r>
        <w:rPr>
          <w:rFonts w:hint="eastAsia"/>
          <w:sz w:val="32"/>
          <w:szCs w:val="32"/>
        </w:rPr>
        <w:t>3</w:t>
      </w:r>
      <w:r>
        <w:rPr>
          <w:rFonts w:hint="eastAsia"/>
          <w:sz w:val="32"/>
          <w:szCs w:val="32"/>
        </w:rPr>
        <w:t>、以单位的名义出具复核后的项目绩效自评报告并按时报送州财政局相关科室。</w:t>
      </w:r>
    </w:p>
    <w:p w:rsidR="003D7CAC" w:rsidRPr="00DA3C59" w:rsidRDefault="003D7CAC" w:rsidP="003D7CAC">
      <w:pPr>
        <w:pStyle w:val="Default"/>
        <w:spacing w:line="520" w:lineRule="exact"/>
        <w:ind w:firstLineChars="200" w:firstLine="640"/>
        <w:rPr>
          <w:rFonts w:ascii="Times New Roman" w:eastAsia="仿宋_GB2312" w:cs="Times New Roman"/>
          <w:spacing w:val="-8"/>
          <w:sz w:val="32"/>
          <w:szCs w:val="32"/>
        </w:rPr>
      </w:pPr>
      <w:r w:rsidRPr="003D7CAC">
        <w:rPr>
          <w:rFonts w:ascii="Times New Roman" w:eastAsia="仿宋_GB2312" w:cs="Times New Roman" w:hint="eastAsia"/>
          <w:color w:val="auto"/>
          <w:kern w:val="2"/>
          <w:sz w:val="32"/>
          <w:szCs w:val="32"/>
        </w:rPr>
        <w:t>评价标准：</w:t>
      </w:r>
      <w:r w:rsidRPr="003D7CAC">
        <w:rPr>
          <w:rFonts w:ascii="Times New Roman" w:eastAsia="仿宋_GB2312" w:cs="Times New Roman"/>
          <w:color w:val="auto"/>
          <w:kern w:val="2"/>
          <w:sz w:val="32"/>
          <w:szCs w:val="32"/>
        </w:rPr>
        <w:t>财政项目资金绩效评价，是以结果为导向的财政支</w:t>
      </w:r>
      <w:r w:rsidRPr="00DF3AAA">
        <w:rPr>
          <w:rFonts w:ascii="Times New Roman" w:eastAsia="仿宋_GB2312" w:cs="Times New Roman"/>
          <w:sz w:val="32"/>
          <w:szCs w:val="32"/>
        </w:rPr>
        <w:t>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3C3D3E" w:rsidRPr="00FC7517" w:rsidRDefault="00595914">
      <w:pPr>
        <w:spacing w:line="500" w:lineRule="exact"/>
        <w:ind w:firstLineChars="200" w:firstLine="640"/>
        <w:rPr>
          <w:sz w:val="32"/>
          <w:szCs w:val="32"/>
        </w:rPr>
      </w:pPr>
      <w:r w:rsidRPr="00FC7517">
        <w:rPr>
          <w:rFonts w:hint="eastAsia"/>
          <w:sz w:val="32"/>
          <w:szCs w:val="32"/>
        </w:rPr>
        <w:t>（三）绩效评价工作过程。</w:t>
      </w:r>
    </w:p>
    <w:p w:rsidR="00007C86" w:rsidRPr="00FC7517" w:rsidRDefault="00007C86" w:rsidP="00007C86">
      <w:pPr>
        <w:pStyle w:val="Default"/>
        <w:spacing w:line="520" w:lineRule="exact"/>
        <w:ind w:firstLineChars="233" w:firstLine="708"/>
        <w:rPr>
          <w:rFonts w:ascii="仿宋_GB2312" w:eastAsia="仿宋_GB2312" w:hAnsi="仿宋" w:cs="仿宋_GB2312"/>
          <w:color w:val="auto"/>
          <w:spacing w:val="-8"/>
          <w:sz w:val="32"/>
          <w:szCs w:val="32"/>
        </w:rPr>
      </w:pPr>
      <w:r w:rsidRPr="00FC7517">
        <w:rPr>
          <w:rFonts w:ascii="仿宋_GB2312" w:eastAsia="仿宋_GB2312" w:hAnsi="仿宋" w:cs="仿宋_GB2312" w:hint="eastAsia"/>
          <w:color w:val="auto"/>
          <w:spacing w:val="-8"/>
          <w:sz w:val="32"/>
          <w:szCs w:val="32"/>
        </w:rPr>
        <w:t>1、前期准备工作</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w:t>
      </w:r>
      <w:r>
        <w:rPr>
          <w:rFonts w:ascii="Times New Roman" w:eastAsia="仿宋_GB2312" w:cs="Times New Roman" w:hint="eastAsia"/>
          <w:kern w:val="2"/>
          <w:sz w:val="32"/>
          <w:szCs w:val="32"/>
        </w:rPr>
        <w:t>中心组织各科室成立自评小组，结合评价内容，做到有计划，有安排，确定绩效评价工作成员，</w:t>
      </w:r>
      <w:r w:rsidRPr="00703C7C">
        <w:rPr>
          <w:rFonts w:ascii="仿宋_GB2312" w:eastAsia="仿宋_GB2312" w:hAnsi="仿宋" w:cs="仿宋_GB2312" w:hint="eastAsia"/>
          <w:spacing w:val="-8"/>
          <w:sz w:val="32"/>
          <w:szCs w:val="32"/>
        </w:rPr>
        <w:t>制定了绩效评价方案。</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此次评价工作，在收集并熟悉项目实施、管理及其他文件资料后，全面了解此次绩效评价的内容、方法和要求。</w:t>
      </w:r>
      <w:r>
        <w:rPr>
          <w:rFonts w:ascii="仿宋_GB2312" w:eastAsia="仿宋_GB2312" w:hAnsi="仿宋" w:cs="仿宋_GB2312" w:hint="eastAsia"/>
          <w:spacing w:val="-8"/>
          <w:sz w:val="32"/>
          <w:szCs w:val="32"/>
        </w:rPr>
        <w:t>自评</w:t>
      </w:r>
      <w:r w:rsidRPr="00703C7C">
        <w:rPr>
          <w:rFonts w:ascii="仿宋_GB2312" w:eastAsia="仿宋_GB2312" w:hAnsi="仿宋" w:cs="仿宋_GB2312" w:hint="eastAsia"/>
          <w:spacing w:val="-8"/>
          <w:sz w:val="32"/>
          <w:szCs w:val="32"/>
        </w:rPr>
        <w:t>小组收集了项目</w:t>
      </w:r>
      <w:r>
        <w:rPr>
          <w:rFonts w:ascii="仿宋_GB2312" w:eastAsia="仿宋_GB2312" w:hAnsi="仿宋" w:cs="仿宋_GB2312" w:hint="eastAsia"/>
          <w:spacing w:val="-8"/>
          <w:sz w:val="32"/>
          <w:szCs w:val="32"/>
        </w:rPr>
        <w:t>招标文件</w:t>
      </w:r>
      <w:r w:rsidRPr="00703C7C">
        <w:rPr>
          <w:rFonts w:ascii="仿宋_GB2312" w:eastAsia="仿宋_GB2312" w:hAnsi="仿宋" w:cs="仿宋_GB2312" w:hint="eastAsia"/>
          <w:spacing w:val="-8"/>
          <w:sz w:val="32"/>
          <w:szCs w:val="32"/>
        </w:rPr>
        <w:t>、项目预算资金材料、项目工作总结，</w:t>
      </w:r>
      <w:r>
        <w:rPr>
          <w:rFonts w:ascii="仿宋_GB2312" w:eastAsia="仿宋_GB2312" w:hAnsi="仿宋" w:cs="仿宋_GB2312" w:hint="eastAsia"/>
          <w:spacing w:val="-8"/>
          <w:sz w:val="32"/>
          <w:szCs w:val="32"/>
        </w:rPr>
        <w:t>项目工程决算书、</w:t>
      </w:r>
      <w:r w:rsidRPr="00703C7C">
        <w:rPr>
          <w:rFonts w:ascii="仿宋_GB2312" w:eastAsia="仿宋_GB2312" w:hAnsi="仿宋" w:cs="仿宋_GB2312" w:hint="eastAsia"/>
          <w:spacing w:val="-8"/>
          <w:sz w:val="32"/>
          <w:szCs w:val="32"/>
        </w:rPr>
        <w:t>完成了项目基础信息表并形成绩效评价框架，指导具体的绩效评价工作。</w:t>
      </w:r>
    </w:p>
    <w:p w:rsidR="00007C86" w:rsidRPr="00FC7517" w:rsidRDefault="00007C86" w:rsidP="00007C86">
      <w:pPr>
        <w:pStyle w:val="Default"/>
        <w:spacing w:line="520" w:lineRule="exact"/>
        <w:ind w:firstLineChars="233" w:firstLine="708"/>
        <w:rPr>
          <w:rFonts w:ascii="仿宋_GB2312" w:eastAsia="仿宋_GB2312" w:hAnsi="仿宋" w:cs="仿宋_GB2312"/>
          <w:color w:val="auto"/>
          <w:spacing w:val="-8"/>
          <w:sz w:val="32"/>
          <w:szCs w:val="32"/>
        </w:rPr>
      </w:pPr>
      <w:r w:rsidRPr="00FC7517">
        <w:rPr>
          <w:rFonts w:ascii="仿宋_GB2312" w:eastAsia="仿宋_GB2312" w:hAnsi="仿宋" w:cs="仿宋_GB2312" w:hint="eastAsia"/>
          <w:color w:val="auto"/>
          <w:spacing w:val="-8"/>
          <w:sz w:val="32"/>
          <w:szCs w:val="32"/>
        </w:rPr>
        <w:t>2、组织实施过程内容</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按照绩效评价规范要求，绩效</w:t>
      </w:r>
      <w:r>
        <w:rPr>
          <w:rFonts w:ascii="仿宋_GB2312" w:eastAsia="仿宋_GB2312" w:hAnsi="仿宋" w:cs="仿宋_GB2312" w:hint="eastAsia"/>
          <w:spacing w:val="-8"/>
          <w:sz w:val="32"/>
          <w:szCs w:val="32"/>
        </w:rPr>
        <w:t>自评</w:t>
      </w:r>
      <w:r w:rsidRPr="00703C7C">
        <w:rPr>
          <w:rFonts w:ascii="仿宋_GB2312" w:eastAsia="仿宋_GB2312" w:hAnsi="仿宋" w:cs="仿宋_GB2312" w:hint="eastAsia"/>
          <w:spacing w:val="-8"/>
          <w:sz w:val="32"/>
          <w:szCs w:val="32"/>
        </w:rPr>
        <w:t>小组在搜集准备了有关资料，对所有资料进行核实、验证。通过案卷研究、座谈等方式，对被评价项目的相关资料信息进行收集、整理、分析，以评价该项目在项目决策、项目管理上是否依法依规，在项目绩效方面是否高效可持续。</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lastRenderedPageBreak/>
        <w:t>一是收集了项目决策、过程、产出及效益相关资料。</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四是查阅项目档案,包括项目的</w:t>
      </w:r>
      <w:r>
        <w:rPr>
          <w:rFonts w:ascii="仿宋_GB2312" w:eastAsia="仿宋_GB2312" w:hAnsi="仿宋" w:cs="仿宋_GB2312" w:hint="eastAsia"/>
          <w:spacing w:val="-8"/>
          <w:sz w:val="32"/>
          <w:szCs w:val="32"/>
        </w:rPr>
        <w:t>工程决算</w:t>
      </w:r>
      <w:r w:rsidRPr="00703C7C">
        <w:rPr>
          <w:rFonts w:ascii="仿宋_GB2312" w:eastAsia="仿宋_GB2312" w:hAnsi="仿宋" w:cs="仿宋_GB2312" w:hint="eastAsia"/>
          <w:spacing w:val="-8"/>
          <w:sz w:val="32"/>
          <w:szCs w:val="32"/>
        </w:rPr>
        <w:t>报告等文件。</w:t>
      </w:r>
    </w:p>
    <w:p w:rsidR="00007C86" w:rsidRPr="00703C7C" w:rsidRDefault="00007C86" w:rsidP="00007C86">
      <w:pPr>
        <w:pStyle w:val="Default"/>
        <w:spacing w:line="520" w:lineRule="exact"/>
        <w:ind w:firstLineChars="233" w:firstLine="708"/>
        <w:rPr>
          <w:rFonts w:ascii="仿宋_GB2312" w:eastAsia="仿宋_GB2312" w:hAnsi="仿宋" w:cs="仿宋_GB2312"/>
          <w:spacing w:val="-8"/>
          <w:sz w:val="32"/>
          <w:szCs w:val="32"/>
        </w:rPr>
      </w:pPr>
      <w:bookmarkStart w:id="0" w:name="_Toc454729246"/>
      <w:bookmarkStart w:id="1" w:name="_Toc403599257"/>
      <w:r w:rsidRPr="00703C7C">
        <w:rPr>
          <w:rFonts w:ascii="仿宋_GB2312" w:eastAsia="仿宋_GB2312" w:hAnsi="仿宋" w:cs="仿宋_GB2312" w:hint="eastAsia"/>
          <w:spacing w:val="-8"/>
          <w:sz w:val="32"/>
          <w:szCs w:val="32"/>
        </w:rPr>
        <w:t>通过发放</w:t>
      </w:r>
      <w:r>
        <w:rPr>
          <w:rFonts w:ascii="仿宋_GB2312" w:eastAsia="仿宋_GB2312" w:hAnsi="仿宋" w:cs="仿宋_GB2312" w:hint="eastAsia"/>
          <w:spacing w:val="-8"/>
          <w:sz w:val="32"/>
          <w:szCs w:val="32"/>
        </w:rPr>
        <w:t>群众</w:t>
      </w:r>
      <w:r w:rsidRPr="00703C7C">
        <w:rPr>
          <w:rFonts w:ascii="仿宋_GB2312" w:eastAsia="仿宋_GB2312" w:hAnsi="仿宋" w:cs="仿宋_GB2312" w:hint="eastAsia"/>
          <w:spacing w:val="-8"/>
          <w:sz w:val="32"/>
          <w:szCs w:val="32"/>
        </w:rPr>
        <w:t>满意度调查表</w:t>
      </w:r>
      <w:bookmarkStart w:id="2" w:name="_Toc5831"/>
      <w:r w:rsidRPr="00703C7C">
        <w:rPr>
          <w:rFonts w:ascii="仿宋_GB2312" w:eastAsia="仿宋_GB2312" w:hAnsi="仿宋" w:cs="仿宋_GB2312" w:hint="eastAsia"/>
          <w:spacing w:val="-8"/>
          <w:sz w:val="32"/>
          <w:szCs w:val="32"/>
        </w:rPr>
        <w:t>等方式了解</w:t>
      </w:r>
      <w:r w:rsidR="00E416DA">
        <w:rPr>
          <w:rFonts w:ascii="仿宋_GB2312" w:eastAsia="仿宋_GB2312" w:hAnsi="仿宋" w:cs="仿宋_GB2312" w:hint="eastAsia"/>
          <w:spacing w:val="-8"/>
          <w:sz w:val="32"/>
          <w:szCs w:val="32"/>
        </w:rPr>
        <w:t>办事群众</w:t>
      </w:r>
      <w:r w:rsidRPr="00703C7C">
        <w:rPr>
          <w:rFonts w:ascii="仿宋_GB2312" w:eastAsia="仿宋_GB2312" w:hAnsi="仿宋" w:cs="仿宋_GB2312" w:hint="eastAsia"/>
          <w:spacing w:val="-8"/>
          <w:sz w:val="32"/>
          <w:szCs w:val="32"/>
        </w:rPr>
        <w:t>对</w:t>
      </w:r>
      <w:r w:rsidR="00E416DA">
        <w:rPr>
          <w:rFonts w:ascii="仿宋_GB2312" w:eastAsia="仿宋_GB2312" w:hAnsi="仿宋" w:cs="仿宋_GB2312" w:hint="eastAsia"/>
          <w:spacing w:val="-8"/>
          <w:sz w:val="32"/>
          <w:szCs w:val="32"/>
        </w:rPr>
        <w:t>住房公积金管理中心办公环境及住房公积金系统业务办结流程、业务办结效率</w:t>
      </w:r>
      <w:r w:rsidRPr="00703C7C">
        <w:rPr>
          <w:rFonts w:ascii="仿宋_GB2312" w:eastAsia="仿宋_GB2312" w:hAnsi="仿宋" w:cs="仿宋_GB2312" w:hint="eastAsia"/>
          <w:spacing w:val="-8"/>
          <w:sz w:val="32"/>
          <w:szCs w:val="32"/>
        </w:rPr>
        <w:t>的满意度。</w:t>
      </w:r>
      <w:bookmarkEnd w:id="0"/>
      <w:bookmarkEnd w:id="2"/>
    </w:p>
    <w:p w:rsidR="00007C86" w:rsidRPr="00FC7517" w:rsidRDefault="00007C86" w:rsidP="00007C86">
      <w:pPr>
        <w:pStyle w:val="Default"/>
        <w:spacing w:line="520" w:lineRule="exact"/>
        <w:ind w:firstLineChars="233" w:firstLine="708"/>
        <w:rPr>
          <w:rFonts w:ascii="仿宋_GB2312" w:eastAsia="仿宋_GB2312" w:hAnsi="仿宋" w:cs="仿宋_GB2312"/>
          <w:color w:val="auto"/>
          <w:spacing w:val="-8"/>
          <w:sz w:val="32"/>
          <w:szCs w:val="32"/>
        </w:rPr>
      </w:pPr>
      <w:r w:rsidRPr="00FC7517">
        <w:rPr>
          <w:rFonts w:ascii="仿宋_GB2312" w:eastAsia="仿宋_GB2312" w:hAnsi="仿宋" w:cs="仿宋_GB2312" w:hint="eastAsia"/>
          <w:color w:val="auto"/>
          <w:spacing w:val="-8"/>
          <w:sz w:val="32"/>
          <w:szCs w:val="32"/>
        </w:rPr>
        <w:t>3、绩效评价分析阶段</w:t>
      </w:r>
      <w:bookmarkEnd w:id="1"/>
    </w:p>
    <w:p w:rsidR="00E416DA" w:rsidRDefault="00E416DA" w:rsidP="00E416DA">
      <w:pPr>
        <w:spacing w:line="500" w:lineRule="exact"/>
        <w:ind w:firstLineChars="200" w:firstLine="640"/>
        <w:rPr>
          <w:sz w:val="32"/>
          <w:szCs w:val="32"/>
        </w:rPr>
      </w:pPr>
      <w:r>
        <w:rPr>
          <w:rFonts w:hint="eastAsia"/>
          <w:sz w:val="32"/>
          <w:szCs w:val="32"/>
        </w:rPr>
        <w:t>按照项目支出绩效评价指标体系，针对申报到项目内容、实施情况、资金兑现、财务管理、社会效益等做出自我评价，</w:t>
      </w:r>
      <w:r w:rsidRPr="00703C7C">
        <w:rPr>
          <w:rFonts w:ascii="仿宋_GB2312" w:hAnsi="仿宋" w:cs="仿宋_GB2312" w:hint="eastAsia"/>
          <w:spacing w:val="-8"/>
          <w:sz w:val="32"/>
          <w:szCs w:val="32"/>
        </w:rPr>
        <w:t>最终确认评价结果</w:t>
      </w:r>
      <w:r>
        <w:rPr>
          <w:rFonts w:hint="eastAsia"/>
          <w:sz w:val="32"/>
          <w:szCs w:val="32"/>
        </w:rPr>
        <w:t>并撰写评价报告。</w:t>
      </w:r>
    </w:p>
    <w:p w:rsidR="003C3D3E" w:rsidRDefault="00595914">
      <w:pPr>
        <w:spacing w:line="500" w:lineRule="exact"/>
        <w:ind w:firstLineChars="200" w:firstLine="600"/>
        <w:rPr>
          <w:rFonts w:ascii="仿宋_GB2312"/>
        </w:rPr>
      </w:pPr>
      <w:r>
        <w:rPr>
          <w:rFonts w:ascii="黑体" w:eastAsia="黑体" w:hAnsi="黑体" w:hint="eastAsia"/>
        </w:rPr>
        <w:t>三、综合评价情况及评价结论</w:t>
      </w:r>
      <w:r>
        <w:rPr>
          <w:rFonts w:ascii="仿宋_GB2312" w:hint="eastAsia"/>
        </w:rPr>
        <w:t>（见附件）</w:t>
      </w:r>
    </w:p>
    <w:p w:rsidR="003C3D3E" w:rsidRDefault="00595914">
      <w:pPr>
        <w:pStyle w:val="-"/>
        <w:ind w:firstLine="560"/>
        <w:rPr>
          <w:kern w:val="2"/>
          <w:sz w:val="32"/>
          <w:szCs w:val="32"/>
        </w:rPr>
      </w:pPr>
      <w:r>
        <w:rPr>
          <w:rFonts w:hint="eastAsia"/>
          <w:kern w:val="2"/>
          <w:sz w:val="32"/>
          <w:szCs w:val="32"/>
        </w:rPr>
        <w:t>综合考虑投入、产出、效果、影响力等各方面因素，通过数据采集及分析，最终评分结果：项目绩效评价结果为</w:t>
      </w:r>
      <w:r>
        <w:rPr>
          <w:rFonts w:hint="eastAsia"/>
          <w:kern w:val="2"/>
          <w:sz w:val="32"/>
          <w:szCs w:val="32"/>
        </w:rPr>
        <w:t>:</w:t>
      </w:r>
      <w:r>
        <w:rPr>
          <w:rFonts w:hint="eastAsia"/>
          <w:kern w:val="2"/>
          <w:sz w:val="32"/>
          <w:szCs w:val="32"/>
        </w:rPr>
        <w:t>总得分</w:t>
      </w:r>
      <w:r>
        <w:rPr>
          <w:rFonts w:hint="eastAsia"/>
          <w:kern w:val="2"/>
          <w:sz w:val="32"/>
          <w:szCs w:val="32"/>
        </w:rPr>
        <w:t>98.5</w:t>
      </w:r>
      <w:r>
        <w:rPr>
          <w:rFonts w:hint="eastAsia"/>
          <w:kern w:val="2"/>
          <w:sz w:val="32"/>
          <w:szCs w:val="32"/>
        </w:rPr>
        <w:t>分，本次评价通过文件研读、实地调研、数据分析等方式，全面了解该项目资金的使用效率和效果，项目管理过程规范，完成了预期绩效目标等。</w:t>
      </w:r>
    </w:p>
    <w:p w:rsidR="003C3D3E" w:rsidRDefault="00595914">
      <w:pPr>
        <w:spacing w:line="500" w:lineRule="exact"/>
        <w:ind w:firstLineChars="200" w:firstLine="600"/>
        <w:rPr>
          <w:rFonts w:ascii="黑体" w:eastAsia="黑体" w:hAnsi="黑体"/>
        </w:rPr>
      </w:pPr>
      <w:r>
        <w:rPr>
          <w:rFonts w:ascii="黑体" w:eastAsia="黑体" w:hAnsi="黑体" w:hint="eastAsia"/>
        </w:rPr>
        <w:t>四、绩效评价指标分析</w:t>
      </w:r>
    </w:p>
    <w:p w:rsidR="003C3D3E" w:rsidRDefault="00595914">
      <w:pPr>
        <w:spacing w:line="500" w:lineRule="exact"/>
        <w:ind w:firstLineChars="200" w:firstLine="640"/>
        <w:rPr>
          <w:sz w:val="32"/>
          <w:szCs w:val="32"/>
        </w:rPr>
      </w:pPr>
      <w:r>
        <w:rPr>
          <w:rFonts w:hint="eastAsia"/>
          <w:sz w:val="32"/>
          <w:szCs w:val="32"/>
        </w:rPr>
        <w:t>（一）项目决策情况。严格按照“三重一大”决策制度，分管领导召集有关部门进行初步审核，充分听取各方面意见，召开党委会议讨论研究，确保项目决策等合理性和科学性。</w:t>
      </w:r>
    </w:p>
    <w:p w:rsidR="003C3D3E" w:rsidRDefault="00595914">
      <w:pPr>
        <w:spacing w:line="500" w:lineRule="exact"/>
        <w:ind w:firstLineChars="200" w:firstLine="640"/>
        <w:rPr>
          <w:sz w:val="32"/>
          <w:szCs w:val="32"/>
        </w:rPr>
      </w:pPr>
      <w:r>
        <w:rPr>
          <w:rFonts w:hint="eastAsia"/>
          <w:sz w:val="32"/>
          <w:szCs w:val="32"/>
        </w:rPr>
        <w:t>（二）项目过程情况。通过调研、收集各科室的意见建议和需求，做好预算年度实施项目计划，编制部门年度预算，经中心党委会议研究讨论决定，经上报管委会会议通过，再报送州财政</w:t>
      </w:r>
      <w:r>
        <w:rPr>
          <w:rFonts w:hint="eastAsia"/>
          <w:sz w:val="32"/>
          <w:szCs w:val="32"/>
        </w:rPr>
        <w:lastRenderedPageBreak/>
        <w:t>局下拨项目资金。项目实施前，建立和完善项目管理规章制度，细化操作程序；项目实施过程中，严格资金支付手段；项目完成后，项目管理和使用部门按有关规定及时组织竣工验收，项目使用部门完成竣工决算报批手续，督促项目及时结算。项目管理或使用部门严格执行项目价款结算制度，按照项目价款结算有关程序支付资金，项目结算符合财政支出预算管理的有关规定。</w:t>
      </w:r>
    </w:p>
    <w:p w:rsidR="003C3D3E" w:rsidRDefault="00595914">
      <w:pPr>
        <w:spacing w:line="500" w:lineRule="exact"/>
        <w:ind w:firstLineChars="200" w:firstLine="640"/>
        <w:rPr>
          <w:sz w:val="32"/>
          <w:szCs w:val="32"/>
        </w:rPr>
      </w:pPr>
      <w:r>
        <w:rPr>
          <w:rFonts w:hint="eastAsia"/>
          <w:sz w:val="32"/>
          <w:szCs w:val="32"/>
        </w:rPr>
        <w:t>（三）项目产出情况。办公场所改造面积</w:t>
      </w:r>
      <w:r>
        <w:rPr>
          <w:rFonts w:hint="eastAsia"/>
          <w:sz w:val="32"/>
          <w:szCs w:val="32"/>
        </w:rPr>
        <w:t>2100</w:t>
      </w:r>
      <w:r>
        <w:rPr>
          <w:rFonts w:hint="eastAsia"/>
          <w:sz w:val="32"/>
          <w:szCs w:val="32"/>
        </w:rPr>
        <w:t>㎡；消防改造面积</w:t>
      </w:r>
      <w:r>
        <w:rPr>
          <w:rFonts w:hint="eastAsia"/>
          <w:sz w:val="32"/>
          <w:szCs w:val="32"/>
        </w:rPr>
        <w:t>2100</w:t>
      </w:r>
      <w:r>
        <w:rPr>
          <w:rFonts w:hint="eastAsia"/>
          <w:sz w:val="32"/>
          <w:szCs w:val="32"/>
        </w:rPr>
        <w:t>㎡；施工安全事故</w:t>
      </w:r>
      <w:r>
        <w:rPr>
          <w:rFonts w:hint="eastAsia"/>
          <w:sz w:val="32"/>
          <w:szCs w:val="32"/>
        </w:rPr>
        <w:t>0</w:t>
      </w:r>
      <w:r>
        <w:rPr>
          <w:rFonts w:hint="eastAsia"/>
          <w:sz w:val="32"/>
          <w:szCs w:val="32"/>
        </w:rPr>
        <w:t>起；土建和消防工程改造合格率达到</w:t>
      </w:r>
      <w:r>
        <w:rPr>
          <w:rFonts w:hint="eastAsia"/>
          <w:sz w:val="32"/>
          <w:szCs w:val="32"/>
        </w:rPr>
        <w:t>95%</w:t>
      </w:r>
      <w:r>
        <w:rPr>
          <w:rFonts w:hint="eastAsia"/>
          <w:sz w:val="32"/>
          <w:szCs w:val="32"/>
        </w:rPr>
        <w:t>；工程质量达标率达到</w:t>
      </w:r>
      <w:r>
        <w:rPr>
          <w:rFonts w:hint="eastAsia"/>
          <w:sz w:val="32"/>
          <w:szCs w:val="32"/>
        </w:rPr>
        <w:t>100%</w:t>
      </w:r>
      <w:r>
        <w:rPr>
          <w:rFonts w:hint="eastAsia"/>
          <w:sz w:val="32"/>
          <w:szCs w:val="32"/>
        </w:rPr>
        <w:t>；项目完成及时；办公环境显著改善；职工满意度≥</w:t>
      </w:r>
      <w:r>
        <w:rPr>
          <w:rFonts w:hint="eastAsia"/>
          <w:sz w:val="32"/>
          <w:szCs w:val="32"/>
        </w:rPr>
        <w:t>95%</w:t>
      </w:r>
      <w:r>
        <w:rPr>
          <w:rFonts w:hint="eastAsia"/>
          <w:sz w:val="32"/>
          <w:szCs w:val="32"/>
        </w:rPr>
        <w:t>。</w:t>
      </w:r>
    </w:p>
    <w:p w:rsidR="003C3D3E" w:rsidRDefault="00595914">
      <w:pPr>
        <w:spacing w:line="500" w:lineRule="exact"/>
        <w:ind w:firstLineChars="200" w:firstLine="640"/>
        <w:rPr>
          <w:sz w:val="32"/>
          <w:szCs w:val="32"/>
        </w:rPr>
      </w:pPr>
      <w:r>
        <w:rPr>
          <w:rFonts w:hint="eastAsia"/>
          <w:sz w:val="32"/>
          <w:szCs w:val="32"/>
        </w:rPr>
        <w:t>（四）项目效益情况。我单位遵循住房公积金管理“以人为本、服务社会、科学管理、追求卓越”的宗旨，通过整合原有资源，推动住房公积金管理的进一步优化与整合、优化办公环境，提升外部形象，服务公积金缴存职工。</w:t>
      </w:r>
    </w:p>
    <w:p w:rsidR="003C3D3E" w:rsidRDefault="00595914">
      <w:pPr>
        <w:spacing w:line="500" w:lineRule="exact"/>
        <w:ind w:firstLineChars="200" w:firstLine="600"/>
        <w:rPr>
          <w:rFonts w:ascii="黑体" w:eastAsia="黑体" w:hAnsi="黑体"/>
        </w:rPr>
      </w:pPr>
      <w:r>
        <w:rPr>
          <w:rFonts w:ascii="黑体" w:eastAsia="黑体" w:hAnsi="黑体" w:hint="eastAsia"/>
        </w:rPr>
        <w:t>五、主要经验及做法、存在的问题及原因分析</w:t>
      </w:r>
    </w:p>
    <w:p w:rsidR="003C3D3E" w:rsidRDefault="00595914">
      <w:pPr>
        <w:spacing w:line="500" w:lineRule="exact"/>
        <w:ind w:firstLineChars="200" w:firstLine="640"/>
        <w:rPr>
          <w:sz w:val="32"/>
          <w:szCs w:val="32"/>
        </w:rPr>
      </w:pPr>
      <w:r>
        <w:rPr>
          <w:rFonts w:hint="eastAsia"/>
          <w:sz w:val="32"/>
          <w:szCs w:val="32"/>
        </w:rPr>
        <w:t>项目的支出严格按照“财政拨款支出”和“其他资金支出”、“基本支出”和“项目支出”等分类进行明细核算；严格按照财政拨款的种类分别进行明细核算；会计核算不存在支出依据不合规、虚列支出的情况；不存在截留、挤占、挪用项目资金情况；不存在超标准开支等情况。强化绩效管理，及时分析项目偏差原因并纠正偏差。</w:t>
      </w:r>
    </w:p>
    <w:p w:rsidR="003C3D3E" w:rsidRDefault="00595914">
      <w:pPr>
        <w:numPr>
          <w:ilvl w:val="0"/>
          <w:numId w:val="1"/>
        </w:numPr>
        <w:spacing w:line="500" w:lineRule="exact"/>
        <w:ind w:firstLineChars="200" w:firstLine="600"/>
        <w:rPr>
          <w:rFonts w:ascii="黑体" w:eastAsia="黑体" w:hAnsi="黑体"/>
        </w:rPr>
      </w:pPr>
      <w:r>
        <w:rPr>
          <w:rFonts w:ascii="黑体" w:eastAsia="黑体" w:hAnsi="黑体" w:hint="eastAsia"/>
        </w:rPr>
        <w:t>有关建议</w:t>
      </w:r>
    </w:p>
    <w:p w:rsidR="003C3D3E" w:rsidRDefault="00595914">
      <w:pPr>
        <w:spacing w:line="500" w:lineRule="exact"/>
        <w:ind w:firstLineChars="200" w:firstLine="640"/>
        <w:rPr>
          <w:sz w:val="32"/>
          <w:szCs w:val="32"/>
        </w:rPr>
      </w:pPr>
      <w:r>
        <w:rPr>
          <w:rFonts w:hint="eastAsia"/>
          <w:sz w:val="32"/>
          <w:szCs w:val="32"/>
        </w:rPr>
        <w:t>无</w:t>
      </w:r>
    </w:p>
    <w:p w:rsidR="003C3D3E" w:rsidRDefault="00595914">
      <w:pPr>
        <w:numPr>
          <w:ilvl w:val="0"/>
          <w:numId w:val="1"/>
        </w:numPr>
        <w:spacing w:line="500" w:lineRule="exact"/>
        <w:ind w:firstLineChars="200" w:firstLine="600"/>
        <w:rPr>
          <w:rFonts w:ascii="黑体" w:eastAsia="黑体" w:hAnsi="黑体"/>
        </w:rPr>
      </w:pPr>
      <w:r>
        <w:rPr>
          <w:rFonts w:ascii="黑体" w:eastAsia="黑体" w:hAnsi="黑体" w:hint="eastAsia"/>
        </w:rPr>
        <w:t>其他需要说明的问题</w:t>
      </w:r>
    </w:p>
    <w:p w:rsidR="003C3D3E" w:rsidRDefault="00595914">
      <w:pPr>
        <w:spacing w:line="500" w:lineRule="exact"/>
        <w:ind w:firstLineChars="200" w:firstLine="640"/>
        <w:rPr>
          <w:sz w:val="32"/>
          <w:szCs w:val="32"/>
        </w:rPr>
        <w:sectPr w:rsidR="003C3D3E">
          <w:footerReference w:type="default" r:id="rId9"/>
          <w:pgSz w:w="11906" w:h="16838"/>
          <w:pgMar w:top="1928" w:right="1531" w:bottom="1701" w:left="1531" w:header="737" w:footer="851" w:gutter="0"/>
          <w:cols w:space="720"/>
          <w:docGrid w:type="lines" w:linePitch="408"/>
        </w:sectPr>
      </w:pPr>
      <w:r>
        <w:rPr>
          <w:rFonts w:hint="eastAsia"/>
          <w:sz w:val="32"/>
          <w:szCs w:val="32"/>
        </w:rPr>
        <w:t>无</w:t>
      </w:r>
    </w:p>
    <w:p w:rsidR="003C3D3E" w:rsidRDefault="00595914">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项目支出绩效评价指标体系框架及相关评分表</w:t>
      </w:r>
    </w:p>
    <w:p w:rsidR="003C3D3E" w:rsidRDefault="003C3D3E">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0"/>
        <w:gridCol w:w="7"/>
        <w:gridCol w:w="1290"/>
        <w:gridCol w:w="1411"/>
        <w:gridCol w:w="2787"/>
        <w:gridCol w:w="8"/>
        <w:gridCol w:w="7331"/>
        <w:gridCol w:w="829"/>
        <w:gridCol w:w="12"/>
        <w:gridCol w:w="13"/>
        <w:gridCol w:w="897"/>
        <w:gridCol w:w="12"/>
        <w:gridCol w:w="18"/>
      </w:tblGrid>
      <w:tr w:rsidR="003C3D3E" w:rsidTr="0097367F">
        <w:trPr>
          <w:gridAfter w:val="1"/>
          <w:wAfter w:w="16" w:type="dxa"/>
          <w:trHeight w:val="692"/>
          <w:tblHeader/>
          <w:jc w:val="center"/>
        </w:trPr>
        <w:tc>
          <w:tcPr>
            <w:tcW w:w="76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7"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0"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3C3D3E" w:rsidRDefault="00595914" w:rsidP="0097367F">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3C3D3E" w:rsidTr="0097367F">
        <w:trPr>
          <w:gridAfter w:val="1"/>
          <w:wAfter w:w="16" w:type="dxa"/>
          <w:trHeight w:val="2318"/>
          <w:jc w:val="center"/>
        </w:trPr>
        <w:tc>
          <w:tcPr>
            <w:tcW w:w="761" w:type="dxa"/>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3C3D3E" w:rsidRDefault="00595914" w:rsidP="0097367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gridSpan w:val="2"/>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7" w:type="dxa"/>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0" w:type="dxa"/>
            <w:gridSpan w:val="2"/>
            <w:tcBorders>
              <w:bottom w:val="single" w:sz="4" w:space="0" w:color="auto"/>
              <w:tl2br w:val="nil"/>
              <w:tr2bl w:val="nil"/>
            </w:tcBorders>
            <w:shd w:val="clear" w:color="auto" w:fill="FFFFFF"/>
            <w:vAlign w:val="center"/>
          </w:tcPr>
          <w:p w:rsidR="003C3D3E" w:rsidRDefault="00595914" w:rsidP="0097367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3C3D3E" w:rsidTr="0097367F">
        <w:trPr>
          <w:gridAfter w:val="1"/>
          <w:wAfter w:w="16" w:type="dxa"/>
          <w:trHeight w:val="1640"/>
          <w:jc w:val="center"/>
        </w:trPr>
        <w:tc>
          <w:tcPr>
            <w:tcW w:w="761" w:type="dxa"/>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7" w:type="dxa"/>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0" w:type="dxa"/>
            <w:gridSpan w:val="2"/>
            <w:tcBorders>
              <w:tl2br w:val="nil"/>
              <w:tr2bl w:val="nil"/>
            </w:tcBorders>
            <w:shd w:val="clear" w:color="auto" w:fill="FFFFFF"/>
            <w:vAlign w:val="center"/>
          </w:tcPr>
          <w:p w:rsidR="003C3D3E" w:rsidRDefault="00595914" w:rsidP="0097367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p w:rsidR="003C3D3E" w:rsidRDefault="003C3D3E" w:rsidP="0097367F">
            <w:pPr>
              <w:widowControl/>
              <w:jc w:val="left"/>
              <w:rPr>
                <w:rFonts w:ascii="宋体" w:eastAsia="宋体" w:hAnsi="宋体" w:cs="宋体"/>
                <w:color w:val="000000"/>
                <w:kern w:val="0"/>
                <w:sz w:val="22"/>
                <w:szCs w:val="22"/>
              </w:rPr>
            </w:pP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3C3D3E" w:rsidP="0097367F">
            <w:pPr>
              <w:widowControl/>
              <w:jc w:val="left"/>
              <w:rPr>
                <w:rFonts w:ascii="宋体" w:eastAsia="宋体" w:hAnsi="宋体" w:cs="宋体"/>
                <w:color w:val="000000"/>
                <w:kern w:val="0"/>
                <w:sz w:val="22"/>
                <w:szCs w:val="22"/>
              </w:rPr>
            </w:pPr>
          </w:p>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3C3D3E" w:rsidTr="0097367F">
        <w:trPr>
          <w:gridAfter w:val="1"/>
          <w:wAfter w:w="16" w:type="dxa"/>
          <w:trHeight w:val="1919"/>
          <w:jc w:val="center"/>
        </w:trPr>
        <w:tc>
          <w:tcPr>
            <w:tcW w:w="761" w:type="dxa"/>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3C3D3E" w:rsidRDefault="00595914" w:rsidP="0097367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C3D3E" w:rsidTr="0097367F">
        <w:trPr>
          <w:gridAfter w:val="1"/>
          <w:wAfter w:w="16" w:type="dxa"/>
          <w:trHeight w:val="1464"/>
          <w:jc w:val="center"/>
        </w:trPr>
        <w:tc>
          <w:tcPr>
            <w:tcW w:w="761" w:type="dxa"/>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3C3D3E" w:rsidTr="0097367F">
        <w:trPr>
          <w:gridAfter w:val="1"/>
          <w:wAfter w:w="16" w:type="dxa"/>
          <w:trHeight w:val="1942"/>
          <w:jc w:val="center"/>
        </w:trPr>
        <w:tc>
          <w:tcPr>
            <w:tcW w:w="761" w:type="dxa"/>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3C3D3E" w:rsidRDefault="00595914" w:rsidP="0097367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7" w:type="dxa"/>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0" w:type="dxa"/>
            <w:gridSpan w:val="2"/>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3C3D3E" w:rsidTr="0097367F">
        <w:trPr>
          <w:gridAfter w:val="1"/>
          <w:wAfter w:w="16" w:type="dxa"/>
          <w:trHeight w:val="1706"/>
          <w:jc w:val="center"/>
        </w:trPr>
        <w:tc>
          <w:tcPr>
            <w:tcW w:w="761" w:type="dxa"/>
            <w:vMerge/>
            <w:tcBorders>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7" w:type="dxa"/>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0" w:type="dxa"/>
            <w:gridSpan w:val="2"/>
            <w:tcBorders>
              <w:bottom w:val="single" w:sz="4" w:space="0" w:color="auto"/>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595914"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bookmarkStart w:id="3" w:name="_GoBack"/>
            <w:bookmarkEnd w:id="3"/>
          </w:p>
        </w:tc>
      </w:tr>
      <w:tr w:rsidR="003C3D3E" w:rsidTr="0097367F">
        <w:trPr>
          <w:gridAfter w:val="1"/>
          <w:wAfter w:w="16" w:type="dxa"/>
          <w:trHeight w:val="1415"/>
          <w:jc w:val="center"/>
        </w:trPr>
        <w:tc>
          <w:tcPr>
            <w:tcW w:w="761" w:type="dxa"/>
            <w:vMerge w:val="restart"/>
            <w:tcBorders>
              <w:tl2br w:val="nil"/>
              <w:tr2bl w:val="nil"/>
            </w:tcBorders>
            <w:shd w:val="clear" w:color="auto" w:fill="FFFFFF"/>
            <w:vAlign w:val="center"/>
          </w:tcPr>
          <w:p w:rsidR="003C3D3E" w:rsidRDefault="00595914" w:rsidP="0097367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gridSpan w:val="2"/>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C3D3E" w:rsidTr="0097367F">
        <w:trPr>
          <w:gridAfter w:val="1"/>
          <w:wAfter w:w="16" w:type="dxa"/>
          <w:trHeight w:val="1320"/>
          <w:jc w:val="center"/>
        </w:trPr>
        <w:tc>
          <w:tcPr>
            <w:tcW w:w="761" w:type="dxa"/>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7" w:type="dxa"/>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0" w:type="dxa"/>
            <w:gridSpan w:val="2"/>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C3D3E" w:rsidTr="0097367F">
        <w:trPr>
          <w:gridAfter w:val="2"/>
          <w:wAfter w:w="28" w:type="dxa"/>
          <w:trHeight w:val="2076"/>
          <w:jc w:val="center"/>
        </w:trPr>
        <w:tc>
          <w:tcPr>
            <w:tcW w:w="761" w:type="dxa"/>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3C3D3E" w:rsidRDefault="00595914" w:rsidP="0097367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0" w:type="dxa"/>
            <w:gridSpan w:val="2"/>
            <w:tcBorders>
              <w:bottom w:val="single" w:sz="4" w:space="0" w:color="auto"/>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3C3D3E" w:rsidTr="0097367F">
        <w:trPr>
          <w:gridAfter w:val="2"/>
          <w:wAfter w:w="28" w:type="dxa"/>
          <w:trHeight w:val="1797"/>
          <w:jc w:val="center"/>
        </w:trPr>
        <w:tc>
          <w:tcPr>
            <w:tcW w:w="761" w:type="dxa"/>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3C3D3E" w:rsidRDefault="00595914" w:rsidP="0097367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C3D3E" w:rsidTr="0097367F">
        <w:trPr>
          <w:gridAfter w:val="2"/>
          <w:wAfter w:w="28" w:type="dxa"/>
          <w:trHeight w:val="1769"/>
          <w:jc w:val="center"/>
        </w:trPr>
        <w:tc>
          <w:tcPr>
            <w:tcW w:w="761" w:type="dxa"/>
            <w:vMerge/>
            <w:tcBorders>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C3D3E" w:rsidTr="0097367F">
        <w:trPr>
          <w:gridAfter w:val="2"/>
          <w:wAfter w:w="28" w:type="dxa"/>
          <w:trHeight w:val="1917"/>
          <w:jc w:val="center"/>
        </w:trPr>
        <w:tc>
          <w:tcPr>
            <w:tcW w:w="76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3C3D3E" w:rsidTr="0097367F">
        <w:trPr>
          <w:trHeight w:val="1718"/>
          <w:jc w:val="center"/>
        </w:trPr>
        <w:tc>
          <w:tcPr>
            <w:tcW w:w="761" w:type="dxa"/>
            <w:vMerge w:val="restart"/>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0" w:type="dxa"/>
            <w:gridSpan w:val="2"/>
            <w:tcBorders>
              <w:bottom w:val="single" w:sz="4" w:space="0" w:color="auto"/>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3C3D3E" w:rsidTr="0097367F">
        <w:trPr>
          <w:trHeight w:val="1506"/>
          <w:jc w:val="center"/>
        </w:trPr>
        <w:tc>
          <w:tcPr>
            <w:tcW w:w="761" w:type="dxa"/>
            <w:vMerge/>
            <w:tcBorders>
              <w:tl2br w:val="nil"/>
              <w:tr2bl w:val="nil"/>
            </w:tcBorders>
            <w:shd w:val="clear" w:color="auto" w:fill="FFFFFF"/>
            <w:vAlign w:val="center"/>
          </w:tcPr>
          <w:p w:rsidR="003C3D3E" w:rsidRDefault="003C3D3E" w:rsidP="0097367F">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3C3D3E" w:rsidRDefault="00595914" w:rsidP="0097367F">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3C3D3E" w:rsidTr="0097367F">
        <w:trPr>
          <w:trHeight w:val="1703"/>
          <w:jc w:val="center"/>
        </w:trPr>
        <w:tc>
          <w:tcPr>
            <w:tcW w:w="761" w:type="dxa"/>
            <w:vMerge/>
            <w:tcBorders>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7" w:type="dxa"/>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0" w:type="dxa"/>
            <w:gridSpan w:val="2"/>
            <w:tcBorders>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C3D3E" w:rsidTr="0097367F">
        <w:trPr>
          <w:trHeight w:val="889"/>
          <w:jc w:val="center"/>
        </w:trPr>
        <w:tc>
          <w:tcPr>
            <w:tcW w:w="761" w:type="dxa"/>
            <w:vMerge w:val="restart"/>
            <w:tcBorders>
              <w:right w:val="single" w:sz="4" w:space="0" w:color="auto"/>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gridSpan w:val="2"/>
            <w:vMerge w:val="restart"/>
            <w:tcBorders>
              <w:left w:val="single" w:sz="4" w:space="0" w:color="auto"/>
              <w:right w:val="single" w:sz="4" w:space="0" w:color="auto"/>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left w:val="single" w:sz="4" w:space="0" w:color="auto"/>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7" w:type="dxa"/>
            <w:tcBorders>
              <w:tl2br w:val="nil"/>
              <w:tr2bl w:val="nil"/>
            </w:tcBorders>
            <w:shd w:val="clear" w:color="auto" w:fill="FFFFFF"/>
            <w:vAlign w:val="center"/>
          </w:tcPr>
          <w:p w:rsidR="003C3D3E" w:rsidRDefault="00595914" w:rsidP="0097367F">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0" w:type="dxa"/>
            <w:gridSpan w:val="2"/>
            <w:tcBorders>
              <w:tl2br w:val="nil"/>
              <w:tr2bl w:val="nil"/>
            </w:tcBorders>
            <w:shd w:val="clear" w:color="auto"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FE231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14</w:t>
            </w:r>
          </w:p>
        </w:tc>
      </w:tr>
      <w:tr w:rsidR="003C3D3E" w:rsidTr="0097367F">
        <w:trPr>
          <w:trHeight w:val="952"/>
          <w:jc w:val="center"/>
        </w:trPr>
        <w:tc>
          <w:tcPr>
            <w:tcW w:w="761" w:type="dxa"/>
            <w:vMerge/>
            <w:tcBorders>
              <w:right w:val="single" w:sz="4" w:space="0" w:color="auto"/>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297" w:type="dxa"/>
            <w:gridSpan w:val="2"/>
            <w:vMerge/>
            <w:tcBorders>
              <w:left w:val="single" w:sz="4" w:space="0" w:color="auto"/>
              <w:right w:val="single" w:sz="4" w:space="0" w:color="auto"/>
              <w:tl2br w:val="nil"/>
              <w:tr2bl w:val="nil"/>
            </w:tcBorders>
            <w:shd w:val="clear" w:color="auto" w:fill="FFFFFF"/>
            <w:vAlign w:val="center"/>
          </w:tcPr>
          <w:p w:rsidR="003C3D3E" w:rsidRDefault="003C3D3E" w:rsidP="0097367F">
            <w:pPr>
              <w:widowControl/>
              <w:spacing w:line="0" w:lineRule="atLeast"/>
              <w:jc w:val="center"/>
              <w:rPr>
                <w:rFonts w:ascii="宋体" w:eastAsia="宋体" w:hAnsi="宋体" w:cs="宋体"/>
                <w:color w:val="000000"/>
                <w:kern w:val="0"/>
                <w:sz w:val="22"/>
                <w:szCs w:val="22"/>
              </w:rPr>
            </w:pPr>
          </w:p>
        </w:tc>
        <w:tc>
          <w:tcPr>
            <w:tcW w:w="1411" w:type="dxa"/>
            <w:tcBorders>
              <w:left w:val="single" w:sz="4" w:space="0" w:color="auto"/>
              <w:right w:val="single" w:sz="4" w:space="0" w:color="auto"/>
              <w:tl2br w:val="nil"/>
              <w:tr2bl w:val="nil"/>
            </w:tcBorders>
            <w:shd w:val="clear" w:color="auto" w:fill="FFFFFF"/>
            <w:vAlign w:val="center"/>
          </w:tcPr>
          <w:p w:rsidR="003C3D3E" w:rsidRDefault="00595914" w:rsidP="0097367F">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7" w:type="dxa"/>
            <w:tcBorders>
              <w:left w:val="single" w:sz="4" w:space="0" w:color="auto"/>
              <w:right w:val="single" w:sz="4" w:space="0" w:color="auto"/>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0" w:type="dxa"/>
            <w:gridSpan w:val="2"/>
            <w:tcBorders>
              <w:left w:val="single" w:sz="4" w:space="0" w:color="auto"/>
              <w:right w:val="single" w:sz="4" w:space="0" w:color="auto"/>
              <w:tl2br w:val="nil"/>
              <w:tr2bl w:val="nil"/>
            </w:tcBorders>
            <w:shd w:val="clear" w:color="000000" w:fill="FFFFFF"/>
            <w:vAlign w:val="center"/>
          </w:tcPr>
          <w:p w:rsidR="003C3D3E" w:rsidRDefault="00595914" w:rsidP="0097367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3C3D3E" w:rsidRDefault="00FE231B" w:rsidP="0097367F">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13</w:t>
            </w:r>
          </w:p>
        </w:tc>
      </w:tr>
      <w:tr w:rsidR="0097367F" w:rsidTr="009736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9"/>
          <w:jc w:val="center"/>
        </w:trPr>
        <w:tc>
          <w:tcPr>
            <w:tcW w:w="768" w:type="dxa"/>
            <w:gridSpan w:val="2"/>
          </w:tcPr>
          <w:p w:rsidR="0097367F" w:rsidRDefault="0097367F" w:rsidP="0097367F">
            <w:pPr>
              <w:spacing w:line="600" w:lineRule="exact"/>
              <w:rPr>
                <w:rFonts w:ascii="仿宋_GB2312"/>
                <w:bCs/>
                <w:sz w:val="32"/>
                <w:szCs w:val="32"/>
              </w:rPr>
            </w:pPr>
          </w:p>
        </w:tc>
        <w:tc>
          <w:tcPr>
            <w:tcW w:w="1290" w:type="dxa"/>
          </w:tcPr>
          <w:p w:rsidR="0097367F" w:rsidRPr="000C336F" w:rsidRDefault="000C336F" w:rsidP="0097367F">
            <w:pPr>
              <w:spacing w:line="600" w:lineRule="exact"/>
              <w:rPr>
                <w:rFonts w:ascii="仿宋_GB2312"/>
                <w:bCs/>
                <w:sz w:val="21"/>
                <w:szCs w:val="32"/>
              </w:rPr>
            </w:pPr>
            <w:r>
              <w:rPr>
                <w:rFonts w:ascii="仿宋_GB2312" w:hint="eastAsia"/>
                <w:bCs/>
                <w:sz w:val="21"/>
                <w:szCs w:val="32"/>
              </w:rPr>
              <w:t>合计总分</w:t>
            </w:r>
          </w:p>
        </w:tc>
        <w:tc>
          <w:tcPr>
            <w:tcW w:w="1411" w:type="dxa"/>
          </w:tcPr>
          <w:p w:rsidR="0097367F" w:rsidRDefault="0097367F" w:rsidP="0097367F">
            <w:pPr>
              <w:spacing w:line="600" w:lineRule="exact"/>
              <w:rPr>
                <w:rFonts w:ascii="仿宋_GB2312"/>
                <w:bCs/>
                <w:sz w:val="32"/>
                <w:szCs w:val="32"/>
              </w:rPr>
            </w:pPr>
          </w:p>
        </w:tc>
        <w:tc>
          <w:tcPr>
            <w:tcW w:w="2795" w:type="dxa"/>
            <w:gridSpan w:val="2"/>
          </w:tcPr>
          <w:p w:rsidR="0097367F" w:rsidRDefault="0097367F" w:rsidP="0097367F">
            <w:pPr>
              <w:spacing w:line="600" w:lineRule="exact"/>
              <w:rPr>
                <w:rFonts w:ascii="仿宋_GB2312"/>
                <w:bCs/>
                <w:sz w:val="32"/>
                <w:szCs w:val="32"/>
              </w:rPr>
            </w:pPr>
          </w:p>
        </w:tc>
        <w:tc>
          <w:tcPr>
            <w:tcW w:w="7332" w:type="dxa"/>
          </w:tcPr>
          <w:p w:rsidR="0097367F" w:rsidRDefault="0097367F" w:rsidP="0097367F">
            <w:pPr>
              <w:spacing w:line="600" w:lineRule="exact"/>
              <w:rPr>
                <w:rFonts w:ascii="仿宋_GB2312"/>
                <w:bCs/>
                <w:sz w:val="32"/>
                <w:szCs w:val="32"/>
              </w:rPr>
            </w:pPr>
          </w:p>
        </w:tc>
        <w:tc>
          <w:tcPr>
            <w:tcW w:w="854" w:type="dxa"/>
            <w:gridSpan w:val="3"/>
          </w:tcPr>
          <w:p w:rsidR="0097367F" w:rsidRDefault="00FE231B" w:rsidP="0097367F">
            <w:pPr>
              <w:spacing w:line="600" w:lineRule="exact"/>
              <w:rPr>
                <w:rFonts w:ascii="仿宋_GB2312"/>
                <w:bCs/>
                <w:sz w:val="32"/>
                <w:szCs w:val="32"/>
              </w:rPr>
            </w:pPr>
            <w:r>
              <w:rPr>
                <w:rFonts w:ascii="仿宋_GB2312" w:hint="eastAsia"/>
                <w:bCs/>
                <w:sz w:val="32"/>
                <w:szCs w:val="32"/>
              </w:rPr>
              <w:t>100</w:t>
            </w:r>
          </w:p>
        </w:tc>
        <w:tc>
          <w:tcPr>
            <w:tcW w:w="925" w:type="dxa"/>
            <w:gridSpan w:val="3"/>
          </w:tcPr>
          <w:p w:rsidR="0097367F" w:rsidRDefault="00FE231B" w:rsidP="0097367F">
            <w:pPr>
              <w:spacing w:line="600" w:lineRule="exact"/>
              <w:rPr>
                <w:rFonts w:ascii="仿宋_GB2312"/>
                <w:bCs/>
                <w:sz w:val="32"/>
                <w:szCs w:val="32"/>
              </w:rPr>
            </w:pPr>
            <w:r>
              <w:rPr>
                <w:rFonts w:ascii="仿宋_GB2312" w:hint="eastAsia"/>
                <w:bCs/>
                <w:sz w:val="32"/>
                <w:szCs w:val="32"/>
              </w:rPr>
              <w:t>90</w:t>
            </w:r>
          </w:p>
        </w:tc>
      </w:tr>
    </w:tbl>
    <w:p w:rsidR="003C3D3E" w:rsidRDefault="003C3D3E">
      <w:pPr>
        <w:spacing w:line="600" w:lineRule="exact"/>
        <w:rPr>
          <w:rFonts w:ascii="仿宋_GB2312"/>
          <w:bCs/>
          <w:sz w:val="32"/>
          <w:szCs w:val="32"/>
        </w:rPr>
        <w:sectPr w:rsidR="003C3D3E">
          <w:pgSz w:w="16838" w:h="11906" w:orient="landscape"/>
          <w:pgMar w:top="1531" w:right="1928" w:bottom="1531" w:left="1701" w:header="737" w:footer="851" w:gutter="0"/>
          <w:cols w:space="720"/>
          <w:docGrid w:type="lines" w:linePitch="408"/>
        </w:sectPr>
      </w:pPr>
    </w:p>
    <w:p w:rsidR="003C3D3E" w:rsidRDefault="003C3D3E"/>
    <w:sectPr w:rsidR="003C3D3E" w:rsidSect="003C3D3E">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961" w:rsidRDefault="004C5961" w:rsidP="003C3D3E">
      <w:r>
        <w:separator/>
      </w:r>
    </w:p>
  </w:endnote>
  <w:endnote w:type="continuationSeparator" w:id="1">
    <w:p w:rsidR="004C5961" w:rsidRDefault="004C5961" w:rsidP="003C3D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仿宋w..">
    <w:altName w:val="宋体"/>
    <w:panose1 w:val="00000000000000000000"/>
    <w:charset w:val="86"/>
    <w:family w:val="roman"/>
    <w:notTrueType/>
    <w:pitch w:val="default"/>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D3E" w:rsidRDefault="00E20EAD">
    <w:pPr>
      <w:pStyle w:val="a3"/>
      <w:jc w:val="center"/>
    </w:pPr>
    <w:r>
      <w:fldChar w:fldCharType="begin"/>
    </w:r>
    <w:r w:rsidR="00595914">
      <w:instrText xml:space="preserve"> PAGE   \* MERGEFORMAT </w:instrText>
    </w:r>
    <w:r>
      <w:fldChar w:fldCharType="separate"/>
    </w:r>
    <w:r w:rsidR="00FC7517" w:rsidRPr="00FC7517">
      <w:rPr>
        <w:noProof/>
        <w:lang w:val="zh-CN"/>
      </w:rPr>
      <w:t>11</w:t>
    </w:r>
    <w:r>
      <w:fldChar w:fldCharType="end"/>
    </w:r>
  </w:p>
  <w:p w:rsidR="003C3D3E" w:rsidRDefault="003C3D3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961" w:rsidRDefault="004C5961" w:rsidP="003C3D3E">
      <w:r>
        <w:separator/>
      </w:r>
    </w:p>
  </w:footnote>
  <w:footnote w:type="continuationSeparator" w:id="1">
    <w:p w:rsidR="004C5961" w:rsidRDefault="004C5961" w:rsidP="003C3D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25DD94"/>
    <w:multiLevelType w:val="singleLevel"/>
    <w:tmpl w:val="8625DD94"/>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C10B5"/>
    <w:rsid w:val="00007C86"/>
    <w:rsid w:val="00033C4C"/>
    <w:rsid w:val="000C336F"/>
    <w:rsid w:val="0018238C"/>
    <w:rsid w:val="00251A9F"/>
    <w:rsid w:val="003500B5"/>
    <w:rsid w:val="003C3D3E"/>
    <w:rsid w:val="003D7CAC"/>
    <w:rsid w:val="00404F4B"/>
    <w:rsid w:val="004C5961"/>
    <w:rsid w:val="004E0F45"/>
    <w:rsid w:val="005858F5"/>
    <w:rsid w:val="00595914"/>
    <w:rsid w:val="005F0E6E"/>
    <w:rsid w:val="0067136A"/>
    <w:rsid w:val="006958C5"/>
    <w:rsid w:val="007E5B89"/>
    <w:rsid w:val="008F74DA"/>
    <w:rsid w:val="0097367F"/>
    <w:rsid w:val="00B7795B"/>
    <w:rsid w:val="00BF5C5B"/>
    <w:rsid w:val="00C460D9"/>
    <w:rsid w:val="00C470BD"/>
    <w:rsid w:val="00C67DE4"/>
    <w:rsid w:val="00CC10B5"/>
    <w:rsid w:val="00D043E9"/>
    <w:rsid w:val="00DF55E7"/>
    <w:rsid w:val="00E20EAD"/>
    <w:rsid w:val="00E416DA"/>
    <w:rsid w:val="00EA03A9"/>
    <w:rsid w:val="00ED61D9"/>
    <w:rsid w:val="00FA49EB"/>
    <w:rsid w:val="00FB45E1"/>
    <w:rsid w:val="00FC70B5"/>
    <w:rsid w:val="00FC7517"/>
    <w:rsid w:val="00FE231B"/>
    <w:rsid w:val="416C1B0A"/>
    <w:rsid w:val="4BEB4B7A"/>
    <w:rsid w:val="548241FE"/>
    <w:rsid w:val="6FAB63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D3E"/>
    <w:pPr>
      <w:widowControl w:val="0"/>
      <w:jc w:val="both"/>
    </w:pPr>
    <w:rPr>
      <w:rFonts w:eastAsia="仿宋_GB2312"/>
      <w:kern w:val="2"/>
      <w:sz w:val="30"/>
      <w:szCs w:val="24"/>
    </w:rPr>
  </w:style>
  <w:style w:type="paragraph" w:styleId="1">
    <w:name w:val="heading 1"/>
    <w:basedOn w:val="a"/>
    <w:next w:val="a"/>
    <w:uiPriority w:val="9"/>
    <w:qFormat/>
    <w:rsid w:val="003C3D3E"/>
    <w:pPr>
      <w:spacing w:beforeAutospacing="1" w:afterAutospacing="1"/>
      <w:jc w:val="left"/>
      <w:outlineLvl w:val="0"/>
    </w:pPr>
    <w:rPr>
      <w:rFonts w:ascii="宋体" w:eastAsia="宋体" w:hAnsi="宋体" w:hint="eastAsia"/>
      <w:b/>
      <w:kern w:val="44"/>
      <w:sz w:val="48"/>
      <w:szCs w:val="48"/>
    </w:rPr>
  </w:style>
  <w:style w:type="paragraph" w:styleId="2">
    <w:name w:val="heading 2"/>
    <w:basedOn w:val="a"/>
    <w:next w:val="a"/>
    <w:link w:val="2Char"/>
    <w:qFormat/>
    <w:rsid w:val="003C3D3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C3D3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3C3D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uiPriority w:val="99"/>
    <w:semiHidden/>
    <w:unhideWhenUsed/>
    <w:rsid w:val="003C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hint="eastAsia"/>
      <w:kern w:val="0"/>
      <w:sz w:val="24"/>
    </w:rPr>
  </w:style>
  <w:style w:type="paragraph" w:styleId="a5">
    <w:name w:val="Normal (Web)"/>
    <w:basedOn w:val="a"/>
    <w:uiPriority w:val="99"/>
    <w:semiHidden/>
    <w:unhideWhenUsed/>
    <w:rsid w:val="003C3D3E"/>
    <w:rPr>
      <w:sz w:val="24"/>
    </w:rPr>
  </w:style>
  <w:style w:type="character" w:styleId="a6">
    <w:name w:val="Hyperlink"/>
    <w:basedOn w:val="a0"/>
    <w:uiPriority w:val="99"/>
    <w:semiHidden/>
    <w:unhideWhenUsed/>
    <w:rsid w:val="003C3D3E"/>
    <w:rPr>
      <w:color w:val="0000FF"/>
      <w:u w:val="single"/>
    </w:rPr>
  </w:style>
  <w:style w:type="character" w:customStyle="1" w:styleId="Char0">
    <w:name w:val="页眉 Char"/>
    <w:basedOn w:val="a0"/>
    <w:link w:val="a4"/>
    <w:uiPriority w:val="99"/>
    <w:semiHidden/>
    <w:qFormat/>
    <w:rsid w:val="003C3D3E"/>
    <w:rPr>
      <w:sz w:val="18"/>
      <w:szCs w:val="18"/>
    </w:rPr>
  </w:style>
  <w:style w:type="character" w:customStyle="1" w:styleId="Char">
    <w:name w:val="页脚 Char"/>
    <w:basedOn w:val="a0"/>
    <w:link w:val="a3"/>
    <w:uiPriority w:val="99"/>
    <w:qFormat/>
    <w:rsid w:val="003C3D3E"/>
    <w:rPr>
      <w:sz w:val="18"/>
      <w:szCs w:val="18"/>
    </w:rPr>
  </w:style>
  <w:style w:type="character" w:customStyle="1" w:styleId="2Char">
    <w:name w:val="标题 2 Char"/>
    <w:basedOn w:val="a0"/>
    <w:link w:val="2"/>
    <w:qFormat/>
    <w:rsid w:val="003C3D3E"/>
    <w:rPr>
      <w:rFonts w:ascii="Arial" w:eastAsia="黑体" w:hAnsi="Arial" w:cs="Times New Roman"/>
      <w:b/>
      <w:sz w:val="32"/>
      <w:szCs w:val="24"/>
    </w:rPr>
  </w:style>
  <w:style w:type="paragraph" w:customStyle="1" w:styleId="-">
    <w:name w:val="闻政-正文段落文字"/>
    <w:basedOn w:val="a"/>
    <w:qFormat/>
    <w:rsid w:val="003C3D3E"/>
    <w:pPr>
      <w:spacing w:line="500" w:lineRule="exact"/>
      <w:ind w:firstLine="200"/>
    </w:pPr>
    <w:rPr>
      <w:kern w:val="0"/>
      <w:szCs w:val="28"/>
    </w:rPr>
  </w:style>
  <w:style w:type="paragraph" w:customStyle="1" w:styleId="Default">
    <w:name w:val="Default"/>
    <w:rsid w:val="003D7CAC"/>
    <w:pPr>
      <w:widowControl w:val="0"/>
      <w:autoSpaceDE w:val="0"/>
      <w:autoSpaceDN w:val="0"/>
      <w:adjustRightInd w:val="0"/>
    </w:pPr>
    <w:rPr>
      <w:rFonts w:ascii="仿宋w.." w:eastAsia="仿宋w.." w:cs="仿宋w.."/>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2B0A7-BD08-4EE9-B163-07C76805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864</Words>
  <Characters>4928</Characters>
  <Application>Microsoft Office Word</Application>
  <DocSecurity>0</DocSecurity>
  <Lines>41</Lines>
  <Paragraphs>11</Paragraphs>
  <ScaleCrop>false</ScaleCrop>
  <Company>Lenovo (Beijing) Limited</Company>
  <LinksUpToDate>false</LinksUpToDate>
  <CharactersWithSpaces>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28</cp:revision>
  <dcterms:created xsi:type="dcterms:W3CDTF">2020-04-15T03:47:00Z</dcterms:created>
  <dcterms:modified xsi:type="dcterms:W3CDTF">2020-06-04T04:11:00Z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